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333-285428</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February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160020</wp:posOffset>
            </wp:positionV>
            <wp:extent cx="1388745"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8745"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$650,000,000 4.950% Notes due 2032</w:t>
      </w:r>
    </w:p>
    <w:p>
      <w:pPr>
        <w:spacing w:after="0" w:line="4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$850,000,000 5.300% Notes due 2035</w:t>
      </w:r>
    </w:p>
    <w:p>
      <w:pPr>
        <w:spacing w:after="0" w:line="10"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5"/>
          <w:szCs w:val="25"/>
          <w:b w:val="1"/>
          <w:bCs w:val="1"/>
          <w:color w:val="auto"/>
        </w:rPr>
        <w:t>$1,000,000,000 6.050% Notes due 2055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are offering $650,000,000 of 4.950% Notes due 2032 (the “Notes due 2032”), $850,000,000 of 5.300% Notes due 2035 (the “Notes due 2035”) and $1,000,000,000 of 6.050% Notes due 2055 (the “Notes due 2055”). The Notes due 2032 will bear interest at a rate of 4.950% per year and will mature on May 15, 2032, the Notes due 2035 will bear interest at a rate of 5.300% per year and will mature on May 15, 2035 and the Notes due 2055 will bear interest at a rate of 6.050% per year and will mature on May 15, 2055. We refer to the Notes due 2032, the Notes due 2035 and the Notes due 2055 collectively as the “notes.” We will pay interest on the Notes due 2032, the Notes due 2035 and the Notes due 2055 on May 15 and November 15 of each year, beginning on November 15, 2025. We may redeem any of the notes at any time by paying the applicable redemption price described under the heading “Description of the Notes—Optional Redemption.”</w:t>
      </w:r>
    </w:p>
    <w:p>
      <w:pPr>
        <w:spacing w:after="0" w:line="162" w:lineRule="exact"/>
        <w:rPr>
          <w:sz w:val="24"/>
          <w:szCs w:val="24"/>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both"/>
        <w:ind w:left="120" w:right="6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certain risks. See “Item 1A—Risk Factors” beginning on page 18 of Comcast Corporation’s (“Comcast”) Annual Report on Form 10-K for the year ended December 31, 2024, which is incorporated by reference herein.</w:t>
      </w:r>
    </w:p>
    <w:p>
      <w:pPr>
        <w:spacing w:after="0" w:line="161"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38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Price to</w:t>
            </w:r>
          </w:p>
        </w:tc>
        <w:tc>
          <w:tcPr>
            <w:tcW w:w="152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6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Proceeds to Us</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0" w:type="dxa"/>
            <w:vAlign w:val="bottom"/>
          </w:tcPr>
          <w:p>
            <w:pPr>
              <w:spacing w:after="0"/>
              <w:rPr>
                <w:sz w:val="1"/>
                <w:szCs w:val="1"/>
                <w:color w:val="auto"/>
              </w:rPr>
            </w:pPr>
          </w:p>
        </w:tc>
      </w:tr>
      <w:tr>
        <w:trPr>
          <w:trHeight w:val="173"/>
        </w:trPr>
        <w:tc>
          <w:tcPr>
            <w:tcW w:w="318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Investors</w:t>
            </w:r>
          </w:p>
        </w:tc>
        <w:tc>
          <w:tcPr>
            <w:tcW w:w="3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3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Per note due 2032</w:t>
            </w:r>
            <w:r>
              <w:rPr>
                <w:rFonts w:ascii="Times New Roman" w:cs="Times New Roman" w:eastAsia="Times New Roman" w:hAnsi="Times New Roman"/>
                <w:sz w:val="24"/>
                <w:szCs w:val="24"/>
                <w:color w:val="auto"/>
                <w:vertAlign w:val="superscript"/>
              </w:rPr>
              <w:t>(1)</w:t>
            </w:r>
          </w:p>
        </w:tc>
        <w:tc>
          <w:tcPr>
            <w:tcW w:w="17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99.741%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0.350%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99.391%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$648,316,500</w:t>
            </w:r>
          </w:p>
        </w:tc>
        <w:tc>
          <w:tcPr>
            <w:tcW w:w="38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2,275,000</w:t>
            </w:r>
          </w:p>
        </w:tc>
        <w:tc>
          <w:tcPr>
            <w:tcW w:w="3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$646,041,500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Per note due 2035</w:t>
            </w:r>
            <w:r>
              <w:rPr>
                <w:rFonts w:ascii="Times New Roman" w:cs="Times New Roman" w:eastAsia="Times New Roman" w:hAnsi="Times New Roman"/>
                <w:sz w:val="25"/>
                <w:szCs w:val="25"/>
                <w:color w:val="auto"/>
                <w:vertAlign w:val="superscript"/>
              </w:rPr>
              <w:t>(1)</w:t>
            </w:r>
          </w:p>
        </w:tc>
        <w:tc>
          <w:tcPr>
            <w:tcW w:w="3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99.638%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0.400%</w:t>
            </w: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99.238%</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$846,923,000</w:t>
            </w:r>
          </w:p>
        </w:tc>
        <w:tc>
          <w:tcPr>
            <w:tcW w:w="38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3,400,000</w:t>
            </w:r>
          </w:p>
        </w:tc>
        <w:tc>
          <w:tcPr>
            <w:tcW w:w="3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$843,523,000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Per note due 2055</w:t>
            </w:r>
            <w:r>
              <w:rPr>
                <w:rFonts w:ascii="Times New Roman" w:cs="Times New Roman" w:eastAsia="Times New Roman" w:hAnsi="Times New Roman"/>
                <w:sz w:val="25"/>
                <w:szCs w:val="25"/>
                <w:color w:val="auto"/>
                <w:vertAlign w:val="superscript"/>
              </w:rPr>
              <w:t>(1)</w:t>
            </w:r>
          </w:p>
        </w:tc>
        <w:tc>
          <w:tcPr>
            <w:tcW w:w="3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99.847%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0.750%</w:t>
            </w: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99.097%</w:t>
            </w: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$998,470,000</w:t>
            </w:r>
          </w:p>
        </w:tc>
        <w:tc>
          <w:tcPr>
            <w:tcW w:w="380" w:type="dxa"/>
            <w:vAlign w:val="bottom"/>
          </w:tcPr>
          <w:p>
            <w:pPr>
              <w:spacing w:after="0"/>
              <w:rPr>
                <w:sz w:val="20"/>
                <w:szCs w:val="20"/>
                <w:color w:val="auto"/>
              </w:rPr>
            </w:pP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3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$990,970,000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accrued interest, if any, from May 8, 2025, if settlement occurs after that date.</w:t>
      </w:r>
    </w:p>
    <w:p>
      <w:pPr>
        <w:spacing w:after="0" w:line="181" w:lineRule="exact"/>
        <w:rPr>
          <w:sz w:val="24"/>
          <w:szCs w:val="24"/>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or the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34" w:lineRule="exact"/>
        <w:rPr>
          <w:sz w:val="24"/>
          <w:szCs w:val="24"/>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notes will be ready for delivery only through The Depository Trust Company and its participants, including Euroclear SA/NV (“Euroclear”) and Clearstream Banking SA (“Clearstream”), in book-entry form on or about May 8, 2025, which is the third business day following the date of this prospectus supplement.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200660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Joint Book-Running Managers</w:t>
      </w:r>
    </w:p>
    <w:p>
      <w:pPr>
        <w:spacing w:after="0" w:line="223" w:lineRule="exact"/>
        <w:rPr>
          <w:sz w:val="24"/>
          <w:szCs w:val="24"/>
          <w:color w:val="auto"/>
        </w:rPr>
      </w:pPr>
    </w:p>
    <w:p>
      <w:pPr>
        <w:ind w:left="1140"/>
        <w:spacing w:after="0"/>
        <w:tabs>
          <w:tab w:leader="none" w:pos="5300" w:val="left"/>
          <w:tab w:leader="none" w:pos="8140" w:val="left"/>
        </w:tabs>
        <w:rPr>
          <w:sz w:val="20"/>
          <w:szCs w:val="20"/>
          <w:color w:val="auto"/>
        </w:rPr>
      </w:pPr>
      <w:r>
        <w:rPr>
          <w:rFonts w:ascii="Times New Roman" w:cs="Times New Roman" w:eastAsia="Times New Roman" w:hAnsi="Times New Roman"/>
          <w:sz w:val="25"/>
          <w:szCs w:val="25"/>
          <w:b w:val="1"/>
          <w:bCs w:val="1"/>
          <w:color w:val="auto"/>
        </w:rPr>
        <w:t>BofA Securities</w:t>
      </w:r>
      <w:r>
        <w:rPr>
          <w:sz w:val="20"/>
          <w:szCs w:val="20"/>
          <w:color w:val="auto"/>
        </w:rPr>
        <w:tab/>
      </w:r>
      <w:r>
        <w:rPr>
          <w:rFonts w:ascii="Times New Roman" w:cs="Times New Roman" w:eastAsia="Times New Roman" w:hAnsi="Times New Roman"/>
          <w:sz w:val="25"/>
          <w:szCs w:val="25"/>
          <w:b w:val="1"/>
          <w:bCs w:val="1"/>
          <w:color w:val="auto"/>
        </w:rPr>
        <w:t>Mizuho</w:t>
      </w:r>
      <w:r>
        <w:rPr>
          <w:sz w:val="20"/>
          <w:szCs w:val="20"/>
          <w:color w:val="auto"/>
        </w:rPr>
        <w:tab/>
      </w:r>
      <w:r>
        <w:rPr>
          <w:rFonts w:ascii="Times New Roman" w:cs="Times New Roman" w:eastAsia="Times New Roman" w:hAnsi="Times New Roman"/>
          <w:sz w:val="25"/>
          <w:szCs w:val="25"/>
          <w:b w:val="1"/>
          <w:bCs w:val="1"/>
          <w:color w:val="auto"/>
        </w:rPr>
        <w:t>Wells Fargo Securities</w:t>
      </w:r>
    </w:p>
    <w:p>
      <w:pPr>
        <w:spacing w:after="0" w:line="115" w:lineRule="exact"/>
        <w:rPr>
          <w:sz w:val="24"/>
          <w:szCs w:val="24"/>
          <w:color w:val="auto"/>
        </w:rPr>
      </w:pPr>
    </w:p>
    <w:p>
      <w:pPr>
        <w:ind w:left="720"/>
        <w:spacing w:after="0"/>
        <w:tabs>
          <w:tab w:leader="none" w:pos="4600" w:val="left"/>
          <w:tab w:leader="none" w:pos="8780" w:val="left"/>
        </w:tabs>
        <w:rPr>
          <w:sz w:val="20"/>
          <w:szCs w:val="20"/>
          <w:color w:val="auto"/>
        </w:rPr>
      </w:pPr>
      <w:r>
        <w:rPr>
          <w:rFonts w:ascii="Times New Roman" w:cs="Times New Roman" w:eastAsia="Times New Roman" w:hAnsi="Times New Roman"/>
          <w:sz w:val="22"/>
          <w:szCs w:val="22"/>
          <w:b w:val="1"/>
          <w:bCs w:val="1"/>
          <w:color w:val="auto"/>
        </w:rPr>
        <w:t>PNC Capital Markets LLC</w:t>
      </w:r>
      <w:r>
        <w:rPr>
          <w:sz w:val="20"/>
          <w:szCs w:val="20"/>
          <w:color w:val="auto"/>
        </w:rPr>
        <w:tab/>
      </w:r>
      <w:r>
        <w:rPr>
          <w:rFonts w:ascii="Times New Roman" w:cs="Times New Roman" w:eastAsia="Times New Roman" w:hAnsi="Times New Roman"/>
          <w:sz w:val="22"/>
          <w:szCs w:val="22"/>
          <w:b w:val="1"/>
          <w:bCs w:val="1"/>
          <w:color w:val="auto"/>
        </w:rPr>
        <w:t>SOCIETE GENERALE</w:t>
      </w:r>
      <w:r>
        <w:rPr>
          <w:sz w:val="20"/>
          <w:szCs w:val="20"/>
          <w:color w:val="auto"/>
        </w:rPr>
        <w:tab/>
      </w:r>
      <w:r>
        <w:rPr>
          <w:rFonts w:ascii="Times New Roman" w:cs="Times New Roman" w:eastAsia="Times New Roman" w:hAnsi="Times New Roman"/>
          <w:sz w:val="21"/>
          <w:szCs w:val="21"/>
          <w:b w:val="1"/>
          <w:bCs w:val="1"/>
          <w:color w:val="auto"/>
        </w:rPr>
        <w:t>US Bancorp</w:t>
      </w:r>
    </w:p>
    <w:p>
      <w:pPr>
        <w:sectPr>
          <w:pgSz w:w="11900" w:h="16838" w:orient="portrait"/>
          <w:cols w:equalWidth="0" w:num="1">
            <w:col w:w="11140"/>
          </w:cols>
          <w:pgMar w:left="320" w:top="225" w:right="439" w:bottom="1440" w:gutter="0" w:footer="0" w:header="0"/>
        </w:sectPr>
      </w:pPr>
    </w:p>
    <w:p>
      <w:pPr>
        <w:spacing w:after="0" w:line="17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5, 2025.</w:t>
      </w:r>
    </w:p>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20" w:type="dxa"/>
            <w:vAlign w:val="bottom"/>
            <w:gridSpan w:val="3"/>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10560" w:type="dxa"/>
            <w:vAlign w:val="bottom"/>
            <w:gridSpan w:val="19"/>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770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814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880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U.S. Federal Income Tax Consequences for Non-U.S. Holders</w:t>
            </w:r>
          </w:p>
        </w:tc>
        <w:tc>
          <w:tcPr>
            <w:tcW w:w="542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560" w:type="dxa"/>
            <w:vAlign w:val="bottom"/>
            <w:gridSpan w:val="1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453"/>
        </w:trPr>
        <w:tc>
          <w:tcPr>
            <w:tcW w:w="5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20" w:type="dxa"/>
            <w:vAlign w:val="bottom"/>
            <w:gridSpan w:val="3"/>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6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8920" w:type="dxa"/>
            <w:vAlign w:val="bottom"/>
            <w:gridSpan w:val="10"/>
            <w:vMerge w:val="restart"/>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61"/>
        </w:trPr>
        <w:tc>
          <w:tcPr>
            <w:tcW w:w="1640" w:type="dxa"/>
            <w:vAlign w:val="bottom"/>
            <w:tcBorders>
              <w:bottom w:val="single" w:sz="8" w:color="0000EE"/>
            </w:tcBorders>
            <w:gridSpan w:val="9"/>
            <w:vMerge w:val="continue"/>
          </w:tcPr>
          <w:p>
            <w:pPr>
              <w:spacing w:after="0"/>
              <w:rPr>
                <w:sz w:val="13"/>
                <w:szCs w:val="13"/>
                <w:color w:val="auto"/>
              </w:rPr>
            </w:pPr>
          </w:p>
        </w:tc>
        <w:tc>
          <w:tcPr>
            <w:tcW w:w="8920" w:type="dxa"/>
            <w:vAlign w:val="bottom"/>
            <w:gridSpan w:val="10"/>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The Companies</w:t>
            </w:r>
          </w:p>
        </w:tc>
        <w:tc>
          <w:tcPr>
            <w:tcW w:w="9400" w:type="dxa"/>
            <w:vAlign w:val="bottom"/>
            <w:gridSpan w:val="15"/>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Caution Concerning Forward-Looking Statements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96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9380" w:type="dxa"/>
            <w:vAlign w:val="bottom"/>
            <w:gridSpan w:val="1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 and Guarantees</w:t>
            </w:r>
          </w:p>
        </w:tc>
        <w:tc>
          <w:tcPr>
            <w:tcW w:w="722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Global Securities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8520" w:type="dxa"/>
            <w:vAlign w:val="bottom"/>
            <w:gridSpan w:val="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914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560" w:type="dxa"/>
            <w:vAlign w:val="bottom"/>
            <w:gridSpan w:val="1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580" w:type="dxa"/>
            <w:vAlign w:val="bottom"/>
            <w:gridSpan w:val="8"/>
            <w:shd w:val="clear" w:color="auto" w:fill="0000EE"/>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not, and the underwriters have not, authorized anyone to provide any information other than that contained or incorporated by reference in this prospectus supplement, the accompanying prospectus or any free writing prospectus prepared by or on behalf of us or to which we have referred you. We and the underwriters take no responsibility for, and can provide no assurance as to the reliability of, any other information that others may give you. If information in this prospectus supplement is inconsistent with the accompanying prospectus, you should rely on this prospectus supplement.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refer to Comcast Corporation in this prospectus supplement as “Comcast,” and Comcast and its consolidated subsidiaries as “we,” “us,” “our” or comparable terms. We refer to Comcast Cable Communications, LLC and its consolidated subsidiaries as “Comcast Cable,” NBCUniversal Media, LLC and its consolidated subsidiaries as “NBCUniversal,” and both of them collectively as the “guarantors.”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proxy statements and information statements and amendments to reports filed or furnished pursuant to the Securities Exchange Act of 1934, as amended (the “Exchange Act”), with the SEC. The SEC maintains an internet website at www.sec.gov that contains periodic and current reports, proxy and information statements, and other information regarding registrants that file electronically with the SEC. 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supplement incorporates by reference the documents of Comcast set forth below that we have previously filed with the SEC:</w:t>
      </w:r>
    </w:p>
    <w:p>
      <w:pPr>
        <w:spacing w:after="0" w:line="13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Annual Report on </w:t>
      </w:r>
      <w:hyperlink r:id="rId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on January 31,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Quarterly Report on </w:t>
      </w:r>
      <w:hyperlink r:id="rId1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2025, filed on April 24,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Current Report on </w:t>
      </w:r>
      <w:hyperlink r:id="rId17">
        <w:r>
          <w:rPr>
            <w:rFonts w:ascii="Times New Roman" w:cs="Times New Roman" w:eastAsia="Times New Roman" w:hAnsi="Times New Roman"/>
            <w:sz w:val="18"/>
            <w:szCs w:val="18"/>
            <w:u w:val="single" w:color="auto"/>
            <w:color w:val="0000EE"/>
          </w:rPr>
          <w:t>Form 8-K</w:t>
        </w:r>
      </w:hyperlink>
      <w:r>
        <w:rPr>
          <w:rFonts w:ascii="Times New Roman" w:cs="Times New Roman" w:eastAsia="Times New Roman" w:hAnsi="Times New Roman"/>
          <w:sz w:val="18"/>
          <w:szCs w:val="18"/>
          <w:color w:val="auto"/>
        </w:rPr>
        <w:t>, filed on March 19, 2025.</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sections of Comcast’s </w:t>
      </w:r>
      <w:hyperlink r:id="rId18">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2025 annual meeting of shareholders incorporated by reference in Comcast’s Annual Report on </w:t>
      </w:r>
      <w:hyperlink r:id="rId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w:t>
      </w:r>
    </w:p>
    <w:p>
      <w:pPr>
        <w:spacing w:after="0" w:line="162" w:lineRule="exact"/>
        <w:rPr>
          <w:rFonts w:ascii="Times New Roman" w:cs="Times New Roman" w:eastAsia="Times New Roman" w:hAnsi="Times New Roman"/>
          <w:sz w:val="18"/>
          <w:szCs w:val="18"/>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and the accompanying prospectus additional documents that we may file with the SEC under Sections 13(a), 13(c), 14 or 15(d) of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20"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20"/>
          </w:cols>
          <w:pgMar w:left="320" w:top="455"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55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are a global media and technology company that reaches customers, viewers and guests worldwide through the connectivity and platforms services we provide and the content and experiences we create. We deliver broadband, wireless, video and voice services primarily under the Xfinity, Comcast Business, Sky and NOW brands; produce, distribute and stream leading entertainment, sports and news through brands including NBC, Telemundo, Universal, Peacock and Sky; and own and operate Universal theme parks.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operate two primary businesses:</w:t>
      </w:r>
    </w:p>
    <w:p>
      <w:pPr>
        <w:spacing w:after="0" w:line="127" w:lineRule="exact"/>
        <w:rPr>
          <w:sz w:val="20"/>
          <w:szCs w:val="20"/>
          <w:color w:val="auto"/>
        </w:rPr>
      </w:pPr>
    </w:p>
    <w:p>
      <w:pPr>
        <w:ind w:left="1240" w:right="500" w:hanging="415"/>
        <w:spacing w:after="0" w:line="26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Connectivity &amp; Platforms</w:t>
      </w:r>
      <w:r>
        <w:rPr>
          <w:rFonts w:ascii="Times New Roman" w:cs="Times New Roman" w:eastAsia="Times New Roman" w:hAnsi="Times New Roman"/>
          <w:sz w:val="18"/>
          <w:szCs w:val="18"/>
          <w:color w:val="auto"/>
        </w:rPr>
        <w:t>: Contains our broadband, wireless, video and wireline voice businesses in the United States,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Kingdom and Italy (collectively, the “Connectivity &amp; Platforms markets”). Also includes the operations of our Sky-branded entertainment television networks in the United Kingdom and Italy. Our Connectivity &amp; Platforms business is reported in two segments:</w:t>
      </w:r>
    </w:p>
    <w:p>
      <w:pPr>
        <w:spacing w:after="0" w:line="81" w:lineRule="exact"/>
        <w:rPr>
          <w:rFonts w:ascii="Times New Roman" w:cs="Times New Roman" w:eastAsia="Times New Roman" w:hAnsi="Times New Roman"/>
          <w:sz w:val="18"/>
          <w:szCs w:val="18"/>
          <w:color w:val="auto"/>
        </w:rPr>
      </w:pPr>
    </w:p>
    <w:p>
      <w:pPr>
        <w:ind w:left="1640" w:right="780" w:hanging="289"/>
        <w:spacing w:after="0" w:line="286"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Residential Connectivity &amp; Platforms Segment</w:t>
      </w:r>
      <w:r>
        <w:rPr>
          <w:rFonts w:ascii="Times New Roman" w:cs="Times New Roman" w:eastAsia="Times New Roman" w:hAnsi="Times New Roman"/>
          <w:sz w:val="18"/>
          <w:szCs w:val="18"/>
          <w:color w:val="auto"/>
        </w:rPr>
        <w:t>: Includes primarily our residential broadband and wireless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residential and business video services, Sky-branded entertainment television networks and advertising.</w:t>
      </w:r>
    </w:p>
    <w:p>
      <w:pPr>
        <w:spacing w:after="0" w:line="60" w:lineRule="exact"/>
        <w:rPr>
          <w:rFonts w:ascii="Times New Roman" w:cs="Times New Roman" w:eastAsia="Times New Roman" w:hAnsi="Times New Roman"/>
          <w:sz w:val="18"/>
          <w:szCs w:val="18"/>
          <w:color w:val="auto"/>
        </w:rPr>
      </w:pPr>
    </w:p>
    <w:p>
      <w:pPr>
        <w:ind w:left="1640" w:right="220" w:hanging="289"/>
        <w:spacing w:after="0" w:line="268"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Services Connectivity Segment</w:t>
      </w:r>
      <w:r>
        <w:rPr>
          <w:rFonts w:ascii="Times New Roman" w:cs="Times New Roman" w:eastAsia="Times New Roman" w:hAnsi="Times New Roman"/>
          <w:sz w:val="18"/>
          <w:szCs w:val="18"/>
          <w:color w:val="auto"/>
        </w:rPr>
        <w:t>: Includes our domestic service offerings for small businesses, which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broadband, wireline voice and wireless services, as well as our enterprise solutions offerings for medium-sized customers and larger enterprises. We also have certain business connectivity service offerings in the United Kingdom.</w:t>
      </w:r>
    </w:p>
    <w:p>
      <w:pPr>
        <w:spacing w:after="0" w:line="76" w:lineRule="exact"/>
        <w:rPr>
          <w:rFonts w:ascii="Times New Roman" w:cs="Times New Roman" w:eastAsia="Times New Roman" w:hAnsi="Times New Roman"/>
          <w:sz w:val="18"/>
          <w:szCs w:val="18"/>
          <w:color w:val="auto"/>
        </w:rPr>
      </w:pPr>
    </w:p>
    <w:p>
      <w:pPr>
        <w:ind w:left="1240" w:right="280" w:hanging="415"/>
        <w:spacing w:after="0" w:line="268"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Content &amp; Experiences</w:t>
      </w:r>
      <w:r>
        <w:rPr>
          <w:rFonts w:ascii="Times New Roman" w:cs="Times New Roman" w:eastAsia="Times New Roman" w:hAnsi="Times New Roman"/>
          <w:sz w:val="18"/>
          <w:szCs w:val="18"/>
          <w:color w:val="auto"/>
        </w:rPr>
        <w:t>: Contains our media and entertainment businesses that produce and distribute entertainment, sports, news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content for global audiences and that own and operate theme parks and attractions in the United States and Asia. Our Content &amp; Experiences business is reported in three segments:</w:t>
      </w:r>
    </w:p>
    <w:p>
      <w:pPr>
        <w:spacing w:after="0" w:line="76" w:lineRule="exact"/>
        <w:rPr>
          <w:rFonts w:ascii="Times New Roman" w:cs="Times New Roman" w:eastAsia="Times New Roman" w:hAnsi="Times New Roman"/>
          <w:sz w:val="18"/>
          <w:szCs w:val="18"/>
          <w:color w:val="auto"/>
        </w:rPr>
      </w:pPr>
    </w:p>
    <w:p>
      <w:pPr>
        <w:ind w:left="1640" w:right="380" w:hanging="289"/>
        <w:spacing w:after="0" w:line="268"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Media Segment</w:t>
      </w:r>
      <w:r>
        <w:rPr>
          <w:rFonts w:ascii="Times New Roman" w:cs="Times New Roman" w:eastAsia="Times New Roman" w:hAnsi="Times New Roman"/>
          <w:sz w:val="18"/>
          <w:szCs w:val="18"/>
          <w:color w:val="auto"/>
        </w:rPr>
        <w:t>: Includes primarily NBCUniversal’s national and regional cable networks, NBC and Telemundo broadcast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and owned local broadcast television stations, Peacock direct-to-consumer streaming service and international television networks, including Sky Sports networks in the United Kingdom and Italy.</w:t>
      </w:r>
    </w:p>
    <w:p>
      <w:pPr>
        <w:spacing w:after="0" w:line="76" w:lineRule="exact"/>
        <w:rPr>
          <w:rFonts w:ascii="Times New Roman" w:cs="Times New Roman" w:eastAsia="Times New Roman" w:hAnsi="Times New Roman"/>
          <w:sz w:val="18"/>
          <w:szCs w:val="18"/>
          <w:color w:val="auto"/>
        </w:rPr>
      </w:pPr>
    </w:p>
    <w:p>
      <w:pPr>
        <w:ind w:left="1640" w:right="660" w:hanging="289"/>
        <w:spacing w:after="0" w:line="286"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Studios Segment</w:t>
      </w:r>
      <w:r>
        <w:rPr>
          <w:rFonts w:ascii="Times New Roman" w:cs="Times New Roman" w:eastAsia="Times New Roman" w:hAnsi="Times New Roman"/>
          <w:sz w:val="18"/>
          <w:szCs w:val="18"/>
          <w:color w:val="auto"/>
        </w:rPr>
        <w:t>: Includes primarily our NBCUniversal and Sky film and television studio production and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w:t>
      </w:r>
    </w:p>
    <w:p>
      <w:pPr>
        <w:spacing w:after="0" w:line="60" w:lineRule="exact"/>
        <w:rPr>
          <w:rFonts w:ascii="Times New Roman" w:cs="Times New Roman" w:eastAsia="Times New Roman" w:hAnsi="Times New Roman"/>
          <w:sz w:val="18"/>
          <w:szCs w:val="18"/>
          <w:color w:val="auto"/>
        </w:rPr>
      </w:pPr>
    </w:p>
    <w:p>
      <w:pPr>
        <w:ind w:left="1640" w:right="200" w:hanging="289"/>
        <w:spacing w:after="0" w:line="286"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Theme Parks Segment</w:t>
      </w:r>
      <w:r>
        <w:rPr>
          <w:rFonts w:ascii="Times New Roman" w:cs="Times New Roman" w:eastAsia="Times New Roman" w:hAnsi="Times New Roman"/>
          <w:sz w:val="18"/>
          <w:szCs w:val="18"/>
          <w:color w:val="auto"/>
        </w:rPr>
        <w:t>: Includes primarily the operations of the following Universal theme parks: Universal Orlando Resort,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Universal Studios Hollywood, Universal Studios Japan and Universal Beijing Resort.</w:t>
      </w:r>
    </w:p>
    <w:p>
      <w:pPr>
        <w:spacing w:after="0" w:line="159" w:lineRule="exact"/>
        <w:rPr>
          <w:sz w:val="20"/>
          <w:szCs w:val="20"/>
          <w:color w:val="auto"/>
        </w:rPr>
      </w:pPr>
    </w:p>
    <w:p>
      <w:pPr>
        <w:ind w:left="300" w:right="280" w:firstLine="426"/>
        <w:spacing w:after="0" w:line="266" w:lineRule="auto"/>
        <w:rPr>
          <w:sz w:val="20"/>
          <w:szCs w:val="20"/>
          <w:color w:val="auto"/>
        </w:rPr>
      </w:pPr>
      <w:r>
        <w:rPr>
          <w:rFonts w:ascii="Times New Roman" w:cs="Times New Roman" w:eastAsia="Times New Roman" w:hAnsi="Times New Roman"/>
          <w:sz w:val="18"/>
          <w:szCs w:val="18"/>
          <w:color w:val="auto"/>
        </w:rPr>
        <w:t>Our other business interests consist primarily of our Sky-branded video services and television networks in Germany, Comcast Spectacor, which owns the Philadelphia Flyers and the Wells Fargo Center arena in Philadelphia, Pennsylvania, and Xumo, our consolidated streaming platform joint venture with Charter Communications.</w:t>
      </w:r>
    </w:p>
    <w:p>
      <w:pPr>
        <w:spacing w:after="0" w:line="176" w:lineRule="exact"/>
        <w:rPr>
          <w:sz w:val="20"/>
          <w:szCs w:val="20"/>
          <w:color w:val="auto"/>
        </w:rPr>
      </w:pPr>
    </w:p>
    <w:p>
      <w:pPr>
        <w:jc w:val="both"/>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supplement. For instructions on how to find copies of these and our other filings incorporated by reference in this prospectus supplement, see “Available Information” in this prospectus supplement.</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20"/>
          </w:cols>
          <w:pgMar w:left="320" w:top="455"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721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6998970" cy="27216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Comcast’s principal executive offices are located at One Comcast Center, Philadelphia, Pennsylvania 19103-2838. Comcast’s telephone number is (215) 286-1700. The address of our website is www.comcastcorporation.com. The information on, or accessible through, our website is not part of this prospectus supplement or the accompanying 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Guarantors</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on the notes will be fully and unconditionally guaranteed by each of Comcast Cable and NBCUniversal. In this prospectus supplement, we refer to these guarantors as the guarantors and to these guarantees as the guarantees.</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131" w:lineRule="exact"/>
        <w:rPr>
          <w:sz w:val="20"/>
          <w:szCs w:val="20"/>
          <w:color w:val="auto"/>
        </w:rPr>
      </w:pPr>
    </w:p>
    <w:p>
      <w:pPr>
        <w:ind w:left="1240" w:right="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225" w:lineRule="exact"/>
        <w:rPr>
          <w:sz w:val="20"/>
          <w:szCs w:val="20"/>
          <w:color w:val="auto"/>
        </w:rPr>
      </w:pPr>
    </w:p>
    <w:p>
      <w:pPr>
        <w:ind w:left="300" w:right="400" w:firstLine="426"/>
        <w:spacing w:after="0" w:line="282" w:lineRule="auto"/>
        <w:rPr>
          <w:sz w:val="20"/>
          <w:szCs w:val="20"/>
          <w:color w:val="auto"/>
        </w:rPr>
      </w:pPr>
      <w:r>
        <w:rPr>
          <w:rFonts w:ascii="Times New Roman" w:cs="Times New Roman" w:eastAsia="Times New Roman" w:hAnsi="Times New Roman"/>
          <w:sz w:val="18"/>
          <w:szCs w:val="18"/>
          <w:color w:val="auto"/>
        </w:rPr>
        <w:t>Comcast Cable’s principal place of business is One Comcast Center, Philadelphia, Pennsylvania 19103-2838. NBCUniversal’s principal executive offices are located at 30 Rockefeller Plaza, New York, New York 10112-0015.</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2980" w:type="dxa"/>
            <w:vAlign w:val="bottom"/>
            <w:tcBorders>
              <w:top w:val="single" w:sz="8" w:color="auto"/>
              <w:left w:val="single" w:sz="8" w:color="auto"/>
            </w:tcBorders>
          </w:tcPr>
          <w:p>
            <w:pPr>
              <w:spacing w:after="0"/>
              <w:rPr>
                <w:sz w:val="24"/>
                <w:szCs w:val="24"/>
                <w:color w:val="auto"/>
              </w:rPr>
            </w:pPr>
          </w:p>
        </w:tc>
        <w:tc>
          <w:tcPr>
            <w:tcW w:w="8040" w:type="dxa"/>
            <w:vAlign w:val="bottom"/>
            <w:tcBorders>
              <w:top w:val="single" w:sz="8" w:color="auto"/>
              <w:right w:val="single" w:sz="8" w:color="auto"/>
            </w:tcBorders>
          </w:tcPr>
          <w:p>
            <w:pPr>
              <w:ind w:left="202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Comcast Corporation.</w:t>
            </w:r>
          </w:p>
        </w:tc>
      </w:tr>
      <w:tr>
        <w:trPr>
          <w:trHeight w:val="473"/>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Securities Offered</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$650,000,000 aggregate principal amount of 4.950% Notes due 2032.</w:t>
            </w:r>
          </w:p>
        </w:tc>
      </w:tr>
      <w:tr>
        <w:trPr>
          <w:trHeight w:val="473"/>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$850,000,000 aggregate principal amount of 5.300% Notes due 2035.</w:t>
            </w:r>
          </w:p>
        </w:tc>
      </w:tr>
      <w:tr>
        <w:trPr>
          <w:trHeight w:val="459"/>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$1,000,000,000 aggregate principal amount of 6.050% Notes due 2055.</w:t>
            </w: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Maturity</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The Notes due 2032 will mature on May 15, 2032.</w:t>
            </w:r>
          </w:p>
        </w:tc>
      </w:tr>
      <w:tr>
        <w:trPr>
          <w:trHeight w:val="473"/>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The Notes due 2035 will mature on May 15, 2035.</w:t>
            </w:r>
          </w:p>
        </w:tc>
      </w:tr>
      <w:tr>
        <w:trPr>
          <w:trHeight w:val="459"/>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The Notes due 2055 will mature on May 15, 2055.</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Interest on the Notes due 2032 will accrue at the rate of 4.950% per year, payable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semiannually in cash in arrears on each May 15 and November 15, beginning</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November 15, 2025.</w:t>
            </w:r>
          </w:p>
        </w:tc>
      </w:tr>
      <w:tr>
        <w:trPr>
          <w:trHeight w:val="441"/>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Interest on the Notes due 2035 will accrue at the rate of 5.300% per year, payable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semiannually in cash in arrears on each May 15 and November 15, beginning</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November 15, 2025.</w:t>
            </w:r>
          </w:p>
        </w:tc>
      </w:tr>
      <w:tr>
        <w:trPr>
          <w:trHeight w:val="441"/>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Interest on the Notes due 2055 will accrue at the rate of 6.050% per year, payable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semiannually in cash in arrears on each May 15 and November 15, beginning</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November 15, 2025.</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The notes will be unsecured and will rank equally with all of our and the guarantors’</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unsecured and unsubordinated indebtedness.</w:t>
            </w: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Guarantors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Comcast Cable and NBCUniversal.</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Guarantees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The guarantors will fully and unconditionally guarantee the notes, including the payment of</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principal, premium, if any, and interest. The guarantees will rank equally with all other</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general unsecured and unsubordinated obligations of the guarantors.</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We may, at our option, redeem any series of notes, in whole or in part, at any time at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applicable redemption price determined as set forth under the heading “Description of the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Notes—Optional Redemption.”</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We intend to use the net proceeds from this offering, after deducting underwriters’ discount</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and expenses, for the redemption in full of our outstanding 3.375% Notes due August 15,</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2025 and for general corporate purposes. See “Use of Proceeds.”</w:t>
            </w:r>
          </w:p>
        </w:tc>
      </w:tr>
      <w:tr>
        <w:trPr>
          <w:trHeight w:val="172"/>
        </w:trPr>
        <w:tc>
          <w:tcPr>
            <w:tcW w:w="2980" w:type="dxa"/>
            <w:vAlign w:val="bottom"/>
            <w:tcBorders>
              <w:left w:val="single" w:sz="8" w:color="auto"/>
              <w:bottom w:val="single" w:sz="8" w:color="auto"/>
            </w:tcBorders>
          </w:tcPr>
          <w:p>
            <w:pPr>
              <w:spacing w:after="0"/>
              <w:rPr>
                <w:sz w:val="14"/>
                <w:szCs w:val="14"/>
                <w:color w:val="auto"/>
              </w:rPr>
            </w:pPr>
          </w:p>
        </w:tc>
        <w:tc>
          <w:tcPr>
            <w:tcW w:w="8040" w:type="dxa"/>
            <w:vAlign w:val="bottom"/>
            <w:tcBorders>
              <w:bottom w:val="single" w:sz="8" w:color="auto"/>
              <w:right w:val="single" w:sz="8" w:color="auto"/>
            </w:tcBorders>
          </w:tcPr>
          <w:p>
            <w:pPr>
              <w:spacing w:after="0"/>
              <w:rPr>
                <w:sz w:val="14"/>
                <w:szCs w:val="14"/>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282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Book-Entry</w:t>
            </w:r>
          </w:p>
        </w:tc>
        <w:tc>
          <w:tcPr>
            <w:tcW w:w="8200" w:type="dxa"/>
            <w:vAlign w:val="bottom"/>
            <w:tcBorders>
              <w:top w:val="single" w:sz="8" w:color="auto"/>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The notes will be issued in book-entry form and will be represented by global notes</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deposited with, or on behalf of, DTC and registered in the name of DTC or its nominees.</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Beneficial interests in any of the notes will be shown on, and transfers will be effected only</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through, records maintained by DTC or its nominee or indirectly through organizations that</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have accounts with DTC, including Euroclear and Clearstream, and these beneficial</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interests may not be exchanged for certificated notes, except in limited circumstances. See</w:t>
            </w:r>
          </w:p>
        </w:tc>
      </w:tr>
      <w:tr>
        <w:trPr>
          <w:trHeight w:val="234"/>
        </w:trPr>
        <w:tc>
          <w:tcPr>
            <w:tcW w:w="2820" w:type="dxa"/>
            <w:vAlign w:val="bottom"/>
            <w:tcBorders>
              <w:left w:val="single" w:sz="8" w:color="auto"/>
            </w:tcBorders>
          </w:tcPr>
          <w:p>
            <w:pPr>
              <w:spacing w:after="0"/>
              <w:rPr>
                <w:sz w:val="20"/>
                <w:szCs w:val="20"/>
                <w:color w:val="auto"/>
              </w:rPr>
            </w:pPr>
          </w:p>
        </w:tc>
        <w:tc>
          <w:tcPr>
            <w:tcW w:w="820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“Description of the Notes—Book-Entry System” in this prospectus supplement.</w:t>
            </w:r>
          </w:p>
        </w:tc>
      </w:tr>
      <w:tr>
        <w:trPr>
          <w:trHeight w:val="441"/>
        </w:trPr>
        <w:tc>
          <w:tcPr>
            <w:tcW w:w="28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Additional Notes</w:t>
            </w:r>
          </w:p>
        </w:tc>
        <w:tc>
          <w:tcPr>
            <w:tcW w:w="820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We have the ability to “reopen” a series of these notes and issue additional notes of such</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series. Additional notes of such series will be consolidated with and form a single series</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with the notes then outstanding of such series; provided that the additional notes are</w:t>
            </w:r>
          </w:p>
        </w:tc>
      </w:tr>
      <w:tr>
        <w:trPr>
          <w:trHeight w:val="234"/>
        </w:trPr>
        <w:tc>
          <w:tcPr>
            <w:tcW w:w="2820" w:type="dxa"/>
            <w:vAlign w:val="bottom"/>
            <w:tcBorders>
              <w:left w:val="single" w:sz="8" w:color="auto"/>
            </w:tcBorders>
          </w:tcPr>
          <w:p>
            <w:pPr>
              <w:spacing w:after="0"/>
              <w:rPr>
                <w:sz w:val="20"/>
                <w:szCs w:val="20"/>
                <w:color w:val="auto"/>
              </w:rPr>
            </w:pPr>
          </w:p>
        </w:tc>
        <w:tc>
          <w:tcPr>
            <w:tcW w:w="820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fungible with the notes of such series for U.S. federal income tax purposes.</w:t>
            </w:r>
          </w:p>
        </w:tc>
      </w:tr>
      <w:tr>
        <w:trPr>
          <w:trHeight w:val="441"/>
        </w:trPr>
        <w:tc>
          <w:tcPr>
            <w:tcW w:w="28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20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Investing in the notes involves certain risks. See “Item 1A—Risk Factors” beginning on</w:t>
            </w:r>
          </w:p>
        </w:tc>
      </w:tr>
      <w:tr>
        <w:trPr>
          <w:trHeight w:val="234"/>
        </w:trPr>
        <w:tc>
          <w:tcPr>
            <w:tcW w:w="2820" w:type="dxa"/>
            <w:vAlign w:val="bottom"/>
            <w:tcBorders>
              <w:left w:val="single" w:sz="8" w:color="auto"/>
            </w:tcBorders>
          </w:tcPr>
          <w:p>
            <w:pPr>
              <w:spacing w:after="0"/>
              <w:rPr>
                <w:sz w:val="20"/>
                <w:szCs w:val="20"/>
                <w:color w:val="auto"/>
              </w:rPr>
            </w:pPr>
          </w:p>
        </w:tc>
        <w:tc>
          <w:tcPr>
            <w:tcW w:w="820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page 18 of our Annual Report on Form 10-K for the year ended December 31, 2024.</w:t>
            </w:r>
          </w:p>
        </w:tc>
      </w:tr>
      <w:tr>
        <w:trPr>
          <w:trHeight w:val="172"/>
        </w:trPr>
        <w:tc>
          <w:tcPr>
            <w:tcW w:w="2820" w:type="dxa"/>
            <w:vAlign w:val="bottom"/>
            <w:tcBorders>
              <w:left w:val="single" w:sz="8" w:color="auto"/>
              <w:bottom w:val="single" w:sz="8" w:color="auto"/>
            </w:tcBorders>
          </w:tcPr>
          <w:p>
            <w:pPr>
              <w:spacing w:after="0"/>
              <w:rPr>
                <w:sz w:val="14"/>
                <w:szCs w:val="14"/>
                <w:color w:val="auto"/>
              </w:rPr>
            </w:pPr>
          </w:p>
        </w:tc>
        <w:tc>
          <w:tcPr>
            <w:tcW w:w="8200" w:type="dxa"/>
            <w:vAlign w:val="bottom"/>
            <w:tcBorders>
              <w:bottom w:val="single" w:sz="8" w:color="auto"/>
              <w:right w:val="single" w:sz="8" w:color="auto"/>
            </w:tcBorders>
          </w:tcPr>
          <w:p>
            <w:pPr>
              <w:spacing w:after="0"/>
              <w:rPr>
                <w:sz w:val="14"/>
                <w:szCs w:val="14"/>
                <w:color w:val="auto"/>
              </w:rPr>
            </w:pPr>
          </w:p>
        </w:tc>
      </w:tr>
      <w:tr>
        <w:trPr>
          <w:trHeight w:val="361"/>
        </w:trPr>
        <w:tc>
          <w:tcPr>
            <w:tcW w:w="2820" w:type="dxa"/>
            <w:vAlign w:val="bottom"/>
          </w:tcPr>
          <w:p>
            <w:pPr>
              <w:spacing w:after="0"/>
              <w:rPr>
                <w:sz w:val="24"/>
                <w:szCs w:val="24"/>
                <w:color w:val="auto"/>
              </w:rPr>
            </w:pPr>
          </w:p>
        </w:tc>
        <w:tc>
          <w:tcPr>
            <w:tcW w:w="82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after deducting underwriters’ discount and expenses, for the redemption in full of our outstanding 3.375% Notes due August 15, 2025 and for general corporate purposes.</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520"/>
          </w:cols>
          <w:pgMar w:left="320" w:top="455" w:right="10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We are offering $650,000,000 aggregate principal amount of our 4.950% Notes due 2032, $850,000,000 aggregate principal amount of our</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5.300% Notes due 2035 and $1,000,000,000 aggregate principal amount of our 6.050% Notes due 2055. The Notes due 2032, the Notes due 2035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Notes due 2055 will each be a separate series of securities issued under a senior indenture dated September 18, 2013, entered into among us,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guarantors and The Bank of New York Mellon, as trustee, as amended by the first supplemental indenture dated as of November 17, 2015, entered into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among us, the guarantors and The Bank of New York Mellon, as trustee, and as further amended by the second supplemental indenture dated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July 29, 2022, entered into among us, the guarantors and The Bank of New York Mellon, as trustee (as amended, the “indenture”). The notes will be our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 unsecured and unsubordinated obligations and will be fully and unconditionally guaranteed by Comcast Cable and NBCUniversal, referred to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guarantors, as described below. The terms of the notes include those stated in the indenture and those made part of the indenture by reference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Trust Indenture Act of 1939, as amended. The indenture provides that we will have the ability to issue securities with terms different from those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notes. We also have the ability to “reopen” a series of these notes and issue additional notes of such series. Additional notes of such series will 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consolidated with and form a single series with the notes then outstanding of such series; provided that the additional notes are fungible with the notes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 such series for U.S. federal income tax purposes. Copies of the indenture and the form of notes are available from us upon request.</w:t>
      </w:r>
    </w:p>
    <w:p>
      <w:pPr>
        <w:spacing w:after="0" w:line="313"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Basic Terms of the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w:t>
      </w:r>
    </w:p>
    <w:p>
      <w:pPr>
        <w:spacing w:after="0" w:line="131" w:lineRule="exact"/>
        <w:rPr>
          <w:sz w:val="20"/>
          <w:szCs w:val="20"/>
          <w:color w:val="auto"/>
        </w:rPr>
      </w:pPr>
    </w:p>
    <w:p>
      <w:pPr>
        <w:ind w:left="1080" w:right="2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rank equally with all of our other unsecured and unsubordinated debt and will be entitled to the benefits of the guarantees described below;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an initial aggregate principal amount of $2,500,000,000 comprised as follows:</w:t>
      </w:r>
    </w:p>
    <w:p>
      <w:pPr>
        <w:spacing w:after="0" w:line="130" w:lineRule="exact"/>
        <w:rPr>
          <w:rFonts w:ascii="Times New Roman" w:cs="Times New Roman" w:eastAsia="Times New Roman" w:hAnsi="Times New Roman"/>
          <w:sz w:val="18"/>
          <w:szCs w:val="18"/>
          <w:color w:val="auto"/>
        </w:rPr>
      </w:pPr>
    </w:p>
    <w:p>
      <w:pPr>
        <w:ind w:left="1540" w:right="220" w:hanging="331"/>
        <w:spacing w:after="0" w:line="266" w:lineRule="auto"/>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$650,000,000 initial aggregate principal amount of 4.950% Notes due 2032, maturing on May 15, 2032, with interest payable semiannually on each May 15 and November 15, beginning November 15, 2025, to holders of record on the preceding May 1 and November 1;</w:t>
      </w:r>
    </w:p>
    <w:p>
      <w:pPr>
        <w:spacing w:after="0" w:line="81" w:lineRule="exact"/>
        <w:rPr>
          <w:rFonts w:ascii="Times New Roman" w:cs="Times New Roman" w:eastAsia="Times New Roman" w:hAnsi="Times New Roman"/>
          <w:sz w:val="18"/>
          <w:szCs w:val="18"/>
          <w:color w:val="auto"/>
        </w:rPr>
      </w:pPr>
    </w:p>
    <w:p>
      <w:pPr>
        <w:ind w:left="1540" w:right="220" w:hanging="331"/>
        <w:spacing w:after="0" w:line="266" w:lineRule="auto"/>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$850,000,000 initial aggregate principal amount of 5.300% Notes due 2035, maturing on May 15, 2035, with interest payable semiannually on each May 15 and November 15, beginning November 15, 2025, to holders of record on the preceding May 1 and November 1; and</w:t>
      </w:r>
    </w:p>
    <w:p>
      <w:pPr>
        <w:spacing w:after="0" w:line="81" w:lineRule="exact"/>
        <w:rPr>
          <w:rFonts w:ascii="Times New Roman" w:cs="Times New Roman" w:eastAsia="Times New Roman" w:hAnsi="Times New Roman"/>
          <w:sz w:val="18"/>
          <w:szCs w:val="18"/>
          <w:color w:val="auto"/>
        </w:rPr>
      </w:pPr>
    </w:p>
    <w:p>
      <w:pPr>
        <w:ind w:left="1540" w:right="220" w:hanging="331"/>
        <w:spacing w:after="0" w:line="266" w:lineRule="auto"/>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initial aggregate principal amount of 6.050% Notes due 2055, maturing on May 15, 2055, with interest payable semiannually on each May 15 and November 15, beginning November 15, 2025, to holders of record on the preceding May 1 and November 1;</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issuable in fully registered form, in denominations of $2,000 and in multiples of $1,000 in excess thereof.</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Payments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on the notes will be computed on the basis of a 360-day year consisting of twelve 30-day months.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Interest on the notes will accrue from (i) the earlier of May 8, 2025 and the date of original issuance or (ii) from the most recent interest payment date to which interest has been paid, and will be payable semiannually on the interest payment dates described for each year.</w:t>
      </w:r>
    </w:p>
    <w:p>
      <w:pPr>
        <w:spacing w:after="0" w:line="162"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more information on payment and transfer procedures for the notes, see “—Book-Entry System”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Prior to March 15, 2032 (two (2) months prior to the maturity date of the Notes due 2032) with respect to the Notes due 2032 (the “2032 Notes Par Call Date”), prior to February 15, 2035 (three (3) months prior to the maturity date of the Notes due 2035) with respect to the Notes due 2035 (the “2035 Notes Par Call Date”) and prior to November 15, 2054 (six (6) months prior to the maturity date of the Notes due 2055) with respect to the Notes due 2055 (the “2055 Notes Par Call Date” and, together with the 2032 Notes Par Call Date and the 2035 Notes Par Call Date, each a “Par Call Date”), we may redeem such notes at our option, in whole or in part, at any time and from time to time, at a redemption price (expressed as a percentage of the principal amount and rounded to three decimal places) equal to the greater of:</w:t>
      </w:r>
    </w:p>
    <w:p>
      <w:pPr>
        <w:spacing w:after="0" w:line="93" w:lineRule="exact"/>
        <w:rPr>
          <w:sz w:val="20"/>
          <w:szCs w:val="20"/>
          <w:color w:val="auto"/>
        </w:rPr>
      </w:pPr>
    </w:p>
    <w:p>
      <w:pPr>
        <w:ind w:left="1080" w:right="80" w:hanging="532"/>
        <w:spacing w:after="0" w:line="25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for this purpose, that such notes mature on the applicable Par Call Date) on a semi-annual basis (assuming a 360-day year consisting of twelve 30-day months) at the Treasury Rate plus 15 basis points, in the case of the Notes due 2032, 15 basis points, in the case of the Notes due 2035 and 20 basis points, in the case of the Notes due 2055, as applicable, less (b) interest accrued to the date of redemption, and</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of the applicable series to be redeemed,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On or after the 2032 Notes Par Call Date, in the case of the Notes due 2032, the 2035 Notes Par Call Date, in the case of the Notes due 2035, and the 2055 Notes Par Call Date, in the case of the Notes due 2055, as applicable, we may redeem such series of notes, in whole or in part, at any time and from time to time, at a redemption price equal to 100% of the principal amount of the notes being redeemed, plus accrued and unpaid interest thereon to the redemption date.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us in accordance with the following two paragraphs.</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60"/>
          </w:cols>
          <w:pgMar w:left="320" w:top="455"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relevant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such Par Call Date, and one with a maturity date following such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applicable series of notes to be redeemed.</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the case of a partial redemption, selection of the applicable series of notes for redemption will be made, if such series of notes are in the form of one or more global securities, in accordance with the procedures of The Depository Trust Company (or another depositary) or, if such series of notes are not in the form of one or more global securities, by lot. No notes of any series of a principal amount of $2,000 or less will be redeemed in part. If any note of a series is to be redeemed in part only, the notice of redemption that relates to such note will state the portion of the principal amount of the applicable note to be redeemed. A new note of any series in a principal amount equal to the unredeemed portion of the applicable note will be issued in the name of the holder of such note upon surrender for cancellation of such original note. For so long as any series of notes are registered in the name of The Depository Trust Company (or another depositary) or such depositary’s nominee, the redemption of such series of notes shall be done in accordance with the policies and procedures of the depositary.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will cease to accrue on the applicable series of notes or portions thereof called for redemption.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Mandatory Redemption or 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will be no mandatory redemption prior to maturity or sinking fund payments for the notes.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does not limit the amount of debt we may issue under the indenture or otherwise.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Holders may hold interests in the notes outside the United States through Euroclear or Clearstream if they are participants in those systems, or indirectly through organizations which are participants in those systems.</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DTC</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16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94"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Certificated Notes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67" w:lineRule="exact"/>
        <w:rPr>
          <w:sz w:val="20"/>
          <w:szCs w:val="20"/>
          <w:color w:val="auto"/>
        </w:rPr>
      </w:pPr>
    </w:p>
    <w:p>
      <w:pPr>
        <w:ind w:left="1080" w:right="44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 our discretion at any time determine not to have all the notes represented by the Global Notes;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entitling the holders of the applicable notes to accelerate the maturity thereof has occurred and is continuing.</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Same-Day Payment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040"/>
          </w:cols>
          <w:pgMar w:left="320" w:top="455" w:right="5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FOR NON-U.S. HOLDERS</w:t>
      </w:r>
    </w:p>
    <w:p>
      <w:pPr>
        <w:spacing w:after="0" w:line="22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the material U.S. federal income tax consequences of ownership and disposition of the notes. This discussion only applies to notes that meet all of the following conditions:</w:t>
      </w:r>
    </w:p>
    <w:p>
      <w:pPr>
        <w:spacing w:after="0" w:line="67" w:lineRule="exact"/>
        <w:rPr>
          <w:sz w:val="20"/>
          <w:szCs w:val="20"/>
          <w:color w:val="auto"/>
        </w:rPr>
      </w:pPr>
    </w:p>
    <w:p>
      <w:pPr>
        <w:ind w:left="1080" w:right="16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held as capital assets;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beneficially owned by Non-U.S. Holders (as defined below).</w:t>
      </w:r>
    </w:p>
    <w:p>
      <w:pPr>
        <w:spacing w:after="0" w:line="225"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This discussion does not describe all of the tax consequences that may be relevant to beneficial owners of notes in light of their particular circumstances or to beneficial owners of notes subject to special rules, such as:</w:t>
      </w:r>
    </w:p>
    <w:p>
      <w:pPr>
        <w:spacing w:after="0" w:line="67"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the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foreign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notes as part of a hedge, straddle or other integrated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arrangements or entities classified as partnerships for U.S. federal income tax purposes; or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for U.S. federal income tax purposes to conform the timing of income accruals with respect to the notes to their financial statements under Section 451 of the Internal Revenue Code of 1986, as amended (the “Code”).</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a partnership or other arrangement or entity classified as a partnership for U.S. federal income tax purposes holds notes, the tax treatment of a partner will generally depend upon the status of the partner and the activities of the partnership. A partner of a partnership holding notes is urged to consult his, her or its tax advisor.</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non-U.S. taxing jurisdiction.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 the term “Non-U.S. Holder” means a beneficial owner of a note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not a U.S. citizen and who is classified as a nonresident for U.S. federal income tax purposes;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estate or trust.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“Non-U.S. Holder” does not include an individual present in the United States for 183 days or more in the taxable year of disposition or a former citizen or former resident of the United States. Such persons are urged to consult their tax advisors regarding the U.S. federal income tax consequences of the sale, exchange or other disposition of a note.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on a Note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81" w:lineRule="exact"/>
        <w:rPr>
          <w:sz w:val="20"/>
          <w:szCs w:val="20"/>
          <w:color w:val="auto"/>
        </w:rPr>
      </w:pPr>
    </w:p>
    <w:p>
      <w:pPr>
        <w:ind w:left="1080" w:right="1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does not own, actually or constructively, 10% or more of the total combined voting power of all classes of our stock entitled to vote and is not a controlled foreign corporation related, directly or indirectly, to us through stock ownership;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requirement described below has been fulfilled with respect to the beneficial owner, as discussed below.</w:t>
      </w:r>
    </w:p>
    <w:p>
      <w:pPr>
        <w:spacing w:after="0" w:line="22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Interest on a note described above will not be exempt from withholding tax unless the beneficial owner of that note certifies on a properly executed Internal Revenue Service Form W-8BEN or W-8BEN-E (or successor form), as appropriate, under penalties of perjury, that it is not a U.S. person.</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a Non-U.S. Holder of a note is engaged in a trade or business in the United States, and if interest on the note is effectively connected with the conduct of such trade or business (and, if required by an applicable income tax treaty, is attributable to a U.S. permanent establishment or a fixed base of the Non-U.S. Holder), the Non-U.S. Holder will generally not be subject to the withholding discussed in the preceding paragraphs if a properly executed, applicable Form W-8 (generally an Internal Revenue Service Form W-8ECI) is provided to the applicable withholding agent. Such a Non-U.S. Holder will, however, generally be taxed on such interest in the same manner as a U.S. person, unless an applicable income tax treaty provides otherwise. These Non-U.S.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Exchange, Redemption or Other Disposition of a Note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discussions below concerning backup withholding and FATCA, a Non-U.S. Holder will not be subject to U.S. federal income tax on gain realized on the sale, exchange, redemption or other disposition of such note, unless the gain is effectively connected with the conduct by the holder of a trade or business in the United States (and, if required by an applicable income tax treaty, is attributable to a U.S. permanent establishment or a fixed base of the Non-U.S. Holder).</w:t>
      </w:r>
    </w:p>
    <w:p>
      <w:pPr>
        <w:spacing w:after="0" w:line="180"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If a Non-U.S. Holder of a note is engaged in a trade or business in the United States, and if gain realized by the Non-U.S. Holder on a sale, exchange, redemption or other disposition of such note is effectively connected with the conduct of such trade or business, the Non-U.S. Holder will generally be taxed in the same manner as a U.S. person, subject to an applicable income tax treaty providing otherwise. These Non-U.S. Holders are urged to consult their tax advisors with respect to other U.S. tax consequences of the ownership and disposition of notes, including the possible imposition of an additional branch profits tax at a rate of 30% (or lower treaty rate).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Information returns will be filed with the Internal Revenue Service in connection with interest payments on the notes. Unless a Non-U.S. Holder complies with certification procedures to establish that it is not a 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U.S.-source interest and, subject to the discussion of certain proposed U.S. Treasury regulations below,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w:t>
      </w:r>
    </w:p>
    <w:p>
      <w:pPr>
        <w:spacing w:after="0" w:line="18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U.S. Treasury Department has released proposed regulations which, if finalized in their present form, would eliminate FATCA withholding on the gross proceeds of a sale, exchange, redemption or other disposition of a note (other than amounts treated as interest). In the preamble to the proposed regulations, the U.S. Treasury Department indicated that taxpayers may rely on the proposed regulations until final regulations are issued.</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effects of FATCA on their investment in the notes. We will not pay additional amounts with respect to any withholding taxes imposed under FATCA.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intend to offer the notes through the underwriters named below. Subject to the terms and conditions contained in an underwriting agreement, we have agreed to sell to the underwriters and the underwriters severally, and not jointly, have agreed to purchase from us, the principal amount of the notes listed opposite their names below.</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Notes due 2032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Notes due 2035</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Notes due 2055</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9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w w:val="95"/>
              </w:rPr>
              <w:t>To Be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To Be</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ind w:right="33"/>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ind w:right="33"/>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203"/>
        </w:trPr>
        <w:tc>
          <w:tcPr>
            <w:tcW w:w="4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84,500,000</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110,500,000</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130,000,000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110,500,000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110,500,000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76,500,000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SG Americas Securities, LLC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76,500,000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76,500,000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Santander US Capital Markets LLC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ICBC Standard Bank Plc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10,625,000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Lloyds Securities Inc.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10,625,000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NatWest Markets Securities 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10,625,000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PJT Partners LP</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10,625,000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10,625,000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10,625,000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BNY Mellon Capital Markets, LLC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6,375,000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Commerz Markets LLC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6,375,000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Intesa Sanpaolo IMI Securities Corp.</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4,875,000</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6,375,000</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650,000,000</w:t>
            </w:r>
          </w:p>
        </w:tc>
        <w:tc>
          <w:tcPr>
            <w:tcW w:w="4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850,000,000</w:t>
            </w:r>
          </w:p>
        </w:tc>
        <w:tc>
          <w:tcPr>
            <w:tcW w:w="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 of 1933, as amended, or to contribute to payments the several underwriters may be required to make in respect of those liabilities.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 about May 8, 2025, which is the third business day following the date hereof (such settlement cycle being referred to as “T+3”). Under Rule 15c6-1 of the Exchange Act, trades in the secondary market generally are required to settle in one business day unless the parties to any such trade expressly agree otherwise. Accordingly, purchasers who wish to trade the notes prior to one business day preceding the settlement date will be required, by virtue of the fact that the notes initially will settle in T+3 to specify an alternative settlement cycle at the time of any such trade to prevent failed settlement and should consult their own advisors.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underwriters have advised us that they propose initially to offer the notes to the public at the public offering price on the cover page of this prospectus supplement, and to dealers at that price less a concession not in excess of 0.200%, 0.250% and 0.450% of the principal amount of the Notes due 2032, the Notes due 2035 and the Notes due 2055, respectively. The underwriters may allow, and the dealers may reallow, a discount not in excess of 0.150%, 0.150% and 0.300% of the principal amount of the Notes due 2032, the Notes due 2035 and the Notes due 2055, respectively, to other dealers. After the initial public offering, the public offering prices, concessions and discounts may be changed.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to be $700,000.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Each series of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8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may in the past have received and/or currently and may in the future receive customary fees and commissions. Furthermore, certain of the underwriters and their respective affiliates may, from time to time, enter into arms-length transactions with us in the ordinary course of their business.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including our outstanding 3.375% Notes due August 15, 2025. Therefore, since proceeds from this offering will be used to redeem our outstanding 3.375% Notes due August 15, 2025, certain of the underwriters and/or their respective affiliates may receive proceeds from this offering. In addition,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BNY Mellon Capital Markets, LLC, one of the underwriters, is an affiliate of The Bank of New York Mellon, the trustee under the indenture that will govern the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9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120" w:right="18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(the “UK”). For these purposes, (a) a retail investor means a person who is one (or more) of: (i) a retail client, as defined in point (8) of Article 2 of Regulation (EU) No 2017/565 as it forms part of domestic law by virtue of the European Union (Withdrawal) Act 2018 (as amended, “EUWA”); (ii) 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2(1) of Regulation (EU) No 600/2014 as it forms part of domestic law by virtue of the EUWA; or</w:t>
      </w:r>
    </w:p>
    <w:p>
      <w:pPr>
        <w:spacing w:after="0" w:line="5" w:lineRule="exact"/>
        <w:rPr>
          <w:sz w:val="20"/>
          <w:szCs w:val="20"/>
          <w:color w:val="auto"/>
        </w:rPr>
      </w:pPr>
    </w:p>
    <w:p>
      <w:pPr>
        <w:ind w:left="120" w:hanging="4"/>
        <w:spacing w:after="0" w:line="252" w:lineRule="auto"/>
        <w:tabs>
          <w:tab w:leader="none" w:pos="4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Article 2 of Regulation (EU) 2017/1129 as it forms part of domestic law by virtue of the EUWA (the “UK Prospectus Regulation”); and (b)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9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Korea</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notes have not been and will not be registered 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the underwriters have not offered or sold the notes or caused the notes to be made the subject of an invitation for subscription or purchase and will not offer or sell the notes or cause the notes to be made the subject of an invitation for subscription or purchase, and have not circulated or distributed, nor will they circulate or distribute, this prospectus supplement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is not intended to constitute an offer or solicitation to purchase or invest in the notes described herein.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offering of the notes has not been approved or licensed by the UAE Central Bank, the UAE Securities and Commodities Authority (“SCA”), the Dubai Financial Services Authority (“DFSA”) or any other relevant licensing authorities in the UAE, and the notes may not be offered to the public in the UAE (including the DIFC). This prospectus supplement is being issued to a limited number of institutional and individual investors:</w:t>
      </w:r>
    </w:p>
    <w:p>
      <w:pPr>
        <w:spacing w:after="0" w:line="81" w:lineRule="exact"/>
        <w:rPr>
          <w:sz w:val="20"/>
          <w:szCs w:val="20"/>
          <w:color w:val="auto"/>
        </w:rPr>
      </w:pPr>
    </w:p>
    <w:p>
      <w:pPr>
        <w:ind w:left="1080" w:right="42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meet the criteria of a “Qualified Investor” as defined in the SCA Board of Directors Decision No. 3 R.M. of 2017 (but excluding subparagraph 1(d) in the “Qualified Investor” definition relating to natural persons);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their request and confirmation that they understand that the notes have not been approved or licensed by or registered with the UAE Central Bank, the SCA, DFSA or any other relevant licensing authorities or governmental agencies in the UAE; and</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their confirmation that they understand that the prospectus supplement must not be provided to any person other than the original recipient, and may not be reproduced or used for any other purpose.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notes constituting part of its allotment solely outside the United States.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Investors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purchaser and holder of the notes (or any interest therein) will be deemed to have represented by its purchase or holding of the notes that either (a) it is not, and its purchase and holding of the notes is not made on behalf of or with assets of, (i) an employee benefit plan that is subject to Title I of the Employee Retirement Income Security Act of 1974, as amended (“ERISA”), (ii) a plan, account or other arrangement that is subject to Section 4975 of the Internal Revenue Code of 1986, as amended (the “Code”), (iii) an entity whose underlying assets include the assets of any such employee benefit plan, plan, account or arrangement or (iv) a governmental, church or non-U.S. plan that is subject to any state, local or other federal law or non-U.S. law that is substantially similar to the provisions of Title I of ERISA or Section 4975 of the Code (“Similar Law”), or (b) its purchase, holding and subsequent disposition of the notes will not constitute or result in a non-exempt prohibited transaction under Section 406 of ERISA or Section 4975 of the Code or violate any Similar Law.</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Various legal matters relating to the offering will be passed upon for us by Elizabeth Wideman, Esquire, Senior Vice President, Senior Deputy General Counsel and Assistant Secretary, Francis M. Buono, Esquire, Executive Vice President, Legal Regulatory Affairs and Senior Deputy General Counsel of Comcast Corporation, and by Davis Polk &amp; Wardwell LLP, New York, New York. Cahill Gordon &amp; Reindel LLP, New York, New York, is representing the underwriters.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Comcast Corporation as of December 31, 2024 and 2023, and for each of the three years in the period ended December 31, 2024, incorporated by reference in this Prospectus Supplement by reference to Comcast Corporation’s annual report on Form 10-K for the year ended December 31, 2024,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217170</wp:posOffset>
            </wp:positionV>
            <wp:extent cx="1388745" cy="4883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138874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types of securities that may be offered and sold from time to time by Comcast Corporation or by selling security holders under this prospectus:</w:t>
      </w:r>
    </w:p>
    <w:p>
      <w:pPr>
        <w:sectPr>
          <w:pgSz w:w="11900" w:h="16838" w:orient="portrait"/>
          <w:cols w:equalWidth="0" w:num="1">
            <w:col w:w="11120"/>
          </w:cols>
          <w:pgMar w:left="320" w:top="455" w:right="459" w:bottom="1440" w:gutter="0" w:footer="0" w:header="0"/>
        </w:sectPr>
      </w:pP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 Unsecured senior debt securities</w:t>
      </w:r>
    </w:p>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 Preferred stock</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 Warrants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 Depositary shares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 Purchase contracts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 Class A common stock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 Units</w:t>
      </w:r>
    </w:p>
    <w:p>
      <w:pPr>
        <w:spacing w:after="0" w:line="415" w:lineRule="exact"/>
        <w:rPr>
          <w:sz w:val="20"/>
          <w:szCs w:val="20"/>
          <w:color w:val="auto"/>
        </w:rPr>
      </w:pPr>
    </w:p>
    <w:p>
      <w:pPr>
        <w:sectPr>
          <w:pgSz w:w="11900" w:h="16838" w:orient="portrait"/>
          <w:cols w:equalWidth="0" w:num="2">
            <w:col w:w="5300" w:space="720"/>
            <w:col w:w="5100"/>
          </w:cols>
          <w:pgMar w:left="320" w:top="455" w:right="459" w:bottom="1440" w:gutter="0" w:footer="0" w:header="0"/>
          <w:type w:val="continuous"/>
        </w:sectPr>
      </w:pPr>
    </w:p>
    <w:p>
      <w:pPr>
        <w:spacing w:after="0" w:line="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If indicated in the relevant prospectus supplement, the securities may be fully and unconditionally guaranteed by a number of our wholly owned subsidiaries named in this prospectus.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is quoted on the Nasdaq Global Select Market under the ticker symbol “CMCSA.” On February 27, 2025, the reported last sale price on the Nasdaq Global Select Market for our Class A common stock was $35.39.</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 Maturity</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 Redemption terms</w:t>
            </w:r>
          </w:p>
        </w:tc>
        <w:tc>
          <w:tcPr>
            <w:tcW w:w="27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 Subsidiary guarantees</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 Dividends</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 Liquidation amount</w:t>
            </w:r>
          </w:p>
        </w:tc>
        <w:tc>
          <w:tcPr>
            <w:tcW w:w="27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 Currency of payments</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 Conversion or exchange rights</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 Sinking fund terms</w:t>
            </w:r>
          </w:p>
        </w:tc>
        <w:tc>
          <w:tcPr>
            <w:tcW w:w="2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•   Amount payable at maturity</w:t>
            </w: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 Interest rate</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 Listing on a securities exchange</w:t>
            </w:r>
          </w:p>
        </w:tc>
        <w:tc>
          <w:tcPr>
            <w:tcW w:w="2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certain risks. See “Item 1A—Risk Factors” beginning on page 18 of our Annual Report on Form 10-K for the fiscal year ended December 31, 2024, which is incorporated by reference herein.</w:t>
      </w:r>
    </w:p>
    <w:p>
      <w:pPr>
        <w:spacing w:after="0" w:line="155" w:lineRule="exact"/>
        <w:rPr>
          <w:sz w:val="20"/>
          <w:szCs w:val="20"/>
          <w:color w:val="auto"/>
        </w:rPr>
      </w:pPr>
    </w:p>
    <w:p>
      <w:pPr>
        <w:jc w:val="both"/>
        <w:ind w:left="120" w:right="6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Securities and Exchange Commission (the “SEC” or the “Commission”) and state securities regulators have not approved or disapproved of these securities, or determined if this prospectus is truthful or complete. Any representation to the contrary is a criminal offense.</w:t>
      </w:r>
    </w:p>
    <w:p>
      <w:pPr>
        <w:spacing w:after="0" w:line="17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28, 2025</w:t>
      </w:r>
    </w:p>
    <w:p>
      <w:pPr>
        <w:sectPr>
          <w:pgSz w:w="11900" w:h="16838" w:orient="portrait"/>
          <w:cols w:equalWidth="0" w:num="1">
            <w:col w:w="11120"/>
          </w:cols>
          <w:pgMar w:left="320" w:top="455" w:right="4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90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6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440" w:type="dxa"/>
            <w:vAlign w:val="bottom"/>
            <w:gridSpan w:val="4"/>
            <w:vMerge w:val="restart"/>
          </w:tcPr>
          <w:p>
            <w:pPr>
              <w:spacing w:after="0"/>
              <w:rPr>
                <w:sz w:val="24"/>
                <w:szCs w:val="24"/>
                <w:color w:val="auto"/>
              </w:rPr>
            </w:pPr>
          </w:p>
        </w:tc>
        <w:tc>
          <w:tcPr>
            <w:tcW w:w="660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0"/>
        </w:trPr>
        <w:tc>
          <w:tcPr>
            <w:tcW w:w="1640" w:type="dxa"/>
            <w:vAlign w:val="bottom"/>
            <w:tcBorders>
              <w:bottom w:val="single" w:sz="8" w:color="0000EE"/>
            </w:tcBorders>
            <w:gridSpan w:val="9"/>
            <w:vMerge w:val="continue"/>
          </w:tcPr>
          <w:p>
            <w:pPr>
              <w:spacing w:after="0"/>
              <w:rPr>
                <w:sz w:val="13"/>
                <w:szCs w:val="13"/>
                <w:color w:val="auto"/>
              </w:rPr>
            </w:pPr>
          </w:p>
        </w:tc>
        <w:tc>
          <w:tcPr>
            <w:tcW w:w="2440" w:type="dxa"/>
            <w:vAlign w:val="bottom"/>
            <w:gridSpan w:val="4"/>
            <w:vMerge w:val="continue"/>
          </w:tcPr>
          <w:p>
            <w:pPr>
              <w:spacing w:after="0"/>
              <w:rPr>
                <w:sz w:val="13"/>
                <w:szCs w:val="13"/>
                <w:color w:val="auto"/>
              </w:rPr>
            </w:pPr>
          </w:p>
        </w:tc>
        <w:tc>
          <w:tcPr>
            <w:tcW w:w="660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The Companies</w:t>
            </w:r>
          </w:p>
        </w:tc>
        <w:tc>
          <w:tcPr>
            <w:tcW w:w="2940" w:type="dxa"/>
            <w:vAlign w:val="bottom"/>
            <w:gridSpan w:val="10"/>
          </w:tcPr>
          <w:p>
            <w:pPr>
              <w:spacing w:after="0"/>
              <w:rPr>
                <w:sz w:val="18"/>
                <w:szCs w:val="18"/>
                <w:color w:val="auto"/>
              </w:rPr>
            </w:pPr>
          </w:p>
        </w:tc>
        <w:tc>
          <w:tcPr>
            <w:tcW w:w="6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40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Caution Concerning Forward-Looking Statements</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480" w:type="dxa"/>
            <w:vAlign w:val="bottom"/>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2900" w:type="dxa"/>
            <w:vAlign w:val="bottom"/>
            <w:gridSpan w:val="8"/>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 and Guarantees</w:t>
            </w:r>
          </w:p>
        </w:tc>
        <w:tc>
          <w:tcPr>
            <w:tcW w:w="740" w:type="dxa"/>
            <w:vAlign w:val="bottom"/>
            <w:gridSpan w:val="2"/>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0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Global Securities</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040" w:type="dxa"/>
            <w:vAlign w:val="bottom"/>
            <w:gridSpan w:val="3"/>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660" w:type="dxa"/>
            <w:vAlign w:val="bottom"/>
            <w:gridSpan w:val="6"/>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080" w:type="dxa"/>
            <w:vAlign w:val="bottom"/>
            <w:gridSpan w:val="11"/>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580" w:type="dxa"/>
            <w:vAlign w:val="bottom"/>
            <w:gridSpan w:val="8"/>
            <w:shd w:val="clear" w:color="auto" w:fill="0000EE"/>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83"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We refer to Comcast Corporation in this prospectus as “Comcast,” and Comcast and its consolidated subsidiaries as “we,” “us,” “our” or comparable terms; Comcast Holdings Corporation as “Comcast Holdings” and Sky Limited and its consolidated subsidiaries as “Sky.” We refer to Comcast Cable Communications, LLC and its consolidated subsidiaries as “Comcast Cable,” NBCUniversal Media, LLC and its consolidated subsidiaries as “NBCUniversal,” and both of them collectively as the “Guarantors.”</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“Available Information.”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are a global media and technology company that reaches customers, viewers and guests worldwide through the connectivity and platforms services we provide and the content and experiences we create. We deliver broadband, wireless, video and voice services primarily under the Xfinity, Comcast Business, Sky and NOW brands; produce, distribute and stream leading entertainment, sports and news through brands including NBC, Telemundo, Universal, Peacock and Sky; and own and operate Universal theme parks.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operate two primary businesses:</w:t>
      </w:r>
    </w:p>
    <w:p>
      <w:pPr>
        <w:spacing w:after="0" w:line="127" w:lineRule="exact"/>
        <w:rPr>
          <w:sz w:val="20"/>
          <w:szCs w:val="20"/>
          <w:color w:val="auto"/>
        </w:rPr>
      </w:pPr>
    </w:p>
    <w:p>
      <w:pPr>
        <w:jc w:val="both"/>
        <w:ind w:left="1080" w:right="60" w:hanging="424"/>
        <w:spacing w:after="0" w:line="268"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Connectivity &amp; Platforms</w:t>
      </w:r>
      <w:r>
        <w:rPr>
          <w:rFonts w:ascii="Times New Roman" w:cs="Times New Roman" w:eastAsia="Times New Roman" w:hAnsi="Times New Roman"/>
          <w:sz w:val="18"/>
          <w:szCs w:val="18"/>
          <w:color w:val="auto"/>
        </w:rPr>
        <w:t>: Contains our broadband, wireless, video and wireline voice businesses in the United States, United Kingdom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Italy (collectively, the “Connectivity &amp; Platforms markets”). Also includes the operations of our Sky-branded entertainment television networks in the United Kingdom and Italy. Our Connectivity &amp; Platforms business is reported in two segments:</w:t>
      </w:r>
    </w:p>
    <w:p>
      <w:pPr>
        <w:spacing w:after="0" w:line="76" w:lineRule="exact"/>
        <w:rPr>
          <w:rFonts w:ascii="Times New Roman" w:cs="Times New Roman" w:eastAsia="Times New Roman" w:hAnsi="Times New Roman"/>
          <w:sz w:val="18"/>
          <w:szCs w:val="18"/>
          <w:color w:val="auto"/>
        </w:rPr>
      </w:pPr>
    </w:p>
    <w:p>
      <w:pPr>
        <w:ind w:left="1540" w:right="40" w:hanging="331"/>
        <w:spacing w:after="0" w:line="286"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Residential Connectivity &amp; Platforms Segment</w:t>
      </w:r>
      <w:r>
        <w:rPr>
          <w:rFonts w:ascii="Times New Roman" w:cs="Times New Roman" w:eastAsia="Times New Roman" w:hAnsi="Times New Roman"/>
          <w:sz w:val="18"/>
          <w:szCs w:val="18"/>
          <w:color w:val="auto"/>
        </w:rPr>
        <w:t>: Includes our residential broadband and wireless services, residential and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video services, Sky-branded entertainment television networks and advertising.</w:t>
      </w:r>
    </w:p>
    <w:p>
      <w:pPr>
        <w:spacing w:after="0" w:line="60" w:lineRule="exact"/>
        <w:rPr>
          <w:rFonts w:ascii="Times New Roman" w:cs="Times New Roman" w:eastAsia="Times New Roman" w:hAnsi="Times New Roman"/>
          <w:sz w:val="18"/>
          <w:szCs w:val="18"/>
          <w:color w:val="auto"/>
        </w:rPr>
      </w:pPr>
    </w:p>
    <w:p>
      <w:pPr>
        <w:ind w:left="1540" w:right="60" w:hanging="331"/>
        <w:spacing w:after="0" w:line="268"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Services Connectivity Segment</w:t>
      </w:r>
      <w:r>
        <w:rPr>
          <w:rFonts w:ascii="Times New Roman" w:cs="Times New Roman" w:eastAsia="Times New Roman" w:hAnsi="Times New Roman"/>
          <w:sz w:val="18"/>
          <w:szCs w:val="18"/>
          <w:color w:val="auto"/>
        </w:rPr>
        <w:t>: Includes our domestic service offerings for small businesses, which include broadband,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wireline voice and wireless services, as well as our enterprise solutions offerings for medium-sized customers and larger enterprises. We also have certain business connectivity service offerings in the United Kingdom.</w:t>
      </w:r>
    </w:p>
    <w:p>
      <w:pPr>
        <w:spacing w:after="0" w:line="76" w:lineRule="exact"/>
        <w:rPr>
          <w:rFonts w:ascii="Times New Roman" w:cs="Times New Roman" w:eastAsia="Times New Roman" w:hAnsi="Times New Roman"/>
          <w:sz w:val="18"/>
          <w:szCs w:val="18"/>
          <w:color w:val="auto"/>
        </w:rPr>
      </w:pPr>
    </w:p>
    <w:p>
      <w:pPr>
        <w:ind w:left="1080" w:right="300" w:hanging="424"/>
        <w:spacing w:after="0" w:line="268"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Content &amp; Experiences</w:t>
      </w:r>
      <w:r>
        <w:rPr>
          <w:rFonts w:ascii="Times New Roman" w:cs="Times New Roman" w:eastAsia="Times New Roman" w:hAnsi="Times New Roman"/>
          <w:sz w:val="18"/>
          <w:szCs w:val="18"/>
          <w:color w:val="auto"/>
        </w:rPr>
        <w:t>: Contains our media and entertainment businesses that produce and distribute entertainment, sports, news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content for global audiences and that own and operate theme parks and attractions in the United States and Asia. Our Content &amp; Experiences business is reported in three segments:</w:t>
      </w:r>
    </w:p>
    <w:p>
      <w:pPr>
        <w:spacing w:after="0" w:line="76" w:lineRule="exact"/>
        <w:rPr>
          <w:rFonts w:ascii="Times New Roman" w:cs="Times New Roman" w:eastAsia="Times New Roman" w:hAnsi="Times New Roman"/>
          <w:sz w:val="18"/>
          <w:szCs w:val="18"/>
          <w:color w:val="auto"/>
        </w:rPr>
      </w:pPr>
    </w:p>
    <w:p>
      <w:pPr>
        <w:ind w:left="1540" w:hanging="331"/>
        <w:spacing w:after="0" w:line="268"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Media Segment</w:t>
      </w:r>
      <w:r>
        <w:rPr>
          <w:rFonts w:ascii="Times New Roman" w:cs="Times New Roman" w:eastAsia="Times New Roman" w:hAnsi="Times New Roman"/>
          <w:sz w:val="18"/>
          <w:szCs w:val="18"/>
          <w:color w:val="auto"/>
        </w:rPr>
        <w:t>: Includes primarily NBCUniversal’s national and regional cable networks, NBC and Telemundo broadcast networks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owned local broadcast television stations, Peacock direct-to-consumer streaming service and international television networks, including Sky Sports networks in the United Kingdom and Italy.</w:t>
      </w:r>
    </w:p>
    <w:p>
      <w:pPr>
        <w:spacing w:after="0" w:line="7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Studios Segment</w:t>
      </w:r>
      <w:r>
        <w:rPr>
          <w:rFonts w:ascii="Times New Roman" w:cs="Times New Roman" w:eastAsia="Times New Roman" w:hAnsi="Times New Roman"/>
          <w:sz w:val="18"/>
          <w:szCs w:val="18"/>
          <w:color w:val="auto"/>
        </w:rPr>
        <w:t>: Includes primarily our NBCUniversal and Sky film and television studio production and distribution operations.</w:t>
      </w:r>
    </w:p>
    <w:p>
      <w:pPr>
        <w:spacing w:after="0" w:line="130" w:lineRule="exact"/>
        <w:rPr>
          <w:rFonts w:ascii="Times New Roman" w:cs="Times New Roman" w:eastAsia="Times New Roman" w:hAnsi="Times New Roman"/>
          <w:sz w:val="18"/>
          <w:szCs w:val="18"/>
          <w:color w:val="auto"/>
        </w:rPr>
      </w:pPr>
    </w:p>
    <w:p>
      <w:pPr>
        <w:ind w:left="1540" w:right="520" w:hanging="331"/>
        <w:spacing w:after="0" w:line="286"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Theme Parks Segment</w:t>
      </w:r>
      <w:r>
        <w:rPr>
          <w:rFonts w:ascii="Times New Roman" w:cs="Times New Roman" w:eastAsia="Times New Roman" w:hAnsi="Times New Roman"/>
          <w:sz w:val="18"/>
          <w:szCs w:val="18"/>
          <w:color w:val="auto"/>
        </w:rPr>
        <w:t>: Includes primarily the operations of the following Universal theme parks: Universal Orlando Resort,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Universal Studios Hollywood, Universal Studios Japan and Universal Beijing Resort.</w:t>
      </w:r>
    </w:p>
    <w:p>
      <w:pPr>
        <w:spacing w:after="0" w:line="15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other business interests consist primarily of our Sky-branded video services and television networks in Germany, Comcast Spectacor, which owns the Philadelphia Flyers and the Wells Fargo Center arena in Philadelphia, Pennsylvania, and Xumo, our consolidated streaming platform joint venture with Charter Communications.</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Guarantors</w:t>
      </w:r>
    </w:p>
    <w:p>
      <w:pPr>
        <w:spacing w:after="0" w:line="121" w:lineRule="exact"/>
        <w:rPr>
          <w:sz w:val="20"/>
          <w:szCs w:val="20"/>
          <w:color w:val="auto"/>
        </w:rPr>
      </w:pPr>
    </w:p>
    <w:p>
      <w:pPr>
        <w:jc w:val="both"/>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on the debt securities issued pursuant to this prospectus will be fully and unconditionally guaranteed by each of the Guarantors. In this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131" w:lineRule="exact"/>
        <w:rPr>
          <w:sz w:val="20"/>
          <w:szCs w:val="20"/>
          <w:color w:val="auto"/>
        </w:rPr>
      </w:pPr>
    </w:p>
    <w:p>
      <w:pPr>
        <w:ind w:left="1080" w:right="3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Comcast Cable Communications, LLC</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Comcast Cable, which was incorporated in 1981 as a Delaware corporation, became a Delaware limited liability company in 2003 and is an indirect wholly owned subsidiary of ours.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NBCUniversal Media, LLC</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NBCUniversal is a Delaware limited liability company formed in 2011 and is an indirect wholly owned subsidiary of ours.</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Comcast and Comcast Cable are located at One Comcast Center, Philadelphia, Pennsylvania 19103-2838, and our telephone number is (215) 286-1700.</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NBCUniversal are located at 30 Rockefeller Plaza, New York, New York 10112-0015, and its telephone number is (212) 664-4444.</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maintain a website at http://www.comcastcorporation.com where general information about us is available. We are not incorporating the contents of the website into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this prospectus and in the documents we incorporate by reference, we include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words such as “believe,” “project,” “expect,” “anticipate,” “estimate,” “intend,” “potential,” “strategy,” “future,” “opportunity,” “commit,” “plan,” “goal,” “may,” “should,” “could,” “will,” “would,” “will be,” “will continue,” “will likely result” and similar expressions. In evaluating forward-looking statements, you should consider various factors, including the risks and uncertainties we describe in the “Risk Factors” sections of our Forms 10-K and 10-Q and in other reports we file with the SEC.</w:t>
      </w:r>
    </w:p>
    <w:p>
      <w:pPr>
        <w:spacing w:after="0" w:line="19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Any of these factors could cause our actual results to differ materially from those expressed or implied by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businesses may be affected by, among other things, the following:</w:t>
      </w:r>
    </w:p>
    <w:p>
      <w:pPr>
        <w:spacing w:after="0" w:line="131" w:lineRule="exact"/>
        <w:rPr>
          <w:sz w:val="20"/>
          <w:szCs w:val="20"/>
          <w:color w:val="auto"/>
        </w:rPr>
      </w:pPr>
    </w:p>
    <w:p>
      <w:pPr>
        <w:ind w:left="1080" w:right="4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operate in highly competitive and dynamic industries, and our businesses and results of operations could be adversely affected if we do not compete effectively;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continue to adversely affect our businesses and challenge existing business models;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advertisers’ expenditures or changes in advertising markets could negatively impact our businesses;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consumer acceptance of our content, and our businesses may be adversely affected if our content fails to achieve sufficient consumer acceptance;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expenses for our video services are increasing on a per subscriber basis, which could adversely affect our video businesses;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programming distribution agreements, or the renewal of these agreements on less favorable terms, could adversely affect our businesses;</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using and protecting certain intellectual property rights and on not infringing, misappropriating or otherwise violating the intellectual property rights of others;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necessary hardware, software and operational support;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keeping pace with technological developments;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attack, information or security breach, or technology disruption or failure may negatively impact our ability to conduct our business or result in the misuse of confidential information, all of which could adversely affect our business, reputation and results of operations;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have a negative impact on our businesses;</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other strategic initiatives present many risks, and we may not realize the financial and strategic goals that we had contemplated;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relating to doing business internationally that could adversely affect our businesses;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and other uncontrollable events could adversely affect our business, reputation and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management personnel or popular on-air and creative talent could have an adverse effect on our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whether involving employees or sports organizations, may disrupt our operations and adversely affect our businesses;</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regulation by federal, state, local and foreign authorities, which impose additional costs and restrictions on our businesses;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litigation or governmental investigation results could require us to pay significant amounts or lead to onerous operating procedures;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320" w:top="455" w:right="5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currently intend to pay quarterly dividends at an annualized rate of $1.32 per share, although each dividend is subject to approval by our Board of Directors. Our Board of Directors retains the right to change our dividend policy at any time.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 AND GUARANTEES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 and the second supplemental indenture dated as of July 29, 2022, entered into among us, the guarantors named therein and The Bank of New York Mellon, as trustee.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senior indenture is included as an exhibit to the registration statement of which this prospectus is a part.</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should look in the applicable prospectus supplement for the following terms of the debt securities being offered:</w:t>
      </w:r>
    </w:p>
    <w:p>
      <w:pPr>
        <w:spacing w:after="0" w:line="13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their principal amount (i.e., price) at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debt securities will mature and the right, if any, to extend such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per year, at which the debt securities will bear interest, or the method of determining such rate or rates;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payment of additional amounts for taxes and any provision for redemption, if we must pay such additional amounts in respect of any debt security;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may be converted or exchanged for the cash value of other securities issued by us or by a third party;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“reopen” a series of the debt securities and issue additional debt securities of such series; and</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62"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section, the following terms have the meanings set forth below.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“Aggregate Debt” means, with respect to an Obligor, the sum of the following as of the date of determination:</w:t>
      </w:r>
    </w:p>
    <w:p>
      <w:pPr>
        <w:spacing w:after="0" w:line="117" w:lineRule="exact"/>
        <w:rPr>
          <w:sz w:val="20"/>
          <w:szCs w:val="20"/>
          <w:color w:val="auto"/>
        </w:rPr>
      </w:pPr>
    </w:p>
    <w:p>
      <w:pPr>
        <w:ind w:left="120" w:right="460" w:firstLine="436"/>
        <w:spacing w:after="0" w:line="282" w:lineRule="auto"/>
        <w:tabs>
          <w:tab w:leader="none" w:pos="8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such Obligor’s Indebtedness incurred after the date of initial issuance of the senior debt securities and secured by Liens not permitted by the first sentence under “—Limitation on Liens Securing Indebtedness”;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36"/>
        <w:spacing w:after="0" w:line="282"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Obligor’s Attributable Liens in respect of sale and lease-back transactions entered into after the date of the initial issuance of the senior debt securities pursuant to the second paragraph of “—Limitation on Sale and Lease-Back Transactions.”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“Attributable Liens” means in connection with a sale and lease-back transaction of an Obligor the lesser of:</w:t>
      </w:r>
    </w:p>
    <w:p>
      <w:pPr>
        <w:spacing w:after="0" w:line="225" w:lineRule="exact"/>
        <w:rPr>
          <w:sz w:val="20"/>
          <w:szCs w:val="20"/>
          <w:color w:val="auto"/>
        </w:rPr>
      </w:pPr>
    </w:p>
    <w:p>
      <w:pPr>
        <w:ind w:left="120" w:right="640" w:firstLine="436"/>
        <w:spacing w:after="0" w:line="282" w:lineRule="auto"/>
        <w:tabs>
          <w:tab w:leader="none" w:pos="8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subject to such transaction (as determined in good faith by our board of directors (in our case) or the equivalent governing body of any Guarantor); and</w:t>
      </w:r>
    </w:p>
    <w:p>
      <w:pPr>
        <w:spacing w:after="0" w:line="161" w:lineRule="exact"/>
        <w:rPr>
          <w:rFonts w:ascii="Times New Roman" w:cs="Times New Roman" w:eastAsia="Times New Roman" w:hAnsi="Times New Roman"/>
          <w:sz w:val="18"/>
          <w:szCs w:val="18"/>
          <w:color w:val="auto"/>
        </w:rPr>
      </w:pPr>
    </w:p>
    <w:p>
      <w:pPr>
        <w:ind w:left="120" w:right="160" w:firstLine="436"/>
        <w:spacing w:after="0" w:line="266"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“Consolidated Net Worth” of any Person means, as of any date of determination, stockholders’ equity or members’ capital of such Person as reflected on the most recent consolidated balance sheet of such Person and prepared in accordance with GAAP.</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“Obligor” means us and the Guarantors.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“Permitted Liens” means, with respect to an Obligor:</w:t>
      </w:r>
    </w:p>
    <w:p>
      <w:pPr>
        <w:spacing w:after="0" w:line="225" w:lineRule="exact"/>
        <w:rPr>
          <w:sz w:val="20"/>
          <w:szCs w:val="20"/>
          <w:color w:val="auto"/>
        </w:rPr>
      </w:pPr>
    </w:p>
    <w:p>
      <w:pPr>
        <w:ind w:left="120" w:right="80" w:firstLine="436"/>
        <w:spacing w:after="0" w:line="266" w:lineRule="auto"/>
        <w:tabs>
          <w:tab w:leader="none" w:pos="8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75" w:lineRule="exact"/>
        <w:rPr>
          <w:rFonts w:ascii="Times New Roman" w:cs="Times New Roman" w:eastAsia="Times New Roman" w:hAnsi="Times New Roman"/>
          <w:sz w:val="18"/>
          <w:szCs w:val="18"/>
          <w:color w:val="auto"/>
        </w:rPr>
      </w:pPr>
    </w:p>
    <w:p>
      <w:pPr>
        <w:ind w:left="120" w:firstLine="436"/>
        <w:spacing w:after="0" w:line="255"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88" w:lineRule="exact"/>
        <w:rPr>
          <w:rFonts w:ascii="Times New Roman" w:cs="Times New Roman" w:eastAsia="Times New Roman" w:hAnsi="Times New Roman"/>
          <w:sz w:val="18"/>
          <w:szCs w:val="18"/>
          <w:color w:val="auto"/>
        </w:rPr>
      </w:pPr>
    </w:p>
    <w:p>
      <w:pPr>
        <w:ind w:left="120" w:right="580" w:firstLine="436"/>
        <w:spacing w:after="0" w:line="282" w:lineRule="auto"/>
        <w:tabs>
          <w:tab w:leader="none" w:pos="8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161" w:lineRule="exact"/>
        <w:rPr>
          <w:rFonts w:ascii="Times New Roman" w:cs="Times New Roman" w:eastAsia="Times New Roman" w:hAnsi="Times New Roman"/>
          <w:sz w:val="18"/>
          <w:szCs w:val="18"/>
          <w:color w:val="auto"/>
        </w:rPr>
      </w:pPr>
    </w:p>
    <w:p>
      <w:pPr>
        <w:ind w:left="120" w:right="180" w:firstLine="436"/>
        <w:spacing w:after="0" w:line="282"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61" w:lineRule="exact"/>
        <w:rPr>
          <w:rFonts w:ascii="Times New Roman" w:cs="Times New Roman" w:eastAsia="Times New Roman" w:hAnsi="Times New Roman"/>
          <w:sz w:val="18"/>
          <w:szCs w:val="18"/>
          <w:color w:val="auto"/>
        </w:rPr>
      </w:pPr>
    </w:p>
    <w:p>
      <w:pPr>
        <w:ind w:left="120" w:right="120" w:firstLine="436"/>
        <w:spacing w:after="0" w:line="282" w:lineRule="auto"/>
        <w:tabs>
          <w:tab w:leader="none" w:pos="8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reimbursement obligations with respect to letters of credit that encumber documents and other Property relating to such letters of credit and the products and proceeds thereof;</w:t>
      </w:r>
    </w:p>
    <w:p>
      <w:pPr>
        <w:spacing w:after="0" w:line="161" w:lineRule="exact"/>
        <w:rPr>
          <w:rFonts w:ascii="Times New Roman" w:cs="Times New Roman" w:eastAsia="Times New Roman" w:hAnsi="Times New Roman"/>
          <w:sz w:val="18"/>
          <w:szCs w:val="18"/>
          <w:color w:val="auto"/>
        </w:rPr>
      </w:pPr>
    </w:p>
    <w:p>
      <w:pPr>
        <w:ind w:left="120" w:right="120" w:firstLine="436"/>
        <w:spacing w:after="0" w:line="266" w:lineRule="auto"/>
        <w:tabs>
          <w:tab w:leader="none" w:pos="7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us or any Guarantor;</w:t>
      </w:r>
    </w:p>
    <w:p>
      <w:pPr>
        <w:spacing w:after="0" w:line="225" w:lineRule="exact"/>
        <w:rPr>
          <w:rFonts w:ascii="Times New Roman" w:cs="Times New Roman" w:eastAsia="Times New Roman" w:hAnsi="Times New Roman"/>
          <w:sz w:val="18"/>
          <w:szCs w:val="18"/>
          <w:color w:val="auto"/>
        </w:rPr>
      </w:pPr>
    </w:p>
    <w:p>
      <w:pPr>
        <w:ind w:left="120" w:right="60" w:firstLine="436"/>
        <w:spacing w:after="0" w:line="266"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75"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7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61" w:lineRule="exact"/>
        <w:rPr>
          <w:rFonts w:ascii="Times New Roman" w:cs="Times New Roman" w:eastAsia="Times New Roman" w:hAnsi="Times New Roman"/>
          <w:sz w:val="18"/>
          <w:szCs w:val="18"/>
          <w:color w:val="auto"/>
        </w:rPr>
      </w:pPr>
    </w:p>
    <w:p>
      <w:pPr>
        <w:ind w:left="120" w:right="500" w:firstLine="436"/>
        <w:spacing w:after="0" w:line="282" w:lineRule="auto"/>
        <w:tabs>
          <w:tab w:leader="none" w:pos="7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61" w:lineRule="exact"/>
        <w:rPr>
          <w:rFonts w:ascii="Times New Roman" w:cs="Times New Roman" w:eastAsia="Times New Roman" w:hAnsi="Times New Roman"/>
          <w:sz w:val="18"/>
          <w:szCs w:val="18"/>
          <w:color w:val="auto"/>
        </w:rPr>
      </w:pPr>
    </w:p>
    <w:p>
      <w:pPr>
        <w:ind w:left="120" w:right="60" w:firstLine="436"/>
        <w:spacing w:after="0" w:line="266"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of Property to secure performance in connection with operating leases made in the ordinary course of business to which such Obligor is a party as lessee, provided that the aggregate value of all such pledges and deposits in connection with any such lease does not at any time exceed 16 2/3% of the annual fixed rentals payable under such lease;</w:t>
      </w:r>
    </w:p>
    <w:p>
      <w:pPr>
        <w:spacing w:after="0" w:line="175" w:lineRule="exact"/>
        <w:rPr>
          <w:rFonts w:ascii="Times New Roman" w:cs="Times New Roman" w:eastAsia="Times New Roman" w:hAnsi="Times New Roman"/>
          <w:sz w:val="18"/>
          <w:szCs w:val="18"/>
          <w:color w:val="auto"/>
        </w:rPr>
      </w:pPr>
    </w:p>
    <w:p>
      <w:pPr>
        <w:ind w:left="780" w:hanging="224"/>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36"/>
        <w:spacing w:after="0" w:line="282" w:lineRule="auto"/>
        <w:tabs>
          <w:tab w:leader="none" w:pos="8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“margin stock” (as defined in Regulation U of the Board of Governors of the Federal Reserve System);</w:t>
      </w:r>
    </w:p>
    <w:p>
      <w:pPr>
        <w:spacing w:after="0" w:line="225"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permitted under sale and lease-back transactions, and any renewals or extensions thereof, so long as the Indebtedness secured thereby does not exceed $300,000,000 in the aggregate;</w:t>
      </w:r>
    </w:p>
    <w:p>
      <w:pPr>
        <w:spacing w:after="0" w:line="161" w:lineRule="exact"/>
        <w:rPr>
          <w:rFonts w:ascii="Times New Roman" w:cs="Times New Roman" w:eastAsia="Times New Roman" w:hAnsi="Times New Roman"/>
          <w:sz w:val="18"/>
          <w:szCs w:val="18"/>
          <w:color w:val="auto"/>
        </w:rPr>
      </w:pPr>
    </w:p>
    <w:p>
      <w:pPr>
        <w:ind w:left="120" w:right="200" w:firstLine="43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61" w:lineRule="exact"/>
        <w:rPr>
          <w:rFonts w:ascii="Times New Roman" w:cs="Times New Roman" w:eastAsia="Times New Roman" w:hAnsi="Times New Roman"/>
          <w:sz w:val="18"/>
          <w:szCs w:val="18"/>
          <w:color w:val="auto"/>
        </w:rPr>
      </w:pPr>
    </w:p>
    <w:p>
      <w:pPr>
        <w:ind w:left="120" w:right="300" w:firstLine="436"/>
        <w:spacing w:after="0" w:line="266"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175" w:lineRule="exact"/>
        <w:rPr>
          <w:rFonts w:ascii="Times New Roman" w:cs="Times New Roman" w:eastAsia="Times New Roman" w:hAnsi="Times New Roman"/>
          <w:sz w:val="18"/>
          <w:szCs w:val="18"/>
          <w:color w:val="auto"/>
        </w:rPr>
      </w:pPr>
    </w:p>
    <w:p>
      <w:pPr>
        <w:ind w:left="120" w:right="140" w:firstLine="436"/>
        <w:spacing w:after="0" w:line="266" w:lineRule="auto"/>
        <w:tabs>
          <w:tab w:leader="none" w:pos="7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175"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Take-or-pay obligations arising in the ordinary course of business.</w:t>
      </w:r>
    </w:p>
    <w:p>
      <w:pPr>
        <w:spacing w:after="0" w:line="225"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“Property” means with respect to any Person any property or asset, whether real, personal or mixed, or tangible or intangible, including shares of capital stock.</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Senior Debt Securities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131" w:lineRule="exact"/>
        <w:rPr>
          <w:sz w:val="20"/>
          <w:szCs w:val="20"/>
          <w:color w:val="auto"/>
        </w:rPr>
      </w:pPr>
    </w:p>
    <w:p>
      <w:pPr>
        <w:ind w:left="1080" w:right="3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67" w:lineRule="exact"/>
        <w:rPr>
          <w:rFonts w:ascii="Times New Roman" w:cs="Times New Roman" w:eastAsia="Times New Roman" w:hAnsi="Times New Roman"/>
          <w:sz w:val="18"/>
          <w:szCs w:val="18"/>
          <w:color w:val="auto"/>
        </w:rPr>
      </w:pPr>
    </w:p>
    <w:p>
      <w:pPr>
        <w:jc w:val="center"/>
        <w:ind w:left="5540" w:right="560" w:hanging="4884"/>
        <w:spacing w:after="0" w:line="454" w:lineRule="auto"/>
        <w:tabs>
          <w:tab w:leader="none" w:pos="109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 11</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 Securing Indebtedness.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senior debt securities of each series, each Obligor will covenant under the senior 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85"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as of the date of initial issuance of the senior debt securities of such series;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after the date of initial issuance of the senior debt securities of such series, created in favor of the registered holders of the senior debt securities of such series;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58"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 and Lease-Back Transactions.</w:t>
      </w:r>
    </w:p>
    <w:p>
      <w:pPr>
        <w:spacing w:after="0" w:line="121" w:lineRule="exact"/>
        <w:rPr>
          <w:sz w:val="20"/>
          <w:szCs w:val="20"/>
          <w:color w:val="auto"/>
        </w:rPr>
      </w:pPr>
    </w:p>
    <w:p>
      <w:pPr>
        <w:jc w:val="both"/>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With respect to the senior debt securities of each series, each Obligor will covenant under the senior indenture not to enter into any sale and lease-back transaction for the sale and leasing back of any Property, whether owned at the time the senior indenture is executed or acquired afterward, unless:</w:t>
      </w:r>
    </w:p>
    <w:p>
      <w:pPr>
        <w:spacing w:after="0" w:line="45"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entered into prior to the date of the initial issuance of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for the sale and leasing back to such Obligor of any Property by one of its Subsidiaries;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involves a lease for less than three years;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Consolidation, Merger and Sale of Assets.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not consolidate or combine with or merge with or into or, directly or indirectly, sell, assign, 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81" w:lineRule="exact"/>
        <w:rPr>
          <w:sz w:val="20"/>
          <w:szCs w:val="20"/>
          <w:color w:val="auto"/>
        </w:rPr>
      </w:pPr>
    </w:p>
    <w:p>
      <w:pPr>
        <w:ind w:left="1080" w:right="14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81"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or series of transactions on a pro forma basis, no default has occurred and is continuing;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in the third bullet above shall not be applicable to:</w:t>
      </w:r>
    </w:p>
    <w:p>
      <w:pPr>
        <w:spacing w:after="0" w:line="131" w:lineRule="exact"/>
        <w:rPr>
          <w:sz w:val="20"/>
          <w:szCs w:val="20"/>
          <w:color w:val="auto"/>
        </w:rPr>
      </w:pPr>
    </w:p>
    <w:p>
      <w:pPr>
        <w:ind w:left="1080" w:right="1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67"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If any consolidation or merger or any sale, assignment, conveyance, lease, transfer or other disposition of all or substantially all of our assets occurs in accordance with the indenture, the successor person will succeed to, and be substituted for us, and may exercise every right and power of ours under the indenture with the same effect 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2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Existence.</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Except as permitted under “—Consolidation, Merger and Sale of Assets,” the indenture requires us to do or cause to be done all things 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Information.</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furnish to the trustee any document or report we are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following will constitute an event of default in the senior indenture with respect to the senior debt securities of any series: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default in paying interest on the senior debt securities of such series when it becomes due and the default continues for a period of 30 days 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more;</w:t>
      </w:r>
    </w:p>
    <w:p>
      <w:pPr>
        <w:spacing w:after="0" w:line="207" w:lineRule="exact"/>
        <w:rPr>
          <w:sz w:val="20"/>
          <w:szCs w:val="20"/>
          <w:color w:val="auto"/>
        </w:rPr>
      </w:pPr>
    </w:p>
    <w:p>
      <w:pPr>
        <w:ind w:left="820" w:hanging="264"/>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paying principal on the senior debt securities of such series when due;</w:t>
      </w:r>
    </w:p>
    <w:p>
      <w:pPr>
        <w:spacing w:after="0" w:line="225" w:lineRule="exact"/>
        <w:rPr>
          <w:rFonts w:ascii="Times New Roman" w:cs="Times New Roman" w:eastAsia="Times New Roman" w:hAnsi="Times New Roman"/>
          <w:sz w:val="18"/>
          <w:szCs w:val="18"/>
          <w:color w:val="auto"/>
        </w:rPr>
      </w:pPr>
    </w:p>
    <w:p>
      <w:pPr>
        <w:jc w:val="both"/>
        <w:ind w:left="120" w:right="40" w:firstLine="436"/>
        <w:spacing w:after="0" w:line="261" w:lineRule="auto"/>
        <w:tabs>
          <w:tab w:leader="none" w:pos="8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events of bankruptcy, insolvency, reorganization, administration or similar proceedings with respect to us or any Obligor have occurred;</w:t>
      </w:r>
    </w:p>
    <w:p>
      <w:pPr>
        <w:spacing w:after="0" w:line="38"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7"/>
          <w:szCs w:val="17"/>
          <w:color w:val="auto"/>
        </w:rPr>
      </w:pPr>
    </w:p>
    <w:p>
      <w:pPr>
        <w:ind w:left="800" w:hanging="244"/>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shall not be (or shall be claimed by the relevant Guarantor not to be) in full force and effect.</w:t>
      </w:r>
    </w:p>
    <w:p>
      <w:pPr>
        <w:spacing w:after="0" w:line="225" w:lineRule="exact"/>
        <w:rPr>
          <w:sz w:val="20"/>
          <w:szCs w:val="20"/>
          <w:color w:val="auto"/>
        </w:rPr>
      </w:pPr>
    </w:p>
    <w:p>
      <w:pPr>
        <w:jc w:val="both"/>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80"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9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furnish to the trustee an annual statement as to compliance with all conditions and covenants under the senior indenture within 120 days of the end of each fiscal year.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Discharge and Defeasance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senior debt securities of such series that have been authenticated and delivered have been canceled or delivered to the trustee for cancellation; or</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58"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88"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then due and payable under the indenture with respect to the senior debt securities of such series; and</w:t>
      </w:r>
    </w:p>
    <w:p>
      <w:pPr>
        <w:spacing w:after="0" w:line="67" w:lineRule="exact"/>
        <w:rPr>
          <w:rFonts w:ascii="Times New Roman" w:cs="Times New Roman" w:eastAsia="Times New Roman" w:hAnsi="Times New Roman"/>
          <w:sz w:val="18"/>
          <w:szCs w:val="18"/>
          <w:color w:val="auto"/>
        </w:rPr>
      </w:pPr>
    </w:p>
    <w:p>
      <w:pPr>
        <w:jc w:val="both"/>
        <w:ind w:left="1080" w:right="4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8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senior debt securities of such series to receive principal or interest when due;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 the provisions relating to the resignation and removal of the trustee and the appointment of a successor trustee;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“—Events of Default” will no longer constitute an event of default for that series.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with respect to outstanding senior debt securities and Guarantees of any series:</w:t>
      </w:r>
    </w:p>
    <w:p>
      <w:pPr>
        <w:spacing w:after="0" w:line="131" w:lineRule="exact"/>
        <w:rPr>
          <w:sz w:val="20"/>
          <w:szCs w:val="20"/>
          <w:color w:val="auto"/>
        </w:rPr>
      </w:pPr>
    </w:p>
    <w:p>
      <w:pPr>
        <w:ind w:left="1080" w:hanging="424"/>
        <w:spacing w:after="0" w:line="312" w:lineRule="auto"/>
        <w:tabs>
          <w:tab w:leader="none" w:pos="10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(measured with respect to the scheduled payments of principal and interest thereon);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cash and U.S. Government Obligations;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85" w:lineRule="exact"/>
        <w:rPr>
          <w:sz w:val="20"/>
          <w:szCs w:val="20"/>
          <w:color w:val="auto"/>
        </w:rPr>
      </w:pPr>
    </w:p>
    <w:p>
      <w:pPr>
        <w:ind w:left="1080" w:right="80" w:hanging="424"/>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85"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85"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88"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guarantees or any other material agreement or instrument to which we are a party;</w:t>
      </w:r>
    </w:p>
    <w:p>
      <w:pPr>
        <w:spacing w:after="0" w:line="81"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Modification and Waiver</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the Guarantors and the trustee may amend or modify the senior indenture or the senior debt securities of any series without notice to or the consent of any holder in order to:</w:t>
      </w:r>
    </w:p>
    <w:p>
      <w:pPr>
        <w:spacing w:after="0" w:line="67" w:lineRule="exact"/>
        <w:rPr>
          <w:sz w:val="20"/>
          <w:szCs w:val="20"/>
          <w:color w:val="auto"/>
        </w:rPr>
      </w:pPr>
    </w:p>
    <w:p>
      <w:pPr>
        <w:ind w:left="1080" w:right="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ambiguities, omissions, defects or inconsistencies in the senior indenture in a manner that does not adversely affect the interests of the holders in any material respect;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would provide any additional rights or benefits to the holders of the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or add guarantors with respect to the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senior debt securities of any series;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320" w:top="455" w:right="5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 or terms of senior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senior debt securities in addition to or in place of certificated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by a successor trustee;</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the indenture under the Trust Indenture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any provision in the indenture to this “Description of Debt Securities and Guarantees”;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holder in any material respect.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94" w:lineRule="exact"/>
        <w:rPr>
          <w:sz w:val="20"/>
          <w:szCs w:val="20"/>
          <w:color w:val="auto"/>
        </w:rPr>
      </w:pPr>
    </w:p>
    <w:p>
      <w:pPr>
        <w:ind w:left="1080" w:right="4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extend the fixed maturity, of the senior debt securities of such series or alter or waive the redemption provisions of the senior debt securities of such series;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principal, any premium or interest is paid;</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outstanding of senior debt securities of such series which must consent to an amendment, supplement or waiver or consent to take any 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payment default with respect to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interest rate or extend the time for payment of interest on the senior debt securities of such series;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ranking of the senior debt securities of such series.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 Personal Liability of Incorporators, Stockholders, Officers, Directors, or Employees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Concerning the Trustee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senior indenture, including any Guarantee, and each senior debt security is governed by and construed in accordance with the laws of the State of New York.</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have normal banking relationships with the trustee under the senior indenture in the ordinary course of business.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Convertible Debt Securities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87"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55" w:right="5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Subject to the preferential rights of any preferred stock then outstanding, holders of our Class A common stock and Class B common stock are entitled to receive, from time to time, when, as and if declared, in the discretion of our Board of Directors, such cash dividends as our Board of Directors may from time to time determine, out of such funds as are legally available therefor, in proportion to the number of shares held by them, respectively, without regard to class.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Holders of our Class A common stock and Class B common stock will also be entitled to receive, from time to time, when, as and if declared by our Board of Directors, such dividends of our stock or other property as our Board of Directors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currently intend to pay quarterly dividends at an annualized rate of $1.32 per share, although each dividend is subject to approval by our Board of Directors. See “Dividend Policy”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Approval Rights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or any securities exercisable or exchangeable for or convertible into our Class B common stock; and (3) articles of incorporation or by-law amendments (such as an amendment to the articles of incorporation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Shareholder</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Brian L. Roberts, our Chairman and Chief Executive Officer, beneficially owns all outstanding shares of our Class B common stock, which has a nondilutable 33 1/3%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December 31, 2024, if Mr. Roberts were to convert the Class B common stock he beneficially owns into Class A common stock, Mr. Roberts would beneficially own approximately 1% of the Class A common stock that would be outstanding after the conversion.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of Class B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Class B common stock is convertible share for share into Class A common stock, subject to certain restrictions.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Preference on Liquidation</w:t>
      </w:r>
    </w:p>
    <w:p>
      <w:pPr>
        <w:spacing w:after="0" w:line="121"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Mergers, Consolidations, Etc.</w:t>
      </w:r>
    </w:p>
    <w:p>
      <w:pPr>
        <w:spacing w:after="0" w:line="121" w:lineRule="exact"/>
        <w:rPr>
          <w:sz w:val="20"/>
          <w:szCs w:val="20"/>
          <w:color w:val="auto"/>
        </w:rPr>
      </w:pPr>
    </w:p>
    <w:p>
      <w:pPr>
        <w:jc w:val="both"/>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Our articles of incorporation provide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Class A common stock is Equiniti Trust Company, LLC D/B/A EQ Shareowner Services, P.O. Box 64854, St. Paul, Minnesota 55164-0854. Its telephone number is (888) 883-8903.</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or selling security holders may sell the securities being offered hereby in four ways:</w:t>
      </w:r>
    </w:p>
    <w:p>
      <w:pPr>
        <w:spacing w:after="0" w:line="131"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customers or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As to matters governed by Pennsylvania law, Elizabeth Wideman, Esquire, Senior Vice President, Senior Deputy General Counsel and Assistant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Comcast Corporation as of December 31, 2024 and 2023, and for each of the three years in the period ended December 31, 2024, incorporated by reference in this Prospectus by reference to Comcast Corporation’s annual report on Form 10-K for the year ended December 31, 2024,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upon their authority as experts in accounting and auditing.</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Comcast files annual and quarterly reports and separate special reports and other information with the SEC. Comcast Cable and NBCUniversal do not currently file information with the SEC. Although Comcast Cable and NBCUniversal would normally be required to file information with the SEC on an ongoing basis, we expect that they will continue to be exempt from this filing obligation for as long as we continue to file our information with the SEC. Our SEC filings, including the complete registration statement and all of the exhibits to it, are available through the SEC’s website at http://www.sec.gov.</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incorporates by reference the documents set forth below that we have previously filed with the SEC:</w:t>
      </w:r>
    </w:p>
    <w:p>
      <w:pPr>
        <w:spacing w:after="0" w:line="131"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Annual Report on </w:t>
      </w:r>
      <w:hyperlink r:id="rId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on January 31, 2025.</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sections of Comcast’s Definitive Proxy Statement on </w:t>
      </w:r>
      <w:hyperlink r:id="rId72">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2024 annual meeting of shareholders incorporated by reference in Comcast’s Annual Report on </w:t>
      </w:r>
      <w:hyperlink r:id="rId7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included in Item 3.02 under the caption “Amended and Restated Description of our Class A Common Stock” in Comcast’s Current Report on </w:t>
      </w:r>
      <w:hyperlink r:id="rId74">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December 15, 2015, as the same may be further amended from time to time.</w:t>
      </w:r>
    </w:p>
    <w:p>
      <w:pPr>
        <w:spacing w:after="0" w:line="162"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Sections 13(a), 13(c), 14 or 15(d) of the Exchange Act until we sell all of the securities we are offering. Any statement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200" w:lineRule="exact"/>
        <w:rPr>
          <w:rFonts w:ascii="Times New Roman" w:cs="Times New Roman" w:eastAsia="Times New Roman" w:hAnsi="Times New Roman"/>
          <w:sz w:val="18"/>
          <w:szCs w:val="18"/>
          <w:color w:val="auto"/>
        </w:rPr>
      </w:pPr>
    </w:p>
    <w:p>
      <w:pPr>
        <w:spacing w:after="0" w:line="280"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5"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652780</wp:posOffset>
            </wp:positionV>
            <wp:extent cx="1388745" cy="4889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1388745" cy="488950"/>
                    </a:xfrm>
                    <a:prstGeom prst="rect">
                      <a:avLst/>
                    </a:prstGeom>
                    <a:noFill/>
                  </pic:spPr>
                </pic:pic>
              </a:graphicData>
            </a:graphic>
          </wp:anchor>
        </w:drawing>
      </w:r>
    </w:p>
    <w:p>
      <w:pPr>
        <w:sectPr>
          <w:pgSz w:w="11900" w:h="16838" w:orient="portrait"/>
          <w:cols w:equalWidth="0" w:num="1">
            <w:col w:w="10580"/>
          </w:cols>
          <w:pgMar w:left="320" w:top="45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$650,000,000 4.950% Notes due 2032</w:t>
      </w:r>
    </w:p>
    <w:p>
      <w:pPr>
        <w:spacing w:after="0" w:line="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$850,000,000 5.300% Notes due 2035</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5"/>
          <w:szCs w:val="25"/>
          <w:b w:val="1"/>
          <w:bCs w:val="1"/>
          <w:color w:val="auto"/>
        </w:rPr>
        <w:t>$1,000,000,000 6.050% Notes due 2055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1657350</wp:posOffset>
            </wp:positionV>
            <wp:extent cx="1474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238" w:lineRule="exact"/>
        <w:rPr>
          <w:sz w:val="20"/>
          <w:szCs w:val="20"/>
          <w:color w:val="auto"/>
        </w:rPr>
      </w:pPr>
    </w:p>
    <w:p>
      <w:pPr>
        <w:ind w:left="1140"/>
        <w:spacing w:after="0"/>
        <w:tabs>
          <w:tab w:leader="none" w:pos="5300" w:val="left"/>
          <w:tab w:leader="none" w:pos="8140" w:val="left"/>
        </w:tabs>
        <w:rPr>
          <w:sz w:val="20"/>
          <w:szCs w:val="20"/>
          <w:color w:val="auto"/>
        </w:rPr>
      </w:pPr>
      <w:r>
        <w:rPr>
          <w:rFonts w:ascii="Times New Roman" w:cs="Times New Roman" w:eastAsia="Times New Roman" w:hAnsi="Times New Roman"/>
          <w:sz w:val="25"/>
          <w:szCs w:val="25"/>
          <w:b w:val="1"/>
          <w:bCs w:val="1"/>
          <w:color w:val="auto"/>
        </w:rPr>
        <w:t>BofA Securities</w:t>
      </w:r>
      <w:r>
        <w:rPr>
          <w:sz w:val="20"/>
          <w:szCs w:val="20"/>
          <w:color w:val="auto"/>
        </w:rPr>
        <w:tab/>
      </w:r>
      <w:r>
        <w:rPr>
          <w:rFonts w:ascii="Times New Roman" w:cs="Times New Roman" w:eastAsia="Times New Roman" w:hAnsi="Times New Roman"/>
          <w:sz w:val="25"/>
          <w:szCs w:val="25"/>
          <w:b w:val="1"/>
          <w:bCs w:val="1"/>
          <w:color w:val="auto"/>
        </w:rPr>
        <w:t>Mizuho</w:t>
      </w:r>
      <w:r>
        <w:rPr>
          <w:sz w:val="20"/>
          <w:szCs w:val="20"/>
          <w:color w:val="auto"/>
        </w:rPr>
        <w:tab/>
      </w:r>
      <w:r>
        <w:rPr>
          <w:rFonts w:ascii="Times New Roman" w:cs="Times New Roman" w:eastAsia="Times New Roman" w:hAnsi="Times New Roman"/>
          <w:sz w:val="25"/>
          <w:szCs w:val="25"/>
          <w:b w:val="1"/>
          <w:bCs w:val="1"/>
          <w:color w:val="auto"/>
        </w:rPr>
        <w:t>Wells Fargo Securities</w:t>
      </w:r>
    </w:p>
    <w:p>
      <w:pPr>
        <w:spacing w:after="0" w:line="115" w:lineRule="exact"/>
        <w:rPr>
          <w:sz w:val="20"/>
          <w:szCs w:val="20"/>
          <w:color w:val="auto"/>
        </w:rPr>
      </w:pPr>
    </w:p>
    <w:p>
      <w:pPr>
        <w:ind w:left="720"/>
        <w:spacing w:after="0"/>
        <w:tabs>
          <w:tab w:leader="none" w:pos="4600" w:val="left"/>
          <w:tab w:leader="none" w:pos="8780" w:val="left"/>
        </w:tabs>
        <w:rPr>
          <w:sz w:val="20"/>
          <w:szCs w:val="20"/>
          <w:color w:val="auto"/>
        </w:rPr>
      </w:pPr>
      <w:r>
        <w:rPr>
          <w:rFonts w:ascii="Times New Roman" w:cs="Times New Roman" w:eastAsia="Times New Roman" w:hAnsi="Times New Roman"/>
          <w:sz w:val="22"/>
          <w:szCs w:val="22"/>
          <w:b w:val="1"/>
          <w:bCs w:val="1"/>
          <w:color w:val="auto"/>
        </w:rPr>
        <w:t>PNC Capital Markets LLC</w:t>
      </w:r>
      <w:r>
        <w:rPr>
          <w:sz w:val="20"/>
          <w:szCs w:val="20"/>
          <w:color w:val="auto"/>
        </w:rPr>
        <w:tab/>
      </w:r>
      <w:r>
        <w:rPr>
          <w:rFonts w:ascii="Times New Roman" w:cs="Times New Roman" w:eastAsia="Times New Roman" w:hAnsi="Times New Roman"/>
          <w:sz w:val="22"/>
          <w:szCs w:val="22"/>
          <w:b w:val="1"/>
          <w:bCs w:val="1"/>
          <w:color w:val="auto"/>
        </w:rPr>
        <w:t>SOCIETE GENERALE</w:t>
      </w:r>
      <w:r>
        <w:rPr>
          <w:sz w:val="20"/>
          <w:szCs w:val="20"/>
          <w:color w:val="auto"/>
        </w:rPr>
        <w:tab/>
      </w:r>
      <w:r>
        <w:rPr>
          <w:rFonts w:ascii="Times New Roman" w:cs="Times New Roman" w:eastAsia="Times New Roman" w:hAnsi="Times New Roman"/>
          <w:sz w:val="21"/>
          <w:szCs w:val="21"/>
          <w:b w:val="1"/>
          <w:bCs w:val="1"/>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725170</wp:posOffset>
            </wp:positionV>
            <wp:extent cx="1474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May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580"/>
          </w:cols>
          <w:pgMar w:left="320" w:top="455" w:right="999" w:bottom="1440" w:gutter="0" w:footer="0" w:header="0"/>
          <w:type w:val="continuous"/>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ind w:left="5084"/>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ind w:left="5044"/>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Issuer:</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Guarantors:</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Comcast Cable Communications, LLC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NBCUniversal Media, LLC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30"/>
        </w:trPr>
        <w:tc>
          <w:tcPr>
            <w:tcW w:w="1000" w:type="dxa"/>
            <w:vAlign w:val="bottom"/>
            <w:tcBorders>
              <w:top w:val="single" w:sz="8" w:color="auto"/>
              <w:left w:val="single" w:sz="8" w:color="auto"/>
              <w:right w:val="single" w:sz="8" w:color="auto"/>
            </w:tcBorders>
          </w:tcPr>
          <w:p>
            <w:pPr>
              <w:spacing w:after="0"/>
              <w:rPr>
                <w:sz w:val="11"/>
                <w:szCs w:val="11"/>
                <w:color w:val="auto"/>
              </w:rPr>
            </w:pPr>
          </w:p>
        </w:tc>
        <w:tc>
          <w:tcPr>
            <w:tcW w:w="580" w:type="dxa"/>
            <w:vAlign w:val="bottom"/>
            <w:tcBorders>
              <w:top w:val="single" w:sz="8" w:color="auto"/>
              <w:right w:val="single" w:sz="8" w:color="auto"/>
            </w:tcBorders>
          </w:tcPr>
          <w:p>
            <w:pPr>
              <w:spacing w:after="0"/>
              <w:rPr>
                <w:sz w:val="11"/>
                <w:szCs w:val="11"/>
                <w:color w:val="auto"/>
              </w:rPr>
            </w:pPr>
          </w:p>
        </w:tc>
        <w:tc>
          <w:tcPr>
            <w:tcW w:w="2040" w:type="dxa"/>
            <w:vAlign w:val="bottom"/>
            <w:tcBorders>
              <w:top w:val="single" w:sz="8" w:color="auto"/>
              <w:right w:val="single" w:sz="8" w:color="auto"/>
            </w:tcBorders>
          </w:tcPr>
          <w:p>
            <w:pPr>
              <w:spacing w:after="0"/>
              <w:rPr>
                <w:sz w:val="11"/>
                <w:szCs w:val="11"/>
                <w:color w:val="auto"/>
              </w:rPr>
            </w:pPr>
          </w:p>
        </w:tc>
        <w:tc>
          <w:tcPr>
            <w:tcW w:w="860" w:type="dxa"/>
            <w:vAlign w:val="bottom"/>
            <w:tcBorders>
              <w:top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color w:val="auto"/>
                <w:w w:val="95"/>
              </w:rPr>
              <w:t>Fee</w:t>
            </w:r>
          </w:p>
        </w:tc>
        <w:tc>
          <w:tcPr>
            <w:tcW w:w="1280" w:type="dxa"/>
            <w:vAlign w:val="bottom"/>
            <w:tcBorders>
              <w:top w:val="single" w:sz="8" w:color="auto"/>
              <w:right w:val="single" w:sz="8" w:color="auto"/>
            </w:tcBorders>
          </w:tcPr>
          <w:p>
            <w:pPr>
              <w:spacing w:after="0"/>
              <w:rPr>
                <w:sz w:val="11"/>
                <w:szCs w:val="11"/>
                <w:color w:val="auto"/>
              </w:rPr>
            </w:pPr>
          </w:p>
        </w:tc>
        <w:tc>
          <w:tcPr>
            <w:tcW w:w="820" w:type="dxa"/>
            <w:vAlign w:val="bottom"/>
            <w:tcBorders>
              <w:top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color w:val="auto"/>
                <w:w w:val="94"/>
              </w:rPr>
              <w:t>Proposed</w:t>
            </w:r>
          </w:p>
        </w:tc>
        <w:tc>
          <w:tcPr>
            <w:tcW w:w="1280" w:type="dxa"/>
            <w:vAlign w:val="bottom"/>
            <w:tcBorders>
              <w:top w:val="single" w:sz="8" w:color="auto"/>
              <w:right w:val="single" w:sz="8" w:color="auto"/>
            </w:tcBorders>
          </w:tcPr>
          <w:p>
            <w:pPr>
              <w:spacing w:after="0"/>
              <w:rPr>
                <w:sz w:val="11"/>
                <w:szCs w:val="11"/>
                <w:color w:val="auto"/>
              </w:rPr>
            </w:pPr>
          </w:p>
        </w:tc>
        <w:tc>
          <w:tcPr>
            <w:tcW w:w="1960" w:type="dxa"/>
            <w:vAlign w:val="bottom"/>
            <w:tcBorders>
              <w:top w:val="single" w:sz="8" w:color="auto"/>
              <w:right w:val="single" w:sz="8" w:color="auto"/>
            </w:tcBorders>
          </w:tcPr>
          <w:p>
            <w:pPr>
              <w:spacing w:after="0"/>
              <w:rPr>
                <w:sz w:val="11"/>
                <w:szCs w:val="11"/>
                <w:color w:val="auto"/>
              </w:rPr>
            </w:pPr>
          </w:p>
        </w:tc>
        <w:tc>
          <w:tcPr>
            <w:tcW w:w="110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Security</w:t>
            </w:r>
          </w:p>
        </w:tc>
        <w:tc>
          <w:tcPr>
            <w:tcW w:w="20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2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2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96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vMerge w:val="restart"/>
          </w:tcPr>
          <w:p>
            <w:pPr>
              <w:jc w:val="right"/>
              <w:ind w:right="215"/>
              <w:spacing w:after="0"/>
              <w:rPr>
                <w:sz w:val="20"/>
                <w:szCs w:val="20"/>
                <w:color w:val="auto"/>
              </w:rPr>
            </w:pPr>
            <w:r>
              <w:rPr>
                <w:rFonts w:ascii="Times New Roman" w:cs="Times New Roman" w:eastAsia="Times New Roman" w:hAnsi="Times New Roman"/>
                <w:sz w:val="13"/>
                <w:szCs w:val="13"/>
                <w:color w:val="auto"/>
              </w:rPr>
              <w:t>Amount of</w:t>
            </w:r>
          </w:p>
        </w:tc>
        <w:tc>
          <w:tcPr>
            <w:tcW w:w="0" w:type="dxa"/>
            <w:vAlign w:val="bottom"/>
          </w:tcPr>
          <w:p>
            <w:pPr>
              <w:spacing w:after="0"/>
              <w:rPr>
                <w:sz w:val="1"/>
                <w:szCs w:val="1"/>
                <w:color w:val="auto"/>
              </w:rPr>
            </w:pPr>
          </w:p>
        </w:tc>
      </w:tr>
      <w:tr>
        <w:trPr>
          <w:trHeight w:val="68"/>
        </w:trPr>
        <w:tc>
          <w:tcPr>
            <w:tcW w:w="1000" w:type="dxa"/>
            <w:vAlign w:val="bottom"/>
            <w:tcBorders>
              <w:left w:val="single" w:sz="8" w:color="auto"/>
              <w:right w:val="single" w:sz="8" w:color="auto"/>
            </w:tcBorders>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2040" w:type="dxa"/>
            <w:vAlign w:val="bottom"/>
            <w:tcBorders>
              <w:right w:val="single" w:sz="8" w:color="auto"/>
            </w:tcBorders>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Security Class Title</w:t>
            </w:r>
          </w:p>
        </w:tc>
        <w:tc>
          <w:tcPr>
            <w:tcW w:w="860" w:type="dxa"/>
            <w:vAlign w:val="bottom"/>
            <w:tcBorders>
              <w:right w:val="single" w:sz="8" w:color="auto"/>
            </w:tcBorders>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1280" w:type="dxa"/>
            <w:vAlign w:val="bottom"/>
            <w:tcBorders>
              <w:right w:val="single" w:sz="8" w:color="auto"/>
            </w:tcBorders>
            <w:vMerge w:val="restart"/>
          </w:tcPr>
          <w:p>
            <w:pPr>
              <w:jc w:val="right"/>
              <w:ind w:right="73"/>
              <w:spacing w:after="0" w:line="135" w:lineRule="exact"/>
              <w:rPr>
                <w:sz w:val="20"/>
                <w:szCs w:val="20"/>
                <w:color w:val="auto"/>
              </w:rPr>
            </w:pPr>
            <w:r>
              <w:rPr>
                <w:rFonts w:ascii="Times New Roman" w:cs="Times New Roman" w:eastAsia="Times New Roman" w:hAnsi="Times New Roman"/>
                <w:sz w:val="13"/>
                <w:szCs w:val="13"/>
                <w:color w:val="auto"/>
              </w:rPr>
              <w:t>Amount Registered</w:t>
            </w:r>
          </w:p>
        </w:tc>
        <w:tc>
          <w:tcPr>
            <w:tcW w:w="820" w:type="dxa"/>
            <w:vAlign w:val="bottom"/>
            <w:tcBorders>
              <w:right w:val="single" w:sz="8" w:color="auto"/>
            </w:tcBorders>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280" w:type="dxa"/>
            <w:vAlign w:val="bottom"/>
            <w:tcBorders>
              <w:right w:val="single" w:sz="8" w:color="auto"/>
            </w:tcBorders>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Aggregate Offering</w:t>
            </w:r>
          </w:p>
        </w:tc>
        <w:tc>
          <w:tcPr>
            <w:tcW w:w="1960" w:type="dxa"/>
            <w:vAlign w:val="bottom"/>
            <w:tcBorders>
              <w:right w:val="single" w:sz="8" w:color="auto"/>
            </w:tcBorders>
            <w:vMerge w:val="restart"/>
          </w:tcPr>
          <w:p>
            <w:pPr>
              <w:ind w:left="760"/>
              <w:spacing w:after="0" w:line="135" w:lineRule="exact"/>
              <w:rPr>
                <w:sz w:val="20"/>
                <w:szCs w:val="20"/>
                <w:color w:val="auto"/>
              </w:rPr>
            </w:pPr>
            <w:r>
              <w:rPr>
                <w:rFonts w:ascii="Times New Roman" w:cs="Times New Roman" w:eastAsia="Times New Roman" w:hAnsi="Times New Roman"/>
                <w:sz w:val="13"/>
                <w:szCs w:val="13"/>
                <w:color w:val="auto"/>
              </w:rPr>
              <w:t>Fee Rate</w:t>
            </w:r>
          </w:p>
        </w:tc>
        <w:tc>
          <w:tcPr>
            <w:tcW w:w="11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000" w:type="dxa"/>
            <w:vAlign w:val="bottom"/>
            <w:tcBorders>
              <w:left w:val="single" w:sz="8" w:color="auto"/>
              <w:right w:val="single" w:sz="8" w:color="auto"/>
            </w:tcBorders>
          </w:tcPr>
          <w:p>
            <w:pPr>
              <w:spacing w:after="0"/>
              <w:rPr>
                <w:sz w:val="5"/>
                <w:szCs w:val="5"/>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204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vMerge w:val="continue"/>
          </w:tcPr>
          <w:p>
            <w:pPr>
              <w:spacing w:after="0"/>
              <w:rPr>
                <w:sz w:val="5"/>
                <w:szCs w:val="5"/>
                <w:color w:val="auto"/>
              </w:rPr>
            </w:pPr>
          </w:p>
        </w:tc>
        <w:tc>
          <w:tcPr>
            <w:tcW w:w="1280" w:type="dxa"/>
            <w:vAlign w:val="bottom"/>
            <w:tcBorders>
              <w:right w:val="single" w:sz="8" w:color="auto"/>
            </w:tcBorders>
            <w:vMerge w:val="continue"/>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1280" w:type="dxa"/>
            <w:vAlign w:val="bottom"/>
            <w:tcBorders>
              <w:right w:val="single" w:sz="8" w:color="auto"/>
            </w:tcBorders>
            <w:vMerge w:val="continue"/>
          </w:tcPr>
          <w:p>
            <w:pPr>
              <w:spacing w:after="0"/>
              <w:rPr>
                <w:sz w:val="5"/>
                <w:szCs w:val="5"/>
                <w:color w:val="auto"/>
              </w:rPr>
            </w:pPr>
          </w:p>
        </w:tc>
        <w:tc>
          <w:tcPr>
            <w:tcW w:w="1960" w:type="dxa"/>
            <w:vAlign w:val="bottom"/>
            <w:tcBorders>
              <w:right w:val="single" w:sz="8" w:color="auto"/>
            </w:tcBorders>
            <w:vMerge w:val="continue"/>
          </w:tcPr>
          <w:p>
            <w:pPr>
              <w:spacing w:after="0"/>
              <w:rPr>
                <w:sz w:val="5"/>
                <w:szCs w:val="5"/>
                <w:color w:val="auto"/>
              </w:rPr>
            </w:pPr>
          </w:p>
        </w:tc>
        <w:tc>
          <w:tcPr>
            <w:tcW w:w="1100" w:type="dxa"/>
            <w:vAlign w:val="bottom"/>
            <w:tcBorders>
              <w:right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3"/>
                <w:szCs w:val="13"/>
                <w:color w:val="auto"/>
              </w:rPr>
              <w:t>Registration Fee</w:t>
            </w:r>
          </w:p>
        </w:tc>
        <w:tc>
          <w:tcPr>
            <w:tcW w:w="0" w:type="dxa"/>
            <w:vAlign w:val="bottom"/>
          </w:tcPr>
          <w:p>
            <w:pPr>
              <w:spacing w:after="0"/>
              <w:rPr>
                <w:sz w:val="1"/>
                <w:szCs w:val="1"/>
                <w:color w:val="auto"/>
              </w:rPr>
            </w:pPr>
          </w:p>
        </w:tc>
      </w:tr>
      <w:tr>
        <w:trPr>
          <w:trHeight w:val="97"/>
        </w:trPr>
        <w:tc>
          <w:tcPr>
            <w:tcW w:w="1000" w:type="dxa"/>
            <w:vAlign w:val="bottom"/>
            <w:tcBorders>
              <w:left w:val="single" w:sz="8" w:color="auto"/>
              <w:right w:val="single" w:sz="8" w:color="auto"/>
            </w:tcBorders>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204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128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280" w:type="dxa"/>
            <w:vAlign w:val="bottom"/>
            <w:tcBorders>
              <w:right w:val="single" w:sz="8" w:color="auto"/>
            </w:tcBorders>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89"/>
              </w:rPr>
              <w:t>Price</w:t>
            </w:r>
          </w:p>
        </w:tc>
        <w:tc>
          <w:tcPr>
            <w:tcW w:w="196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1000" w:type="dxa"/>
            <w:vAlign w:val="bottom"/>
            <w:tcBorders>
              <w:left w:val="single" w:sz="8" w:color="auto"/>
              <w:right w:val="single" w:sz="8" w:color="auto"/>
            </w:tcBorders>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204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vMerge w:val="continue"/>
          </w:tcPr>
          <w:p>
            <w:pPr>
              <w:spacing w:after="0"/>
              <w:rPr>
                <w:sz w:val="3"/>
                <w:szCs w:val="3"/>
                <w:color w:val="auto"/>
              </w:rPr>
            </w:pPr>
          </w:p>
        </w:tc>
        <w:tc>
          <w:tcPr>
            <w:tcW w:w="128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vMerge w:val="continue"/>
          </w:tcPr>
          <w:p>
            <w:pPr>
              <w:spacing w:after="0"/>
              <w:rPr>
                <w:sz w:val="3"/>
                <w:szCs w:val="3"/>
                <w:color w:val="auto"/>
              </w:rPr>
            </w:pPr>
          </w:p>
        </w:tc>
        <w:tc>
          <w:tcPr>
            <w:tcW w:w="1280" w:type="dxa"/>
            <w:vAlign w:val="bottom"/>
            <w:tcBorders>
              <w:right w:val="single" w:sz="8" w:color="auto"/>
            </w:tcBorders>
            <w:vMerge w:val="continue"/>
          </w:tcPr>
          <w:p>
            <w:pPr>
              <w:spacing w:after="0"/>
              <w:rPr>
                <w:sz w:val="3"/>
                <w:szCs w:val="3"/>
                <w:color w:val="auto"/>
              </w:rPr>
            </w:pPr>
          </w:p>
        </w:tc>
        <w:tc>
          <w:tcPr>
            <w:tcW w:w="1960" w:type="dxa"/>
            <w:vAlign w:val="bottom"/>
            <w:tcBorders>
              <w:right w:val="single" w:sz="8" w:color="auto"/>
            </w:tcBorders>
          </w:tcPr>
          <w:p>
            <w:pPr>
              <w:spacing w:after="0"/>
              <w:rPr>
                <w:sz w:val="3"/>
                <w:szCs w:val="3"/>
                <w:color w:val="auto"/>
              </w:rPr>
            </w:pPr>
          </w:p>
        </w:tc>
        <w:tc>
          <w:tcPr>
            <w:tcW w:w="11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1000" w:type="dxa"/>
            <w:vAlign w:val="bottom"/>
            <w:tcBorders>
              <w:left w:val="single" w:sz="8" w:color="auto"/>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20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2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280" w:type="dxa"/>
            <w:vAlign w:val="bottom"/>
            <w:tcBorders>
              <w:bottom w:val="single" w:sz="8" w:color="auto"/>
              <w:right w:val="single" w:sz="8" w:color="auto"/>
            </w:tcBorders>
          </w:tcPr>
          <w:p>
            <w:pPr>
              <w:spacing w:after="0"/>
              <w:rPr>
                <w:sz w:val="13"/>
                <w:szCs w:val="13"/>
                <w:color w:val="auto"/>
              </w:rPr>
            </w:pPr>
          </w:p>
        </w:tc>
        <w:tc>
          <w:tcPr>
            <w:tcW w:w="196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12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Borders>
              <w:left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4.950% Notes due 2032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$650,000,000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99.741%</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$648,316,500</w:t>
            </w:r>
          </w:p>
        </w:tc>
        <w:tc>
          <w:tcPr>
            <w:tcW w:w="19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$153.10 per $1,000,000</w:t>
            </w:r>
          </w:p>
        </w:tc>
        <w:tc>
          <w:tcPr>
            <w:tcW w:w="110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$99,257.26</w:t>
            </w:r>
          </w:p>
        </w:tc>
        <w:tc>
          <w:tcPr>
            <w:tcW w:w="0" w:type="dxa"/>
            <w:vAlign w:val="bottom"/>
          </w:tcPr>
          <w:p>
            <w:pPr>
              <w:spacing w:after="0"/>
              <w:rPr>
                <w:sz w:val="1"/>
                <w:szCs w:val="1"/>
                <w:color w:val="auto"/>
              </w:rPr>
            </w:pPr>
          </w:p>
        </w:tc>
      </w:tr>
      <w:tr>
        <w:trPr>
          <w:trHeight w:val="191"/>
        </w:trPr>
        <w:tc>
          <w:tcPr>
            <w:tcW w:w="1000" w:type="dxa"/>
            <w:vAlign w:val="bottom"/>
            <w:tcBorders>
              <w:left w:val="single" w:sz="8" w:color="auto"/>
              <w:right w:val="single" w:sz="8" w:color="auto"/>
            </w:tcBorders>
          </w:tcPr>
          <w:p>
            <w:pPr>
              <w:spacing w:after="0"/>
              <w:rPr>
                <w:sz w:val="16"/>
                <w:szCs w:val="16"/>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20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Guarantees of 4.950%</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Other (2)</w:t>
            </w:r>
          </w:p>
        </w:tc>
        <w:tc>
          <w:tcPr>
            <w:tcW w:w="1280" w:type="dxa"/>
            <w:vAlign w:val="bottom"/>
            <w:tcBorders>
              <w:right w:val="single" w:sz="8" w:color="auto"/>
            </w:tcBorders>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auto"/>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tcBorders>
              <w:right w:val="single" w:sz="8" w:color="auto"/>
            </w:tcBorders>
            <w:vMerge w:val="restart"/>
          </w:tcPr>
          <w:p>
            <w:pPr>
              <w:ind w:left="16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26"/>
        </w:trPr>
        <w:tc>
          <w:tcPr>
            <w:tcW w:w="1000" w:type="dxa"/>
            <w:vAlign w:val="bottom"/>
            <w:tcBorders>
              <w:left w:val="single" w:sz="8" w:color="auto"/>
              <w:right w:val="single" w:sz="8" w:color="auto"/>
            </w:tcBorders>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Notes due 2032 (1)</w:t>
            </w:r>
          </w:p>
        </w:tc>
        <w:tc>
          <w:tcPr>
            <w:tcW w:w="86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00" w:type="dxa"/>
            <w:vAlign w:val="bottom"/>
            <w:tcBorders>
              <w:left w:val="single" w:sz="8" w:color="auto"/>
              <w:right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2040" w:type="dxa"/>
            <w:vAlign w:val="bottom"/>
            <w:tcBorders>
              <w:bottom w:val="single" w:sz="8" w:color="auto"/>
              <w:right w:val="single" w:sz="8" w:color="auto"/>
            </w:tcBorders>
            <w:vMerge w:val="continue"/>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0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Fees to Be</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5.300% Notes due 2035</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$850,000,000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99.638%</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$846,923,000</w:t>
            </w:r>
          </w:p>
        </w:tc>
        <w:tc>
          <w:tcPr>
            <w:tcW w:w="19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$153.10 per $1,000,000</w:t>
            </w:r>
          </w:p>
        </w:tc>
        <w:tc>
          <w:tcPr>
            <w:tcW w:w="110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$129,663.91</w:t>
            </w:r>
          </w:p>
        </w:tc>
        <w:tc>
          <w:tcPr>
            <w:tcW w:w="0" w:type="dxa"/>
            <w:vAlign w:val="bottom"/>
          </w:tcPr>
          <w:p>
            <w:pPr>
              <w:spacing w:after="0"/>
              <w:rPr>
                <w:sz w:val="1"/>
                <w:szCs w:val="1"/>
                <w:color w:val="auto"/>
              </w:rPr>
            </w:pPr>
          </w:p>
        </w:tc>
      </w:tr>
      <w:tr>
        <w:trPr>
          <w:trHeight w:val="70"/>
        </w:trPr>
        <w:tc>
          <w:tcPr>
            <w:tcW w:w="1000" w:type="dxa"/>
            <w:vAlign w:val="bottom"/>
            <w:tcBorders>
              <w:left w:val="single" w:sz="8" w:color="auto"/>
              <w:right w:val="single" w:sz="8" w:color="auto"/>
            </w:tcBorders>
            <w:vMerge w:val="continue"/>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2040" w:type="dxa"/>
            <w:vAlign w:val="bottom"/>
            <w:tcBorders>
              <w:right w:val="single" w:sz="8" w:color="auto"/>
            </w:tcBorders>
            <w:vMerge w:val="restart"/>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Guarantees of 5.300%</w:t>
            </w:r>
          </w:p>
        </w:tc>
        <w:tc>
          <w:tcPr>
            <w:tcW w:w="86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0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204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Other (2)</w:t>
            </w:r>
          </w:p>
        </w:tc>
        <w:tc>
          <w:tcPr>
            <w:tcW w:w="1280" w:type="dxa"/>
            <w:vAlign w:val="bottom"/>
            <w:tcBorders>
              <w:right w:val="single" w:sz="8" w:color="auto"/>
            </w:tcBorders>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auto"/>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tcBorders>
              <w:right w:val="single" w:sz="8" w:color="auto"/>
            </w:tcBorders>
            <w:vMerge w:val="restart"/>
          </w:tcPr>
          <w:p>
            <w:pPr>
              <w:ind w:left="16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26"/>
        </w:trPr>
        <w:tc>
          <w:tcPr>
            <w:tcW w:w="1000" w:type="dxa"/>
            <w:vAlign w:val="bottom"/>
            <w:tcBorders>
              <w:left w:val="single" w:sz="8" w:color="auto"/>
              <w:right w:val="single" w:sz="8" w:color="auto"/>
            </w:tcBorders>
            <w:vMerge w:val="continue"/>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Notes due 2035 (1)</w:t>
            </w:r>
          </w:p>
        </w:tc>
        <w:tc>
          <w:tcPr>
            <w:tcW w:w="86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00" w:type="dxa"/>
            <w:vAlign w:val="bottom"/>
            <w:tcBorders>
              <w:left w:val="single" w:sz="8" w:color="auto"/>
              <w:right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2040" w:type="dxa"/>
            <w:vAlign w:val="bottom"/>
            <w:tcBorders>
              <w:bottom w:val="single" w:sz="8" w:color="auto"/>
              <w:right w:val="single" w:sz="8" w:color="auto"/>
            </w:tcBorders>
            <w:vMerge w:val="continue"/>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000" w:type="dxa"/>
            <w:vAlign w:val="bottom"/>
            <w:tcBorders>
              <w:left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6.050% Notes due 2055</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$1,000,000,000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99.847%</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$998,470,000</w:t>
            </w:r>
          </w:p>
        </w:tc>
        <w:tc>
          <w:tcPr>
            <w:tcW w:w="19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$153.10 per $1,000,000</w:t>
            </w:r>
          </w:p>
        </w:tc>
        <w:tc>
          <w:tcPr>
            <w:tcW w:w="110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$152,865.76</w:t>
            </w:r>
          </w:p>
        </w:tc>
        <w:tc>
          <w:tcPr>
            <w:tcW w:w="0" w:type="dxa"/>
            <w:vAlign w:val="bottom"/>
          </w:tcPr>
          <w:p>
            <w:pPr>
              <w:spacing w:after="0"/>
              <w:rPr>
                <w:sz w:val="1"/>
                <w:szCs w:val="1"/>
                <w:color w:val="auto"/>
              </w:rPr>
            </w:pPr>
          </w:p>
        </w:tc>
      </w:tr>
      <w:tr>
        <w:trPr>
          <w:trHeight w:val="191"/>
        </w:trPr>
        <w:tc>
          <w:tcPr>
            <w:tcW w:w="1000" w:type="dxa"/>
            <w:vAlign w:val="bottom"/>
            <w:tcBorders>
              <w:left w:val="single" w:sz="8" w:color="auto"/>
              <w:right w:val="single" w:sz="8" w:color="auto"/>
            </w:tcBorders>
          </w:tcPr>
          <w:p>
            <w:pPr>
              <w:spacing w:after="0"/>
              <w:rPr>
                <w:sz w:val="16"/>
                <w:szCs w:val="16"/>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20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Guarantees of 6.050%</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Other (2)</w:t>
            </w:r>
          </w:p>
        </w:tc>
        <w:tc>
          <w:tcPr>
            <w:tcW w:w="1280" w:type="dxa"/>
            <w:vAlign w:val="bottom"/>
            <w:tcBorders>
              <w:right w:val="single" w:sz="8" w:color="auto"/>
            </w:tcBorders>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auto"/>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tcBorders>
              <w:right w:val="single" w:sz="8" w:color="auto"/>
            </w:tcBorders>
            <w:vMerge w:val="restart"/>
          </w:tcPr>
          <w:p>
            <w:pPr>
              <w:ind w:left="16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26"/>
        </w:trPr>
        <w:tc>
          <w:tcPr>
            <w:tcW w:w="1000" w:type="dxa"/>
            <w:vAlign w:val="bottom"/>
            <w:tcBorders>
              <w:left w:val="single" w:sz="8" w:color="auto"/>
              <w:right w:val="single" w:sz="8" w:color="auto"/>
            </w:tcBorders>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Notes due 2055 (1)</w:t>
            </w:r>
          </w:p>
        </w:tc>
        <w:tc>
          <w:tcPr>
            <w:tcW w:w="86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00" w:type="dxa"/>
            <w:vAlign w:val="bottom"/>
            <w:tcBorders>
              <w:left w:val="single" w:sz="8" w:color="auto"/>
              <w:bottom w:val="single" w:sz="8" w:color="auto"/>
              <w:right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2040" w:type="dxa"/>
            <w:vAlign w:val="bottom"/>
            <w:tcBorders>
              <w:bottom w:val="single" w:sz="8" w:color="auto"/>
              <w:right w:val="single" w:sz="8" w:color="auto"/>
            </w:tcBorders>
            <w:vMerge w:val="continue"/>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00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Total Offering</w:t>
            </w: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Amounts</w:t>
            </w:r>
          </w:p>
        </w:tc>
        <w:tc>
          <w:tcPr>
            <w:tcW w:w="128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$2,493,709,500</w:t>
            </w:r>
          </w:p>
        </w:tc>
        <w:tc>
          <w:tcPr>
            <w:tcW w:w="19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$381,786.93</w:t>
            </w:r>
          </w:p>
        </w:tc>
        <w:tc>
          <w:tcPr>
            <w:tcW w:w="0" w:type="dxa"/>
            <w:vAlign w:val="bottom"/>
          </w:tcPr>
          <w:p>
            <w:pPr>
              <w:spacing w:after="0"/>
              <w:rPr>
                <w:sz w:val="1"/>
                <w:szCs w:val="1"/>
                <w:color w:val="auto"/>
              </w:rPr>
            </w:pPr>
          </w:p>
        </w:tc>
      </w:tr>
      <w:tr>
        <w:trPr>
          <w:trHeight w:val="209"/>
        </w:trPr>
        <w:tc>
          <w:tcPr>
            <w:tcW w:w="100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2"/>
          </w:tcPr>
          <w:p>
            <w:pPr>
              <w:ind w:left="1340"/>
              <w:spacing w:after="0"/>
              <w:rPr>
                <w:sz w:val="20"/>
                <w:szCs w:val="20"/>
                <w:color w:val="auto"/>
              </w:rPr>
            </w:pPr>
            <w:r>
              <w:rPr>
                <w:rFonts w:ascii="Times New Roman" w:cs="Times New Roman" w:eastAsia="Times New Roman" w:hAnsi="Times New Roman"/>
                <w:sz w:val="18"/>
                <w:szCs w:val="18"/>
                <w:color w:val="auto"/>
              </w:rPr>
              <w:t>Net Fee Due</w:t>
            </w:r>
          </w:p>
        </w:tc>
        <w:tc>
          <w:tcPr>
            <w:tcW w:w="128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$381,786.93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380" w:hanging="424"/>
        <w:spacing w:after="0" w:line="261" w:lineRule="auto"/>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Cable Communications, LLC and NBCUniversal Media, LLC have each provided a guarantee with respect to the 4.950% Notes due 2032, 5.300% Notes due 2035 and 6.050% Notes due 2055 issued by Comcast Corporation.</w:t>
      </w:r>
    </w:p>
    <w:p>
      <w:pPr>
        <w:ind w:left="424" w:hanging="424"/>
        <w:spacing w:after="0"/>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457(n) under the Securities Act of 1933, as amended, no additional registration fee is due with respect to the guarantees.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lvl w:ilvl="1">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lvl w:ilvl="1">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3"/>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lowerRoman"/>
      <w:start w:val="3"/>
    </w:lvl>
  </w:abstractNum>
  <w:abstractNum w:abstractNumId="13">
    <w:nsid w:val="836C40E"/>
    <w:multiLevelType w:val="hybridMultilevel"/>
    <w:lvl w:ilvl="0">
      <w:lvlJc w:val="left"/>
      <w:lvlText w:val="(%1)"/>
      <w:numFmt w:val="lowerLetter"/>
      <w:start w:val="1"/>
    </w:lvl>
  </w:abstractNum>
  <w:abstractNum w:abstractNumId="14">
    <w:nsid w:val="2901D82"/>
    <w:multiLevelType w:val="hybridMultilevel"/>
    <w:lvl w:ilvl="0">
      <w:lvlJc w:val="left"/>
      <w:lvlText w:val="(%1)"/>
      <w:numFmt w:val="lowerLetter"/>
      <w:start w:val="2"/>
    </w:lvl>
  </w:abstractNum>
  <w:abstractNum w:abstractNumId="15">
    <w:nsid w:val="3A95F874"/>
    <w:multiLevelType w:val="hybridMultilevel"/>
    <w:lvl w:ilvl="0">
      <w:lvlJc w:val="left"/>
      <w:lvlText w:val="•"/>
      <w:numFmt w:val="bullet"/>
      <w:start w:val="1"/>
    </w:lvl>
    <w:lvl w:ilvl="1">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1)"/>
      <w:numFmt w:val="lowerLetter"/>
      <w:start w:val="1"/>
    </w:lvl>
  </w:abstractNum>
  <w:abstractNum w:abstractNumId="22">
    <w:nsid w:val="4516DDE9"/>
    <w:multiLevelType w:val="hybridMultilevel"/>
    <w:lvl w:ilvl="0">
      <w:lvlJc w:val="left"/>
      <w:lvlText w:val="(%1)"/>
      <w:numFmt w:val="lowerLetter"/>
      <w:start w:val="2"/>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lowerLetter"/>
      <w:start w:val="1"/>
    </w:lvl>
  </w:abstractNum>
  <w:abstractNum w:abstractNumId="25">
    <w:nsid w:val="419AC241"/>
    <w:multiLevelType w:val="hybridMultilevel"/>
    <w:lvl w:ilvl="0">
      <w:lvlJc w:val="left"/>
      <w:lvlText w:val="(%1)"/>
      <w:numFmt w:val="lowerLetter"/>
      <w:start w:val="13"/>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lowerLetter"/>
      <w:start w:val="2"/>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jpe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jpe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15" Type="http://schemas.openxmlformats.org/officeDocument/2006/relationships/hyperlink" Target="http://www.sec.gov/ix?doc=/Archives/edgar/data/1166691/000116669125000011/cmcsa-20241231.htm" TargetMode="External"/><Relationship Id="rId16" Type="http://schemas.openxmlformats.org/officeDocument/2006/relationships/hyperlink" Target="http://www.sec.gov/ix?doc=/Archives/edgar/data/1166691/000116669125000021/cmcsa-20250331.htm" TargetMode="External"/><Relationship Id="rId17" Type="http://schemas.openxmlformats.org/officeDocument/2006/relationships/hyperlink" Target="http://www.sec.gov/ix?doc=/Archives/edgar/data/1166691/000095010325003639/dp226495_8k.htm" TargetMode="External"/><Relationship Id="rId18" Type="http://schemas.openxmlformats.org/officeDocument/2006/relationships/hyperlink" Target="http://www.sec.gov/ix?doc=/Archives/edgar/data/1166691/000130817925000504/cmcsa012438-def14a.htm" TargetMode="External"/><Relationship Id="rId72" Type="http://schemas.openxmlformats.org/officeDocument/2006/relationships/hyperlink" Target="http://www.sec.gov/ix?doc=/Archives/edgar/data/1166691/000130817924000600/cmcsa4226581-def14a.htm" TargetMode="External"/><Relationship Id="rId73" Type="http://schemas.openxmlformats.org/officeDocument/2006/relationships/hyperlink" Target="http://www.sec.gov/ix?doc=/Archives/edgar/data/1166691/000116669124000011/cmcsa-20231231.htm" TargetMode="External"/><Relationship Id="rId74" Type="http://schemas.openxmlformats.org/officeDocument/2006/relationships/hyperlink" Target="http://www.sec.gov/Archives/edgar/data/1166691/000095010315009516/dp61838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2025-05-06T16:10:38Z</dcterms:created>
  <dcterms:modified xsi:type="dcterms:W3CDTF">2025-05-06T16:10:38Z</dcterms:modified>
</cp:coreProperties>
</file>