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463" w:right="2939"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0" w:lineRule="exact"/>
        <w:rPr>
          <w:sz w:val="24"/>
          <w:szCs w:val="24"/>
          <w:color w:val="auto"/>
        </w:rPr>
      </w:pPr>
    </w:p>
    <w:p>
      <w:pPr>
        <w:ind w:left="463" w:right="2839" w:hanging="463"/>
        <w:spacing w:after="0" w:line="267" w:lineRule="auto"/>
        <w:tabs>
          <w:tab w:leader="none" w:pos="17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64" w:lineRule="exact"/>
        <w:rPr>
          <w:sz w:val="24"/>
          <w:szCs w:val="24"/>
          <w:color w:val="auto"/>
        </w:rPr>
      </w:pPr>
    </w:p>
    <w:p>
      <w:pPr>
        <w:jc w:val="center"/>
        <w:ind w:right="2736"/>
        <w:spacing w:after="0"/>
        <w:rPr>
          <w:sz w:val="20"/>
          <w:szCs w:val="20"/>
          <w:color w:val="auto"/>
        </w:rPr>
      </w:pPr>
      <w:r>
        <w:rPr>
          <w:rFonts w:ascii="Courier New" w:cs="Courier New" w:eastAsia="Courier New" w:hAnsi="Courier New"/>
          <w:sz w:val="16"/>
          <w:szCs w:val="16"/>
          <w:color w:val="auto"/>
        </w:rPr>
        <w:t>Commission File Number 0-6983</w:t>
      </w:r>
    </w:p>
    <w:p>
      <w:pPr>
        <w:spacing w:after="0" w:line="183" w:lineRule="exact"/>
        <w:rPr>
          <w:sz w:val="24"/>
          <w:szCs w:val="24"/>
          <w:color w:val="auto"/>
        </w:rPr>
      </w:pPr>
    </w:p>
    <w:p>
      <w:pPr>
        <w:jc w:val="center"/>
        <w:ind w:right="2736"/>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jc w:val="center"/>
        <w:ind w:right="2736"/>
        <w:spacing w:after="0"/>
        <w:rPr>
          <w:sz w:val="20"/>
          <w:szCs w:val="20"/>
          <w:color w:val="auto"/>
        </w:rPr>
      </w:pPr>
      <w:r>
        <w:rPr>
          <w:rFonts w:ascii="Courier New" w:cs="Courier New" w:eastAsia="Courier New" w:hAnsi="Courier New"/>
          <w:sz w:val="16"/>
          <w:szCs w:val="16"/>
          <w:color w:val="auto"/>
        </w:rPr>
        <w:t>[GRAPHIC OMITTED]</w:t>
      </w:r>
    </w:p>
    <w:p>
      <w:pPr>
        <w:spacing w:after="0" w:line="183"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235" w:right="1440" w:bottom="58" w:gutter="0" w:footer="0" w:header="0"/>
        </w:sectPr>
      </w:pPr>
    </w:p>
    <w:p>
      <w:pPr>
        <w:spacing w:after="0" w:line="183"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ind w:left="103"/>
        <w:spacing w:after="0"/>
        <w:rPr>
          <w:sz w:val="20"/>
          <w:szCs w:val="20"/>
          <w:color w:val="auto"/>
        </w:rPr>
      </w:pPr>
      <w:r>
        <w:rPr>
          <w:rFonts w:ascii="Courier New" w:cs="Courier New" w:eastAsia="Courier New" w:hAnsi="Courier New"/>
          <w:sz w:val="15"/>
          <w:szCs w:val="15"/>
          <w:color w:val="auto"/>
        </w:rPr>
        <w:t>(State or other jurisdiction of</w:t>
      </w:r>
    </w:p>
    <w:p>
      <w:pPr>
        <w:spacing w:after="0" w:line="12" w:lineRule="exact"/>
        <w:rPr>
          <w:sz w:val="24"/>
          <w:szCs w:val="24"/>
          <w:color w:val="auto"/>
        </w:rPr>
      </w:pPr>
    </w:p>
    <w:p>
      <w:pPr>
        <w:ind w:left="183"/>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23-1709202</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4"/>
          <w:szCs w:val="24"/>
          <w:color w:val="auto"/>
        </w:rPr>
      </w:pPr>
    </w:p>
    <w:p>
      <w:pPr>
        <w:sectPr>
          <w:pgSz w:w="11900" w:h="16838" w:orient="portrait"/>
          <w:cols w:equalWidth="0" w:num="2">
            <w:col w:w="4383" w:space="720"/>
            <w:col w:w="5119"/>
          </w:cols>
          <w:pgMar w:left="237" w:top="235" w:right="1440" w:bottom="58" w:gutter="0" w:footer="0" w:header="0"/>
          <w:type w:val="continuous"/>
        </w:sectPr>
      </w:pPr>
    </w:p>
    <w:p>
      <w:pPr>
        <w:jc w:val="center"/>
        <w:ind w:right="2756"/>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6" w:lineRule="exact"/>
        <w:rPr>
          <w:sz w:val="24"/>
          <w:szCs w:val="24"/>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85" w:lineRule="exact"/>
        <w:rPr>
          <w:sz w:val="24"/>
          <w:szCs w:val="24"/>
          <w:color w:val="auto"/>
        </w:rPr>
      </w:pPr>
    </w:p>
    <w:p>
      <w:pPr>
        <w:ind w:left="843"/>
        <w:spacing w:after="0"/>
        <w:tabs>
          <w:tab w:leader="none" w:pos="1303" w:val="left"/>
          <w:tab w:leader="none" w:pos="5663" w:val="left"/>
        </w:tabs>
        <w:rPr>
          <w:sz w:val="20"/>
          <w:szCs w:val="20"/>
          <w:color w:val="auto"/>
        </w:rPr>
      </w:pPr>
      <w:r>
        <w:rPr>
          <w:rFonts w:ascii="Courier New" w:cs="Courier New" w:eastAsia="Courier New" w:hAnsi="Courier New"/>
          <w:sz w:val="16"/>
          <w:szCs w:val="16"/>
          <w:color w:val="auto"/>
        </w:rPr>
        <w:t>Yes</w:t>
        <w:tab/>
        <w:t>__X__</w:t>
      </w:r>
      <w:r>
        <w:rPr>
          <w:sz w:val="20"/>
          <w:szCs w:val="20"/>
          <w:color w:val="auto"/>
        </w:rPr>
        <w:tab/>
      </w:r>
      <w:r>
        <w:rPr>
          <w:rFonts w:ascii="Courier New" w:cs="Courier New" w:eastAsia="Courier New" w:hAnsi="Courier New"/>
          <w:sz w:val="15"/>
          <w:szCs w:val="15"/>
          <w:color w:val="auto"/>
        </w:rPr>
        <w:t>No ____</w:t>
      </w:r>
    </w:p>
    <w:p>
      <w:pPr>
        <w:spacing w:after="0" w:line="186" w:lineRule="exact"/>
        <w:rPr>
          <w:sz w:val="24"/>
          <w:szCs w:val="24"/>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As of September 30, 1995, there were 192,028,651 shares of Class A Special Common Stock, 39,103,350 shares of Class A Common Stock and 8,786,250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left="3140"/>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4"/>
          <w:szCs w:val="24"/>
          <w:color w:val="auto"/>
        </w:rPr>
      </w:pPr>
    </w:p>
    <w:p>
      <w:pPr>
        <w:jc w:val="center"/>
        <w:ind w:left="3140"/>
        <w:spacing w:after="0"/>
        <w:rPr>
          <w:sz w:val="20"/>
          <w:szCs w:val="20"/>
          <w:color w:val="auto"/>
        </w:rPr>
      </w:pPr>
      <w:r>
        <w:rPr>
          <w:rFonts w:ascii="Courier New" w:cs="Courier New" w:eastAsia="Courier New" w:hAnsi="Courier New"/>
          <w:sz w:val="15"/>
          <w:szCs w:val="15"/>
          <w:color w:val="auto"/>
        </w:rPr>
        <w:t>Number</w:t>
      </w:r>
    </w:p>
    <w:p>
      <w:pPr>
        <w:spacing w:after="0" w:line="190" w:lineRule="exact"/>
        <w:rPr>
          <w:sz w:val="24"/>
          <w:szCs w:val="24"/>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4"/>
          <w:szCs w:val="24"/>
          <w:color w:val="auto"/>
        </w:rPr>
      </w:pPr>
    </w:p>
    <w:p>
      <w:pPr>
        <w:ind w:left="943"/>
        <w:spacing w:after="0"/>
        <w:tabs>
          <w:tab w:leader="none" w:pos="178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Condensed Consolidated Balance</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Sheet at September 30, 1995 and December 31,</w:t>
      </w:r>
    </w:p>
    <w:p>
      <w:pPr>
        <w:spacing w:after="0" w:line="1" w:lineRule="exact"/>
        <w:rPr>
          <w:sz w:val="24"/>
          <w:szCs w:val="24"/>
          <w:color w:val="auto"/>
        </w:rPr>
      </w:pPr>
    </w:p>
    <w:p>
      <w:pPr>
        <w:ind w:left="1803"/>
        <w:spacing w:after="0"/>
        <w:tabs>
          <w:tab w:leader="dot" w:pos="7263" w:val="left"/>
        </w:tabs>
        <w:rPr>
          <w:sz w:val="20"/>
          <w:szCs w:val="20"/>
          <w:color w:val="auto"/>
        </w:rPr>
      </w:pPr>
      <w:r>
        <w:rPr>
          <w:rFonts w:ascii="Courier New" w:cs="Courier New" w:eastAsia="Courier New" w:hAnsi="Courier New"/>
          <w:sz w:val="16"/>
          <w:szCs w:val="16"/>
          <w:color w:val="auto"/>
        </w:rPr>
        <w:t>1994 (Unaudited)</w:t>
      </w:r>
      <w:r>
        <w:rPr>
          <w:sz w:val="20"/>
          <w:szCs w:val="20"/>
          <w:color w:val="auto"/>
        </w:rPr>
        <w:tab/>
      </w:r>
      <w:r>
        <w:rPr>
          <w:rFonts w:ascii="Courier New" w:cs="Courier New" w:eastAsia="Courier New" w:hAnsi="Courier New"/>
          <w:sz w:val="16"/>
          <w:szCs w:val="16"/>
          <w:color w:val="auto"/>
        </w:rPr>
        <w:t>2</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the Nine and Three Months Ended September 30,</w:t>
      </w:r>
    </w:p>
    <w:p>
      <w:pPr>
        <w:spacing w:after="0" w:line="1" w:lineRule="exact"/>
        <w:rPr>
          <w:sz w:val="24"/>
          <w:szCs w:val="24"/>
          <w:color w:val="auto"/>
        </w:rPr>
      </w:pPr>
    </w:p>
    <w:p>
      <w:pPr>
        <w:ind w:left="1803"/>
        <w:spacing w:after="0"/>
        <w:tabs>
          <w:tab w:leader="dot" w:pos="7263" w:val="left"/>
        </w:tabs>
        <w:rPr>
          <w:sz w:val="20"/>
          <w:szCs w:val="20"/>
          <w:color w:val="auto"/>
        </w:rPr>
      </w:pPr>
      <w:r>
        <w:rPr>
          <w:rFonts w:ascii="Courier New" w:cs="Courier New" w:eastAsia="Courier New" w:hAnsi="Courier New"/>
          <w:sz w:val="16"/>
          <w:szCs w:val="16"/>
          <w:color w:val="auto"/>
        </w:rPr>
        <w:t>1995 and 1994 (Unaudited)</w:t>
      </w:r>
      <w:r>
        <w:rPr>
          <w:sz w:val="20"/>
          <w:szCs w:val="20"/>
          <w:color w:val="auto"/>
        </w:rPr>
        <w:tab/>
      </w:r>
      <w:r>
        <w:rPr>
          <w:rFonts w:ascii="Courier New" w:cs="Courier New" w:eastAsia="Courier New" w:hAnsi="Courier New"/>
          <w:sz w:val="16"/>
          <w:szCs w:val="16"/>
          <w:color w:val="auto"/>
        </w:rPr>
        <w:t>3</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Flows for the Nine Months Ended September 30, 1995</w:t>
      </w:r>
    </w:p>
    <w:p>
      <w:pPr>
        <w:spacing w:after="0" w:line="1" w:lineRule="exact"/>
        <w:rPr>
          <w:sz w:val="24"/>
          <w:szCs w:val="24"/>
          <w:color w:val="auto"/>
        </w:rPr>
      </w:pPr>
    </w:p>
    <w:p>
      <w:pPr>
        <w:ind w:left="1803"/>
        <w:spacing w:after="0"/>
        <w:tabs>
          <w:tab w:leader="dot" w:pos="7263" w:val="left"/>
        </w:tabs>
        <w:rPr>
          <w:sz w:val="20"/>
          <w:szCs w:val="20"/>
          <w:color w:val="auto"/>
        </w:rPr>
      </w:pPr>
      <w:r>
        <w:rPr>
          <w:rFonts w:ascii="Courier New" w:cs="Courier New" w:eastAsia="Courier New" w:hAnsi="Courier New"/>
          <w:sz w:val="16"/>
          <w:szCs w:val="16"/>
          <w:color w:val="auto"/>
        </w:rPr>
        <w:t>and 1994 (Unaudited)</w:t>
      </w:r>
      <w:r>
        <w:rPr>
          <w:sz w:val="20"/>
          <w:szCs w:val="20"/>
          <w:color w:val="auto"/>
        </w:rPr>
        <w:tab/>
      </w:r>
      <w:r>
        <w:rPr>
          <w:rFonts w:ascii="Courier New" w:cs="Courier New" w:eastAsia="Courier New" w:hAnsi="Courier New"/>
          <w:sz w:val="16"/>
          <w:szCs w:val="16"/>
          <w:color w:val="auto"/>
        </w:rPr>
        <w:t>4</w:t>
      </w:r>
    </w:p>
    <w:p>
      <w:pPr>
        <w:spacing w:after="0" w:line="18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Notes to Condensed Consolidated</w:t>
      </w:r>
    </w:p>
    <w:p>
      <w:pPr>
        <w:spacing w:after="0" w:line="1" w:lineRule="exact"/>
        <w:rPr>
          <w:sz w:val="24"/>
          <w:szCs w:val="24"/>
          <w:color w:val="auto"/>
        </w:rPr>
      </w:pPr>
    </w:p>
    <w:p>
      <w:pPr>
        <w:ind w:left="1803"/>
        <w:spacing w:after="0"/>
        <w:tabs>
          <w:tab w:leader="dot" w:pos="6783"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6"/>
          <w:szCs w:val="16"/>
          <w:color w:val="auto"/>
        </w:rPr>
        <w:t>5 - 12</w:t>
      </w:r>
    </w:p>
    <w:p>
      <w:pPr>
        <w:spacing w:after="0" w:line="183" w:lineRule="exact"/>
        <w:rPr>
          <w:sz w:val="24"/>
          <w:szCs w:val="24"/>
          <w:color w:val="auto"/>
        </w:rPr>
      </w:pPr>
    </w:p>
    <w:p>
      <w:pPr>
        <w:ind w:left="943"/>
        <w:spacing w:after="0"/>
        <w:tabs>
          <w:tab w:leader="none" w:pos="178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of Financial Condition and Results of</w:t>
      </w:r>
    </w:p>
    <w:p>
      <w:pPr>
        <w:spacing w:after="0" w:line="1" w:lineRule="exact"/>
        <w:rPr>
          <w:sz w:val="24"/>
          <w:szCs w:val="24"/>
          <w:color w:val="auto"/>
        </w:rPr>
      </w:pPr>
    </w:p>
    <w:p>
      <w:pPr>
        <w:ind w:left="1803"/>
        <w:spacing w:after="0"/>
        <w:tabs>
          <w:tab w:leader="dot" w:pos="6703"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5"/>
          <w:szCs w:val="15"/>
          <w:color w:val="auto"/>
        </w:rPr>
        <w:t>13 - 22</w:t>
      </w:r>
    </w:p>
    <w:p>
      <w:pPr>
        <w:spacing w:after="0" w:line="183" w:lineRule="exact"/>
        <w:rPr>
          <w:sz w:val="24"/>
          <w:szCs w:val="24"/>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4"/>
          <w:szCs w:val="24"/>
          <w:color w:val="auto"/>
        </w:rPr>
      </w:pPr>
    </w:p>
    <w:p>
      <w:pPr>
        <w:ind w:left="943"/>
        <w:spacing w:after="0"/>
        <w:tabs>
          <w:tab w:leader="none" w:pos="1783" w:val="left"/>
          <w:tab w:leader="dot" w:pos="7163" w:val="left"/>
        </w:tabs>
        <w:rPr>
          <w:sz w:val="20"/>
          <w:szCs w:val="20"/>
          <w:color w:val="auto"/>
        </w:rPr>
      </w:pPr>
      <w:r>
        <w:rPr>
          <w:rFonts w:ascii="Courier New" w:cs="Courier New" w:eastAsia="Courier New" w:hAnsi="Courier New"/>
          <w:sz w:val="16"/>
          <w:szCs w:val="16"/>
          <w:color w:val="auto"/>
        </w:rPr>
        <w:t>Item 1.</w:t>
        <w:tab/>
        <w:t>Legal Proceedings</w:t>
      </w:r>
      <w:r>
        <w:rPr>
          <w:sz w:val="20"/>
          <w:szCs w:val="20"/>
          <w:color w:val="auto"/>
        </w:rPr>
        <w:tab/>
      </w:r>
      <w:r>
        <w:rPr>
          <w:rFonts w:ascii="Courier New" w:cs="Courier New" w:eastAsia="Courier New" w:hAnsi="Courier New"/>
          <w:sz w:val="16"/>
          <w:szCs w:val="16"/>
          <w:color w:val="auto"/>
        </w:rPr>
        <w:t>23</w:t>
      </w:r>
    </w:p>
    <w:p>
      <w:pPr>
        <w:spacing w:after="0" w:line="183" w:lineRule="exact"/>
        <w:rPr>
          <w:sz w:val="24"/>
          <w:szCs w:val="24"/>
          <w:color w:val="auto"/>
        </w:rPr>
      </w:pPr>
    </w:p>
    <w:p>
      <w:pPr>
        <w:ind w:left="943"/>
        <w:spacing w:after="0"/>
        <w:tabs>
          <w:tab w:leader="none" w:pos="1783" w:val="left"/>
          <w:tab w:leader="dot" w:pos="7163" w:val="left"/>
        </w:tabs>
        <w:rPr>
          <w:sz w:val="20"/>
          <w:szCs w:val="20"/>
          <w:color w:val="auto"/>
        </w:rPr>
      </w:pPr>
      <w:r>
        <w:rPr>
          <w:rFonts w:ascii="Courier New" w:cs="Courier New" w:eastAsia="Courier New" w:hAnsi="Courier New"/>
          <w:sz w:val="16"/>
          <w:szCs w:val="16"/>
          <w:color w:val="auto"/>
        </w:rPr>
        <w:t>Item 6.</w:t>
        <w:tab/>
        <w:t>Exhibits and Reports on Form 8-K</w:t>
      </w:r>
      <w:r>
        <w:rPr>
          <w:sz w:val="20"/>
          <w:szCs w:val="20"/>
          <w:color w:val="auto"/>
        </w:rPr>
        <w:tab/>
      </w:r>
      <w:r>
        <w:rPr>
          <w:rFonts w:ascii="Courier New" w:cs="Courier New" w:eastAsia="Courier New" w:hAnsi="Courier New"/>
          <w:sz w:val="16"/>
          <w:szCs w:val="16"/>
          <w:color w:val="auto"/>
        </w:rPr>
        <w:t>23</w:t>
      </w:r>
    </w:p>
    <w:p>
      <w:pPr>
        <w:sectPr>
          <w:pgSz w:w="11900" w:h="16838" w:orient="portrait"/>
          <w:cols w:equalWidth="0" w:num="1">
            <w:col w:w="10222"/>
          </w:cols>
          <w:pgMar w:left="237" w:top="235" w:right="1440" w:bottom="58" w:gutter="0" w:footer="0" w:header="0"/>
          <w:type w:val="continuous"/>
        </w:sectPr>
      </w:pPr>
    </w:p>
    <w:bookmarkStart w:id="1" w:name="page2"/>
    <w:bookmarkEnd w:id="1"/>
    <w:p>
      <w:pPr>
        <w:spacing w:after="0"/>
        <w:tabs>
          <w:tab w:leader="none" w:pos="1783" w:val="left"/>
          <w:tab w:leader="dot" w:pos="7163"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9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September 30,</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1995</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$616,490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$335,320</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Short-term investments, at cost which approximates fair value.........</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211,943</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130,134</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of $83,993 and $11,272............................................</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336,559</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108,245</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Inventories, net......................................................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223,938</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18,553</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Prepaid charges and other.............................................</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42,819</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16,254</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Deferred income taxes.................................................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59,786</w:t>
            </w:r>
          </w:p>
        </w:tc>
        <w:tc>
          <w:tcPr>
            <w:tcW w:w="184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Total current assets..............................................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1,491,535</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608,506</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INVESTMENTS, principally in affiliates....................................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898,859</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797,075</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2,447,011</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2,081,256</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Accumulated depreciation..............................................</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(892,893)</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(823,570)</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Property and equipment, net...........................................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1,554,118</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1,257,686</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DEFERRED CHARGES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6,384,900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4,945,613</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Accumulated amortization..............................................</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(1,092,035)</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(845,896)</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Deferred charges, net.................................................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5,292,865</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4,099,717</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$9,237,377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$6,762,984</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DEFICIENCY</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Accounts payable and accrued expenses.................................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$801,267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$402,869</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Accrued interest......................................................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73,420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60,219</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Subscribers' advance payments and other...............................</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22,322</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14,637</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Current portion of long-term debt.....................................</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249,058</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182,913</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Total current liabilities.........................................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1,146,067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660,638</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6,619,495</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4,810,541</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TAXES....................................................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1,520,200</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1,390,849</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 AND OTHER...............................................</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703,932</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627,745</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64"/>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DEFICIENCY</w:t>
            </w:r>
          </w:p>
        </w:tc>
        <w:tc>
          <w:tcPr>
            <w:tcW w:w="2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Class A Special Common Stock, $1 par value - authorized, 500,000,000</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1520" w:type="dxa"/>
            <w:vAlign w:val="bottom"/>
          </w:tcPr>
          <w:p>
            <w:pPr>
              <w:ind w:left="760"/>
              <w:spacing w:after="0"/>
              <w:rPr>
                <w:sz w:val="20"/>
                <w:szCs w:val="20"/>
                <w:color w:val="auto"/>
              </w:rPr>
            </w:pPr>
            <w:r>
              <w:rPr>
                <w:rFonts w:ascii="Courier New" w:cs="Courier New" w:eastAsia="Courier New" w:hAnsi="Courier New"/>
                <w:sz w:val="16"/>
                <w:szCs w:val="16"/>
                <w:color w:val="auto"/>
              </w:rPr>
              <w:t>shares;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issued, 192,028,651 and 191,230,684......................</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192,029</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191,231</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Class A Common Stock, $1 par value - authorized, 200,000,000</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1520" w:type="dxa"/>
            <w:vAlign w:val="bottom"/>
          </w:tcPr>
          <w:p>
            <w:pPr>
              <w:ind w:left="760"/>
              <w:spacing w:after="0"/>
              <w:rPr>
                <w:sz w:val="20"/>
                <w:szCs w:val="20"/>
                <w:color w:val="auto"/>
              </w:rPr>
            </w:pPr>
            <w:r>
              <w:rPr>
                <w:rFonts w:ascii="Courier New" w:cs="Courier New" w:eastAsia="Courier New" w:hAnsi="Courier New"/>
                <w:sz w:val="16"/>
                <w:szCs w:val="16"/>
                <w:color w:val="auto"/>
              </w:rPr>
              <w:t>shares;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issued, 39,103,350 and 39,019,809........................</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39,103</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39,020</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Class B Common Stock, $1 par value - authorized, 50,000,000</w:t>
            </w:r>
          </w:p>
        </w:tc>
        <w:tc>
          <w:tcPr>
            <w:tcW w:w="2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2"/>
        </w:trPr>
        <w:tc>
          <w:tcPr>
            <w:tcW w:w="1520" w:type="dxa"/>
            <w:vAlign w:val="bottom"/>
          </w:tcPr>
          <w:p>
            <w:pPr>
              <w:ind w:left="760"/>
              <w:spacing w:after="0"/>
              <w:rPr>
                <w:sz w:val="20"/>
                <w:szCs w:val="20"/>
                <w:color w:val="auto"/>
              </w:rPr>
            </w:pPr>
            <w:r>
              <w:rPr>
                <w:rFonts w:ascii="Courier New" w:cs="Courier New" w:eastAsia="Courier New" w:hAnsi="Courier New"/>
                <w:sz w:val="16"/>
                <w:szCs w:val="16"/>
                <w:color w:val="auto"/>
              </w:rPr>
              <w:t>shares;</w:t>
            </w:r>
          </w:p>
        </w:tc>
        <w:tc>
          <w:tcPr>
            <w:tcW w:w="5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issued, 8,786,250........................................</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8,786</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8,786</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Additional capital....................................................</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884,113</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875,501</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Accumulated deficit...................................................</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(1,881,687)</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(1,827,647)</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Unrealized gains on marketable securities.............................</w:t>
            </w: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21,088</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3,862</w:t>
            </w:r>
          </w:p>
        </w:tc>
      </w:tr>
      <w:tr>
        <w:trPr>
          <w:trHeight w:val="182"/>
        </w:trPr>
        <w:tc>
          <w:tcPr>
            <w:tcW w:w="71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Cumulative translation adjustments....................................</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(15,749)</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(17,542)</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Total stockholders' deficiency....................................</w:t>
            </w:r>
          </w:p>
        </w:tc>
        <w:tc>
          <w:tcPr>
            <w:tcW w:w="21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(752,317)</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(726,789)</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$9,237,377</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$6,762,984</w:t>
            </w:r>
          </w:p>
        </w:tc>
      </w:tr>
      <w:tr>
        <w:trPr>
          <w:trHeight w:val="182"/>
        </w:trPr>
        <w:tc>
          <w:tcPr>
            <w:tcW w:w="15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1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160"/>
          </w:cols>
          <w:pgMar w:left="240" w:top="295" w:right="499" w:bottom="883"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60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46"/>
        </w:trPr>
        <w:tc>
          <w:tcPr>
            <w:tcW w:w="6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COMCAST CORPORATION AND SUBSIDIARIES</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801"/>
              <w:spacing w:after="0"/>
              <w:rPr>
                <w:sz w:val="20"/>
                <w:szCs w:val="20"/>
                <w:color w:val="auto"/>
              </w:rPr>
            </w:pPr>
            <w:r>
              <w:rPr>
                <w:rFonts w:ascii="Courier New" w:cs="Courier New" w:eastAsia="Courier New" w:hAnsi="Courier New"/>
                <w:sz w:val="16"/>
                <w:szCs w:val="16"/>
                <w:color w:val="auto"/>
              </w:rPr>
              <w:t>FORM 10-Q</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QUARTER ENDED SEPTEMBER 30, 1995</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74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701"/>
              <w:spacing w:after="0"/>
              <w:rPr>
                <w:sz w:val="20"/>
                <w:szCs w:val="20"/>
                <w:color w:val="auto"/>
              </w:rPr>
            </w:pPr>
            <w:r>
              <w:rPr>
                <w:rFonts w:ascii="Courier New" w:cs="Courier New" w:eastAsia="Courier New" w:hAnsi="Courier New"/>
                <w:sz w:val="16"/>
                <w:szCs w:val="16"/>
                <w:color w:val="auto"/>
              </w:rPr>
              <w:t>(Unaudited)</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8"/>
        </w:trPr>
        <w:tc>
          <w:tcPr>
            <w:tcW w:w="6040" w:type="dxa"/>
            <w:vAlign w:val="bottom"/>
          </w:tcPr>
          <w:p>
            <w:pPr>
              <w:spacing w:after="0"/>
              <w:rPr>
                <w:sz w:val="24"/>
                <w:szCs w:val="24"/>
                <w:color w:val="auto"/>
              </w:rPr>
            </w:pPr>
          </w:p>
        </w:tc>
        <w:tc>
          <w:tcPr>
            <w:tcW w:w="512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(Amounts in thousands, except per share data)</w:t>
            </w:r>
          </w:p>
        </w:tc>
      </w:tr>
      <w:tr>
        <w:trPr>
          <w:trHeight w:val="182"/>
        </w:trPr>
        <w:tc>
          <w:tcPr>
            <w:tcW w:w="6040" w:type="dxa"/>
            <w:vAlign w:val="bottom"/>
          </w:tcPr>
          <w:p>
            <w:pPr>
              <w:spacing w:after="0"/>
              <w:rPr>
                <w:sz w:val="15"/>
                <w:szCs w:val="15"/>
                <w:color w:val="auto"/>
              </w:rPr>
            </w:pPr>
          </w:p>
        </w:tc>
        <w:tc>
          <w:tcPr>
            <w:tcW w:w="26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Nine Months Ended</w:t>
            </w:r>
          </w:p>
        </w:tc>
        <w:tc>
          <w:tcPr>
            <w:tcW w:w="24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6040" w:type="dxa"/>
            <w:vAlign w:val="bottom"/>
          </w:tcPr>
          <w:p>
            <w:pPr>
              <w:spacing w:after="0"/>
              <w:rPr>
                <w:sz w:val="15"/>
                <w:szCs w:val="15"/>
                <w:color w:val="auto"/>
              </w:rPr>
            </w:pPr>
          </w:p>
        </w:tc>
        <w:tc>
          <w:tcPr>
            <w:tcW w:w="26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c>
          <w:tcPr>
            <w:tcW w:w="24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Service income............................................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$1,381,510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$1,015,087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$478,758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$345,744</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sales from electronic retailing.......................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975,917</w:t>
            </w:r>
          </w:p>
        </w:tc>
        <w:tc>
          <w:tcPr>
            <w:tcW w:w="12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391,491</w:t>
            </w:r>
          </w:p>
        </w:tc>
        <w:tc>
          <w:tcPr>
            <w:tcW w:w="1180" w:type="dxa"/>
            <w:vAlign w:val="bottom"/>
          </w:tcPr>
          <w:p>
            <w:pPr>
              <w:spacing w:after="0"/>
              <w:rPr>
                <w:sz w:val="15"/>
                <w:szCs w:val="15"/>
                <w:color w:val="auto"/>
              </w:rPr>
            </w:pP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2,357,427</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1,015,087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870,249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345,744</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576,543</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304,697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209,186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103,225</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584,615</w:t>
            </w:r>
          </w:p>
        </w:tc>
        <w:tc>
          <w:tcPr>
            <w:tcW w:w="12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234,369</w:t>
            </w: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Selling, general and administrative.......................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451,695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274,192</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162,550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96,394</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534,675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243,309</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147,632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82,815</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2,147,528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822,198</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753,737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282,434</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OPERATING INCOME..............................................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209,899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192,889</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116,512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63,310</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388,367</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228,464</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137,816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75,712</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Investment income.........................................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(216,827)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(15,094)</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(51,403)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(4,991)</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in net losses of affiliates........................</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63,534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29,417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25,628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10,902</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Minority interest and other...............................</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(25,770)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(3,498)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(12,011)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209,304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239,289</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100,030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81,542</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 EXPENSE (BENEFIT)</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AND EXTRAORDINARY ITEMS...................................</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(46,400)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16,482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(18,232)</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INCOME TAX EXPENSE (BENEFIT)..................................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32,470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(621)</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18,435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(986)</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LOSS BEFORE 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(31,875)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(45,779)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(1,953)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(17,246)</w:t>
            </w:r>
          </w:p>
        </w:tc>
      </w:tr>
      <w:tr>
        <w:trPr>
          <w:trHeight w:val="364"/>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(5,407)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(11,703)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(5,407)</w:t>
            </w:r>
          </w:p>
        </w:tc>
        <w:tc>
          <w:tcPr>
            <w:tcW w:w="1180" w:type="dxa"/>
            <w:vAlign w:val="bottom"/>
          </w:tcPr>
          <w:p>
            <w:pPr>
              <w:spacing w:after="0"/>
              <w:rPr>
                <w:sz w:val="24"/>
                <w:szCs w:val="24"/>
                <w:color w:val="auto"/>
              </w:rPr>
            </w:pP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NET LOSS......................................................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(37,282)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(57,482)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(7,360)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(17,246)</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Beginning of period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(1,827,647)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(1,717,931)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(1,868,738)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(1,769,723)</w:t>
            </w:r>
          </w:p>
        </w:tc>
      </w:tr>
      <w:tr>
        <w:trPr>
          <w:trHeight w:val="182"/>
        </w:trPr>
        <w:tc>
          <w:tcPr>
            <w:tcW w:w="604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Dividends declared - $.0700, $.0700, $.0233</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and $.0233 per share..................................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(16,758)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(17,121)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(5,589)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(5,565)</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End of period.............................................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($1,881,687)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($1,792,534)</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($1,881,687)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($1,792,534)</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PER SHARE</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Loss before 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Extraordinary items.......................................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spacing w:after="0"/>
              <w:rPr>
                <w:sz w:val="15"/>
                <w:szCs w:val="15"/>
                <w:color w:val="auto"/>
              </w:rPr>
            </w:pP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Loss..............................................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 OUTSTANDING DURING THE PERIOD......................</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239,634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235,383</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239,819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238,854</w:t>
            </w:r>
          </w:p>
        </w:tc>
      </w:tr>
      <w:tr>
        <w:trPr>
          <w:trHeight w:val="182"/>
        </w:trPr>
        <w:tc>
          <w:tcPr>
            <w:tcW w:w="60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160"/>
          </w:cols>
          <w:pgMar w:left="240" w:top="295"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546"/>
        </w:trPr>
        <w:tc>
          <w:tcPr>
            <w:tcW w:w="718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80" w:type="dxa"/>
            <w:vAlign w:val="bottom"/>
          </w:tcPr>
          <w:p>
            <w:pPr>
              <w:jc w:val="right"/>
              <w:ind w:right="2941"/>
              <w:spacing w:after="0"/>
              <w:rPr>
                <w:sz w:val="20"/>
                <w:szCs w:val="20"/>
                <w:color w:val="auto"/>
              </w:rPr>
            </w:pPr>
            <w:r>
              <w:rPr>
                <w:rFonts w:ascii="Courier New" w:cs="Courier New" w:eastAsia="Courier New" w:hAnsi="Courier New"/>
                <w:sz w:val="16"/>
                <w:szCs w:val="16"/>
                <w:color w:val="auto"/>
              </w:rPr>
              <w:t>FORM 10-Q</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QUARTER ENDED SEPTEMBER 30, 1995</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CONDENSED CONSOLIDATED STATEMENT OF CASH FLOWS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(Unaudited)</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728"/>
        </w:trPr>
        <w:tc>
          <w:tcPr>
            <w:tcW w:w="7180" w:type="dxa"/>
            <w:vAlign w:val="bottom"/>
          </w:tcPr>
          <w:p>
            <w:pPr>
              <w:spacing w:after="0"/>
              <w:rPr>
                <w:sz w:val="24"/>
                <w:szCs w:val="24"/>
                <w:color w:val="auto"/>
              </w:rPr>
            </w:pPr>
          </w:p>
        </w:tc>
        <w:tc>
          <w:tcPr>
            <w:tcW w:w="3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7180" w:type="dxa"/>
            <w:vAlign w:val="bottom"/>
          </w:tcPr>
          <w:p>
            <w:pPr>
              <w:spacing w:after="0"/>
              <w:rPr>
                <w:sz w:val="15"/>
                <w:szCs w:val="15"/>
                <w:color w:val="auto"/>
              </w:rPr>
            </w:pPr>
          </w:p>
        </w:tc>
        <w:tc>
          <w:tcPr>
            <w:tcW w:w="39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2"/>
        </w:trPr>
        <w:tc>
          <w:tcPr>
            <w:tcW w:w="7180" w:type="dxa"/>
            <w:vAlign w:val="bottom"/>
          </w:tcPr>
          <w:p>
            <w:pPr>
              <w:spacing w:after="0"/>
              <w:rPr>
                <w:sz w:val="15"/>
                <w:szCs w:val="15"/>
                <w:color w:val="auto"/>
              </w:rPr>
            </w:pPr>
          </w:p>
        </w:tc>
        <w:tc>
          <w:tcPr>
            <w:tcW w:w="2080" w:type="dxa"/>
            <w:vAlign w:val="bottom"/>
          </w:tcPr>
          <w:p>
            <w:pPr>
              <w:ind w:left="660"/>
              <w:spacing w:after="0"/>
              <w:rPr>
                <w:sz w:val="20"/>
                <w:szCs w:val="20"/>
                <w:color w:val="auto"/>
              </w:rPr>
            </w:pPr>
            <w:r>
              <w:rPr>
                <w:rFonts w:ascii="Courier New" w:cs="Courier New" w:eastAsia="Courier New" w:hAnsi="Courier New"/>
                <w:sz w:val="16"/>
                <w:szCs w:val="16"/>
                <w:color w:val="auto"/>
              </w:rPr>
              <w:t>1995</w:t>
            </w: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7180" w:type="dxa"/>
            <w:vAlign w:val="bottom"/>
          </w:tcPr>
          <w:p>
            <w:pPr>
              <w:spacing w:after="0"/>
              <w:rPr>
                <w:sz w:val="15"/>
                <w:szCs w:val="15"/>
                <w:color w:val="auto"/>
              </w:rPr>
            </w:pPr>
          </w:p>
        </w:tc>
        <w:tc>
          <w:tcPr>
            <w:tcW w:w="208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loss..............................................................</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($37,282)</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($57,482)</w:t>
            </w: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Noncash items included in net loss: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Depreciation and amortization.....................................</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534,675</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243,309</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Interest expense..................................................</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41,403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40,148</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in net losses of affiliates................................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63,534</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29,417</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Gain on sale of division..........................................</w:t>
            </w:r>
          </w:p>
        </w:tc>
        <w:tc>
          <w:tcPr>
            <w:tcW w:w="20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(5,825)</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Gain on sales of long-term investments............................</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(177,202)</w:t>
            </w: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Extraordinary items...............................................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5,407</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11,703</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Deferred income taxes, minority interest and other................</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(34,603)</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8,533</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395,932</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269,803</w:t>
            </w:r>
          </w:p>
        </w:tc>
      </w:tr>
      <w:tr>
        <w:trPr>
          <w:trHeight w:val="364"/>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in accounts receivable, net..................................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(8,282)</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(23,578)</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in inventories, net..........................................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(37,978)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(548)</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in prepaid charges and other.................................</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(16,261)</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(6,531)</w:t>
            </w: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Increase in accounts payable and accrued expenses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and subscribers' advance payments and other.......................</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25,666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21,042</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(decrease) in accrued interest...............................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12,609</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(5,127)</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371,686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255,061</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Borrowings............................................................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3,111,856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142,209</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Retirement and repayment of debt......................................</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(1,160,867)</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(470,877)</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Issuance of common stock, net.........................................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2,726</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3,198</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Issuance of common stock of a subsidiary, net.........................</w:t>
            </w:r>
          </w:p>
        </w:tc>
        <w:tc>
          <w:tcPr>
            <w:tcW w:w="2080" w:type="dxa"/>
            <w:vAlign w:val="bottom"/>
          </w:tcPr>
          <w:p>
            <w:pPr>
              <w:spacing w:after="0"/>
              <w:rPr>
                <w:sz w:val="15"/>
                <w:szCs w:val="15"/>
                <w:color w:val="auto"/>
              </w:rPr>
            </w:pP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209,394</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contribution to a subsidiary...................................</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6,556</w:t>
            </w: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Dividends.............................................................</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(16,758)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(17,121)</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(22,146)</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(15,092)</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1,921,367</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(148,289)</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Acquisitions, net of cash acquired....................................</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1,371,074</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22,189</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Purchases (sales) of short-term investments, net......................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81,809</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(320,888)</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Increase in investments, principally in affiliates....................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457,984</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61,565</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Proceeds from sales of long-term investments..........................</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(400,749)</w:t>
            </w:r>
          </w:p>
        </w:tc>
        <w:tc>
          <w:tcPr>
            <w:tcW w:w="1900" w:type="dxa"/>
            <w:vAlign w:val="bottom"/>
          </w:tcPr>
          <w:p>
            <w:pPr>
              <w:spacing w:after="0"/>
              <w:rPr>
                <w:sz w:val="15"/>
                <w:szCs w:val="15"/>
                <w:color w:val="auto"/>
              </w:rPr>
            </w:pP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Additions to property and equipment...................................</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476,571</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171,158</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Proceeds from sale of division........................................</w:t>
            </w:r>
          </w:p>
        </w:tc>
        <w:tc>
          <w:tcPr>
            <w:tcW w:w="20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(28,183)</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25,194</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21,955</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cash used in (provided by) investing activities...........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2,011,883</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(72,204)</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INCREASE IN CASH AND CASH EQUIVALENTS....................................</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281,170</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178,976</w:t>
            </w:r>
          </w:p>
        </w:tc>
      </w:tr>
      <w:tr>
        <w:trPr>
          <w:trHeight w:val="364"/>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335,320</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160,434</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$616,490</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$339,410</w:t>
            </w:r>
          </w:p>
        </w:tc>
      </w:tr>
      <w:tr>
        <w:trPr>
          <w:trHeight w:val="182"/>
        </w:trPr>
        <w:tc>
          <w:tcPr>
            <w:tcW w:w="718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160"/>
          </w:cols>
          <w:pgMar w:left="240" w:top="295" w:right="499" w:bottom="1440" w:gutter="0" w:footer="0" w:header="0"/>
        </w:sectPr>
      </w:pPr>
    </w:p>
    <w:bookmarkStart w:id="5" w:name="page6"/>
    <w:bookmarkEnd w:id="5"/>
    <w:p>
      <w:pPr>
        <w:ind w:left="3"/>
        <w:spacing w:after="0"/>
        <w:rPr>
          <w:sz w:val="20"/>
          <w:szCs w:val="20"/>
          <w:color w:val="auto"/>
        </w:rPr>
      </w:pPr>
      <w:r>
        <w:rPr>
          <w:rFonts w:ascii="Courier New" w:cs="Courier New" w:eastAsia="Courier New" w:hAnsi="Courier New"/>
          <w:sz w:val="16"/>
          <w:szCs w:val="16"/>
          <w:color w:val="auto"/>
        </w:rPr>
        <w:t>5</w:t>
      </w:r>
    </w:p>
    <w:p>
      <w:pPr>
        <w:spacing w:after="0" w:line="36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4"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condensed consolidated balance sheet at December 31, 1994 has been condensed from the audited balance sheet at that date. The condensed consolidated balance sheet at September 30, 1995, the condensed consolidated statement of operations and accumulated deficit for the nine and three months ended September 30, 1995 and 1994 and the condensed consolidated statement of cash flows for the nine months ended September 30, 1995 and 1994 have been prepared by Comcast Corporation (the "Company") and have not been audited by the Company's Independent Auditors. In the opinion of management, all adjustments (which include only normal recurring adjustments and the adjustment described in Note 3) necessary to present fairly the financial position, results of operations and cash flows at September 30, 1995 and for all periods presented have been made.</w:t>
      </w:r>
    </w:p>
    <w:p>
      <w:pPr>
        <w:spacing w:after="0" w:line="180"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1994 Annual Report on Form 10-K filed with the Securities and Exchange Commission. The results of operations for the periods ended September 30, 1995 are not necessarily indicative of operating results for the full year.</w:t>
      </w:r>
    </w:p>
    <w:p>
      <w:pPr>
        <w:spacing w:after="0" w:line="171"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w:t>
      </w:r>
    </w:p>
    <w:p>
      <w:pPr>
        <w:spacing w:after="0" w:line="4"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 is based on the weighted average number of common shares outstanding during the period. For the nine and three months ended September 30, 1995 and 1994, all of the common stock equivalents have an antidilutive effect on the loss per share and, therefore, have not been used in determining the total weighted average number of common shares outstanding.</w:t>
      </w:r>
    </w:p>
    <w:p>
      <w:pPr>
        <w:spacing w:after="0" w:line="186"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4" w:lineRule="exact"/>
        <w:rPr>
          <w:rFonts w:ascii="Courier New" w:cs="Courier New" w:eastAsia="Courier New" w:hAnsi="Courier New"/>
          <w:sz w:val="16"/>
          <w:szCs w:val="16"/>
          <w:color w:val="auto"/>
        </w:rPr>
      </w:pPr>
    </w:p>
    <w:p>
      <w:pPr>
        <w:jc w:val="both"/>
        <w:ind w:left="463" w:right="265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January 1, 1995, the Company adopted the provisions of Statement of Financial Accounting Standards ("SFAS") No. 121, "Accounting for the Impairment of Long-Lived Assets and for Long-Lived Assets to be Disposed Of." There was no cumulative effect of the adoption of SFAS No. 121.</w:t>
      </w:r>
    </w:p>
    <w:p>
      <w:pPr>
        <w:spacing w:after="0" w:line="173" w:lineRule="exact"/>
        <w:rPr>
          <w:rFonts w:ascii="Courier New" w:cs="Courier New" w:eastAsia="Courier New" w:hAnsi="Courier New"/>
          <w:sz w:val="16"/>
          <w:szCs w:val="16"/>
          <w:color w:val="auto"/>
        </w:rPr>
      </w:pPr>
    </w:p>
    <w:p>
      <w:pPr>
        <w:ind w:left="463"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acquisition of QVC (see Note 3), the Company adopted the following accounting policies:</w:t>
      </w:r>
    </w:p>
    <w:p>
      <w:pPr>
        <w:spacing w:after="0" w:line="183"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consisting primarily of products held for sale, are stated at the lower of cost or market. Cost is determined by the first-in, first-out method.</w:t>
      </w:r>
    </w:p>
    <w:p>
      <w:pPr>
        <w:spacing w:after="0" w:line="184"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and Returns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from electronic retailing are recognized at the time of shipment to customers. An allowance for returned merchandise is provided as a percentage of sales based on historical experience.</w:t>
      </w:r>
    </w:p>
    <w:p>
      <w:pPr>
        <w:spacing w:after="0" w:line="188" w:lineRule="exact"/>
        <w:rPr>
          <w:rFonts w:ascii="Courier New" w:cs="Courier New" w:eastAsia="Courier New" w:hAnsi="Courier New"/>
          <w:sz w:val="16"/>
          <w:szCs w:val="16"/>
          <w:color w:val="auto"/>
        </w:rPr>
      </w:pPr>
    </w:p>
    <w:p>
      <w:pPr>
        <w:ind w:left="463" w:right="5879" w:hanging="463"/>
        <w:spacing w:after="0" w:line="476" w:lineRule="auto"/>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 QVC</w:t>
      </w:r>
    </w:p>
    <w:p>
      <w:pPr>
        <w:spacing w:after="0" w:line="8"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1995, the Company and Tele-Communications, Inc. ("TCI") acquired all of the outstanding stock of QVC, Inc. ("QVC") not previously owned by the Company and TCI (approximately 65% of such shares on a fully diluted basis) for $46, in cash, per share. The total cost of acquiring the outstanding shares of QVC was approximately $1.4 billion. Following the acquisition, the Company and TCI own, through their</w:t>
      </w:r>
    </w:p>
    <w:p>
      <w:pPr>
        <w:sectPr>
          <w:pgSz w:w="11900" w:h="16838" w:orient="portrait"/>
          <w:cols w:equalWidth="0" w:num="1">
            <w:col w:w="10222"/>
          </w:cols>
          <w:pgMar w:left="237" w:top="29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respective subsidiaries, 57.45% and 42.55%, respectively, of QVC. The Company has accounted for the QVC acquisition under the purchase method of accounting and QVC has been consolidated with the Company beginning in February 1995. The allocation of the purchase price to the assets and liabilities of QVC is preliminary pending receipt of a final appraisal.</w:t>
      </w:r>
    </w:p>
    <w:p>
      <w:pPr>
        <w:spacing w:after="0" w:line="189"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189" w:lineRule="exact"/>
        <w:rPr>
          <w:sz w:val="20"/>
          <w:szCs w:val="20"/>
          <w:color w:val="auto"/>
        </w:rPr>
      </w:pPr>
    </w:p>
    <w:p>
      <w:pPr>
        <w:jc w:val="both"/>
        <w:ind w:left="460" w:right="2659"/>
        <w:spacing w:after="0" w:line="237" w:lineRule="auto"/>
        <w:rPr>
          <w:sz w:val="20"/>
          <w:szCs w:val="20"/>
          <w:color w:val="auto"/>
        </w:rPr>
      </w:pPr>
      <w:r>
        <w:rPr>
          <w:rFonts w:ascii="Courier New" w:cs="Courier New" w:eastAsia="Courier New" w:hAnsi="Courier New"/>
          <w:sz w:val="16"/>
          <w:szCs w:val="16"/>
          <w:color w:val="auto"/>
        </w:rPr>
        <w:t>Liberty Media Corporation, a subsidiary of TCI, may, at certain times following February 9, 2000, trigger the exercise of certain exit rights.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Sprint Telecommunications Venture</w:t>
      </w:r>
    </w:p>
    <w:p>
      <w:pPr>
        <w:spacing w:after="0" w:line="186" w:lineRule="exact"/>
        <w:rPr>
          <w:sz w:val="20"/>
          <w:szCs w:val="20"/>
          <w:color w:val="auto"/>
        </w:rPr>
      </w:pPr>
    </w:p>
    <w:p>
      <w:pPr>
        <w:jc w:val="both"/>
        <w:ind w:left="460" w:right="2659"/>
        <w:spacing w:after="0" w:line="256" w:lineRule="auto"/>
        <w:rPr>
          <w:sz w:val="20"/>
          <w:szCs w:val="20"/>
          <w:color w:val="auto"/>
        </w:rPr>
      </w:pPr>
      <w:r>
        <w:rPr>
          <w:rFonts w:ascii="Courier New" w:cs="Courier New" w:eastAsia="Courier New" w:hAnsi="Courier New"/>
          <w:sz w:val="15"/>
          <w:szCs w:val="15"/>
          <w:color w:val="auto"/>
        </w:rPr>
        <w:t>On March 28, 1995, subsidiaries of the Company, TCI, Sprint Corporation ("Sprint") and Cox Communications, Inc. ("Cox") formed several partnerships to engage in the business of providing wireless and wireline telephony</w:t>
      </w:r>
    </w:p>
    <w:p>
      <w:pPr>
        <w:spacing w:after="0" w:line="2"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services. The principal partnership is known as the Sprint Telecommunications Venture ("STV"). The parties have agreed that STV and its affiliated partnerships will be the exclusive vehicles for their respective investments in certain specified telecommunications activities, subject to certain limited exceptions. STV and the parties will cross-promote telecommunications products and services using the "Sprint" brand name with cable services and products branded by Cox, TCI or the Company in their cable television systems. A partnership owned entirely by subsidiaries of the Company, known as Comcast Telephony Services, owns 15% of STV and, indirectly, each of STV's affiliated partnerships.</w:t>
      </w:r>
    </w:p>
    <w:p>
      <w:pPr>
        <w:spacing w:after="0" w:line="174"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STV will engage in the business of providing wireless communications services, primarily personal communication services ("PCS"), through a partnership known as WirelessCo. Through WirelessCo, the partners propose to create and operate a seamless, integrated, nationwide wireless communications network. During the term of a trademark license from an affiliate of Sprint, WirelessCo's services will be marketed under the "Sprint" brand name.</w:t>
      </w:r>
    </w:p>
    <w:p>
      <w:pPr>
        <w:spacing w:after="0" w:line="192"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WirelessCo was the successful bidder for 29 PCS licenses in the auction conducted by the Federal Communications Commission ("FCC") from December 1994 through mid-March 1995. The purchase price for the licenses was approximately $2.11 billion, all of which has been paid to the FCC. WirelessCo may also elect to bid in subsequent auctions for PCS licenses. In addition, WirelessCo has and may continue to invest in other entities that hold PCS licenses, may acquire PCS licenses from other license holders and may affiliate with other license holders.</w:t>
      </w:r>
    </w:p>
    <w:p>
      <w:pPr>
        <w:spacing w:after="0" w:line="187"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STV will also engage in the business of providing local wireline telephone service for both business and residential customers, primarily through the cable networks of cable television operators that affiliate with the partnership in exchange for agreed upon compensation. Cox, TCI and the Company have agreed to affiliate their cable systems with STV to the extent that their systems are located in markets designated in STV's business plan. The offering of local wireline telephone services by the partnership will require the removal of regulatory and legislative barriers to local telephone competition.</w:t>
      </w:r>
    </w:p>
    <w:p>
      <w:pPr>
        <w:spacing w:after="0" w:line="188" w:lineRule="exact"/>
        <w:rPr>
          <w:sz w:val="20"/>
          <w:szCs w:val="20"/>
          <w:color w:val="auto"/>
        </w:rPr>
      </w:pPr>
    </w:p>
    <w:p>
      <w:pPr>
        <w:jc w:val="both"/>
        <w:ind w:left="460" w:right="2659"/>
        <w:spacing w:after="0"/>
        <w:rPr>
          <w:sz w:val="20"/>
          <w:szCs w:val="20"/>
          <w:color w:val="auto"/>
        </w:rPr>
      </w:pPr>
      <w:r>
        <w:rPr>
          <w:rFonts w:ascii="Courier New" w:cs="Courier New" w:eastAsia="Courier New" w:hAnsi="Courier New"/>
          <w:sz w:val="16"/>
          <w:szCs w:val="16"/>
          <w:color w:val="auto"/>
        </w:rPr>
        <w:t>The STV partners intend that the partnership will succeed to the business currently conducted by Cox, TCI and the Company, together with Continental Cablevision, Inc. ("Continental"), through Teleport Communications Group Inc. and TCG Partners (collectively, "TCG"). TCG is one of the largest competitive access providers in the United States. Pursuant to a contribution agreement entered into on March 28, 1995, Cox, TCI and the Company have agreed, subject to the satisfaction of certain conditions, to contribute to STV their respective</w:t>
      </w:r>
    </w:p>
    <w:p>
      <w:pPr>
        <w:sectPr>
          <w:pgSz w:w="11900" w:h="16838" w:orient="portrait"/>
          <w:cols w:equalWidth="0" w:num="1">
            <w:col w:w="10219"/>
          </w:cols>
          <w:pgMar w:left="240" w:top="29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interests in TCG and in various local joint ventures among local cable operators and TCG. Such contributions will be subject to the receipt of necessary regulatory approvals and the satisfaction of other conditions. In addition, the cable partners intend to negotiate with Continental, which owns that portion of TCG that is not owned by Cox, TCI or the Company, regarding the acquisition of its interest by such cable partners.</w:t>
      </w:r>
    </w:p>
    <w:p>
      <w:pPr>
        <w:spacing w:after="0" w:line="177" w:lineRule="exact"/>
        <w:rPr>
          <w:sz w:val="20"/>
          <w:szCs w:val="20"/>
          <w:color w:val="auto"/>
        </w:rPr>
      </w:pPr>
    </w:p>
    <w:p>
      <w:pPr>
        <w:jc w:val="both"/>
        <w:ind w:left="460" w:right="2659"/>
        <w:spacing w:after="0" w:line="257" w:lineRule="auto"/>
        <w:rPr>
          <w:sz w:val="20"/>
          <w:szCs w:val="20"/>
          <w:color w:val="auto"/>
        </w:rPr>
      </w:pPr>
      <w:r>
        <w:rPr>
          <w:rFonts w:ascii="Courier New" w:cs="Courier New" w:eastAsia="Courier New" w:hAnsi="Courier New"/>
          <w:sz w:val="15"/>
          <w:szCs w:val="15"/>
          <w:color w:val="auto"/>
        </w:rPr>
        <w:t>Subject to agreement upon an initial business plan, the partners have committed to contribute $4.4 billion in cash to STV during the next three years, of which the Company's share would be $660 million, subject to reduction resulting from the method of crediting in-kind contributions to STV by the partners. Of the $660 million funding requirement, the Company has made total cash capital contributions to WirelessCo of approximately $338.8 million through September 30, 1995. The partners' capital contributions to WirelessCo have been principally used to pay for the 29 PCS licenses acquired in the FCC auction and to acquire interests in another entity that holds a PCS license. Additional equity requirements of STV will be funded by the partners through capital contributions to STV in proportion to their ownership interests. The Company anticipates that STV's capital requirements over the next several years will be significant. These requirements are planned to be funded by external financing by STV in addition to capital contributions by the partners. Although it is anticipated that external financing will be available to STV on acceptable terms and conditions, no assurances can be given as to such availability.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Cellular Rebuild</w:t>
      </w:r>
    </w:p>
    <w:p>
      <w:pPr>
        <w:spacing w:after="0" w:line="186"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In 1995, the Company's cellular division purchased approximately $172.0 million of switching and cell site equipment which replaced the existing switching and cell site equipment. The Company completed the rebuild in the third quarter of 1995. In accordance with the provisions of SFAS No. 121, during the first quarter of 1995, the Company charged to its results of operations approximately $110.0 million which represented the difference between the net book value of the equipment replaced and the residual value realized upon its disposal. This charge has been reflected in the Company's condensed consolidated statement of operations and accumulated deficit as a component of depreciation and amortization expense.</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Ocean County</w:t>
      </w:r>
    </w:p>
    <w:p>
      <w:pPr>
        <w:spacing w:after="0" w:line="186" w:lineRule="exact"/>
        <w:rPr>
          <w:sz w:val="20"/>
          <w:szCs w:val="20"/>
          <w:color w:val="auto"/>
        </w:rPr>
      </w:pPr>
    </w:p>
    <w:p>
      <w:pPr>
        <w:jc w:val="both"/>
        <w:ind w:left="460" w:right="2659"/>
        <w:spacing w:after="0" w:line="258" w:lineRule="auto"/>
        <w:rPr>
          <w:sz w:val="20"/>
          <w:szCs w:val="20"/>
          <w:color w:val="auto"/>
        </w:rPr>
      </w:pPr>
      <w:r>
        <w:rPr>
          <w:rFonts w:ascii="Courier New" w:cs="Courier New" w:eastAsia="Courier New" w:hAnsi="Courier New"/>
          <w:sz w:val="15"/>
          <w:szCs w:val="15"/>
          <w:color w:val="auto"/>
        </w:rPr>
        <w:t>In May 1995, the Company completed the initial phase of its exchange agreement with McCaw Cellular Communications, Inc. whereby the Company acquired a 75% interest in the entity that holds the Ocean County, NJ Rural Statistical Area ("RSA") cellular license (the "Ocean County Licensee") in exchange for the Company's Hunterdon County, NJ RSA cellular license and $37.8 million in cash. The Company acquired the remaining 25% interest in the Ocean County Licensee in October 1995 for $17.4 million.</w:t>
      </w:r>
    </w:p>
    <w:p>
      <w:pPr>
        <w:spacing w:after="0" w:line="17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Nextel</w:t>
      </w:r>
    </w:p>
    <w:p>
      <w:pPr>
        <w:spacing w:after="0" w:line="186"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In April 1995, the Company exercised certain preemptive rights under previously existing agreements with Nextel Communications, Inc. ("Nextel") whereby the Company has elected to purchase approximately 9 million newly issued Nextel shares at $12.25 per share for a total cost of approximately $110 million (the "Nextel Share Purchase Commitment"). The purchase is contingent on the closing of an acquisition transaction by Nextel which is expected to occur in the fourth quarter of 1995.</w:t>
      </w:r>
    </w:p>
    <w:p>
      <w:pPr>
        <w:spacing w:after="0" w:line="192" w:lineRule="exact"/>
        <w:rPr>
          <w:sz w:val="20"/>
          <w:szCs w:val="20"/>
          <w:color w:val="auto"/>
        </w:rPr>
      </w:pPr>
    </w:p>
    <w:p>
      <w:pPr>
        <w:jc w:val="both"/>
        <w:ind w:left="460" w:right="2659"/>
        <w:spacing w:after="0" w:line="239" w:lineRule="auto"/>
        <w:rPr>
          <w:sz w:val="20"/>
          <w:szCs w:val="20"/>
          <w:color w:val="auto"/>
        </w:rPr>
      </w:pPr>
      <w:r>
        <w:rPr>
          <w:rFonts w:ascii="Courier New" w:cs="Courier New" w:eastAsia="Courier New" w:hAnsi="Courier New"/>
          <w:sz w:val="16"/>
          <w:szCs w:val="16"/>
          <w:color w:val="auto"/>
        </w:rPr>
        <w:t>In July 1995, the Company sold 11.3 million shares of Nextel common stock for $212.6 million (the "Nextel Transaction"). As a result of this transaction, the Company recognized a pre-tax gain of $36.2 million in the third quarter of 1995. The Company continues to hold options to acquire 25.0 million shares of Nextel common stock in addition to the Nextel Share Purchase Commitment.</w:t>
      </w:r>
    </w:p>
    <w:p>
      <w:pPr>
        <w:sectPr>
          <w:pgSz w:w="11900" w:h="16838" w:orient="portrait"/>
          <w:cols w:equalWidth="0" w:num="1">
            <w:col w:w="10219"/>
          </w:cols>
          <w:pgMar w:left="240" w:top="295" w:right="1440" w:bottom="1440" w:gutter="0" w:footer="0" w:header="0"/>
        </w:sectPr>
      </w:pPr>
    </w:p>
    <w:bookmarkStart w:id="8" w:name="page9"/>
    <w:bookmarkEnd w:id="8"/>
    <w:p>
      <w:pPr>
        <w:ind w:left="3"/>
        <w:spacing w:after="0"/>
        <w:rPr>
          <w:sz w:val="20"/>
          <w:szCs w:val="20"/>
          <w:color w:val="auto"/>
        </w:rPr>
      </w:pPr>
      <w:r>
        <w:rPr>
          <w:rFonts w:ascii="Courier New" w:cs="Courier New" w:eastAsia="Courier New" w:hAnsi="Courier New"/>
          <w:sz w:val="16"/>
          <w:szCs w:val="16"/>
          <w:color w:val="auto"/>
        </w:rPr>
        <w:t>8</w:t>
      </w:r>
    </w:p>
    <w:p>
      <w:pPr>
        <w:spacing w:after="0" w:line="364" w:lineRule="exact"/>
        <w:rPr>
          <w:sz w:val="20"/>
          <w:szCs w:val="20"/>
          <w:color w:val="auto"/>
        </w:rPr>
      </w:pPr>
    </w:p>
    <w:p>
      <w:pPr>
        <w:jc w:val="center"/>
        <w:ind w:right="293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937"/>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2937"/>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7"/>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E.W. Scripps</w:t>
      </w:r>
    </w:p>
    <w:p>
      <w:pPr>
        <w:spacing w:after="0" w:line="186" w:lineRule="exact"/>
        <w:rPr>
          <w:sz w:val="20"/>
          <w:szCs w:val="20"/>
          <w:color w:val="auto"/>
        </w:rPr>
      </w:pPr>
    </w:p>
    <w:p>
      <w:pPr>
        <w:jc w:val="both"/>
        <w:ind w:left="463" w:right="2940"/>
        <w:spacing w:after="0" w:line="258" w:lineRule="auto"/>
        <w:rPr>
          <w:sz w:val="20"/>
          <w:szCs w:val="20"/>
          <w:color w:val="auto"/>
        </w:rPr>
      </w:pPr>
      <w:r>
        <w:rPr>
          <w:rFonts w:ascii="Courier New" w:cs="Courier New" w:eastAsia="Courier New" w:hAnsi="Courier New"/>
          <w:sz w:val="15"/>
          <w:szCs w:val="15"/>
          <w:color w:val="auto"/>
        </w:rPr>
        <w:t>On October 29, 1995, the Company announced its agreement to purchase the cable television operations of The E.W. Scripps Company ("E.W. Scripps") in exchange for shares of the Company's Class A Special Common Stock worth $1.575 billion, subject to certain adjustments (the "Scripps Transaction"). E.W. Scripps' cable properties, including a pending acquisition, serve approximately 800,000 subscribers, with over 60% of the subscribers located in Sacramento, California and Chattanooga and Knoxville, Tennessee. The purchase is expected to close in the second half of 1996, subject to shareholder and regulatory approval and certain other conditions.</w:t>
      </w:r>
    </w:p>
    <w:p>
      <w:pPr>
        <w:spacing w:after="0" w:line="17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Share Repurchase Program</w:t>
      </w:r>
    </w:p>
    <w:p>
      <w:pPr>
        <w:spacing w:after="0" w:line="186" w:lineRule="exact"/>
        <w:rPr>
          <w:sz w:val="20"/>
          <w:szCs w:val="20"/>
          <w:color w:val="auto"/>
        </w:rPr>
      </w:pPr>
    </w:p>
    <w:p>
      <w:pPr>
        <w:jc w:val="both"/>
        <w:ind w:left="463" w:right="2940"/>
        <w:spacing w:after="0" w:line="239" w:lineRule="auto"/>
        <w:rPr>
          <w:sz w:val="20"/>
          <w:szCs w:val="20"/>
          <w:color w:val="auto"/>
        </w:rPr>
      </w:pPr>
      <w:r>
        <w:rPr>
          <w:rFonts w:ascii="Courier New" w:cs="Courier New" w:eastAsia="Courier New" w:hAnsi="Courier New"/>
          <w:sz w:val="16"/>
          <w:szCs w:val="16"/>
          <w:color w:val="auto"/>
        </w:rPr>
        <w:t>Concurrent with the announcement of the Scripps Transaction, the Company announced that its Board of Directors has authorized the repurchase of up to $500 million of its outstanding publicly held common equity securities. The Company expects any such repurchases to be effected from time to time in the open market or in private transactions, subject to market conditions.</w:t>
      </w:r>
    </w:p>
    <w:p>
      <w:pPr>
        <w:spacing w:after="0" w:line="186"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Pro Forma Results</w:t>
      </w:r>
    </w:p>
    <w:p>
      <w:pPr>
        <w:spacing w:after="0" w:line="186" w:lineRule="exact"/>
        <w:rPr>
          <w:sz w:val="20"/>
          <w:szCs w:val="20"/>
          <w:color w:val="auto"/>
        </w:rPr>
      </w:pPr>
    </w:p>
    <w:p>
      <w:pPr>
        <w:jc w:val="both"/>
        <w:ind w:left="463" w:right="2940"/>
        <w:spacing w:after="0" w:line="258" w:lineRule="auto"/>
        <w:rPr>
          <w:sz w:val="20"/>
          <w:szCs w:val="20"/>
          <w:color w:val="auto"/>
        </w:rPr>
      </w:pPr>
      <w:r>
        <w:rPr>
          <w:rFonts w:ascii="Courier New" w:cs="Courier New" w:eastAsia="Courier New" w:hAnsi="Courier New"/>
          <w:sz w:val="15"/>
          <w:szCs w:val="15"/>
          <w:color w:val="auto"/>
        </w:rPr>
        <w:t>The following pro forma information for the nine and three months ended September 30, 1995 and 1994 has been presented as if the acquisition of QVC occurred at the beginning of each period and the acquisition of Maclean Hunter occurred on January 1, 1994. This unaudited pro forma information is based on historical results of operations, adjusted for acquisition costs, and is not necessarily indicative of what the results would have been had the Company operated the acquired entities since such dates.</w:t>
      </w:r>
    </w:p>
    <w:p>
      <w:pPr>
        <w:spacing w:after="0" w:line="200" w:lineRule="exact"/>
        <w:rPr>
          <w:sz w:val="20"/>
          <w:szCs w:val="20"/>
          <w:color w:val="auto"/>
        </w:rPr>
      </w:pPr>
    </w:p>
    <w:p>
      <w:pPr>
        <w:spacing w:after="0" w:line="336" w:lineRule="exact"/>
        <w:rPr>
          <w:sz w:val="20"/>
          <w:szCs w:val="20"/>
          <w:color w:val="auto"/>
        </w:rPr>
      </w:pPr>
    </w:p>
    <w:tbl>
      <w:tblPr>
        <w:tblLayout w:type="fixed"/>
        <w:tblInd w:w="1323"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(Dollars in thousands, except per share data)</w:t>
            </w:r>
          </w:p>
        </w:tc>
      </w:tr>
      <w:tr>
        <w:trPr>
          <w:trHeight w:val="182"/>
        </w:trPr>
        <w:tc>
          <w:tcPr>
            <w:tcW w:w="3680" w:type="dxa"/>
            <w:vAlign w:val="bottom"/>
          </w:tcPr>
          <w:p>
            <w:pPr>
              <w:spacing w:after="0"/>
              <w:rPr>
                <w:sz w:val="15"/>
                <w:szCs w:val="15"/>
                <w:color w:val="auto"/>
              </w:rPr>
            </w:pPr>
          </w:p>
        </w:tc>
        <w:tc>
          <w:tcPr>
            <w:tcW w:w="32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Nine Months Ended</w:t>
            </w: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3680" w:type="dxa"/>
            <w:vAlign w:val="bottom"/>
          </w:tcPr>
          <w:p>
            <w:pPr>
              <w:spacing w:after="0"/>
              <w:rPr>
                <w:sz w:val="15"/>
                <w:szCs w:val="15"/>
                <w:color w:val="auto"/>
              </w:rPr>
            </w:pPr>
          </w:p>
        </w:tc>
        <w:tc>
          <w:tcPr>
            <w:tcW w:w="32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September 30,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w:t>
            </w:r>
          </w:p>
        </w:tc>
      </w:tr>
      <w:tr>
        <w:trPr>
          <w:trHeight w:val="182"/>
        </w:trPr>
        <w:tc>
          <w:tcPr>
            <w:tcW w:w="3680" w:type="dxa"/>
            <w:vAlign w:val="bottom"/>
          </w:tcPr>
          <w:p>
            <w:pPr>
              <w:spacing w:after="0"/>
              <w:rPr>
                <w:sz w:val="15"/>
                <w:szCs w:val="15"/>
                <w:color w:val="auto"/>
              </w:rPr>
            </w:pP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1995(1)</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1994(1)</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1994(1)</w:t>
            </w:r>
          </w:p>
        </w:tc>
      </w:tr>
      <w:tr>
        <w:trPr>
          <w:trHeight w:val="182"/>
        </w:trPr>
        <w:tc>
          <w:tcPr>
            <w:tcW w:w="3680" w:type="dxa"/>
            <w:vAlign w:val="bottom"/>
          </w:tcPr>
          <w:p>
            <w:pPr>
              <w:spacing w:after="0"/>
              <w:rPr>
                <w:sz w:val="15"/>
                <w:szCs w:val="15"/>
                <w:color w:val="auto"/>
              </w:rPr>
            </w:pP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$2,487,801</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$2,154,514</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$870,249</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$747,858</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Loss before extraordinary items</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(36,668)</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(111,333)</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(1,953)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(36,391)</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(42,075)</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(123,036)</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(7,360)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(36,391)</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bl>
    <w:p>
      <w:pPr>
        <w:spacing w:after="0" w:line="368" w:lineRule="exact"/>
        <w:rPr>
          <w:sz w:val="20"/>
          <w:szCs w:val="20"/>
          <w:color w:val="auto"/>
        </w:rPr>
      </w:pPr>
    </w:p>
    <w:p>
      <w:pPr>
        <w:jc w:val="both"/>
        <w:ind w:left="943" w:right="2940" w:hanging="470"/>
        <w:spacing w:after="0" w:line="239" w:lineRule="auto"/>
        <w:tabs>
          <w:tab w:leader="none" w:pos="94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April 1, 1995, QVC commenced consolidating its United Kingdom ("UK") operations. Pro forma revenues presented above do not reflect revenues relating to QVC's UK operations for periods prior to April 1, 1995.</w:t>
      </w:r>
    </w:p>
    <w:p>
      <w:pPr>
        <w:spacing w:after="0" w:line="200" w:lineRule="exact"/>
        <w:rPr>
          <w:rFonts w:ascii="Courier New" w:cs="Courier New" w:eastAsia="Courier New" w:hAnsi="Courier New"/>
          <w:sz w:val="16"/>
          <w:szCs w:val="16"/>
          <w:color w:val="auto"/>
        </w:rPr>
      </w:pPr>
    </w:p>
    <w:p>
      <w:pPr>
        <w:spacing w:after="0" w:line="347"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6" w:lineRule="exact"/>
        <w:rPr>
          <w:rFonts w:ascii="Courier New" w:cs="Courier New" w:eastAsia="Courier New" w:hAnsi="Courier New"/>
          <w:sz w:val="16"/>
          <w:szCs w:val="16"/>
          <w:color w:val="auto"/>
        </w:rPr>
      </w:pPr>
    </w:p>
    <w:p>
      <w:pPr>
        <w:jc w:val="both"/>
        <w:ind w:left="463" w:right="2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holds unrestricted equity investments in certain publicly traded companies with an historical cost of $104.8 million and $186.6 million as of September 30, 1995 and December 31, 1994, respectively. The Company has recorded these investments (including the Company's investment in Nextel common stock as of December 31, 1994 - see Note 3), which are classified as available for sale, at their estimated fair values of $137.2 million as of September 30, 1995 and $192.6 million as of December 31, 1994. The unrealized pre-tax gains of $32.4 million and $6.0 million, respectively, have been reported in the Company's condensed consolidated balance sheet as decreases in stockholders' deficiency, net of related deferred income taxes.</w:t>
      </w:r>
    </w:p>
    <w:p>
      <w:pPr>
        <w:sectPr>
          <w:pgSz w:w="11900" w:h="16838" w:orient="portrait"/>
          <w:cols w:equalWidth="0" w:num="1">
            <w:col w:w="10503"/>
          </w:cols>
          <w:pgMar w:left="237" w:top="295" w:right="115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9</w:t>
      </w:r>
    </w:p>
    <w:p>
      <w:pPr>
        <w:spacing w:after="0" w:line="364"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0" w:right="3880"/>
        <w:spacing w:after="0" w:line="239" w:lineRule="auto"/>
        <w:rPr>
          <w:sz w:val="20"/>
          <w:szCs w:val="20"/>
          <w:color w:val="auto"/>
        </w:rPr>
      </w:pPr>
      <w:r>
        <w:rPr>
          <w:rFonts w:ascii="Courier New" w:cs="Courier New" w:eastAsia="Courier New" w:hAnsi="Courier New"/>
          <w:sz w:val="16"/>
          <w:szCs w:val="16"/>
          <w:color w:val="auto"/>
        </w:rPr>
        <w:t>In January 1995, the Company exchanged its interest in Heritage Communications, Inc. with TCI for Class A common shares of TCI with a fair market value of approximately $290 million. Shortly thereafter, the Company sold certain of these shares for total proceeds of approximately $188 million which were used to fund, in part, the acquisition of QVC. As a result of these transactions, the Company recognized a pre-tax gain of $141 million in the first quarter of 1995.</w:t>
      </w:r>
    </w:p>
    <w:p>
      <w:pPr>
        <w:spacing w:after="0" w:line="192" w:lineRule="exact"/>
        <w:rPr>
          <w:sz w:val="20"/>
          <w:szCs w:val="20"/>
          <w:color w:val="auto"/>
        </w:rPr>
      </w:pPr>
    </w:p>
    <w:p>
      <w:pPr>
        <w:jc w:val="both"/>
        <w:ind w:left="460" w:right="3880"/>
        <w:spacing w:after="0" w:line="258" w:lineRule="auto"/>
        <w:rPr>
          <w:sz w:val="20"/>
          <w:szCs w:val="20"/>
          <w:color w:val="auto"/>
        </w:rPr>
      </w:pPr>
      <w:r>
        <w:rPr>
          <w:rFonts w:ascii="Courier New" w:cs="Courier New" w:eastAsia="Courier New" w:hAnsi="Courier New"/>
          <w:sz w:val="15"/>
          <w:szCs w:val="15"/>
          <w:color w:val="auto"/>
        </w:rPr>
        <w:t>As a result of the QVC acquisition, the Company commenced consolidating the financial results of QVC, effective February 1, 1995, on a current basis. In the first quarter of 1995, the Company recorded its proportionate interest in QVC's net income for the period from November 1, 1994 through January 31, 1995. Such results were not previously recorded by the Company since QVC was accounted for under the equity method of accounting and its proportionate interest in QVC's results of operations were recorded two months in arrears. The effect of this one-time adjustment was not significant to the Company's results of operations.</w:t>
      </w:r>
    </w:p>
    <w:p>
      <w:pPr>
        <w:spacing w:after="0" w:line="175" w:lineRule="exact"/>
        <w:rPr>
          <w:sz w:val="20"/>
          <w:szCs w:val="20"/>
          <w:color w:val="auto"/>
        </w:rPr>
      </w:pPr>
    </w:p>
    <w:p>
      <w:pPr>
        <w:jc w:val="both"/>
        <w:ind w:left="460" w:right="3880"/>
        <w:spacing w:after="0" w:line="239" w:lineRule="auto"/>
        <w:rPr>
          <w:sz w:val="20"/>
          <w:szCs w:val="20"/>
          <w:color w:val="auto"/>
        </w:rPr>
      </w:pPr>
      <w:r>
        <w:rPr>
          <w:rFonts w:ascii="Courier New" w:cs="Courier New" w:eastAsia="Courier New" w:hAnsi="Courier New"/>
          <w:sz w:val="16"/>
          <w:szCs w:val="16"/>
          <w:color w:val="auto"/>
        </w:rPr>
        <w:t>The difference between the Company's recorded investment and its proportionate interests in the book value of its equity investees' net assets is being amortized to equity in net income or loss, primarily over a period of twenty years, which is consistent with the estimated lives of the underlying assets.</w:t>
      </w:r>
    </w:p>
    <w:p>
      <w:pPr>
        <w:spacing w:after="0" w:line="189" w:lineRule="exact"/>
        <w:rPr>
          <w:sz w:val="20"/>
          <w:szCs w:val="20"/>
          <w:color w:val="auto"/>
        </w:rPr>
      </w:pPr>
    </w:p>
    <w:p>
      <w:pPr>
        <w:jc w:val="both"/>
        <w:ind w:left="460" w:right="3880"/>
        <w:spacing w:after="0" w:line="237" w:lineRule="auto"/>
        <w:rPr>
          <w:sz w:val="20"/>
          <w:szCs w:val="20"/>
          <w:color w:val="auto"/>
        </w:rPr>
      </w:pPr>
      <w:r>
        <w:rPr>
          <w:rFonts w:ascii="Courier New" w:cs="Courier New" w:eastAsia="Courier New" w:hAnsi="Courier New"/>
          <w:sz w:val="16"/>
          <w:szCs w:val="16"/>
          <w:color w:val="auto"/>
        </w:rPr>
        <w:t>Summarized financial information for investments accounted for under the equity method of accounting is as follows (dollars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Three Months</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Nine Months</w:t>
            </w:r>
          </w:p>
        </w:tc>
        <w:tc>
          <w:tcPr>
            <w:tcW w:w="12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6"/>
                <w:szCs w:val="16"/>
                <w:color w:val="auto"/>
                <w:w w:val="98"/>
              </w:rPr>
              <w:t>Three Months</w:t>
            </w:r>
          </w:p>
        </w:tc>
      </w:tr>
      <w:tr>
        <w:trPr>
          <w:trHeight w:val="182"/>
        </w:trPr>
        <w:tc>
          <w:tcPr>
            <w:tcW w:w="416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Ended</w:t>
            </w:r>
          </w:p>
        </w:tc>
        <w:tc>
          <w:tcPr>
            <w:tcW w:w="20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Ended</w:t>
            </w:r>
          </w:p>
        </w:tc>
        <w:tc>
          <w:tcPr>
            <w:tcW w:w="1280" w:type="dxa"/>
            <w:vAlign w:val="bottom"/>
          </w:tcPr>
          <w:p>
            <w:pPr>
              <w:spacing w:after="0"/>
              <w:rPr>
                <w:sz w:val="15"/>
                <w:szCs w:val="15"/>
                <w:color w:val="auto"/>
              </w:rPr>
            </w:pP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4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6"/>
              </w:rPr>
              <w:t>January 31, 1995</w:t>
            </w:r>
          </w:p>
        </w:tc>
        <w:tc>
          <w:tcPr>
            <w:tcW w:w="2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September 30, 1995</w:t>
            </w:r>
          </w:p>
        </w:tc>
        <w:tc>
          <w:tcPr>
            <w:tcW w:w="12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6"/>
                <w:szCs w:val="16"/>
                <w:color w:val="auto"/>
                <w:w w:val="98"/>
              </w:rPr>
              <w:t>September 30, 1995</w:t>
            </w:r>
          </w:p>
        </w:tc>
      </w:tr>
      <w:tr>
        <w:trPr>
          <w:trHeight w:val="182"/>
        </w:trPr>
        <w:tc>
          <w:tcPr>
            <w:tcW w:w="4160" w:type="dxa"/>
            <w:vAlign w:val="bottom"/>
          </w:tcPr>
          <w:p>
            <w:pPr>
              <w:spacing w:after="0"/>
              <w:rPr>
                <w:sz w:val="15"/>
                <w:szCs w:val="15"/>
                <w:color w:val="auto"/>
              </w:rPr>
            </w:pP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QVC</w:t>
            </w:r>
          </w:p>
        </w:tc>
        <w:tc>
          <w:tcPr>
            <w:tcW w:w="20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Other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Combined (1)</w:t>
            </w:r>
          </w:p>
        </w:tc>
        <w:tc>
          <w:tcPr>
            <w:tcW w:w="1740" w:type="dxa"/>
            <w:vAlign w:val="bottom"/>
          </w:tcPr>
          <w:p>
            <w:pPr>
              <w:jc w:val="center"/>
              <w:spacing w:after="0"/>
              <w:rPr>
                <w:sz w:val="20"/>
                <w:szCs w:val="20"/>
                <w:color w:val="auto"/>
              </w:rPr>
            </w:pPr>
            <w:r>
              <w:rPr>
                <w:rFonts w:ascii="Courier New" w:cs="Courier New" w:eastAsia="Courier New" w:hAnsi="Courier New"/>
                <w:sz w:val="16"/>
                <w:szCs w:val="16"/>
                <w:color w:val="auto"/>
                <w:w w:val="98"/>
              </w:rPr>
              <w:t>Combined (1)</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Revenue...................................</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$425,921</w:t>
            </w:r>
          </w:p>
        </w:tc>
        <w:tc>
          <w:tcPr>
            <w:tcW w:w="2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$450,546</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$876,467</w:t>
            </w:r>
          </w:p>
        </w:tc>
        <w:tc>
          <w:tcPr>
            <w:tcW w:w="1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$160,893</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Depreciation and amortization.............</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12,992</w:t>
            </w:r>
          </w:p>
        </w:tc>
        <w:tc>
          <w:tcPr>
            <w:tcW w:w="2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109,006</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121,998</w:t>
            </w:r>
          </w:p>
        </w:tc>
        <w:tc>
          <w:tcPr>
            <w:tcW w:w="1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38,941</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Operating income (loss)...................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58,247</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(163,777)</w:t>
            </w:r>
          </w:p>
        </w:tc>
        <w:tc>
          <w:tcPr>
            <w:tcW w:w="12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(105,530)</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(64,228)</w:t>
            </w:r>
          </w:p>
        </w:tc>
      </w:tr>
      <w:tr>
        <w:trPr>
          <w:trHeight w:val="182"/>
        </w:trPr>
        <w:tc>
          <w:tcPr>
            <w:tcW w:w="4160" w:type="dxa"/>
            <w:vAlign w:val="bottom"/>
          </w:tcPr>
          <w:p>
            <w:pPr>
              <w:ind w:left="760"/>
              <w:spacing w:after="0"/>
              <w:rPr>
                <w:sz w:val="20"/>
                <w:szCs w:val="20"/>
                <w:color w:val="auto"/>
              </w:rPr>
            </w:pPr>
            <w:r>
              <w:rPr>
                <w:rFonts w:ascii="Courier New" w:cs="Courier New" w:eastAsia="Courier New" w:hAnsi="Courier New"/>
                <w:sz w:val="16"/>
                <w:szCs w:val="16"/>
                <w:color w:val="auto"/>
              </w:rPr>
              <w:t>Net income (loss) as reported</w:t>
            </w:r>
          </w:p>
        </w:tc>
        <w:tc>
          <w:tcPr>
            <w:tcW w:w="1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$28,333</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($238,461)</w:t>
            </w:r>
          </w:p>
        </w:tc>
        <w:tc>
          <w:tcPr>
            <w:tcW w:w="12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($210,128)</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($92,587)</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Company's Equity in Net Income (Loss)</w:t>
            </w: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rPr>
              <w:t>Equity in current period net income</w:t>
            </w:r>
          </w:p>
        </w:tc>
        <w:tc>
          <w:tcPr>
            <w:tcW w:w="1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2"/>
        </w:trPr>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rPr>
              <w:t>(loss)..................................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$4,286</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($64,071)</w:t>
            </w:r>
          </w:p>
        </w:tc>
        <w:tc>
          <w:tcPr>
            <w:tcW w:w="12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($59,785)</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($24,101)</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Amortization income (expense).............</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1,194</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(4,943)</w:t>
            </w:r>
          </w:p>
        </w:tc>
        <w:tc>
          <w:tcPr>
            <w:tcW w:w="12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(3,749)</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(1,527)</w:t>
            </w:r>
          </w:p>
        </w:tc>
      </w:tr>
      <w:tr>
        <w:trPr>
          <w:trHeight w:val="182"/>
        </w:trPr>
        <w:tc>
          <w:tcPr>
            <w:tcW w:w="4160" w:type="dxa"/>
            <w:vAlign w:val="bottom"/>
          </w:tcPr>
          <w:p>
            <w:pPr>
              <w:spacing w:after="0"/>
              <w:rPr>
                <w:sz w:val="15"/>
                <w:szCs w:val="15"/>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ind w:left="280"/>
              <w:spacing w:after="0"/>
              <w:rPr>
                <w:sz w:val="20"/>
                <w:szCs w:val="20"/>
                <w:color w:val="auto"/>
              </w:rPr>
            </w:pPr>
            <w:r>
              <w:rPr>
                <w:rFonts w:ascii="Courier New" w:cs="Courier New" w:eastAsia="Courier New" w:hAnsi="Courier New"/>
                <w:sz w:val="16"/>
                <w:szCs w:val="16"/>
                <w:color w:val="auto"/>
                <w:w w:val="95"/>
              </w:rPr>
              <w:t>Total equity in net income (loss).........</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$5,480</w:t>
            </w: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($69,014)</w:t>
            </w:r>
          </w:p>
        </w:tc>
        <w:tc>
          <w:tcPr>
            <w:tcW w:w="12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($63,534)</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($25,628)</w:t>
            </w:r>
          </w:p>
        </w:tc>
      </w:tr>
      <w:tr>
        <w:trPr>
          <w:trHeight w:val="182"/>
        </w:trPr>
        <w:tc>
          <w:tcPr>
            <w:tcW w:w="4160" w:type="dxa"/>
            <w:vAlign w:val="bottom"/>
          </w:tcPr>
          <w:p>
            <w:pPr>
              <w:spacing w:after="0"/>
              <w:rPr>
                <w:sz w:val="15"/>
                <w:szCs w:val="15"/>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909"/>
        </w:trPr>
        <w:tc>
          <w:tcPr>
            <w:tcW w:w="4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September 30, 1995</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2"/>
        </w:trPr>
        <w:tc>
          <w:tcPr>
            <w:tcW w:w="4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Combined (1)</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4"/>
        </w:trPr>
        <w:tc>
          <w:tcPr>
            <w:tcW w:w="5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assets.........................................</w:t>
            </w:r>
          </w:p>
        </w:tc>
        <w:tc>
          <w:tcPr>
            <w:tcW w:w="20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$310,614</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2"/>
        </w:trPr>
        <w:tc>
          <w:tcPr>
            <w:tcW w:w="5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Noncurrent assets......................................</w:t>
            </w:r>
          </w:p>
        </w:tc>
        <w:tc>
          <w:tcPr>
            <w:tcW w:w="20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4,304,352</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2"/>
        </w:trPr>
        <w:tc>
          <w:tcPr>
            <w:tcW w:w="5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liabilities....................................</w:t>
            </w:r>
          </w:p>
        </w:tc>
        <w:tc>
          <w:tcPr>
            <w:tcW w:w="20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262,204</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2"/>
        </w:trPr>
        <w:tc>
          <w:tcPr>
            <w:tcW w:w="5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Noncurrent liabilities.................................</w:t>
            </w:r>
          </w:p>
        </w:tc>
        <w:tc>
          <w:tcPr>
            <w:tcW w:w="20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1,581,365</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r>
    </w:tbl>
    <w:p>
      <w:pPr>
        <w:spacing w:after="0" w:line="186" w:lineRule="exact"/>
        <w:rPr>
          <w:sz w:val="20"/>
          <w:szCs w:val="20"/>
          <w:color w:val="auto"/>
        </w:rPr>
      </w:pPr>
    </w:p>
    <w:p>
      <w:pPr>
        <w:jc w:val="both"/>
        <w:ind w:left="940" w:right="3880" w:hanging="470"/>
        <w:spacing w:after="0" w:line="238" w:lineRule="auto"/>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the results of operations (subsequent to January 31, 1995) and financial position of QVC which was consolidated with the Company beginning in February 1995.</w:t>
      </w:r>
    </w:p>
    <w:p>
      <w:pPr>
        <w:sectPr>
          <w:pgSz w:w="11900" w:h="16838" w:orient="portrait"/>
          <w:cols w:equalWidth="0" w:num="1">
            <w:col w:w="11440"/>
          </w:cols>
          <w:pgMar w:left="240" w:top="295" w:right="219" w:bottom="1440" w:gutter="0" w:footer="0" w:header="0"/>
        </w:sectPr>
      </w:pPr>
    </w:p>
    <w:bookmarkStart w:id="10" w:name="page11"/>
    <w:bookmarkEnd w:id="10"/>
    <w:p>
      <w:pPr>
        <w:ind w:left="3"/>
        <w:spacing w:after="0"/>
        <w:rPr>
          <w:sz w:val="20"/>
          <w:szCs w:val="20"/>
          <w:color w:val="auto"/>
        </w:rPr>
      </w:pPr>
      <w:r>
        <w:rPr>
          <w:rFonts w:ascii="Courier New" w:cs="Courier New" w:eastAsia="Courier New" w:hAnsi="Courier New"/>
          <w:sz w:val="16"/>
          <w:szCs w:val="16"/>
          <w:color w:val="auto"/>
        </w:rPr>
        <w:t>10</w:t>
      </w:r>
    </w:p>
    <w:p>
      <w:pPr>
        <w:spacing w:after="0" w:line="36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(Unaudited)</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28"/>
        </w:trPr>
        <w:tc>
          <w:tcPr>
            <w:tcW w:w="4240" w:type="dxa"/>
            <w:vAlign w:val="bottom"/>
          </w:tcPr>
          <w:p>
            <w:pPr>
              <w:spacing w:after="0"/>
              <w:rPr>
                <w:sz w:val="24"/>
                <w:szCs w:val="24"/>
                <w:color w:val="auto"/>
              </w:rPr>
            </w:pPr>
          </w:p>
        </w:tc>
        <w:tc>
          <w:tcPr>
            <w:tcW w:w="14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Nine Months</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Nine Months</w:t>
            </w:r>
          </w:p>
        </w:tc>
        <w:tc>
          <w:tcPr>
            <w:tcW w:w="1140" w:type="dxa"/>
            <w:vAlign w:val="bottom"/>
          </w:tcPr>
          <w:p>
            <w:pPr>
              <w:spacing w:after="0"/>
              <w:rPr>
                <w:sz w:val="24"/>
                <w:szCs w:val="24"/>
                <w:color w:val="auto"/>
              </w:rPr>
            </w:pPr>
          </w:p>
        </w:tc>
      </w:tr>
      <w:tr>
        <w:trPr>
          <w:trHeight w:val="182"/>
        </w:trPr>
        <w:tc>
          <w:tcPr>
            <w:tcW w:w="4240" w:type="dxa"/>
            <w:vAlign w:val="bottom"/>
          </w:tcPr>
          <w:p>
            <w:pPr>
              <w:spacing w:after="0"/>
              <w:rPr>
                <w:sz w:val="15"/>
                <w:szCs w:val="15"/>
                <w:color w:val="auto"/>
              </w:rPr>
            </w:pPr>
          </w:p>
        </w:tc>
        <w:tc>
          <w:tcPr>
            <w:tcW w:w="14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Ended</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Ended</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July 31, 1994  September 30, 1994</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14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QVC</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Other</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240" w:type="dxa"/>
            <w:vAlign w:val="bottom"/>
          </w:tcPr>
          <w:p>
            <w:pPr>
              <w:jc w:val="right"/>
              <w:ind w:right="1321"/>
              <w:spacing w:after="0"/>
              <w:rPr>
                <w:sz w:val="20"/>
                <w:szCs w:val="20"/>
                <w:color w:val="auto"/>
              </w:rPr>
            </w:pPr>
            <w:r>
              <w:rPr>
                <w:rFonts w:ascii="Courier New" w:cs="Courier New" w:eastAsia="Courier New" w:hAnsi="Courier New"/>
                <w:sz w:val="16"/>
                <w:szCs w:val="16"/>
                <w:color w:val="auto"/>
                <w:w w:val="97"/>
              </w:rPr>
              <w:t>Combined Results of Operations</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Revenue...................................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$972,207</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$248,653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$1,220,860</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31,877</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81,049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112,926</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117,434</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(94,241)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23,193</w:t>
            </w:r>
          </w:p>
        </w:tc>
      </w:tr>
      <w:tr>
        <w:trPr>
          <w:trHeight w:val="182"/>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Net income (loss) as reported</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$26,637</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($123,758)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($97,121)</w:t>
            </w:r>
          </w:p>
        </w:tc>
      </w:tr>
      <w:tr>
        <w:trPr>
          <w:trHeight w:val="364"/>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w w:val="97"/>
              </w:rPr>
              <w:t>Company's Equity in Net Income (Loss)</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Equity in current period net income (loss)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$4,090</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($33,061)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($28,971)</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Amortization income (expense).............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3,694</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(4,140)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(446)</w:t>
            </w:r>
          </w:p>
        </w:tc>
      </w:tr>
      <w:tr>
        <w:trPr>
          <w:trHeight w:val="182"/>
        </w:trPr>
        <w:tc>
          <w:tcPr>
            <w:tcW w:w="42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income (loss).........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$7,784</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($37,201)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($29,417)</w:t>
            </w:r>
          </w:p>
        </w:tc>
      </w:tr>
      <w:tr>
        <w:trPr>
          <w:trHeight w:val="182"/>
        </w:trPr>
        <w:tc>
          <w:tcPr>
            <w:tcW w:w="42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909"/>
        </w:trPr>
        <w:tc>
          <w:tcPr>
            <w:tcW w:w="4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Three Months</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Three Months</w:t>
            </w:r>
          </w:p>
        </w:tc>
        <w:tc>
          <w:tcPr>
            <w:tcW w:w="1140" w:type="dxa"/>
            <w:vAlign w:val="bottom"/>
          </w:tcPr>
          <w:p>
            <w:pPr>
              <w:spacing w:after="0"/>
              <w:rPr>
                <w:sz w:val="24"/>
                <w:szCs w:val="24"/>
                <w:color w:val="auto"/>
              </w:rPr>
            </w:pPr>
          </w:p>
        </w:tc>
      </w:tr>
      <w:tr>
        <w:trPr>
          <w:trHeight w:val="182"/>
        </w:trPr>
        <w:tc>
          <w:tcPr>
            <w:tcW w:w="4240" w:type="dxa"/>
            <w:vAlign w:val="bottom"/>
          </w:tcPr>
          <w:p>
            <w:pPr>
              <w:spacing w:after="0"/>
              <w:rPr>
                <w:sz w:val="15"/>
                <w:szCs w:val="15"/>
                <w:color w:val="auto"/>
              </w:rPr>
            </w:pPr>
          </w:p>
        </w:tc>
        <w:tc>
          <w:tcPr>
            <w:tcW w:w="14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Ended</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Ended</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July 31, 1994  September 30, 1994</w:t>
            </w:r>
          </w:p>
        </w:tc>
        <w:tc>
          <w:tcPr>
            <w:tcW w:w="1140" w:type="dxa"/>
            <w:vAlign w:val="bottom"/>
          </w:tcPr>
          <w:p>
            <w:pPr>
              <w:spacing w:after="0"/>
              <w:rPr>
                <w:sz w:val="15"/>
                <w:szCs w:val="15"/>
                <w:color w:val="auto"/>
              </w:rPr>
            </w:pPr>
          </w:p>
        </w:tc>
      </w:tr>
      <w:tr>
        <w:trPr>
          <w:trHeight w:val="182"/>
        </w:trPr>
        <w:tc>
          <w:tcPr>
            <w:tcW w:w="4240" w:type="dxa"/>
            <w:vAlign w:val="bottom"/>
          </w:tcPr>
          <w:p>
            <w:pPr>
              <w:spacing w:after="0"/>
              <w:rPr>
                <w:sz w:val="15"/>
                <w:szCs w:val="15"/>
                <w:color w:val="auto"/>
              </w:rPr>
            </w:pPr>
          </w:p>
        </w:tc>
        <w:tc>
          <w:tcPr>
            <w:tcW w:w="14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QVC</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Other</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240" w:type="dxa"/>
            <w:vAlign w:val="bottom"/>
          </w:tcPr>
          <w:p>
            <w:pPr>
              <w:jc w:val="right"/>
              <w:ind w:right="1321"/>
              <w:spacing w:after="0"/>
              <w:rPr>
                <w:sz w:val="20"/>
                <w:szCs w:val="20"/>
                <w:color w:val="auto"/>
              </w:rPr>
            </w:pPr>
            <w:r>
              <w:rPr>
                <w:rFonts w:ascii="Courier New" w:cs="Courier New" w:eastAsia="Courier New" w:hAnsi="Courier New"/>
                <w:sz w:val="16"/>
                <w:szCs w:val="16"/>
                <w:color w:val="auto"/>
                <w:w w:val="97"/>
              </w:rPr>
              <w:t>Combined Results of Operations</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Revenue...................................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$303,277</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$89,664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$392,941</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10,616</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29,175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39,791</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 (loss)...................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31,414</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(38,715)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(7,301)</w:t>
            </w:r>
          </w:p>
        </w:tc>
      </w:tr>
      <w:tr>
        <w:trPr>
          <w:trHeight w:val="182"/>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Net income (loss) as reported</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by affiliates......................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$11,728</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($49,135)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($37,407)</w:t>
            </w:r>
          </w:p>
        </w:tc>
      </w:tr>
      <w:tr>
        <w:trPr>
          <w:trHeight w:val="364"/>
        </w:trPr>
        <w:tc>
          <w:tcPr>
            <w:tcW w:w="4240" w:type="dxa"/>
            <w:vAlign w:val="bottom"/>
          </w:tcPr>
          <w:p>
            <w:pPr>
              <w:jc w:val="right"/>
              <w:ind w:right="661"/>
              <w:spacing w:after="0"/>
              <w:rPr>
                <w:sz w:val="20"/>
                <w:szCs w:val="20"/>
                <w:color w:val="auto"/>
              </w:rPr>
            </w:pPr>
            <w:r>
              <w:rPr>
                <w:rFonts w:ascii="Courier New" w:cs="Courier New" w:eastAsia="Courier New" w:hAnsi="Courier New"/>
                <w:sz w:val="16"/>
                <w:szCs w:val="16"/>
                <w:color w:val="auto"/>
                <w:w w:val="97"/>
              </w:rPr>
              <w:t>Company's Equity in Net Income (Loss)</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Equity in current period net income (loss)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$1,807</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($12,555)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($10,748)</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Amortization income (expense).............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1,208</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(1,362)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(154)</w:t>
            </w:r>
          </w:p>
        </w:tc>
      </w:tr>
      <w:tr>
        <w:trPr>
          <w:trHeight w:val="182"/>
        </w:trPr>
        <w:tc>
          <w:tcPr>
            <w:tcW w:w="42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240" w:type="dxa"/>
            <w:vAlign w:val="bottom"/>
          </w:tcPr>
          <w:p>
            <w:pPr>
              <w:jc w:val="right"/>
              <w:spacing w:after="0"/>
              <w:rPr>
                <w:sz w:val="20"/>
                <w:szCs w:val="20"/>
                <w:color w:val="auto"/>
              </w:rPr>
            </w:pPr>
            <w:r>
              <w:rPr>
                <w:rFonts w:ascii="Courier New" w:cs="Courier New" w:eastAsia="Courier New" w:hAnsi="Courier New"/>
                <w:sz w:val="16"/>
                <w:szCs w:val="16"/>
                <w:color w:val="auto"/>
              </w:rPr>
              <w:t>Total equity in net income (loss).........</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$3,015</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($13,917)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($10,902)</w:t>
            </w:r>
          </w:p>
        </w:tc>
      </w:tr>
      <w:tr>
        <w:trPr>
          <w:trHeight w:val="182"/>
        </w:trPr>
        <w:tc>
          <w:tcPr>
            <w:tcW w:w="424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6"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May 16, 1995, the Company issued $250.0 million principal amount of its 9-3/8% senior subordinated debentures due 2005. On October 3, 1995, the Company issued $250.0 million principal amount of its 9-1/8% senior subordinated debentures due 2006. On November 9, 1995, Comcast UK Cable Partners Limited ("Comcast UK"), a subsidiary of the Company, agreed to sell approximately $517.3 million principal amount at maturity of its 11.20% senior discount debentures due 2007 for gross proceeds of approximately $300.0 million in a public offering. Closing of the public offering is anticipated to occur on November 15, 1995.</w:t>
      </w:r>
    </w:p>
    <w:p>
      <w:pPr>
        <w:spacing w:after="0" w:line="187"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incurred debt extinguishment costs totaling $8.3 million during the nine and three months ended September 30, 1995, as a result of refinancing the indebtedness of certain subsidiaries, resulting in the Company recording an extraordinary loss, net of tax, of $5.4 million or $.02 per share.</w:t>
      </w:r>
    </w:p>
    <w:p>
      <w:pPr>
        <w:spacing w:after="0" w:line="188"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these refinancings, as of October 31, 1995, certain of the Company's subsidiaries had unused lines of credit totaling approximately $1.5 billion. Use of these unused lines of credit is restricted to subsidiary debt refinancing, subsidiary general corporate purposes and dividend declaration.</w:t>
      </w:r>
    </w:p>
    <w:p>
      <w:pPr>
        <w:sectPr>
          <w:pgSz w:w="11900" w:h="16838" w:orient="portrait"/>
          <w:cols w:equalWidth="0" w:num="1">
            <w:col w:w="10222"/>
          </w:cols>
          <w:pgMar w:left="237" w:top="295" w:right="1440" w:bottom="1440" w:gutter="0" w:footer="0" w:header="0"/>
        </w:sectPr>
      </w:pPr>
    </w:p>
    <w:bookmarkStart w:id="11" w:name="page12"/>
    <w:bookmarkEnd w:id="11"/>
    <w:p>
      <w:pPr>
        <w:ind w:left="3"/>
        <w:spacing w:after="0"/>
        <w:rPr>
          <w:sz w:val="20"/>
          <w:szCs w:val="20"/>
          <w:color w:val="auto"/>
        </w:rPr>
      </w:pPr>
      <w:r>
        <w:rPr>
          <w:rFonts w:ascii="Courier New" w:cs="Courier New" w:eastAsia="Courier New" w:hAnsi="Courier New"/>
          <w:sz w:val="16"/>
          <w:szCs w:val="16"/>
          <w:color w:val="auto"/>
        </w:rPr>
        <w:t>11</w:t>
      </w:r>
    </w:p>
    <w:p>
      <w:pPr>
        <w:spacing w:after="0" w:line="36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3" w:right="2659"/>
        <w:spacing w:after="0" w:line="259" w:lineRule="auto"/>
        <w:rPr>
          <w:sz w:val="20"/>
          <w:szCs w:val="20"/>
          <w:color w:val="auto"/>
        </w:rPr>
      </w:pPr>
      <w:r>
        <w:rPr>
          <w:rFonts w:ascii="Courier New" w:cs="Courier New" w:eastAsia="Courier New" w:hAnsi="Courier New"/>
          <w:sz w:val="15"/>
          <w:szCs w:val="15"/>
          <w:color w:val="auto"/>
        </w:rPr>
        <w:t>The Company paid premiums and expensed unamortized debt acquisition costs totaling $18.0 million during the nine months ended September 30, 1994, primarily as a result of the redemption of its $150.0 million, 11-7/8% senior subordinated debentures due 2004, resulting in the Company recording an extraordinary loss, net of tax, of $11.7 million or $.05 per share.</w:t>
      </w:r>
    </w:p>
    <w:p>
      <w:pPr>
        <w:spacing w:after="0" w:line="174"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The Company has entered into interest rate protection products to limit the Company's exposure to loss from adverse fluctuations in interest rates. As of September 30, 1995, $815.0 million of the Company's variable rate debt was protected by these products. Such agreements mature on various dates through 1997 and the related differentials to be paid or received are recognized over the terms of the related agreements.</w:t>
      </w:r>
    </w:p>
    <w:p>
      <w:pPr>
        <w:spacing w:after="0" w:line="186"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6"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interest payments of approximately $334.4 million, $193.4 million, $124.3 million and $56.8 million during the nine and three months ended September 30, 1995 and 1994, respectively.</w:t>
      </w:r>
    </w:p>
    <w:p>
      <w:pPr>
        <w:spacing w:after="0" w:line="188"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redeemed its 7% convertible subordinated debentures due 2001 on February 27, 1994 (accreted value of $152.1 million). In connection with such redemption, substantially all of the debentures were converted into 13.5 million shares of Class A Special Common Stock of the Company.</w:t>
      </w:r>
    </w:p>
    <w:p>
      <w:pPr>
        <w:spacing w:after="0" w:line="183"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188"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currently is seeking to justify rates for regulated services in certain of its cable systems in the States of New Jersey and Connecticut on the basis of cost-of-service showings. A settlement has been reached with the State of New Jersey with respect to rates for basic cable services and equipment. The State of Connecticut has ordered the Company to reduce rates for basic cable services and equipment and to make refunds to subscribers. The Connecticut decision has been appealed to the FCC. The Company and the FCC staff have reached agreement, subject to Commission approval, on outstanding cost-of-service rate complaints for cable programming services for systems in the States of New Jersey and Connecticut. The proposed settlement will also resolve outstanding complaints with regard to "benchmark" rate regulation in other systems. Absent legislative, administrative or judicial relief, the FCC regulations will continue to adversely affect the Company's results of operations.</w:t>
      </w:r>
    </w:p>
    <w:p>
      <w:pPr>
        <w:sectPr>
          <w:pgSz w:w="11900" w:h="16838" w:orient="portrait"/>
          <w:cols w:equalWidth="0" w:num="1">
            <w:col w:w="10222"/>
          </w:cols>
          <w:pgMar w:left="237" w:top="295" w:right="1440" w:bottom="1440" w:gutter="0" w:footer="0" w:header="0"/>
        </w:sectPr>
      </w:pPr>
    </w:p>
    <w:bookmarkStart w:id="12" w:name="page13"/>
    <w:bookmarkEnd w:id="12"/>
    <w:p>
      <w:pPr>
        <w:ind w:left="3"/>
        <w:spacing w:after="0"/>
        <w:rPr>
          <w:sz w:val="20"/>
          <w:szCs w:val="20"/>
          <w:color w:val="auto"/>
        </w:rPr>
      </w:pPr>
      <w:r>
        <w:rPr>
          <w:rFonts w:ascii="Courier New" w:cs="Courier New" w:eastAsia="Courier New" w:hAnsi="Courier New"/>
          <w:sz w:val="16"/>
          <w:szCs w:val="16"/>
          <w:color w:val="auto"/>
        </w:rPr>
        <w:t>12</w:t>
      </w:r>
    </w:p>
    <w:p>
      <w:pPr>
        <w:spacing w:after="0" w:line="364"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QUARTER ENDED SEPTEMBER 30, 1995</w:t>
      </w:r>
    </w:p>
    <w:p>
      <w:pPr>
        <w:spacing w:after="0" w:line="1" w:lineRule="exact"/>
        <w:rPr>
          <w:sz w:val="20"/>
          <w:szCs w:val="20"/>
          <w:color w:val="auto"/>
        </w:rPr>
      </w:pPr>
    </w:p>
    <w:p>
      <w:pPr>
        <w:jc w:val="center"/>
        <w:ind w:right="3957"/>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1"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63" w:right="7840" w:hanging="463"/>
        <w:spacing w:after="0" w:line="237" w:lineRule="auto"/>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Domestic</w:t>
            </w:r>
          </w:p>
        </w:tc>
        <w:tc>
          <w:tcPr>
            <w:tcW w:w="1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Cable</w:t>
            </w:r>
          </w:p>
        </w:tc>
        <w:tc>
          <w:tcPr>
            <w:tcW w:w="13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Electronic</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Cellular</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Corporate</w:t>
            </w:r>
          </w:p>
        </w:tc>
        <w:tc>
          <w:tcPr>
            <w:tcW w:w="11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Communications</w:t>
            </w:r>
          </w:p>
        </w:tc>
        <w:tc>
          <w:tcPr>
            <w:tcW w:w="13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Retailing</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Communications</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and Other (1)</w:t>
            </w:r>
          </w:p>
        </w:tc>
        <w:tc>
          <w:tcPr>
            <w:tcW w:w="11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Total</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1995</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$1,078,033</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$975,917</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$274,243</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$29,234</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$2,357,427</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278,862</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61,810</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177,205</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16,798</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534,675</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250,793</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93,266</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(66,469)</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(67,691)</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209,899</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185,371</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55,275</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54,062</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93,659</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388,367</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182,082</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1,325,059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252,290</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88,214</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1,847,645</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affiliates..............................</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(12,143)</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428</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(50,989)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(63,534)</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1995</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$368,453</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$391,491</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$97,830</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$12,475</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$870,249</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95,196</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24,804</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21,981</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5,651</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147,632</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86,759</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34,901</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17,974</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(23,122)</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116,512</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61,467</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20,459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18,485</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37,405</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137,816</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69,395</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7,465</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26,021</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36,731</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139,612</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(5,222)</w:t>
            </w:r>
          </w:p>
        </w:tc>
        <w:tc>
          <w:tcPr>
            <w:tcW w:w="13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(295)</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(19,931)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(25,628)</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As of September 30, 1995</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$4,592,759</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$1,940,826</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$1,237,823</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$1,465,969</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$9,237,377</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2,877,481</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1,013,007</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906,711</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1,822,296</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6,619,495</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1994</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$792,523</w:t>
            </w:r>
          </w:p>
        </w:tc>
        <w:tc>
          <w:tcPr>
            <w:tcW w:w="136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$205,393</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$17,171</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$1,015,087</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166,448</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66,285</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10,576</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243,309</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219,141</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22,994</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(49,246)</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192,889</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109,652</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41,791</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77,021</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228,464</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 and acquisitions.......</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131,811</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46,305</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15,231</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193,347</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affiliates..............................</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(6,364)</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7,784</w:t>
            </w:r>
          </w:p>
        </w:tc>
        <w:tc>
          <w:tcPr>
            <w:tcW w:w="1560" w:type="dxa"/>
            <w:vAlign w:val="bottom"/>
          </w:tcPr>
          <w:p>
            <w:pPr>
              <w:spacing w:after="0"/>
              <w:rPr>
                <w:sz w:val="15"/>
                <w:szCs w:val="15"/>
                <w:color w:val="auto"/>
              </w:rPr>
            </w:pP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(30,837)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(29,417)</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1994</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 ..................................</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$265,901</w:t>
            </w:r>
          </w:p>
        </w:tc>
        <w:tc>
          <w:tcPr>
            <w:tcW w:w="136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$74,407</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$5,436</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$345,744</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56,307</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22,651</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3,857</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82,815</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 ....................</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72,303</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9,101</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(18,094)</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63,310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 ...........................</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36,889</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14,398</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24,425</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75,712</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 and acquisitions ......</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50,773</w:t>
            </w:r>
          </w:p>
        </w:tc>
        <w:tc>
          <w:tcPr>
            <w:tcW w:w="1360" w:type="dxa"/>
            <w:vAlign w:val="bottom"/>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22,077</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7,010</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79,860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affiliates .............................</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(1,877)</w:t>
            </w: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3,015</w:t>
            </w:r>
          </w:p>
        </w:tc>
        <w:tc>
          <w:tcPr>
            <w:tcW w:w="1560" w:type="dxa"/>
            <w:vAlign w:val="bottom"/>
          </w:tcPr>
          <w:p>
            <w:pPr>
              <w:spacing w:after="0"/>
              <w:rPr>
                <w:sz w:val="15"/>
                <w:szCs w:val="15"/>
                <w:color w:val="auto"/>
              </w:rPr>
            </w:pP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(12,040)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(10,902)</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368" w:lineRule="exact"/>
        <w:rPr>
          <w:sz w:val="20"/>
          <w:szCs w:val="20"/>
          <w:color w:val="auto"/>
        </w:rPr>
      </w:pPr>
    </w:p>
    <w:p>
      <w:pPr>
        <w:ind w:left="463" w:right="3960" w:hanging="463"/>
        <w:spacing w:after="0" w:line="237" w:lineRule="auto"/>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certain operating businesses and elimination entries related to the segments presented.</w:t>
      </w:r>
    </w:p>
    <w:p>
      <w:pPr>
        <w:sectPr>
          <w:pgSz w:w="11900" w:h="16838" w:orient="portrait"/>
          <w:cols w:equalWidth="0" w:num="1">
            <w:col w:w="11523"/>
          </w:cols>
          <w:pgMar w:left="237" w:top="295" w:right="13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13</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left="760" w:right="2659" w:hanging="756"/>
        <w:spacing w:after="0" w:line="237" w:lineRule="auto"/>
        <w:rPr>
          <w:sz w:val="20"/>
          <w:szCs w:val="20"/>
          <w:color w:val="auto"/>
        </w:rPr>
      </w:pPr>
      <w:r>
        <w:rPr>
          <w:rFonts w:ascii="Courier New" w:cs="Courier New" w:eastAsia="Courier New" w:hAnsi="Courier New"/>
          <w:sz w:val="16"/>
          <w:szCs w:val="16"/>
          <w:color w:val="auto"/>
        </w:rPr>
        <w:t>ITEM 2. MANAGEMENT'S</w:t>
      </w:r>
      <w:r>
        <w:rPr>
          <w:sz w:val="20"/>
          <w:szCs w:val="20"/>
          <w:color w:val="auto"/>
        </w:rPr>
        <w:t xml:space="preserve"> </w:t>
      </w:r>
      <w:r>
        <w:rPr>
          <w:rFonts w:ascii="Courier New" w:cs="Courier New" w:eastAsia="Courier New" w:hAnsi="Courier New"/>
          <w:sz w:val="16"/>
          <w:szCs w:val="16"/>
          <w:color w:val="auto"/>
        </w:rPr>
        <w:t>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as well as its existing cash and cash equivalents and short-term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w:t>
      </w:r>
    </w:p>
    <w:p>
      <w:pPr>
        <w:spacing w:after="0" w:line="186"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not previously owned by the Company and TCI (approximately 65% of such shares on a fully diluted basis) for $46, in cash, per share. The total cost of acquiring the outstanding shares of QVC was approximately $1.4 billion. Following the acquisition, the Company and TCI own, through their respective subsidiaries, 57.45% and 42.55%, respectively, of QVC. The Company has accounted for the QVC acquisition under the purchase method of accounting and QVC has been consolidated with the Company beginning in February 1995. The allocation of the purchase price to the assets and liabilities of QVC is preliminary pending receipt of a final appraisal.</w:t>
      </w:r>
    </w:p>
    <w:p>
      <w:pPr>
        <w:spacing w:after="0" w:line="174" w:lineRule="exact"/>
        <w:rPr>
          <w:sz w:val="20"/>
          <w:szCs w:val="20"/>
          <w:color w:val="auto"/>
        </w:rPr>
      </w:pPr>
    </w:p>
    <w:p>
      <w:pPr>
        <w:jc w:val="both"/>
        <w:ind w:right="2659"/>
        <w:spacing w:after="0" w:line="260" w:lineRule="auto"/>
        <w:rPr>
          <w:sz w:val="20"/>
          <w:szCs w:val="20"/>
          <w:color w:val="auto"/>
        </w:rPr>
      </w:pPr>
      <w:r>
        <w:rPr>
          <w:rFonts w:ascii="Courier New" w:cs="Courier New" w:eastAsia="Courier New" w:hAnsi="Courier New"/>
          <w:sz w:val="15"/>
          <w:szCs w:val="15"/>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173"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Liberty Media Corporation, a subsidiary of TCI, may, at certain times following February 9, 2000, trigger the exercise of certain exit rights.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Maclean Hunter</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On December 22, 1994, the Company, through Comcast MHCP Holdings, L.L.C. (the "LLC"), acquired the U.S. cable television and alternate access operations of Maclean Hunter Limited ("Maclean Hunter") from Rogers Communications Inc. ("RCI") and all of the outstanding shares of Barden Communications, Inc.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 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ectPr>
          <w:pgSz w:w="11900" w:h="16838" w:orient="portrait"/>
          <w:cols w:equalWidth="0" w:num="1">
            <w:col w:w="10219"/>
          </w:cols>
          <w:pgMar w:left="240" w:top="29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14</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allocation of the purchase price to the assets and liabilities of Maclean Hunter is preliminary pending the final purchase price adjustment between the Company and RCI. The terms of the Maclean Hunter Acquisition provide for, among other things, the indemnification of the Company by RCI for certain liabilities, including tax liabilities, relating to Maclean Hunter prior to the acquisition date.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Sprint Telecommunications Venture</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On March 28, 1995, subsidiaries of the Company, TCI, Sprint Corporation ("Sprint") and Cox Communications, Inc. ("Cox") formed several partnerships to engage in the business of providing wireless and wireline telephony services. The principal partnership is known as the Sprint Telecommunications Venture ("STV"). The parties have agreed that STV and its affiliated partnerships will be the exclusive vehicles for their respective investments in certain specified telecommunications activities, subject to certain limited exceptions. STV and the parties will cross-promote telecommunications products and services using the "Sprint" brand name with cable services and products branded by Cox, TCI or the Company in their cable television systems. A partnership owned entirely by subsidiaries of the Company, known as Comcast Telephony Services, owns 15% of STV and, indirectly, each of STV's affiliated partnerships.</w:t>
      </w:r>
    </w:p>
    <w:p>
      <w:pPr>
        <w:spacing w:after="0" w:line="18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STV will engage in the business of providing wireless communications services, primarily personal communication services ("PCS"), through a partnership known as WirelessCo. Through WirelessCo, the partners propose to create and operate a seamless, integrated, nationwide wireless communications network. During the term of a trademark license from an affiliate of Sprint, WirelessCo's services will be marketed under the "Sprint" brand name.</w:t>
      </w:r>
    </w:p>
    <w:p>
      <w:pPr>
        <w:spacing w:after="0" w:line="190"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WirelessCo was the successful bidder for 29 PCS licenses in the auction conducted by the Federal Communications Commission ("FCC") from December 1994 through mid-March 1995. The purchase price for the licenses was approximately $2.11 billion, all of which has been paid to the FCC. WirelessCo may also elect to bid in subsequent auctions for PCS licenses. In addition, WirelessCo has and may continue to invest in other entities that hold PCS licenses, may acquire PCS licenses from other license holders and may affiliate with other license holders.</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STV will also engage in the business of providing local wireline telephone service for both business and residential customers, primarily through the cable networks of cable television operators that affiliate with the partnership in exchange for agreed upon compensation. Cox, TCI and the Company have agreed to affiliate their cable systems with STV to the extent that their systems are located in markets designated in STV's business plan. The offering of local wireline telephone services by the partnership will require the removal of regulatory and legislative barriers to local telephone competition.</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STV partners intend that the partnership will succeed to the business currently conducted by Cox, TCI and the Company, together with Continental Cablevision, Inc. ("Continental"), through Teleport Communications Group Inc. and TCG Partners (collectively, "TCG"). TCG is one of the largest competitive access providers in the United States. Pursuant to a contribution agreement entered into on March 28, 1995, Cox, TCI and the Company have agreed, subject to the satisfaction of certain conditions, to contribute to STV their respective interests in TCG and in various local joint ventures among local cable operators and TCG. Such contributions will be subject to the receipt of necessary regulatory approvals and the satisfaction of other conditions. In addition, the cable partners intend to negotiate with Continental, which owns that portion of TCG that is not owned by Cox, TCI or the Company, regarding the acquisition of its interest by such cable partners.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 Scripps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On October 29, 1995, the Company announced its agreement to purchase the cable television operations of The E.W. Scripps Company ("E.W. Scripps") in exchange for shares of the Company's Class A Special Common Stock worth $1.575 billion, subject to certain adjustments (the "Scripps Transaction"). E.W. Scripps' cable properties, including</w:t>
      </w:r>
    </w:p>
    <w:p>
      <w:pPr>
        <w:sectPr>
          <w:pgSz w:w="11900" w:h="16838" w:orient="portrait"/>
          <w:cols w:equalWidth="0" w:num="1">
            <w:col w:w="10219"/>
          </w:cols>
          <w:pgMar w:left="240" w:top="29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15</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right="2659"/>
        <w:spacing w:after="0" w:line="260" w:lineRule="auto"/>
        <w:rPr>
          <w:sz w:val="20"/>
          <w:szCs w:val="20"/>
          <w:color w:val="auto"/>
        </w:rPr>
      </w:pPr>
      <w:r>
        <w:rPr>
          <w:rFonts w:ascii="Courier New" w:cs="Courier New" w:eastAsia="Courier New" w:hAnsi="Courier New"/>
          <w:sz w:val="15"/>
          <w:szCs w:val="15"/>
          <w:color w:val="auto"/>
        </w:rPr>
        <w:t>a pending acquisition, serve approximately 800,000 subscribers, with over 60% of the subscribers located in Sacramento, California and Chattanooga and Knoxville, Tennessee. The purchase is expected to close in the second half of 1996, subject to shareholder and regulatory approval and certain other conditions.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Repurchase Program</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Concurrent with the announcement of the Scripps Transaction, the Company announced that its Board of Directors has authorized the repurchase of up to $500 million of its outstanding publicly held common equity securities. The Company expects any such repurchases to be effected from time to time in the open market or in private transactions, subject to market conditions.</w:t>
      </w:r>
    </w:p>
    <w:p>
      <w:pPr>
        <w:spacing w:after="0" w:line="18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Cash and cash equivalents and short-term investments as of September 30, 1995 and December 31, 1994 were $828.4 million and $465.5 million, respectively. A portion of these cash and cash equivalents is held by subsidiaries of the Company and is restricted to the use by these subsidiaries under contractual or other arrangements.</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Company's cash and cash equivalents and short-term investments are recorded at cost which approximates their fair value. At September 30, 1995, the Company's short-term investments of $211.9 million had a weighted average maturity of approximately 14 months. However, due to their high degree of liquidity and the intent of management to use these investments as needed to fund its commitments, the Company considers these as current assets.</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January 1995, the Company exchanged its interest in Heritage Communications, Inc. with TCI for Class A common shares of TCI with a fair market value of approximately $290 million (the "Heritage Transaction"). Shortly thereafter, the Company sold certain of these shares for total proceeds of approximately $188 million which were used to fund, in part, the acquisition of QVC. As a result of these transactions, the Company recognized a pre-tax gain of $141 million in the first quarter of 1995.</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April 1995, the Company exercised certain preemptive rights under previously existing agreements with Nextel Communications, Inc. ("Nextel") whereby the Company has elected to purchase approximately 9 million newly issued Nextel shares at $12.25 per share for a total cost of approximately $110 million (the "Nextel Share Purchase Commitment"). The purchase is contingent on the closing of an acquisition transaction by Nextel which is expected to occur in the fourth quarter of 1995.</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July 1995, the Company sold 11.3 million shares of Nextel common stock for $212.6 million (the "Nextel Transaction"). As a result of this transaction, the Company recognized a pre-tax gain of $36.2 million in the third quarter of 1995. The Company continues to hold options to acquire 25.0 million shares of Nextel common stock in addition to the Nextel Share Purchase Commitment.</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May 1995, the Company completed the initial phase of its exchange agreement with McCaw Cellular Communications, Inc. whereby the Company acquired a 75% interest in the entity that holds the Ocean County, NJ Rural Statistical Area ("RSA") cellular license (the "Ocean County Licensee") in exchange for the Company's Hunterdon County, NJ RSA cellular license and $37.8 million in cash. The Company acquired the remaining 25% interest in the Ocean County Licensee in October 1995 for $17.4 million.</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Subject to agreement upon an initial business plan, the partners have committed to contribute $4.4 billion in cash to STV during the next three years, of which the Company's share would be $660 million, subject to reduction resulting from the method of crediting in-kind contributions to STV by the partners. Of the $660 million funding requirement, the Company has made total cash capital contributions to WirelessCo of approximately $338.8 million</w:t>
      </w:r>
    </w:p>
    <w:p>
      <w:pPr>
        <w:sectPr>
          <w:pgSz w:w="11900" w:h="16838" w:orient="portrait"/>
          <w:cols w:equalWidth="0" w:num="1">
            <w:col w:w="10219"/>
          </w:cols>
          <w:pgMar w:left="240" w:top="29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16</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through September 30, 1995. The partners' capital contributions to WirelessCo have been principally used to pay for the 29 PCS licenses acquired in the FCC auction and to acquire interests in another entity that holds a PCS license. Additional equity requirements of STV will be funded by the partners through capital contributions to STV in proportion to their ownership interests. The Company anticipates that STV's capital requirements over the next several years will be significant. These requirements are planned to be funded by external financing by STV in addition to capital contributions by the partners. Although it is anticipated that external financing will be available to STV on acceptable terms and conditions, no assurances can be given as to such availability.</w:t>
      </w:r>
    </w:p>
    <w:p>
      <w:pPr>
        <w:spacing w:after="0" w:line="174"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On May 16, 1995, the Company issued $250.0 million principal amount of its 9-3/8% senior subordinated debentures due 2005. On October 3, 1995, the Company issued $250.0 million principal amount of its 9-1/8% senior subordinated debentures due 2006. On November 9, 1995, Comcast UK Cable Partners Limited ("Comcast UK"), a subsidiary of the Company, agreed to sell approximately $517.3 million principal amount at maturity of its 11.20% senior discount debentures due 2007 for gross proceeds of approximately $300.0 million in a public offering. Closing of the public offering is anticipated to occur on November 15, 1995.</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As of October 31, 1995, certain of the Company's subsidiaries had unused lines of credit totaling approximately $1.5 billion. Use of these unused lines of credit is restricted to subsidiary debt refinancing, subsidiary general corporate purposes and dividend declaration.</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 expects to continue to recognize significant losses and to continue to pay dividends; therefore, it anticipates that it will continue to have a deficiency in stockholders' equity that will increase for the foreseeable future.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deficiency in stockholders' equity will not significantly affect its ability to obtain financing.</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its fixed charges, through its cash flows from operating activities, existing cash and cash equivalents and short-term investments, sales of assets, lines of credit and other external financing.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Net cash provided by operating activities amounted to $371.7 million and $255.1 million during the nine months ended September 30, 1995 and 1994, respectively. The increase of $116.6 million is principally due to the effects of the QVC and Maclean Hunter acquisitions, offset by changes in working capital as a result of seasonality of QVC's business and the timing of the Company's receipts and disbursements.</w:t>
      </w:r>
    </w:p>
    <w:p>
      <w:pPr>
        <w:spacing w:after="0" w:line="190"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Net cash provided by (used in) financing activities, which includes the issuances of securities as well as borrowings, was $1.921 billion and ($148.3) million during the nine months ended September 30, 1995 and 1994, respectively. During the nine months ended September 30, 1995, the Company borrowed $3.112 billion including $1.1 billion in connection with the QVC acquisition, $1.085 billion in connection with the refinancing of certain subsidiaries' indebtedness, $300.9 million associated with the funding of STV and $250.0 million principal amount of the Company's 9-3/8% senior subordinated debentures due 2005. In addition, during the nine months ended September 30, 1995, the Company redeemed and retired $1.161 billion of its long-term debt including $904.8 million in connection with the refinancing of certain subsidiaries' indebtedness. During the nine months ended September 30, 1994, the Company repurchased or redeemed and retired $470.9 million of its long-term debt, including the Company's $150.0 million, 11-7/8% senior subordinated debentures due 2004, and received $209.4 million from the issuance of common stock of Comcast UK.</w:t>
      </w:r>
    </w:p>
    <w:p>
      <w:pPr>
        <w:sectPr>
          <w:pgSz w:w="11900" w:h="16838" w:orient="portrait"/>
          <w:cols w:equalWidth="0" w:num="1">
            <w:col w:w="10219"/>
          </w:cols>
          <w:pgMar w:left="240" w:top="29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17</w:t>
      </w:r>
    </w:p>
    <w:p>
      <w:pPr>
        <w:spacing w:after="0" w:line="364"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right="660"/>
        <w:spacing w:after="0"/>
        <w:rPr>
          <w:sz w:val="20"/>
          <w:szCs w:val="20"/>
          <w:color w:val="auto"/>
        </w:rPr>
      </w:pPr>
      <w:r>
        <w:rPr>
          <w:rFonts w:ascii="Courier New" w:cs="Courier New" w:eastAsia="Courier New" w:hAnsi="Courier New"/>
          <w:sz w:val="16"/>
          <w:szCs w:val="16"/>
          <w:color w:val="auto"/>
        </w:rPr>
        <w:t>Net cash used in (provided by) investing activities was $2.012 billion and ($72.2) million during the nine months ended September 30, 1995 and 1994, respectively. During the nine months ended September 30, 1995, net cash used in investing activities includes acquisitions of $1.371 billion, including the acquisition of QVC, net of cash acquired, additional cash investments in affiliates of $458.0 million, including capital contributions to STV of $320.7 million, additions to property and equipment of $476.6 million and net purchases of short-term investments of $81.8 million. Such amounts were offset by proceeds from sales of long-term investments of $400.7 million. During the nine months ended September 30,1994, net proceeds of $320.9 million from the sale of short-term investments were used principally to redeem and retire long-term debt. In addition, during the nine months ended September 30, 1994, the Company's capital expenditures and additional cash investments in affiliates were $171.2 million and $61.6 million,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jc w:val="both"/>
        <w:ind w:right="660"/>
        <w:spacing w:after="0"/>
        <w:rPr>
          <w:sz w:val="20"/>
          <w:szCs w:val="20"/>
          <w:color w:val="auto"/>
        </w:rPr>
      </w:pPr>
      <w:r>
        <w:rPr>
          <w:rFonts w:ascii="Courier New" w:cs="Courier New" w:eastAsia="Courier New" w:hAnsi="Courier New"/>
          <w:sz w:val="16"/>
          <w:szCs w:val="16"/>
          <w:color w:val="auto"/>
        </w:rPr>
        <w:t>The effects of the QVC and Maclean Hunter acquisitions have been to increase significantly the Company's revenues and expenses resulting in substantial increases in its operating income before depreciation and amortization, depreciation and amortization expense and net interest expense (see "Operating Results by Business Segment" below). As a result of the increases in depreciation and amortization expense and interest expense associated with these acquisitions and their financing, it is expected that the Company will continue to recognize substantial losses for the foreseeable future.</w:t>
      </w:r>
    </w:p>
    <w:p>
      <w:pPr>
        <w:spacing w:after="0" w:line="187" w:lineRule="exact"/>
        <w:rPr>
          <w:sz w:val="20"/>
          <w:szCs w:val="20"/>
          <w:color w:val="auto"/>
        </w:rPr>
      </w:pPr>
    </w:p>
    <w:p>
      <w:pPr>
        <w:jc w:val="both"/>
        <w:ind w:right="660"/>
        <w:spacing w:after="0" w:line="238" w:lineRule="auto"/>
        <w:rPr>
          <w:sz w:val="20"/>
          <w:szCs w:val="20"/>
          <w:color w:val="auto"/>
        </w:rPr>
      </w:pPr>
      <w:r>
        <w:rPr>
          <w:rFonts w:ascii="Courier New" w:cs="Courier New" w:eastAsia="Courier New" w:hAnsi="Courier New"/>
          <w:sz w:val="16"/>
          <w:szCs w:val="16"/>
          <w:color w:val="auto"/>
        </w:rPr>
        <w:t>Summarized consolidated financial information for the Company for the nine and three months ended September 30, 1995 and 1994 is as follows (dollars in millions, "NM" denotes percentage is not meaningful):</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spacing w:after="0"/>
              <w:rPr>
                <w:sz w:val="15"/>
                <w:szCs w:val="15"/>
                <w:color w:val="auto"/>
              </w:rPr>
            </w:pPr>
          </w:p>
        </w:tc>
        <w:tc>
          <w:tcPr>
            <w:tcW w:w="25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5680" w:type="dxa"/>
            <w:vAlign w:val="bottom"/>
          </w:tcPr>
          <w:p>
            <w:pPr>
              <w:spacing w:after="0"/>
              <w:rPr>
                <w:sz w:val="15"/>
                <w:szCs w:val="15"/>
                <w:color w:val="auto"/>
              </w:rPr>
            </w:pPr>
          </w:p>
        </w:tc>
        <w:tc>
          <w:tcPr>
            <w:tcW w:w="25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568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$2,357.4</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$1,015.1</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584.6</w:t>
            </w:r>
          </w:p>
        </w:tc>
        <w:tc>
          <w:tcPr>
            <w:tcW w:w="1040" w:type="dxa"/>
            <w:vAlign w:val="bottom"/>
          </w:tcPr>
          <w:p>
            <w:pPr>
              <w:spacing w:after="0"/>
              <w:rPr>
                <w:sz w:val="15"/>
                <w:szCs w:val="15"/>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1,028.2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578.9</w:t>
            </w:r>
          </w:p>
        </w:tc>
      </w:tr>
      <w:tr>
        <w:trPr>
          <w:trHeight w:val="182"/>
        </w:trPr>
        <w:tc>
          <w:tcPr>
            <w:tcW w:w="568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680" w:type="dxa"/>
            <w:vAlign w:val="bottom"/>
          </w:tcPr>
          <w:p>
            <w:pPr>
              <w:ind w:left="280"/>
              <w:spacing w:after="0"/>
              <w:rPr>
                <w:sz w:val="20"/>
                <w:szCs w:val="20"/>
                <w:color w:val="auto"/>
              </w:rPr>
            </w:pPr>
            <w:r>
              <w:rPr>
                <w:rFonts w:ascii="Courier New" w:cs="Courier New" w:eastAsia="Courier New" w:hAnsi="Courier New"/>
                <w:sz w:val="16"/>
                <w:szCs w:val="16"/>
                <w:color w:val="auto"/>
              </w:rPr>
              <w:t>amortization (1)</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744.6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436.2</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534.7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243.3</w:t>
            </w:r>
          </w:p>
        </w:tc>
      </w:tr>
      <w:tr>
        <w:trPr>
          <w:trHeight w:val="182"/>
        </w:trPr>
        <w:tc>
          <w:tcPr>
            <w:tcW w:w="568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209.9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192.9</w:t>
            </w:r>
          </w:p>
        </w:tc>
      </w:tr>
      <w:tr>
        <w:trPr>
          <w:trHeight w:val="182"/>
        </w:trPr>
        <w:tc>
          <w:tcPr>
            <w:tcW w:w="568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388.4</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228.5</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63.5</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29.4</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Minority interest and other</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(11.7)</w:t>
            </w:r>
          </w:p>
        </w:tc>
      </w:tr>
      <w:tr>
        <w:trPr>
          <w:trHeight w:val="182"/>
        </w:trPr>
        <w:tc>
          <w:tcPr>
            <w:tcW w:w="568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($57.5)</w:t>
            </w:r>
          </w:p>
        </w:tc>
      </w:tr>
      <w:tr>
        <w:trPr>
          <w:trHeight w:val="182"/>
        </w:trPr>
        <w:tc>
          <w:tcPr>
            <w:tcW w:w="568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Increase / (Decrease)</w:t>
      </w:r>
    </w:p>
    <w:p>
      <w:pPr>
        <w:spacing w:after="0" w:line="8" w:lineRule="exact"/>
        <w:rPr>
          <w:sz w:val="20"/>
          <w:szCs w:val="20"/>
          <w:color w:val="auto"/>
        </w:rPr>
      </w:pPr>
    </w:p>
    <w:p>
      <w:pPr>
        <w:ind w:left="1620" w:hanging="1238"/>
        <w:spacing w:after="0"/>
        <w:tabs>
          <w:tab w:leader="none" w:pos="16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$1,342.3</w:t>
      </w:r>
      <w:r>
        <w:rPr>
          <w:sz w:val="20"/>
          <w:szCs w:val="20"/>
          <w:color w:val="auto"/>
        </w:rPr>
        <w:tab/>
      </w:r>
      <w:r>
        <w:rPr>
          <w:rFonts w:ascii="Courier New" w:cs="Courier New" w:eastAsia="Courier New" w:hAnsi="Courier New"/>
          <w:sz w:val="15"/>
          <w:szCs w:val="15"/>
          <w:color w:val="auto"/>
        </w:rPr>
        <w:t>132.2%</w:t>
      </w:r>
    </w:p>
    <w:p>
      <w:pPr>
        <w:spacing w:after="0" w:line="1" w:lineRule="exact"/>
        <w:rPr>
          <w:sz w:val="20"/>
          <w:szCs w:val="20"/>
          <w:color w:val="auto"/>
        </w:rPr>
      </w:pPr>
    </w:p>
    <w:p>
      <w:pPr>
        <w:ind w:left="280"/>
        <w:spacing w:after="0"/>
        <w:tabs>
          <w:tab w:leader="none" w:pos="1680" w:val="left"/>
        </w:tabs>
        <w:rPr>
          <w:sz w:val="20"/>
          <w:szCs w:val="20"/>
          <w:color w:val="auto"/>
        </w:rPr>
      </w:pPr>
      <w:r>
        <w:rPr>
          <w:rFonts w:ascii="Courier New" w:cs="Courier New" w:eastAsia="Courier New" w:hAnsi="Courier New"/>
          <w:sz w:val="16"/>
          <w:szCs w:val="16"/>
          <w:color w:val="auto"/>
        </w:rPr>
        <w:t>584.6</w:t>
      </w:r>
      <w:r>
        <w:rPr>
          <w:sz w:val="20"/>
          <w:szCs w:val="20"/>
          <w:color w:val="auto"/>
        </w:rPr>
        <w:tab/>
      </w:r>
      <w:r>
        <w:rPr>
          <w:rFonts w:ascii="Courier New" w:cs="Courier New" w:eastAsia="Courier New" w:hAnsi="Courier New"/>
          <w:sz w:val="16"/>
          <w:szCs w:val="16"/>
          <w:color w:val="auto"/>
        </w:rPr>
        <w:t>NM</w:t>
      </w:r>
    </w:p>
    <w:p>
      <w:pPr>
        <w:spacing w:after="0" w:line="1" w:lineRule="exact"/>
        <w:rPr>
          <w:sz w:val="20"/>
          <w:szCs w:val="20"/>
          <w:color w:val="auto"/>
        </w:rPr>
      </w:pPr>
    </w:p>
    <w:p>
      <w:pPr>
        <w:ind w:left="280"/>
        <w:spacing w:after="0"/>
        <w:tabs>
          <w:tab w:leader="none" w:pos="1500" w:val="left"/>
        </w:tabs>
        <w:rPr>
          <w:sz w:val="20"/>
          <w:szCs w:val="20"/>
          <w:color w:val="auto"/>
        </w:rPr>
      </w:pPr>
      <w:r>
        <w:rPr>
          <w:rFonts w:ascii="Courier New" w:cs="Courier New" w:eastAsia="Courier New" w:hAnsi="Courier New"/>
          <w:sz w:val="16"/>
          <w:szCs w:val="16"/>
          <w:color w:val="auto"/>
        </w:rPr>
        <w:t>449.3</w:t>
      </w:r>
      <w:r>
        <w:rPr>
          <w:sz w:val="20"/>
          <w:szCs w:val="20"/>
          <w:color w:val="auto"/>
        </w:rPr>
        <w:tab/>
      </w:r>
      <w:r>
        <w:rPr>
          <w:rFonts w:ascii="Courier New" w:cs="Courier New" w:eastAsia="Courier New" w:hAnsi="Courier New"/>
          <w:sz w:val="15"/>
          <w:szCs w:val="15"/>
          <w:color w:val="auto"/>
        </w:rPr>
        <w:t>77.6%</w:t>
      </w:r>
    </w:p>
    <w:p>
      <w:pPr>
        <w:spacing w:after="0" w:line="364"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308.4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70.7%</w:t>
            </w:r>
          </w:p>
        </w:tc>
      </w:tr>
      <w:tr>
        <w:trPr>
          <w:trHeight w:val="182"/>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291.4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119.8%</w:t>
            </w:r>
          </w:p>
        </w:tc>
      </w:tr>
      <w:tr>
        <w:trPr>
          <w:trHeight w:val="364"/>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w:t>
            </w:r>
          </w:p>
        </w:tc>
      </w:tr>
      <w:tr>
        <w:trPr>
          <w:trHeight w:val="364"/>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159.9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70.0%</w:t>
            </w:r>
          </w:p>
        </w:tc>
      </w:tr>
      <w:tr>
        <w:trPr>
          <w:trHeight w:val="182"/>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201.7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116.0%</w:t>
            </w:r>
          </w:p>
        </w:tc>
      </w:tr>
      <w:tr>
        <w:trPr>
          <w:trHeight w:val="182"/>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r>
      <w:tr>
        <w:trPr>
          <w:trHeight w:val="364"/>
        </w:trPr>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($20.2)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(35.1%)</w:t>
            </w:r>
          </w:p>
        </w:tc>
      </w:tr>
    </w:tbl>
    <w:p>
      <w:pPr>
        <w:sectPr>
          <w:pgSz w:w="11900" w:h="16838" w:orient="portrait"/>
          <w:cols w:equalWidth="0" w:num="2">
            <w:col w:w="8220" w:space="380"/>
            <w:col w:w="2080"/>
          </w:cols>
          <w:pgMar w:left="240" w:top="295" w:right="979" w:bottom="1440" w:gutter="0" w:footer="0" w:header="0"/>
        </w:sectPr>
      </w:pPr>
    </w:p>
    <w:bookmarkStart w:id="18" w:name="page19"/>
    <w:bookmarkEnd w:id="18"/>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Courier New" w:cs="Courier New" w:eastAsia="Courier New" w:hAnsi="Courier New"/>
                <w:sz w:val="16"/>
                <w:szCs w:val="16"/>
                <w:color w:val="auto"/>
              </w:rPr>
              <w:t>18</w:t>
            </w:r>
          </w:p>
        </w:tc>
        <w:tc>
          <w:tcPr>
            <w:tcW w:w="4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46"/>
        </w:trPr>
        <w:tc>
          <w:tcPr>
            <w:tcW w:w="1520" w:type="dxa"/>
            <w:vAlign w:val="bottom"/>
          </w:tcPr>
          <w:p>
            <w:pPr>
              <w:spacing w:after="0"/>
              <w:rPr>
                <w:sz w:val="24"/>
                <w:szCs w:val="24"/>
                <w:color w:val="auto"/>
              </w:rPr>
            </w:pPr>
          </w:p>
        </w:tc>
        <w:tc>
          <w:tcPr>
            <w:tcW w:w="430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jc w:val="right"/>
              <w:ind w:right="1581"/>
              <w:spacing w:after="0"/>
              <w:rPr>
                <w:sz w:val="20"/>
                <w:szCs w:val="20"/>
                <w:color w:val="auto"/>
              </w:rPr>
            </w:pPr>
            <w:r>
              <w:rPr>
                <w:rFonts w:ascii="Courier New" w:cs="Courier New" w:eastAsia="Courier New" w:hAnsi="Courier New"/>
                <w:sz w:val="16"/>
                <w:szCs w:val="16"/>
                <w:color w:val="auto"/>
              </w:rPr>
              <w:t>FORM 10-Q</w:t>
            </w: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QUARTER ENDED SEPTEMBER 30, 1995</w:t>
            </w: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8"/>
        </w:trPr>
        <w:tc>
          <w:tcPr>
            <w:tcW w:w="1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Three Months Ended</w:t>
            </w: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4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rPr>
              <w:t>September 30,</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4300" w:type="dxa"/>
            <w:vAlign w:val="bottom"/>
          </w:tcPr>
          <w:p>
            <w:pPr>
              <w:spacing w:after="0"/>
              <w:rPr>
                <w:sz w:val="24"/>
                <w:szCs w:val="24"/>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$870.2</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$345.7</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$524.5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151.7%</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234.4</w:t>
            </w:r>
          </w:p>
        </w:tc>
        <w:tc>
          <w:tcPr>
            <w:tcW w:w="128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234.4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371.7</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172.1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86.2%</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4300" w:type="dxa"/>
            <w:vAlign w:val="bottom"/>
          </w:tcPr>
          <w:p>
            <w:pPr>
              <w:jc w:val="right"/>
              <w:ind w:right="3941"/>
              <w:spacing w:after="0"/>
              <w:rPr>
                <w:sz w:val="20"/>
                <w:szCs w:val="20"/>
                <w:color w:val="auto"/>
              </w:rPr>
            </w:pPr>
            <w:r>
              <w:rPr>
                <w:rFonts w:ascii="Courier New" w:cs="Courier New" w:eastAsia="Courier New" w:hAnsi="Courier New"/>
                <w:sz w:val="16"/>
                <w:szCs w:val="16"/>
                <w:color w:val="auto"/>
                <w:w w:val="90"/>
              </w:rPr>
              <w:t>(1)</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264.1</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146.1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118.0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80.8%</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147.6</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82.8</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64.8</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78.3%</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Operating income</w:t>
            </w: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116.5</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63.3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53.2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84.0%</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Interest expense</w:t>
            </w: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137.8</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75.7</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82.0%</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25.6</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134.9%</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 and other</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 (benefit)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w:t>
            </w:r>
          </w:p>
        </w:tc>
        <w:tc>
          <w:tcPr>
            <w:tcW w:w="128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4300" w:type="dxa"/>
            <w:vAlign w:val="bottom"/>
          </w:tcPr>
          <w:p>
            <w:pPr>
              <w:spacing w:after="0"/>
              <w:rPr>
                <w:sz w:val="15"/>
                <w:szCs w:val="15"/>
                <w:color w:val="auto"/>
              </w:rPr>
            </w:pP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($17.2)</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(57.6%)</w:t>
            </w: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186" w:lineRule="exact"/>
        <w:rPr>
          <w:sz w:val="20"/>
          <w:szCs w:val="20"/>
          <w:color w:val="auto"/>
        </w:rPr>
      </w:pPr>
    </w:p>
    <w:p>
      <w:pPr>
        <w:jc w:val="both"/>
        <w:ind w:left="463" w:right="3120" w:hanging="463"/>
        <w:spacing w:after="0"/>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5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83" w:lineRule="exact"/>
        <w:rPr>
          <w:sz w:val="20"/>
          <w:szCs w:val="20"/>
          <w:color w:val="auto"/>
        </w:rPr>
      </w:pPr>
    </w:p>
    <w:p>
      <w:pPr>
        <w:ind w:left="3"/>
        <w:spacing w:after="0"/>
        <w:tabs>
          <w:tab w:leader="none" w:pos="923" w:val="left"/>
          <w:tab w:leader="none" w:pos="1583" w:val="left"/>
        </w:tabs>
        <w:rPr>
          <w:sz w:val="20"/>
          <w:szCs w:val="20"/>
          <w:color w:val="auto"/>
        </w:rPr>
      </w:pPr>
      <w:r>
        <w:rPr>
          <w:rFonts w:ascii="Courier New" w:cs="Courier New" w:eastAsia="Courier New" w:hAnsi="Courier New"/>
          <w:sz w:val="16"/>
          <w:szCs w:val="16"/>
          <w:color w:val="auto"/>
        </w:rPr>
        <w:t>Domestic</w:t>
        <w:tab/>
        <w:t>Cable</w:t>
      </w:r>
      <w:r>
        <w:rPr>
          <w:sz w:val="20"/>
          <w:szCs w:val="20"/>
          <w:color w:val="auto"/>
        </w:rPr>
        <w:tab/>
      </w:r>
      <w:r>
        <w:rPr>
          <w:rFonts w:ascii="Courier New" w:cs="Courier New" w:eastAsia="Courier New" w:hAnsi="Courier New"/>
          <w:sz w:val="15"/>
          <w:szCs w:val="15"/>
          <w:color w:val="auto"/>
        </w:rPr>
        <w:t>Communications</w:t>
      </w:r>
    </w:p>
    <w:p>
      <w:pPr>
        <w:spacing w:after="0" w:line="186" w:lineRule="exact"/>
        <w:rPr>
          <w:sz w:val="20"/>
          <w:szCs w:val="20"/>
          <w:color w:val="auto"/>
        </w:rPr>
      </w:pPr>
    </w:p>
    <w:p>
      <w:pPr>
        <w:ind w:left="3" w:right="3120"/>
        <w:spacing w:after="0" w:line="237" w:lineRule="auto"/>
        <w:rPr>
          <w:sz w:val="20"/>
          <w:szCs w:val="20"/>
          <w:color w:val="auto"/>
        </w:rPr>
      </w:pPr>
      <w:r>
        <w:rPr>
          <w:rFonts w:ascii="Courier New" w:cs="Courier New" w:eastAsia="Courier New" w:hAnsi="Courier New"/>
          <w:sz w:val="16"/>
          <w:szCs w:val="16"/>
          <w:color w:val="auto"/>
        </w:rPr>
        <w:t>The following table sets forth operating results for the Company's domestic cable communications segment (dollars in millions).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160" w:type="dxa"/>
            <w:vAlign w:val="bottom"/>
          </w:tcPr>
          <w:p>
            <w:pPr>
              <w:spacing w:after="0"/>
              <w:rPr>
                <w:sz w:val="15"/>
                <w:szCs w:val="15"/>
                <w:color w:val="auto"/>
              </w:rPr>
            </w:pPr>
          </w:p>
        </w:tc>
        <w:tc>
          <w:tcPr>
            <w:tcW w:w="36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Nine Months Ended</w:t>
            </w: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16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4160" w:type="dxa"/>
            <w:vAlign w:val="bottom"/>
          </w:tcPr>
          <w:p>
            <w:pPr>
              <w:spacing w:after="0"/>
              <w:rPr>
                <w:sz w:val="15"/>
                <w:szCs w:val="15"/>
                <w:color w:val="auto"/>
              </w:rPr>
            </w:pPr>
          </w:p>
        </w:tc>
        <w:tc>
          <w:tcPr>
            <w:tcW w:w="256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621"/>
              <w:spacing w:after="0"/>
              <w:rPr>
                <w:sz w:val="20"/>
                <w:szCs w:val="20"/>
                <w:color w:val="auto"/>
              </w:rPr>
            </w:pPr>
            <w:r>
              <w:rPr>
                <w:rFonts w:ascii="Courier New" w:cs="Courier New" w:eastAsia="Courier New" w:hAnsi="Courier New"/>
                <w:sz w:val="16"/>
                <w:szCs w:val="16"/>
                <w:color w:val="auto"/>
                <w:w w:val="93"/>
              </w:rPr>
              <w:t>1994</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$1,078.0</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$792.5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$285.5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36.0%</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2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16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548.3</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406.9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141.4</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r>
      <w:tr>
        <w:trPr>
          <w:trHeight w:val="182"/>
        </w:trPr>
        <w:tc>
          <w:tcPr>
            <w:tcW w:w="4160" w:type="dxa"/>
            <w:vAlign w:val="bottom"/>
          </w:tcPr>
          <w:p>
            <w:pPr>
              <w:spacing w:after="0"/>
              <w:rPr>
                <w:sz w:val="15"/>
                <w:szCs w:val="15"/>
                <w:color w:val="auto"/>
              </w:rPr>
            </w:pP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1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529.7</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385.6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144.1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r>
        <w:trPr>
          <w:trHeight w:val="909"/>
        </w:trPr>
        <w:tc>
          <w:tcPr>
            <w:tcW w:w="4160" w:type="dxa"/>
            <w:vAlign w:val="bottom"/>
          </w:tcPr>
          <w:p>
            <w:pPr>
              <w:spacing w:after="0"/>
              <w:rPr>
                <w:sz w:val="24"/>
                <w:szCs w:val="24"/>
                <w:color w:val="auto"/>
              </w:rPr>
            </w:pPr>
          </w:p>
        </w:tc>
        <w:tc>
          <w:tcPr>
            <w:tcW w:w="36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Three Months Ended</w:t>
            </w: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416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4160" w:type="dxa"/>
            <w:vAlign w:val="bottom"/>
          </w:tcPr>
          <w:p>
            <w:pPr>
              <w:spacing w:after="0"/>
              <w:rPr>
                <w:sz w:val="15"/>
                <w:szCs w:val="15"/>
                <w:color w:val="auto"/>
              </w:rPr>
            </w:pPr>
          </w:p>
        </w:tc>
        <w:tc>
          <w:tcPr>
            <w:tcW w:w="256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621"/>
              <w:spacing w:after="0"/>
              <w:rPr>
                <w:sz w:val="20"/>
                <w:szCs w:val="20"/>
                <w:color w:val="auto"/>
              </w:rPr>
            </w:pPr>
            <w:r>
              <w:rPr>
                <w:rFonts w:ascii="Courier New" w:cs="Courier New" w:eastAsia="Courier New" w:hAnsi="Courier New"/>
                <w:sz w:val="16"/>
                <w:szCs w:val="16"/>
                <w:color w:val="auto"/>
                <w:w w:val="93"/>
              </w:rPr>
              <w:t>1994</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$368.5</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$265.9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$102.6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38.6%</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2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16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186.5</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137.3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49.2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r>
      <w:tr>
        <w:trPr>
          <w:trHeight w:val="182"/>
        </w:trPr>
        <w:tc>
          <w:tcPr>
            <w:tcW w:w="4160" w:type="dxa"/>
            <w:vAlign w:val="bottom"/>
          </w:tcPr>
          <w:p>
            <w:pPr>
              <w:spacing w:after="0"/>
              <w:rPr>
                <w:sz w:val="15"/>
                <w:szCs w:val="15"/>
                <w:color w:val="auto"/>
              </w:rPr>
            </w:pP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1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25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182.0</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128.6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53.4</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41.5%</w:t>
            </w: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183" w:lineRule="exact"/>
        <w:rPr>
          <w:sz w:val="20"/>
          <w:szCs w:val="20"/>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See footnote (1) above.</w:t>
      </w:r>
    </w:p>
    <w:p>
      <w:pPr>
        <w:sectPr>
          <w:pgSz w:w="11900" w:h="16838" w:orient="portrait"/>
          <w:cols w:equalWidth="0" w:num="1">
            <w:col w:w="10683"/>
          </w:cols>
          <w:pgMar w:left="237" w:top="295" w:right="979" w:bottom="155"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19</w:t>
      </w:r>
    </w:p>
    <w:p>
      <w:pPr>
        <w:spacing w:after="0" w:line="364"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right="140"/>
        <w:spacing w:after="0"/>
        <w:rPr>
          <w:sz w:val="20"/>
          <w:szCs w:val="20"/>
          <w:color w:val="auto"/>
        </w:rPr>
      </w:pPr>
      <w:r>
        <w:rPr>
          <w:rFonts w:ascii="Courier New" w:cs="Courier New" w:eastAsia="Courier New" w:hAnsi="Courier New"/>
          <w:sz w:val="16"/>
          <w:szCs w:val="16"/>
          <w:color w:val="auto"/>
        </w:rPr>
        <w:t>The Maclean Hunter acquisition accounted for $199.9 million and $67.9 million of the increases in service income for the nine and three month periods from 1994 to 1995, respectively. Of the remaining respective increases of $85.6 million and $34.7 million, $32.4 million and $10.2 million, respectively, are attributable to subscriber growth, $39.6 million and $18.0 million, respectively, relate to changes in rates, which include the change in the estimated effects of cable rate regulation, $10.3 million and $4.0 million, respectively, result from growth in cable advertising sales and $3.3 million and $2.5 million, respectively, relate to growth in other product offerings.</w:t>
      </w:r>
    </w:p>
    <w:p>
      <w:pPr>
        <w:spacing w:after="0" w:line="188" w:lineRule="exact"/>
        <w:rPr>
          <w:sz w:val="20"/>
          <w:szCs w:val="20"/>
          <w:color w:val="auto"/>
        </w:rPr>
      </w:pPr>
    </w:p>
    <w:p>
      <w:pPr>
        <w:jc w:val="both"/>
        <w:ind w:right="140"/>
        <w:spacing w:after="0"/>
        <w:rPr>
          <w:sz w:val="20"/>
          <w:szCs w:val="20"/>
          <w:color w:val="auto"/>
        </w:rPr>
      </w:pPr>
      <w:r>
        <w:rPr>
          <w:rFonts w:ascii="Courier New" w:cs="Courier New" w:eastAsia="Courier New" w:hAnsi="Courier New"/>
          <w:sz w:val="16"/>
          <w:szCs w:val="16"/>
          <w:color w:val="auto"/>
        </w:rPr>
        <w:t>The Maclean Hunter acquisition accounted for $107.8 million and $36.5 million of the increases in operating, selling, general and administrative expenses for the nine and three month periods from 1994 to 1995, respectively. Of the remaining respective increases of $33.6 million and $12.7 million, $15.7 million and $4.8 million, respectively, are attributable to increases in the costs of cable programming as a result of subscriber growth, additional channel offerings and changes in rates, $5.4 million and $1.8 million, respectively, are attributable to increases in expenses associated with the growth in cable advertising sales and $12.5 million and $6.1 million, respectively, result from increases in the cost of labor and other volume related expenses. It is anticipated that the Company's cost of cable programming will increase in the future as cable programming rates increase and additional sources of cable programming become available.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6" w:lineRule="exact"/>
        <w:rPr>
          <w:sz w:val="20"/>
          <w:szCs w:val="20"/>
          <w:color w:val="auto"/>
        </w:rPr>
      </w:pPr>
    </w:p>
    <w:p>
      <w:pPr>
        <w:jc w:val="both"/>
        <w:ind w:right="140"/>
        <w:spacing w:after="0" w:line="258" w:lineRule="auto"/>
        <w:rPr>
          <w:sz w:val="20"/>
          <w:szCs w:val="20"/>
          <w:color w:val="auto"/>
        </w:rPr>
      </w:pPr>
      <w:r>
        <w:rPr>
          <w:rFonts w:ascii="Courier New" w:cs="Courier New" w:eastAsia="Courier New" w:hAnsi="Courier New"/>
          <w:sz w:val="15"/>
          <w:szCs w:val="15"/>
          <w:color w:val="auto"/>
        </w:rPr>
        <w:t>As a result of the QVC acquisition, the Company commenced consolidating the financial results of QVC, effective February 1, 1995, on a current basis. The following table presents comparative pro forma financial information for the nine and three months ended September 30, 1995 and 1994 and is presented herein for purposes of analysis and may not reflect what actual operating results would have been had the Company owned QVC since January 1, 1994 (dollars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Nine Months Ended</w:t>
            </w:r>
          </w:p>
        </w:tc>
        <w:tc>
          <w:tcPr>
            <w:tcW w:w="660" w:type="dxa"/>
            <w:vAlign w:val="bottom"/>
          </w:tcPr>
          <w:p>
            <w:pPr>
              <w:spacing w:after="0"/>
              <w:rPr>
                <w:sz w:val="15"/>
                <w:szCs w:val="15"/>
                <w:color w:val="auto"/>
              </w:rPr>
            </w:pPr>
          </w:p>
        </w:tc>
      </w:tr>
      <w:tr>
        <w:trPr>
          <w:trHeight w:val="182"/>
        </w:trPr>
        <w:tc>
          <w:tcPr>
            <w:tcW w:w="4680" w:type="dxa"/>
            <w:vAlign w:val="bottom"/>
          </w:tcPr>
          <w:p>
            <w:pPr>
              <w:spacing w:after="0"/>
              <w:rPr>
                <w:sz w:val="15"/>
                <w:szCs w:val="15"/>
                <w:color w:val="auto"/>
              </w:rPr>
            </w:pP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September 30,</w:t>
            </w:r>
          </w:p>
        </w:tc>
        <w:tc>
          <w:tcPr>
            <w:tcW w:w="660" w:type="dxa"/>
            <w:vAlign w:val="bottom"/>
          </w:tcPr>
          <w:p>
            <w:pPr>
              <w:spacing w:after="0"/>
              <w:rPr>
                <w:sz w:val="15"/>
                <w:szCs w:val="15"/>
                <w:color w:val="auto"/>
              </w:rPr>
            </w:pPr>
          </w:p>
        </w:tc>
      </w:tr>
      <w:tr>
        <w:trPr>
          <w:trHeight w:val="182"/>
        </w:trPr>
        <w:tc>
          <w:tcPr>
            <w:tcW w:w="4680" w:type="dxa"/>
            <w:vAlign w:val="bottom"/>
          </w:tcPr>
          <w:p>
            <w:pPr>
              <w:spacing w:after="0"/>
              <w:rPr>
                <w:sz w:val="15"/>
                <w:szCs w:val="15"/>
                <w:color w:val="auto"/>
              </w:rPr>
            </w:pPr>
          </w:p>
        </w:tc>
        <w:tc>
          <w:tcPr>
            <w:tcW w:w="204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1995</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$1,107.4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$949.3</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662.7</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577.7</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266.2</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230.0</w:t>
            </w:r>
          </w:p>
        </w:tc>
      </w:tr>
      <w:tr>
        <w:trPr>
          <w:trHeight w:val="182"/>
        </w:trPr>
        <w:tc>
          <w:tcPr>
            <w:tcW w:w="4680" w:type="dxa"/>
            <w:vAlign w:val="bottom"/>
          </w:tcPr>
          <w:p>
            <w:pPr>
              <w:spacing w:after="0"/>
              <w:rPr>
                <w:sz w:val="15"/>
                <w:szCs w:val="15"/>
                <w:color w:val="auto"/>
              </w:rPr>
            </w:pP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178.5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141.6</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Cost of goods sold as a percentage of net sales</w:t>
            </w:r>
          </w:p>
        </w:tc>
        <w:tc>
          <w:tcPr>
            <w:tcW w:w="20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59.8%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60.9%</w:t>
            </w:r>
          </w:p>
        </w:tc>
      </w:tr>
      <w:tr>
        <w:trPr>
          <w:trHeight w:val="909"/>
        </w:trPr>
        <w:tc>
          <w:tcPr>
            <w:tcW w:w="4680" w:type="dxa"/>
            <w:vAlign w:val="bottom"/>
          </w:tcPr>
          <w:p>
            <w:pPr>
              <w:spacing w:after="0"/>
              <w:rPr>
                <w:sz w:val="24"/>
                <w:szCs w:val="24"/>
                <w:color w:val="auto"/>
              </w:rPr>
            </w:pPr>
          </w:p>
        </w:tc>
        <w:tc>
          <w:tcPr>
            <w:tcW w:w="27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68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660" w:type="dxa"/>
            <w:vAlign w:val="bottom"/>
          </w:tcPr>
          <w:p>
            <w:pPr>
              <w:spacing w:after="0"/>
              <w:rPr>
                <w:sz w:val="15"/>
                <w:szCs w:val="15"/>
                <w:color w:val="auto"/>
              </w:rPr>
            </w:pPr>
          </w:p>
        </w:tc>
      </w:tr>
      <w:tr>
        <w:trPr>
          <w:trHeight w:val="182"/>
        </w:trPr>
        <w:tc>
          <w:tcPr>
            <w:tcW w:w="4680" w:type="dxa"/>
            <w:vAlign w:val="bottom"/>
          </w:tcPr>
          <w:p>
            <w:pPr>
              <w:spacing w:after="0"/>
              <w:rPr>
                <w:sz w:val="15"/>
                <w:szCs w:val="15"/>
                <w:color w:val="auto"/>
              </w:rPr>
            </w:pPr>
          </w:p>
        </w:tc>
        <w:tc>
          <w:tcPr>
            <w:tcW w:w="204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1995</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$391.5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$339.9</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234.4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208.8</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97.4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83.9</w:t>
            </w:r>
          </w:p>
        </w:tc>
      </w:tr>
      <w:tr>
        <w:trPr>
          <w:trHeight w:val="182"/>
        </w:trPr>
        <w:tc>
          <w:tcPr>
            <w:tcW w:w="4680" w:type="dxa"/>
            <w:vAlign w:val="bottom"/>
          </w:tcPr>
          <w:p>
            <w:pPr>
              <w:spacing w:after="0"/>
              <w:rPr>
                <w:sz w:val="15"/>
                <w:szCs w:val="15"/>
                <w:color w:val="auto"/>
              </w:rPr>
            </w:pP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20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59.7</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47.2</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Cost of goods sold as a percentage of net sales</w:t>
            </w:r>
          </w:p>
        </w:tc>
        <w:tc>
          <w:tcPr>
            <w:tcW w:w="20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59.9%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61.4%</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183"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See footnote (1) on page 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82"/>
              </w:rPr>
              <w:t>%</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$158.1</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16.7%</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85.0</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14.7%</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36.2</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15.7%</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15"/>
                <w:szCs w:val="15"/>
                <w:color w:val="auto"/>
              </w:rPr>
            </w:pP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82"/>
              </w:rPr>
              <w:t>%</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$51.6</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15.2%</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12.3%</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16.1%</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15"/>
                <w:szCs w:val="15"/>
                <w:color w:val="auto"/>
              </w:rPr>
            </w:pP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26.5%</w:t>
            </w:r>
          </w:p>
        </w:tc>
      </w:tr>
    </w:tbl>
    <w:p>
      <w:pPr>
        <w:sectPr>
          <w:pgSz w:w="11900" w:h="16838" w:orient="portrait"/>
          <w:cols w:equalWidth="0" w:num="2">
            <w:col w:w="7700" w:space="720"/>
            <w:col w:w="2080"/>
          </w:cols>
          <w:pgMar w:left="240" w:top="295" w:right="115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20</w:t>
      </w:r>
    </w:p>
    <w:p>
      <w:pPr>
        <w:spacing w:after="0" w:line="364"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right="140"/>
        <w:spacing w:after="0" w:line="239" w:lineRule="auto"/>
        <w:rPr>
          <w:sz w:val="20"/>
          <w:szCs w:val="20"/>
          <w:color w:val="auto"/>
        </w:rPr>
      </w:pPr>
      <w:r>
        <w:rPr>
          <w:rFonts w:ascii="Courier New" w:cs="Courier New" w:eastAsia="Courier New" w:hAnsi="Courier New"/>
          <w:sz w:val="16"/>
          <w:szCs w:val="16"/>
          <w:color w:val="auto"/>
        </w:rPr>
        <w:t>The consolidation of QVC's United Kingdom operations effective April 1, 1995 resulted in increases in net sales from electronic retailing of $26.5 million and $14.7 million for the nine and three month periods from 1994 to 1995, respectively. The remaining respective increases of $131.6 million and $36.9 million include QVC's new businesses, which contributed $11.7 million and $4.3 million, respectively, and the effects of 9% and 10% increases, respectively, in the average number of QVC homes receiving QVC services.</w:t>
      </w:r>
    </w:p>
    <w:p>
      <w:pPr>
        <w:spacing w:after="0" w:line="192" w:lineRule="exact"/>
        <w:rPr>
          <w:sz w:val="20"/>
          <w:szCs w:val="20"/>
          <w:color w:val="auto"/>
        </w:rPr>
      </w:pPr>
    </w:p>
    <w:p>
      <w:pPr>
        <w:jc w:val="both"/>
        <w:ind w:right="140"/>
        <w:spacing w:after="0" w:line="239" w:lineRule="auto"/>
        <w:rPr>
          <w:sz w:val="20"/>
          <w:szCs w:val="20"/>
          <w:color w:val="auto"/>
        </w:rPr>
      </w:pPr>
      <w:r>
        <w:rPr>
          <w:rFonts w:ascii="Courier New" w:cs="Courier New" w:eastAsia="Courier New" w:hAnsi="Courier New"/>
          <w:sz w:val="16"/>
          <w:szCs w:val="16"/>
          <w:color w:val="auto"/>
        </w:rPr>
        <w:t>The increase in cost of goods sold from electronic retailing is directly related to the growth in net sales. As a percentage of net sales, cost of goods sold has remained relatively constant from 1994 to 1995. The increase in gross margin is due to a slight change in product mix which resulted in the decrease in cost of goods sold as a percentage of net sales.</w:t>
      </w:r>
    </w:p>
    <w:p>
      <w:pPr>
        <w:spacing w:after="0" w:line="189" w:lineRule="exact"/>
        <w:rPr>
          <w:sz w:val="20"/>
          <w:szCs w:val="20"/>
          <w:color w:val="auto"/>
        </w:rPr>
      </w:pPr>
    </w:p>
    <w:p>
      <w:pPr>
        <w:jc w:val="both"/>
        <w:ind w:right="140"/>
        <w:spacing w:after="0" w:line="258" w:lineRule="auto"/>
        <w:rPr>
          <w:sz w:val="20"/>
          <w:szCs w:val="20"/>
          <w:color w:val="auto"/>
        </w:rPr>
      </w:pPr>
      <w:r>
        <w:rPr>
          <w:rFonts w:ascii="Courier New" w:cs="Courier New" w:eastAsia="Courier New" w:hAnsi="Courier New"/>
          <w:sz w:val="15"/>
          <w:szCs w:val="15"/>
          <w:color w:val="auto"/>
        </w:rPr>
        <w:t>The consolidation of QVC's United Kingdom operations effective April 1, 1995 resulted in increases in operating, selling, general and administrative expenses of $11.8 million and $5.7 million for the nine and three month periods from 1994 to 1995, respectively. The remaining respective increases of $24.4 million and $7.8 million are attributable to higher sales volume, increases in advertising costs and additional costs associated with new businesses.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6" w:lineRule="exact"/>
        <w:rPr>
          <w:sz w:val="20"/>
          <w:szCs w:val="20"/>
          <w:color w:val="auto"/>
        </w:rPr>
      </w:pPr>
    </w:p>
    <w:p>
      <w:pPr>
        <w:jc w:val="both"/>
        <w:ind w:right="140"/>
        <w:spacing w:after="0" w:line="237" w:lineRule="auto"/>
        <w:rPr>
          <w:sz w:val="20"/>
          <w:szCs w:val="20"/>
          <w:color w:val="auto"/>
        </w:rPr>
      </w:pPr>
      <w:r>
        <w:rPr>
          <w:rFonts w:ascii="Courier New" w:cs="Courier New" w:eastAsia="Courier New" w:hAnsi="Courier New"/>
          <w:sz w:val="16"/>
          <w:szCs w:val="16"/>
          <w:color w:val="auto"/>
        </w:rPr>
        <w:t>The following table sets forth the operating results for the Company's cellular communications segment (dollars 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6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Nine Months Ended</w:t>
            </w:r>
          </w:p>
        </w:tc>
      </w:tr>
      <w:tr>
        <w:trPr>
          <w:trHeight w:val="182"/>
        </w:trPr>
        <w:tc>
          <w:tcPr>
            <w:tcW w:w="46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560" w:type="dxa"/>
            <w:vAlign w:val="bottom"/>
          </w:tcPr>
          <w:p>
            <w:pPr>
              <w:spacing w:after="0"/>
              <w:rPr>
                <w:sz w:val="15"/>
                <w:szCs w:val="15"/>
                <w:color w:val="auto"/>
              </w:rPr>
            </w:pPr>
          </w:p>
        </w:tc>
      </w:tr>
      <w:tr>
        <w:trPr>
          <w:trHeight w:val="182"/>
        </w:trPr>
        <w:tc>
          <w:tcPr>
            <w:tcW w:w="4640" w:type="dxa"/>
            <w:vAlign w:val="bottom"/>
          </w:tcPr>
          <w:p>
            <w:pPr>
              <w:spacing w:after="0"/>
              <w:rPr>
                <w:sz w:val="15"/>
                <w:szCs w:val="15"/>
                <w:color w:val="auto"/>
              </w:rPr>
            </w:pPr>
          </w:p>
        </w:tc>
        <w:tc>
          <w:tcPr>
            <w:tcW w:w="208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1995</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1994</w:t>
            </w:r>
          </w:p>
        </w:tc>
      </w:tr>
      <w:tr>
        <w:trPr>
          <w:trHeight w:val="364"/>
        </w:trPr>
        <w:tc>
          <w:tcPr>
            <w:tcW w:w="464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$274.2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$205.4</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2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64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163.5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116.1</w:t>
            </w:r>
          </w:p>
        </w:tc>
      </w:tr>
      <w:tr>
        <w:trPr>
          <w:trHeight w:val="182"/>
        </w:trPr>
        <w:tc>
          <w:tcPr>
            <w:tcW w:w="4640" w:type="dxa"/>
            <w:vAlign w:val="bottom"/>
          </w:tcPr>
          <w:p>
            <w:pPr>
              <w:spacing w:after="0"/>
              <w:rPr>
                <w:sz w:val="15"/>
                <w:szCs w:val="15"/>
                <w:color w:val="auto"/>
              </w:rPr>
            </w:pP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64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110.7</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89.3</w:t>
            </w:r>
          </w:p>
        </w:tc>
      </w:tr>
      <w:tr>
        <w:trPr>
          <w:trHeight w:val="909"/>
        </w:trPr>
        <w:tc>
          <w:tcPr>
            <w:tcW w:w="4640" w:type="dxa"/>
            <w:vAlign w:val="bottom"/>
          </w:tcPr>
          <w:p>
            <w:pPr>
              <w:spacing w:after="0"/>
              <w:rPr>
                <w:sz w:val="24"/>
                <w:szCs w:val="24"/>
                <w:color w:val="auto"/>
              </w:rPr>
            </w:pPr>
          </w:p>
        </w:tc>
        <w:tc>
          <w:tcPr>
            <w:tcW w:w="26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64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560" w:type="dxa"/>
            <w:vAlign w:val="bottom"/>
          </w:tcPr>
          <w:p>
            <w:pPr>
              <w:spacing w:after="0"/>
              <w:rPr>
                <w:sz w:val="15"/>
                <w:szCs w:val="15"/>
                <w:color w:val="auto"/>
              </w:rPr>
            </w:pPr>
          </w:p>
        </w:tc>
      </w:tr>
      <w:tr>
        <w:trPr>
          <w:trHeight w:val="182"/>
        </w:trPr>
        <w:tc>
          <w:tcPr>
            <w:tcW w:w="4640" w:type="dxa"/>
            <w:vAlign w:val="bottom"/>
          </w:tcPr>
          <w:p>
            <w:pPr>
              <w:spacing w:after="0"/>
              <w:rPr>
                <w:sz w:val="15"/>
                <w:szCs w:val="15"/>
                <w:color w:val="auto"/>
              </w:rPr>
            </w:pPr>
          </w:p>
        </w:tc>
        <w:tc>
          <w:tcPr>
            <w:tcW w:w="208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1995</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1994</w:t>
            </w:r>
          </w:p>
        </w:tc>
      </w:tr>
      <w:tr>
        <w:trPr>
          <w:trHeight w:val="364"/>
        </w:trPr>
        <w:tc>
          <w:tcPr>
            <w:tcW w:w="464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$97.8</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$74.4</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2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64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57.8</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42.6</w:t>
            </w:r>
          </w:p>
        </w:tc>
      </w:tr>
      <w:tr>
        <w:trPr>
          <w:trHeight w:val="182"/>
        </w:trPr>
        <w:tc>
          <w:tcPr>
            <w:tcW w:w="4640" w:type="dxa"/>
            <w:vAlign w:val="bottom"/>
          </w:tcPr>
          <w:p>
            <w:pPr>
              <w:spacing w:after="0"/>
              <w:rPr>
                <w:sz w:val="15"/>
                <w:szCs w:val="15"/>
                <w:color w:val="auto"/>
              </w:rPr>
            </w:pP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2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464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20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40.0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8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183"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See footnote (1) on page 18.</w:t>
      </w:r>
    </w:p>
    <w:p>
      <w:pPr>
        <w:spacing w:after="0" w:line="200" w:lineRule="exact"/>
        <w:rPr>
          <w:sz w:val="20"/>
          <w:szCs w:val="20"/>
          <w:color w:val="auto"/>
        </w:rPr>
      </w:pPr>
    </w:p>
    <w:p>
      <w:pPr>
        <w:spacing w:after="0" w:line="350" w:lineRule="exact"/>
        <w:rPr>
          <w:sz w:val="20"/>
          <w:szCs w:val="20"/>
          <w:color w:val="auto"/>
        </w:rPr>
      </w:pPr>
    </w:p>
    <w:p>
      <w:pPr>
        <w:jc w:val="both"/>
        <w:ind w:right="140"/>
        <w:spacing w:after="0" w:line="258" w:lineRule="auto"/>
        <w:rPr>
          <w:sz w:val="20"/>
          <w:szCs w:val="20"/>
          <w:color w:val="auto"/>
        </w:rPr>
      </w:pPr>
      <w:r>
        <w:rPr>
          <w:rFonts w:ascii="Courier New" w:cs="Courier New" w:eastAsia="Courier New" w:hAnsi="Courier New"/>
          <w:sz w:val="15"/>
          <w:szCs w:val="15"/>
          <w:color w:val="auto"/>
        </w:rPr>
        <w:t>Of the increases in service income for the nine and three month periods from 1994 to 1995, $77.0 million and $25.4 million, respectively, are attributable to the Company's subscriber growth, $9.5 million and $3.7 million, respectively, are attributable to growth in roamer revenue as a result of the overall growth in the cellular industry and $2.0 million and $1.1 million, respectively, are attributable to new products. Offsetting these increases are decreases of $19.7 million and $6.8 million, respectively, resulting from reductions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82"/>
              </w:rPr>
              <w:t>%</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$68.8</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33.5%</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47.4</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40.8%</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15"/>
                <w:szCs w:val="15"/>
                <w:color w:val="auto"/>
              </w:rPr>
            </w:pP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21.4</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24.0%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82"/>
              </w:rPr>
              <w:t>%</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$23.4</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31.5%</w:t>
            </w: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35.7%</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15"/>
                <w:szCs w:val="15"/>
                <w:color w:val="auto"/>
              </w:rPr>
            </w:pPr>
          </w:p>
        </w:tc>
      </w:tr>
      <w:tr>
        <w:trPr>
          <w:trHeight w:val="364"/>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25.8%</w:t>
            </w:r>
          </w:p>
        </w:tc>
      </w:tr>
    </w:tbl>
    <w:p>
      <w:pPr>
        <w:sectPr>
          <w:pgSz w:w="11900" w:h="16838" w:orient="portrait"/>
          <w:cols w:equalWidth="0" w:num="2">
            <w:col w:w="7700" w:space="720"/>
            <w:col w:w="2080"/>
          </w:cols>
          <w:pgMar w:left="240" w:top="295" w:right="115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21</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average minutes-of-use per cellular subscriber from 1994 to the same periods in 1995. The Company expects that the decrease in average minutes-of-use per cellular subscriber to continue in the future, which is consistent with industry trends.</w:t>
      </w:r>
    </w:p>
    <w:p>
      <w:pPr>
        <w:spacing w:after="0" w:line="187"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Of the increases in operating, selling, general and administrative expenses for the nine and three month periods from 1994 to 1995, $24.6 million and $6.5 million, respectively, are related to subscriber growth, including the costs to acquire and service subscribers. The remaining increases of $22.8 million and $8.7 million, respectively, are due to increases in other expenses, including subscriber retention costs, theft of service and administrative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increases in depreciation and amortization expense are due to the acquisitions of QVC and Maclean Hunter, the effects of the rebuild of certain of the Company's cellular equipment, as described below, and capital expenditures during the periods.</w:t>
      </w:r>
    </w:p>
    <w:p>
      <w:pPr>
        <w:spacing w:after="0" w:line="187"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In 1995, the Company's cellular division purchased approximately $172.0 million of switching and cell site equipment which replaced the existing switching and cell site equipment. The Company completed the rebuild in the third quarter of 1995. In accordance with the provisions of Statement of Financial Accounting Standards No. 121, "Accounting for the Impairment of Long-Lived Assets and for Long-Lived Assets to be Disposed Of," during the first quarter of 1995, the Company charged to its results of operations approximately $110.0 million which represented the difference between the net book value of the equipment replaced and the residual value realized upon its disposal. This charge has been reflected in the Company's condensed consolidated statement of operations and accumulated deficit as a component of depreciation and amortization expense.</w:t>
      </w:r>
    </w:p>
    <w:p>
      <w:pPr>
        <w:spacing w:after="0" w:line="181"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increases in interest expense are primarily due to increased levels of debt associated with the acquisitions of QVC and Maclean Hunter.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87"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has entered into interest rate protection agreements to limit the Company's exposure to loss from adverse fluctuations in interest rates. As of September 30, 1995, $815.0 million of the Company's variable rate debt was protected by these products. Such agreements mature on various dates through 1997 and the related differentials to be paid or received are recognized over the terms of the agreements.</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increase in investment income for the nine months ended September 30, 1995 is principally due to the effects of the Heritage Transaction and Nextel Transaction. The increase for the three months ended September 30, 1995 is principally due to the effects of the Nextel Transaction. The remaining increases for these periods are due to increases in the Company's cash and cash equivalents and short term investments.</w:t>
      </w:r>
    </w:p>
    <w:p>
      <w:pPr>
        <w:spacing w:after="0" w:line="190"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increases in equity in net losses of affiliates are due to increased losses incurred by the Company's international investees as well as losses incurred by STV and certain programming investees.</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changes in minority interest and other from 1994 to the same periods in 1995 are attributable to minority interests in the net income or loss of QVC, Maclean Hunter and the Company's United Kingdom operations, as well as losses incurred relating to the net realizable value of certain of the Company's investments, principally in affiliates.</w:t>
      </w:r>
    </w:p>
    <w:p>
      <w:pPr>
        <w:sectPr>
          <w:pgSz w:w="11900" w:h="16838" w:orient="portrait"/>
          <w:cols w:equalWidth="0" w:num="1">
            <w:col w:w="10219"/>
          </w:cols>
          <w:pgMar w:left="240" w:top="29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22</w:t>
      </w:r>
    </w:p>
    <w:p>
      <w:pPr>
        <w:spacing w:after="0" w:line="36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spacing w:after="0" w:line="238" w:lineRule="auto"/>
        <w:rPr>
          <w:sz w:val="20"/>
          <w:szCs w:val="20"/>
          <w:color w:val="auto"/>
        </w:rPr>
      </w:pPr>
      <w:r>
        <w:rPr>
          <w:rFonts w:ascii="Courier New" w:cs="Courier New" w:eastAsia="Courier New" w:hAnsi="Courier New"/>
          <w:sz w:val="16"/>
          <w:szCs w:val="16"/>
          <w:color w:val="auto"/>
        </w:rPr>
        <w:t>The increases in income tax expense 1995 are primarily attributable reporting purposes.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659" w:firstLine="95"/>
        <w:spacing w:after="0" w:line="237" w:lineRule="auto"/>
        <w:rPr>
          <w:sz w:val="20"/>
          <w:szCs w:val="20"/>
          <w:color w:val="auto"/>
        </w:rPr>
      </w:pPr>
      <w:r>
        <w:rPr>
          <w:rFonts w:ascii="Courier New" w:cs="Courier New" w:eastAsia="Courier New" w:hAnsi="Courier New"/>
          <w:sz w:val="16"/>
          <w:szCs w:val="16"/>
          <w:color w:val="auto"/>
        </w:rPr>
        <w:t>(benefit) from 1994 to the same periods in to the consolidation of QVC for financial</w:t>
      </w:r>
    </w:p>
    <w:p>
      <w:pPr>
        <w:spacing w:after="0" w:line="369" w:lineRule="exact"/>
        <w:rPr>
          <w:sz w:val="20"/>
          <w:szCs w:val="20"/>
          <w:color w:val="auto"/>
        </w:rPr>
      </w:pPr>
    </w:p>
    <w:p>
      <w:pPr>
        <w:sectPr>
          <w:pgSz w:w="11900" w:h="16838" w:orient="portrait"/>
          <w:cols w:equalWidth="0" w:num="2">
            <w:col w:w="3300" w:space="100"/>
            <w:col w:w="6819"/>
          </w:cols>
          <w:pgMar w:left="240" w:top="295" w:right="1440" w:bottom="1440" w:gutter="0" w:footer="0" w:header="0"/>
          <w:type w:val="continuous"/>
        </w:sectPr>
      </w:pPr>
    </w:p>
    <w:p>
      <w:pPr>
        <w:jc w:val="both"/>
        <w:ind w:right="2659"/>
        <w:spacing w:after="0"/>
        <w:rPr>
          <w:sz w:val="20"/>
          <w:szCs w:val="20"/>
          <w:color w:val="auto"/>
        </w:rPr>
      </w:pPr>
      <w:r>
        <w:rPr>
          <w:rFonts w:ascii="Courier New" w:cs="Courier New" w:eastAsia="Courier New" w:hAnsi="Courier New"/>
          <w:sz w:val="16"/>
          <w:szCs w:val="16"/>
          <w:color w:val="auto"/>
        </w:rPr>
        <w:t>The Company incurred debt extinguishment costs totaling $8.3 million during the nine and three months ended September 30, 1995, as a result of refinancing the indebtedness of certain subsidiaries, resulting in the Company recording an extraordinary loss, net of tax, of $5.4 million or $.02 per share. During the nine months ended September 30, 1994, the Company paid premiums and expensed unamortized debt acquisition costs totaling $18.0 million, primarily as a result of the redemption of its $150.0 million, 11-7/8% senior subordinated debentures due 2004, resulting in the Company recording an extraordinary loss, net of tax, of $11.7 million or $.05 per share.</w:t>
      </w:r>
    </w:p>
    <w:p>
      <w:pPr>
        <w:spacing w:after="0" w:line="188"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For the nine and three months ended September 30, 1995 and 1994, the Company's earnings before extraordinary items, income tax expense (benefit), equity in net losses of affiliates and fixed charges (interest expense) were $452.5 million, $211.5 million, $179.9 million and $68.4 million, respectively. For the three months ended September 30, 1995, such earnings exceeded the Company's fixed charges of $137.8 million. Excluding the pre-tax gain of $141 million recognized in the first quarter of 1995 in connection with the Heritage Transaction, such earnings were not adequate to cover the Company's fixed charges of $388.4 million, $228.5 million and $75.7 million for the nine months ended September 30, 1995 and 1994 and the three months ended September 30, 1994, respectively. Fixed charges include non-cash interest of $41.4 million, $40.1 million, $14.0 million and $13.8 million for the nine and three months ended September 30, 1995 and 1994, respectively. For all applicable periods, the inadequacy of these earnings to cover fixed charges is primarily due to the substantial non-cash charges for depreciation and amortization expense, including the first quarter 1995 charge associated with the rebuild of certain of the Company's cellular equipment.</w:t>
      </w:r>
    </w:p>
    <w:p>
      <w:pPr>
        <w:spacing w:after="0" w:line="193"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its losses and inadequacy of earnings to cover fixed charges will not significantly affect the performance of its normal business activities because of its existing cash and cash equivalents and short-term investments, its ability to generate operating income before depreciation and amortization and its ability to obtain external financing.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Rate Regulation Developments</w:t>
      </w:r>
    </w:p>
    <w:p>
      <w:pPr>
        <w:spacing w:after="0" w:line="186"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The Company currently is seeking to justify rates for regulated services in certain of its cable systems in the States of New Jersey and Connecticut on the basis of cost-of-service showings. A settlement has been reached with the State of New Jersey with respect to rates for basic cable services and equipment. The State of Connecticut has ordered the Company to reduce rates for basic cable services and equipment and to make refunds to subscribers. The Connecticut decision has been appealed to the FCC. The Company and the FCC staff have</w:t>
      </w:r>
    </w:p>
    <w:p>
      <w:pPr>
        <w:spacing w:after="0" w:line="4"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reached agreement, subject to Commission approval, on outstanding cost-of-service rate complaints for cable programming services for systems in the States of New Jersey and Connecticut. The proposed settlement will also resolve outstanding complaints with regard to "benchmark" rate regulation in other systems. Absent legislative, administrative or judicial relief, the FCC regulations will continue to adversely affect the Company's results of operations.</w:t>
      </w:r>
    </w:p>
    <w:p>
      <w:pPr>
        <w:sectPr>
          <w:pgSz w:w="11900" w:h="16838" w:orient="portrait"/>
          <w:cols w:equalWidth="0" w:num="1">
            <w:col w:w="10219"/>
          </w:cols>
          <w:pgMar w:left="240" w:top="295"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23</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ind w:left="460"/>
        <w:spacing w:after="0"/>
        <w:tabs>
          <w:tab w:leader="none" w:pos="13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jc w:val="both"/>
        <w:ind w:left="940" w:right="2659" w:hanging="470"/>
        <w:spacing w:after="0" w:line="257" w:lineRule="auto"/>
        <w:tabs>
          <w:tab w:leader="none" w:pos="9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the Company entered into agreements to settle various disputes pending in the courts and at the FCC regarding the ownership, operation and transfer of the license for a cellular telephone system in the Atlantic City, New Jersey MSA. As part of that settlement, the Company, in June 1995, purchased an 80% interest in a cellular telephone system in the Vineland, New Jersey RSA and an additional 9.3% interest in a cellular telephone system in the Atlantic City MSA. The remaining portion of the settlement, which resolves various claims and disputes and in addition involves the transfer to the Company of control of the Atlantic City cellular telephone system, is subject to a favorable determination at the FCC of proceedings concerning the status of the current Atlantic City cellular licensee, approval by the FCC of the transfer to the Company of the cellular license, other regulatory approvals and consents of third parties.</w:t>
      </w:r>
    </w:p>
    <w:p>
      <w:pPr>
        <w:spacing w:after="0" w:line="177" w:lineRule="exact"/>
        <w:rPr>
          <w:sz w:val="20"/>
          <w:szCs w:val="20"/>
          <w:color w:val="auto"/>
        </w:rPr>
      </w:pPr>
    </w:p>
    <w:p>
      <w:pPr>
        <w:ind w:left="460"/>
        <w:spacing w:after="0"/>
        <w:tabs>
          <w:tab w:leader="none" w:pos="15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Exhibits required to be filed by Item 601 of Regulation S-K:</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10.1/*/</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Credit</w:t>
            </w:r>
          </w:p>
        </w:tc>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Agreement,</w:t>
            </w:r>
          </w:p>
        </w:tc>
        <w:tc>
          <w:tcPr>
            <w:tcW w:w="2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dated as of September</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14, 1995,</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between</w:t>
            </w:r>
          </w:p>
        </w:tc>
      </w:tr>
      <w:tr>
        <w:trPr>
          <w:trHeight w:val="182"/>
        </w:trPr>
        <w:tc>
          <w:tcPr>
            <w:tcW w:w="80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Comcast</w:t>
            </w:r>
          </w:p>
        </w:tc>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Cellular</w:t>
            </w:r>
          </w:p>
        </w:tc>
        <w:tc>
          <w:tcPr>
            <w:tcW w:w="156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7"/>
              </w:rPr>
              <w:t>Communications,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Inc.,</w:t>
            </w:r>
          </w:p>
        </w:tc>
        <w:tc>
          <w:tcPr>
            <w:tcW w:w="9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4"/>
              </w:rPr>
              <w:t>the banks</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listed</w:t>
            </w:r>
          </w:p>
        </w:tc>
      </w:tr>
      <w:tr>
        <w:trPr>
          <w:trHeight w:val="182"/>
        </w:trPr>
        <w:tc>
          <w:tcPr>
            <w:tcW w:w="80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therein,</w:t>
            </w:r>
          </w:p>
        </w:tc>
        <w:tc>
          <w:tcPr>
            <w:tcW w:w="10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The Bank of</w:t>
            </w:r>
          </w:p>
        </w:tc>
        <w:tc>
          <w:tcPr>
            <w:tcW w:w="3640" w:type="dxa"/>
            <w:vAlign w:val="bottom"/>
            <w:gridSpan w:val="7"/>
          </w:tcPr>
          <w:p>
            <w:pPr>
              <w:ind w:left="40"/>
              <w:spacing w:after="0"/>
              <w:rPr>
                <w:sz w:val="20"/>
                <w:szCs w:val="20"/>
                <w:color w:val="auto"/>
              </w:rPr>
            </w:pPr>
            <w:r>
              <w:rPr>
                <w:rFonts w:ascii="Courier New" w:cs="Courier New" w:eastAsia="Courier New" w:hAnsi="Courier New"/>
                <w:sz w:val="16"/>
                <w:szCs w:val="16"/>
                <w:color w:val="auto"/>
                <w:w w:val="98"/>
              </w:rPr>
              <w:t>New York, Barclays Bank PLC, The Chase</w:t>
            </w:r>
          </w:p>
        </w:tc>
      </w:tr>
      <w:tr>
        <w:trPr>
          <w:trHeight w:val="182"/>
        </w:trPr>
        <w:tc>
          <w:tcPr>
            <w:tcW w:w="800" w:type="dxa"/>
            <w:vAlign w:val="bottom"/>
          </w:tcPr>
          <w:p>
            <w:pPr>
              <w:spacing w:after="0"/>
              <w:rPr>
                <w:sz w:val="15"/>
                <w:szCs w:val="15"/>
                <w:color w:val="auto"/>
              </w:rPr>
            </w:pPr>
          </w:p>
        </w:tc>
        <w:tc>
          <w:tcPr>
            <w:tcW w:w="21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Manhattan Bank, N.A.,</w:t>
            </w:r>
          </w:p>
        </w:tc>
        <w:tc>
          <w:tcPr>
            <w:tcW w:w="1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PNC Bank,  National</w:t>
            </w:r>
          </w:p>
        </w:tc>
        <w:tc>
          <w:tcPr>
            <w:tcW w:w="13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Association,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r>
      <w:tr>
        <w:trPr>
          <w:trHeight w:val="182"/>
        </w:trPr>
        <w:tc>
          <w:tcPr>
            <w:tcW w:w="800" w:type="dxa"/>
            <w:vAlign w:val="bottom"/>
          </w:tcPr>
          <w:p>
            <w:pPr>
              <w:spacing w:after="0"/>
              <w:rPr>
                <w:sz w:val="15"/>
                <w:szCs w:val="15"/>
                <w:color w:val="auto"/>
              </w:rPr>
            </w:pPr>
          </w:p>
        </w:tc>
        <w:tc>
          <w:tcPr>
            <w:tcW w:w="21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The Toronto-Dominion</w:t>
            </w:r>
          </w:p>
        </w:tc>
        <w:tc>
          <w:tcPr>
            <w:tcW w:w="3640" w:type="dxa"/>
            <w:vAlign w:val="bottom"/>
            <w:gridSpan w:val="7"/>
          </w:tcPr>
          <w:p>
            <w:pPr>
              <w:ind w:left="40"/>
              <w:spacing w:after="0"/>
              <w:rPr>
                <w:sz w:val="20"/>
                <w:szCs w:val="20"/>
                <w:color w:val="auto"/>
              </w:rPr>
            </w:pPr>
            <w:r>
              <w:rPr>
                <w:rFonts w:ascii="Courier New" w:cs="Courier New" w:eastAsia="Courier New" w:hAnsi="Courier New"/>
                <w:sz w:val="16"/>
                <w:szCs w:val="16"/>
                <w:color w:val="auto"/>
                <w:w w:val="98"/>
              </w:rPr>
              <w:t>Bank, as Arranging Agents, and Toronto</w:t>
            </w:r>
          </w:p>
        </w:tc>
      </w:tr>
      <w:tr>
        <w:trPr>
          <w:trHeight w:val="182"/>
        </w:trPr>
        <w:tc>
          <w:tcPr>
            <w:tcW w:w="800" w:type="dxa"/>
            <w:vAlign w:val="bottom"/>
          </w:tcPr>
          <w:p>
            <w:pPr>
              <w:spacing w:after="0"/>
              <w:rPr>
                <w:sz w:val="15"/>
                <w:szCs w:val="15"/>
                <w:color w:val="auto"/>
              </w:rPr>
            </w:pPr>
          </w:p>
        </w:tc>
        <w:tc>
          <w:tcPr>
            <w:tcW w:w="4080" w:type="dxa"/>
            <w:vAlign w:val="bottom"/>
            <w:gridSpan w:val="8"/>
          </w:tcPr>
          <w:p>
            <w:pPr>
              <w:ind w:left="140"/>
              <w:spacing w:after="0"/>
              <w:rPr>
                <w:sz w:val="20"/>
                <w:szCs w:val="20"/>
                <w:color w:val="auto"/>
              </w:rPr>
            </w:pPr>
            <w:r>
              <w:rPr>
                <w:rFonts w:ascii="Courier New" w:cs="Courier New" w:eastAsia="Courier New" w:hAnsi="Courier New"/>
                <w:sz w:val="16"/>
                <w:szCs w:val="16"/>
                <w:color w:val="auto"/>
                <w:w w:val="99"/>
              </w:rPr>
              <w:t>Dominion (Texas), Inc., as Administrative</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Agent.</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64"/>
        </w:trPr>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10.2/*/</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Credit</w:t>
            </w:r>
          </w:p>
        </w:tc>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Agreement,</w:t>
            </w:r>
          </w:p>
        </w:tc>
        <w:tc>
          <w:tcPr>
            <w:tcW w:w="2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dated as of September</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19, 1995,</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between</w:t>
            </w:r>
          </w:p>
        </w:tc>
      </w:tr>
      <w:tr>
        <w:trPr>
          <w:trHeight w:val="182"/>
        </w:trPr>
        <w:tc>
          <w:tcPr>
            <w:tcW w:w="800" w:type="dxa"/>
            <w:vAlign w:val="bottom"/>
          </w:tcPr>
          <w:p>
            <w:pPr>
              <w:spacing w:after="0"/>
              <w:rPr>
                <w:sz w:val="15"/>
                <w:szCs w:val="15"/>
                <w:color w:val="auto"/>
              </w:rPr>
            </w:pPr>
          </w:p>
        </w:tc>
        <w:tc>
          <w:tcPr>
            <w:tcW w:w="194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Comcast Holdings,</w:t>
            </w:r>
          </w:p>
        </w:tc>
        <w:tc>
          <w:tcPr>
            <w:tcW w:w="21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Inc., the banks listed</w:t>
            </w:r>
          </w:p>
        </w:tc>
        <w:tc>
          <w:tcPr>
            <w:tcW w:w="174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therein, The Chase</w:t>
            </w:r>
          </w:p>
        </w:tc>
      </w:tr>
      <w:tr>
        <w:trPr>
          <w:trHeight w:val="182"/>
        </w:trPr>
        <w:tc>
          <w:tcPr>
            <w:tcW w:w="800" w:type="dxa"/>
            <w:vAlign w:val="bottom"/>
          </w:tcPr>
          <w:p>
            <w:pPr>
              <w:spacing w:after="0"/>
              <w:rPr>
                <w:sz w:val="15"/>
                <w:szCs w:val="15"/>
                <w:color w:val="auto"/>
              </w:rPr>
            </w:pPr>
          </w:p>
        </w:tc>
        <w:tc>
          <w:tcPr>
            <w:tcW w:w="21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Manhattan Bank, N.A.,</w:t>
            </w:r>
          </w:p>
        </w:tc>
        <w:tc>
          <w:tcPr>
            <w:tcW w:w="1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as Arranging Agent,</w:t>
            </w:r>
          </w:p>
        </w:tc>
        <w:tc>
          <w:tcPr>
            <w:tcW w:w="17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Bank of Montreal,</w:t>
            </w:r>
          </w:p>
        </w:tc>
      </w:tr>
      <w:tr>
        <w:trPr>
          <w:trHeight w:val="182"/>
        </w:trPr>
        <w:tc>
          <w:tcPr>
            <w:tcW w:w="80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CIBC Inc.,</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The</w:t>
            </w:r>
          </w:p>
        </w:tc>
        <w:tc>
          <w:tcPr>
            <w:tcW w:w="112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Long-term</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Credit</w:t>
            </w:r>
          </w:p>
        </w:tc>
        <w:tc>
          <w:tcPr>
            <w:tcW w:w="156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Bank of Japan,</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Limited,</w:t>
            </w:r>
          </w:p>
        </w:tc>
      </w:tr>
      <w:tr>
        <w:trPr>
          <w:trHeight w:val="182"/>
        </w:trPr>
        <w:tc>
          <w:tcPr>
            <w:tcW w:w="80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Royal</w:t>
            </w:r>
          </w:p>
        </w:tc>
        <w:tc>
          <w:tcPr>
            <w:tcW w:w="13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Bank of Canada</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and</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Societe</w:t>
            </w: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Generale,</w:t>
            </w:r>
          </w:p>
        </w:tc>
        <w:tc>
          <w:tcPr>
            <w:tcW w:w="3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as</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Managing</w:t>
            </w:r>
          </w:p>
        </w:tc>
      </w:tr>
      <w:tr>
        <w:trPr>
          <w:trHeight w:val="182"/>
        </w:trPr>
        <w:tc>
          <w:tcPr>
            <w:tcW w:w="80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Agents,</w:t>
            </w:r>
          </w:p>
        </w:tc>
        <w:tc>
          <w:tcPr>
            <w:tcW w:w="2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The</w:t>
            </w:r>
          </w:p>
        </w:tc>
        <w:tc>
          <w:tcPr>
            <w:tcW w:w="24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Chase</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Manhattan</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Bank,</w:t>
            </w:r>
          </w:p>
        </w:tc>
        <w:tc>
          <w:tcPr>
            <w:tcW w:w="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r>
    </w:tbl>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Administrative Agent.</w:t>
      </w:r>
    </w:p>
    <w:p>
      <w:pPr>
        <w:spacing w:after="0" w:line="186" w:lineRule="exact"/>
        <w:rPr>
          <w:sz w:val="20"/>
          <w:szCs w:val="20"/>
          <w:color w:val="auto"/>
        </w:rPr>
      </w:pPr>
    </w:p>
    <w:p>
      <w:pPr>
        <w:jc w:val="both"/>
        <w:ind w:left="1880" w:right="2659" w:hanging="945"/>
        <w:spacing w:after="0" w:line="239" w:lineRule="auto"/>
        <w:tabs>
          <w:tab w:leader="none" w:pos="18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The Comcast Corporation Retirement-Investment Plan, as amended and restated effective January 1, 1993 (revised through September 30, 1995) (incorporated by reference to Exhibit 10.1 to the Form S-8 of Comcast Corporation filed on October 5, 1995).</w:t>
      </w:r>
    </w:p>
    <w:p>
      <w:pPr>
        <w:spacing w:after="0" w:line="189" w:lineRule="exact"/>
        <w:rPr>
          <w:sz w:val="20"/>
          <w:szCs w:val="20"/>
          <w:color w:val="auto"/>
        </w:rPr>
      </w:pPr>
    </w:p>
    <w:p>
      <w:pPr>
        <w:jc w:val="both"/>
        <w:ind w:left="1880" w:right="2659" w:hanging="945"/>
        <w:spacing w:after="0" w:line="239" w:lineRule="auto"/>
        <w:tabs>
          <w:tab w:leader="none" w:pos="18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Defined Contribution Plans Master Trust Agreement Between Comcast Corporation and State Street Bank and Trust Company (incorporated by reference to Exhibit 10.2 to the Form S-8 of Comcast Corporation filed on October 5, 1995).</w:t>
      </w:r>
    </w:p>
    <w:p>
      <w:pPr>
        <w:spacing w:after="0" w:line="183"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5"/>
          <w:szCs w:val="15"/>
          <w:color w:val="auto"/>
        </w:rPr>
        <w:t>Financial Data Schedule.</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38" w:lineRule="auto"/>
        <w:rPr>
          <w:sz w:val="20"/>
          <w:szCs w:val="20"/>
          <w:color w:val="auto"/>
        </w:rPr>
      </w:pPr>
      <w:r>
        <w:rPr>
          <w:rFonts w:ascii="Courier New" w:cs="Courier New" w:eastAsia="Courier New" w:hAnsi="Courier New"/>
          <w:sz w:val="16"/>
          <w:szCs w:val="16"/>
          <w:color w:val="auto"/>
        </w:rPr>
        <w:t>Pursuant to Item 601(b)(4)(iii)(A) of Regulation Registrant agrees to furnish a copy of the agreement to the Commission upon request.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S-K,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referenced</w:t>
      </w:r>
    </w:p>
    <w:p>
      <w:pPr>
        <w:spacing w:after="0" w:line="375" w:lineRule="exact"/>
        <w:rPr>
          <w:sz w:val="20"/>
          <w:szCs w:val="20"/>
          <w:color w:val="auto"/>
        </w:rPr>
      </w:pPr>
    </w:p>
    <w:p>
      <w:pPr>
        <w:sectPr>
          <w:pgSz w:w="11900" w:h="16838" w:orient="portrait"/>
          <w:cols w:equalWidth="0" w:num="3">
            <w:col w:w="1220" w:space="660"/>
            <w:col w:w="4740" w:space="0"/>
            <w:col w:w="3599"/>
          </w:cols>
          <w:pgMar w:left="240" w:top="295"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(b) Reports on Form 8-K - None</w:t>
      </w:r>
    </w:p>
    <w:p>
      <w:pPr>
        <w:sectPr>
          <w:pgSz w:w="11900" w:h="16838" w:orient="portrait"/>
          <w:cols w:equalWidth="0" w:num="1">
            <w:col w:w="10219"/>
          </w:cols>
          <w:pgMar w:left="240" w:top="295"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24</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1995</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Lawrence S. Smith</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Lawrence S. Smith</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Senior Vice President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Accounting and Administration</w:t>
      </w:r>
    </w:p>
    <w:p>
      <w:pPr>
        <w:spacing w:after="0" w:line="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14, 1995</w:t>
      </w:r>
    </w:p>
    <w:p>
      <w:pPr>
        <w:sectPr>
          <w:pgSz w:w="11900" w:h="16838" w:orient="portrait"/>
          <w:cols w:equalWidth="0" w:num="1">
            <w:col w:w="10219"/>
          </w:cols>
          <w:pgMar w:left="240" w:top="295" w:right="1440" w:bottom="1440" w:gutter="0" w:footer="0" w:header="0"/>
        </w:sectPr>
      </w:pPr>
    </w:p>
    <w:bookmarkStart w:id="25" w:name="page26"/>
    <w:bookmarkEnd w:id="25"/>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0000022301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9-MOS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DEC-31-1995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SEP-30-1995</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616,490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211,943</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420,552</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(83,993)</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223,938</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1,491,535</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2,447,011</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(892,893)</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9,237,377</w:t>
      </w:r>
    </w:p>
    <w:p>
      <w:pPr>
        <w:spacing w:after="0" w:line="1"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1,146,067</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6,619,495</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239,918</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(992,235)</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9,237,377</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2,357,427</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2,357,427</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(584,615)</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(2,147,528)</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(63,534)</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(388,367)</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595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(32,470)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(31,875)</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(5,407)</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(37,282)</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(.15)</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(.15)</w:t>
      </w:r>
    </w:p>
    <w:sectPr>
      <w:pgSz w:w="11900" w:h="16838" w:orient="portrait"/>
      <w:cols w:equalWidth="0" w:num="1">
        <w:col w:w="10199"/>
      </w:cols>
      <w:pgMar w:left="2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lvl w:ilvl="1">
      <w:lvlJc w:val="left"/>
      <w:lvlText w:val="(%2)"/>
      <w:numFmt w:val="decimal"/>
      <w:start w:val="1"/>
    </w:lvl>
  </w:abstractNum>
  <w:abstractNum w:abstractNumId="4">
    <w:nsid w:val="5BD062C2"/>
    <w:multiLevelType w:val="hybridMultilevel"/>
    <w:lvl w:ilvl="0">
      <w:lvlJc w:val="left"/>
      <w:lvlText w:val="%1."/>
      <w:numFmt w:val="decimal"/>
      <w:start w:val="4"/>
    </w:lvl>
    <w:lvl w:ilvl="1">
      <w:lvlJc w:val="left"/>
      <w:lvlText w:val="%2"/>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2019-12-12T05:34:02Z</dcterms:created>
  <dcterms:modified xsi:type="dcterms:W3CDTF">2019-12-12T05:34:02Z</dcterms:modified>
</cp:coreProperties>
</file>