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20594</w:t>
      </w:r>
    </w:p>
    <w:p>
      <w:pPr>
        <w:spacing w:after="0" w:line="200" w:lineRule="exact"/>
        <w:rPr>
          <w:sz w:val="24"/>
          <w:szCs w:val="24"/>
          <w:color w:val="auto"/>
        </w:rPr>
      </w:pPr>
    </w:p>
    <w:p>
      <w:pPr>
        <w:spacing w:after="0" w:line="204" w:lineRule="exact"/>
        <w:rPr>
          <w:sz w:val="24"/>
          <w:szCs w:val="24"/>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 )*</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Comcast Corporation</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Class A Common Stock</w:t>
      </w:r>
    </w:p>
    <w:p>
      <w:pPr>
        <w:spacing w:after="0" w:line="201"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200300101</w:t>
      </w:r>
    </w:p>
    <w:p>
      <w:pPr>
        <w:spacing w:after="0" w:line="201"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9"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Check the following box if a fee is being paid with this statement [ ]. (A fee is not required only if the filing person: (1) has a previous statement on file reporting beneficial ownership of more than five percent of the class of securities described in Item 1: and (2) has filed no amendment subsequent thereto reporting beneficial ownership of five percent or less of such class.) (See Rule 13d-7).</w:t>
      </w:r>
    </w:p>
    <w:p>
      <w:pPr>
        <w:spacing w:after="0" w:line="210"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447" w:right="1440" w:bottom="1440" w:gutter="0" w:footer="0" w:header="0"/>
        </w:sectPr>
      </w:pPr>
    </w:p>
    <w:bookmarkStart w:id="1" w:name="page2"/>
    <w:bookmarkEnd w:id="1"/>
    <w:p>
      <w:pPr>
        <w:ind w:left="540" w:hanging="427"/>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Capital Research and Management Company 95-1411037</w:t>
      </w:r>
    </w:p>
    <w:p>
      <w:pPr>
        <w:spacing w:after="0" w:line="203"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214" w:lineRule="exact"/>
        <w:rPr>
          <w:sz w:val="20"/>
          <w:szCs w:val="20"/>
          <w:color w:val="auto"/>
        </w:rPr>
      </w:pPr>
    </w:p>
    <w:p>
      <w:pPr>
        <w:ind w:left="1900" w:right="6519" w:hanging="417"/>
        <w:spacing w:after="0" w:line="470" w:lineRule="auto"/>
        <w:tabs>
          <w:tab w:leader="none" w:pos="19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1,940,000</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2739" w:hanging="427"/>
        <w:spacing w:after="0" w:line="470"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1,940,000 Beneficial ownership disclaimed pursuant to Rule 13d-4</w:t>
      </w:r>
    </w:p>
    <w:p>
      <w:pPr>
        <w:spacing w:after="0" w:line="214" w:lineRule="exact"/>
        <w:rPr>
          <w:sz w:val="20"/>
          <w:szCs w:val="20"/>
          <w:color w:val="auto"/>
        </w:rPr>
      </w:pPr>
    </w:p>
    <w:p>
      <w:pPr>
        <w:ind w:left="540" w:hanging="427"/>
        <w:spacing w:after="0"/>
        <w:tabs>
          <w:tab w:leader="none" w:pos="54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6.1%</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514" w:right="1440" w:bottom="1440" w:gutter="0" w:footer="0" w:header="0"/>
        </w:sectPr>
      </w:pPr>
    </w:p>
    <w:bookmarkStart w:id="2" w:name="page3"/>
    <w:bookmarkEnd w:id="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 w:name="page4"/>
    <w:bookmarkEnd w:id="3"/>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4" w:lineRule="exact"/>
        <w:rPr>
          <w:rFonts w:ascii="Courier New" w:cs="Courier New" w:eastAsia="Courier New" w:hAnsi="Courier New"/>
          <w:sz w:val="18"/>
          <w:szCs w:val="18"/>
          <w:color w:val="auto"/>
        </w:rPr>
      </w:pPr>
    </w:p>
    <w:p>
      <w:pPr>
        <w:ind w:left="540" w:right="45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 The Growth Fund of America, Inc.</w:t>
      </w:r>
    </w:p>
    <w:p>
      <w:pPr>
        <w:spacing w:after="0" w:line="1"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52-0792143</w:t>
      </w:r>
    </w:p>
    <w:p>
      <w:pPr>
        <w:spacing w:after="0" w:line="202" w:lineRule="exact"/>
        <w:rPr>
          <w:sz w:val="20"/>
          <w:szCs w:val="20"/>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8"/>
          <w:szCs w:val="18"/>
          <w:color w:val="auto"/>
        </w:rPr>
        <w:t>CHECK THE APPROPRIATE BOX IF A MEMBER OF A GROUP*</w:t>
      </w:r>
    </w:p>
    <w:p>
      <w:pPr>
        <w:ind w:left="7180"/>
        <w:spacing w:after="0" w:line="238" w:lineRule="auto"/>
        <w:rPr>
          <w:sz w:val="20"/>
          <w:szCs w:val="20"/>
          <w:color w:val="auto"/>
        </w:rPr>
      </w:pPr>
      <w:r>
        <w:rPr>
          <w:rFonts w:ascii="Courier New" w:cs="Courier New" w:eastAsia="Courier New" w:hAnsi="Courier New"/>
          <w:sz w:val="18"/>
          <w:szCs w:val="18"/>
          <w:color w:val="auto"/>
        </w:rPr>
        <w:t>(a)</w:t>
      </w:r>
    </w:p>
    <w:p>
      <w:pPr>
        <w:spacing w:after="0" w:line="202" w:lineRule="exact"/>
        <w:rPr>
          <w:sz w:val="20"/>
          <w:szCs w:val="20"/>
          <w:color w:val="auto"/>
        </w:rPr>
      </w:pPr>
    </w:p>
    <w:p>
      <w:pPr>
        <w:ind w:left="7180"/>
        <w:spacing w:after="0"/>
        <w:rPr>
          <w:sz w:val="20"/>
          <w:szCs w:val="20"/>
          <w:color w:val="auto"/>
        </w:rPr>
      </w:pPr>
      <w:r>
        <w:rPr>
          <w:rFonts w:ascii="Courier New" w:cs="Courier New" w:eastAsia="Courier New" w:hAnsi="Courier New"/>
          <w:sz w:val="18"/>
          <w:szCs w:val="18"/>
          <w:color w:val="auto"/>
        </w:rPr>
        <w:t>(b)</w:t>
      </w:r>
    </w:p>
    <w:p>
      <w:pPr>
        <w:spacing w:after="0" w:line="201" w:lineRule="exact"/>
        <w:rPr>
          <w:sz w:val="20"/>
          <w:szCs w:val="20"/>
          <w:color w:val="auto"/>
        </w:rPr>
      </w:pPr>
    </w:p>
    <w:p>
      <w:pPr>
        <w:ind w:left="540" w:hanging="427"/>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40" w:right="5899" w:hanging="427"/>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14" w:lineRule="exact"/>
        <w:rPr>
          <w:sz w:val="20"/>
          <w:szCs w:val="20"/>
          <w:color w:val="auto"/>
        </w:rPr>
      </w:pPr>
    </w:p>
    <w:p>
      <w:pPr>
        <w:ind w:left="1900" w:right="6519" w:hanging="417"/>
        <w:spacing w:after="0" w:line="470"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1,680,000</w:t>
      </w:r>
    </w:p>
    <w:p>
      <w:pPr>
        <w:spacing w:after="0" w:line="209" w:lineRule="exact"/>
        <w:rPr>
          <w:sz w:val="20"/>
          <w:szCs w:val="20"/>
          <w:color w:val="auto"/>
        </w:rPr>
      </w:pPr>
    </w:p>
    <w:p>
      <w:pPr>
        <w:ind w:left="1480"/>
        <w:spacing w:after="0"/>
        <w:tabs>
          <w:tab w:leader="none" w:pos="18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rPr>
          <w:sz w:val="20"/>
          <w:szCs w:val="20"/>
          <w:color w:val="auto"/>
        </w:rPr>
      </w:pPr>
      <w:r>
        <w:rPr>
          <w:rFonts w:ascii="Courier New" w:cs="Courier New" w:eastAsia="Courier New" w:hAnsi="Courier New"/>
          <w:sz w:val="18"/>
          <w:szCs w:val="18"/>
          <w:color w:val="auto"/>
        </w:rPr>
        <w:t>SHARES</w:t>
      </w:r>
    </w:p>
    <w:p>
      <w:pPr>
        <w:ind w:left="1900"/>
        <w:spacing w:after="0" w:line="237" w:lineRule="auto"/>
        <w:rPr>
          <w:sz w:val="20"/>
          <w:szCs w:val="20"/>
          <w:color w:val="auto"/>
        </w:rPr>
      </w:pPr>
      <w:r>
        <w:rPr>
          <w:rFonts w:ascii="Courier New" w:cs="Courier New" w:eastAsia="Courier New" w:hAnsi="Courier New"/>
          <w:sz w:val="18"/>
          <w:szCs w:val="18"/>
          <w:color w:val="auto"/>
        </w:rPr>
        <w:t>NONE</w:t>
      </w:r>
    </w:p>
    <w:p>
      <w:pPr>
        <w:spacing w:after="0" w:line="5"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6"/>
          <w:szCs w:val="16"/>
          <w:color w:val="auto"/>
        </w:rPr>
        <w:t>BENEFICIALL</w:t>
      </w:r>
    </w:p>
    <w:p>
      <w:pPr>
        <w:spacing w:after="0" w:line="16" w:lineRule="exact"/>
        <w:rPr>
          <w:sz w:val="20"/>
          <w:szCs w:val="20"/>
          <w:color w:val="auto"/>
        </w:rPr>
      </w:pPr>
    </w:p>
    <w:p>
      <w:pPr>
        <w:jc w:val="right"/>
        <w:ind w:right="9059"/>
        <w:spacing w:after="0"/>
        <w:rPr>
          <w:sz w:val="20"/>
          <w:szCs w:val="20"/>
          <w:color w:val="auto"/>
        </w:rPr>
      </w:pPr>
      <w:r>
        <w:rPr>
          <w:rFonts w:ascii="Courier New" w:cs="Courier New" w:eastAsia="Courier New" w:hAnsi="Courier New"/>
          <w:sz w:val="18"/>
          <w:szCs w:val="18"/>
          <w:color w:val="auto"/>
        </w:rPr>
        <w:t>Y OWNED BY</w:t>
      </w:r>
    </w:p>
    <w:p>
      <w:pPr>
        <w:ind w:left="1480"/>
        <w:spacing w:after="0" w:line="238" w:lineRule="auto"/>
        <w:tabs>
          <w:tab w:leader="none" w:pos="18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rPr>
          <w:sz w:val="20"/>
          <w:szCs w:val="20"/>
          <w:color w:val="auto"/>
        </w:rPr>
      </w:pPr>
      <w:r>
        <w:rPr>
          <w:rFonts w:ascii="Courier New" w:cs="Courier New" w:eastAsia="Courier New" w:hAnsi="Courier New"/>
          <w:sz w:val="18"/>
          <w:szCs w:val="18"/>
          <w:color w:val="auto"/>
        </w:rPr>
        <w:t>EACH</w:t>
      </w:r>
    </w:p>
    <w:p>
      <w:pPr>
        <w:ind w:left="120"/>
        <w:spacing w:after="0" w:line="237" w:lineRule="auto"/>
        <w:rPr>
          <w:sz w:val="20"/>
          <w:szCs w:val="20"/>
          <w:color w:val="auto"/>
        </w:rPr>
      </w:pPr>
      <w:r>
        <w:rPr>
          <w:rFonts w:ascii="Courier New" w:cs="Courier New" w:eastAsia="Courier New" w:hAnsi="Courier New"/>
          <w:sz w:val="18"/>
          <w:szCs w:val="18"/>
          <w:color w:val="auto"/>
        </w:rPr>
        <w:t>REPORTING</w:t>
      </w:r>
    </w:p>
    <w:p>
      <w:pPr>
        <w:ind w:left="1900"/>
        <w:spacing w:after="0" w:line="238" w:lineRule="auto"/>
        <w:rPr>
          <w:sz w:val="20"/>
          <w:szCs w:val="20"/>
          <w:color w:val="auto"/>
        </w:rPr>
      </w:pPr>
      <w:r>
        <w:rPr>
          <w:rFonts w:ascii="Courier New" w:cs="Courier New" w:eastAsia="Courier New" w:hAnsi="Courier New"/>
          <w:sz w:val="18"/>
          <w:szCs w:val="18"/>
          <w:color w:val="auto"/>
        </w:rPr>
        <w:t>NONE</w:t>
      </w:r>
    </w:p>
    <w:p>
      <w:pPr>
        <w:spacing w:after="0"/>
        <w:rPr>
          <w:sz w:val="20"/>
          <w:szCs w:val="20"/>
          <w:color w:val="auto"/>
        </w:rPr>
      </w:pPr>
      <w:r>
        <w:rPr>
          <w:rFonts w:ascii="Courier New" w:cs="Courier New" w:eastAsia="Courier New" w:hAnsi="Courier New"/>
          <w:sz w:val="18"/>
          <w:szCs w:val="18"/>
          <w:color w:val="auto"/>
        </w:rPr>
        <w:t>PERSON WITH</w:t>
      </w:r>
    </w:p>
    <w:p>
      <w:pPr>
        <w:spacing w:after="0" w:line="200" w:lineRule="exact"/>
        <w:rPr>
          <w:sz w:val="20"/>
          <w:szCs w:val="20"/>
          <w:color w:val="auto"/>
        </w:rPr>
      </w:pPr>
    </w:p>
    <w:p>
      <w:pPr>
        <w:spacing w:after="0" w:line="209" w:lineRule="exact"/>
        <w:rPr>
          <w:sz w:val="20"/>
          <w:szCs w:val="20"/>
          <w:color w:val="auto"/>
        </w:rPr>
      </w:pPr>
    </w:p>
    <w:p>
      <w:pPr>
        <w:ind w:left="1900" w:right="5779" w:hanging="417"/>
        <w:spacing w:after="0" w:line="470" w:lineRule="auto"/>
        <w:tabs>
          <w:tab w:leader="none" w:pos="19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214" w:lineRule="exact"/>
        <w:rPr>
          <w:sz w:val="20"/>
          <w:szCs w:val="20"/>
          <w:color w:val="auto"/>
        </w:rPr>
      </w:pPr>
    </w:p>
    <w:p>
      <w:pPr>
        <w:ind w:left="540" w:right="3359" w:hanging="427"/>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1,680,000</w:t>
      </w:r>
    </w:p>
    <w:p>
      <w:pPr>
        <w:spacing w:after="0" w:line="214" w:lineRule="exact"/>
        <w:rPr>
          <w:sz w:val="20"/>
          <w:szCs w:val="20"/>
          <w:color w:val="auto"/>
        </w:rPr>
      </w:pPr>
    </w:p>
    <w:p>
      <w:pPr>
        <w:ind w:left="540" w:hanging="427"/>
        <w:spacing w:after="0"/>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31" w:lineRule="exact"/>
        <w:rPr>
          <w:rFonts w:ascii="Courier New" w:cs="Courier New" w:eastAsia="Courier New" w:hAnsi="Courier New"/>
          <w:sz w:val="16"/>
          <w:szCs w:val="16"/>
          <w:color w:val="auto"/>
        </w:rPr>
      </w:pPr>
    </w:p>
    <w:p>
      <w:pPr>
        <w:ind w:left="540" w:right="473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5.3%</w:t>
      </w:r>
    </w:p>
    <w:p>
      <w:pPr>
        <w:spacing w:after="0" w:line="214" w:lineRule="exact"/>
        <w:rPr>
          <w:rFonts w:ascii="Courier New" w:cs="Courier New" w:eastAsia="Courier New" w:hAnsi="Courier New"/>
          <w:sz w:val="18"/>
          <w:szCs w:val="18"/>
          <w:color w:val="auto"/>
        </w:rPr>
      </w:pPr>
    </w:p>
    <w:p>
      <w:pPr>
        <w:ind w:left="540" w:right="7059" w:hanging="427"/>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w:t>
      </w:r>
    </w:p>
    <w:p>
      <w:pPr>
        <w:spacing w:after="0" w:line="208"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 BEFORE FILLING OUT!</w:t>
      </w:r>
    </w:p>
    <w:p>
      <w:pPr>
        <w:sectPr>
          <w:pgSz w:w="11900" w:h="16838" w:orient="portrait"/>
          <w:cols w:equalWidth="0" w:num="1">
            <w:col w:w="10219"/>
          </w:cols>
          <w:pgMar w:left="240" w:top="919" w:right="1440" w:bottom="1440" w:gutter="0" w:footer="0" w:header="0"/>
        </w:sectPr>
      </w:pPr>
    </w:p>
    <w:bookmarkStart w:id="4" w:name="page5"/>
    <w:bookmarkEnd w:id="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center"/>
        <w:ind w:right="261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6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Schedule 13G</w:t>
      </w:r>
    </w:p>
    <w:p>
      <w:pPr>
        <w:jc w:val="center"/>
        <w:ind w:right="273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Comcast Corporation</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1500 Market Street</w:t>
      </w:r>
    </w:p>
    <w:p>
      <w:pPr>
        <w:ind w:left="740"/>
        <w:spacing w:after="0"/>
        <w:tabs>
          <w:tab w:leader="none" w:pos="2620" w:val="left"/>
        </w:tabs>
        <w:rPr>
          <w:sz w:val="20"/>
          <w:szCs w:val="20"/>
          <w:color w:val="auto"/>
        </w:rPr>
      </w:pPr>
      <w:r>
        <w:rPr>
          <w:rFonts w:ascii="Courier New" w:cs="Courier New" w:eastAsia="Courier New" w:hAnsi="Courier New"/>
          <w:sz w:val="18"/>
          <w:szCs w:val="18"/>
          <w:color w:val="auto"/>
        </w:rPr>
        <w:t>Philadelphia, PA</w:t>
      </w:r>
      <w:r>
        <w:rPr>
          <w:sz w:val="20"/>
          <w:szCs w:val="20"/>
          <w:color w:val="auto"/>
        </w:rPr>
        <w:tab/>
      </w:r>
      <w:r>
        <w:rPr>
          <w:rFonts w:ascii="Courier New" w:cs="Courier New" w:eastAsia="Courier New" w:hAnsi="Courier New"/>
          <w:sz w:val="16"/>
          <w:szCs w:val="16"/>
          <w:color w:val="auto"/>
        </w:rPr>
        <w:t>19102-2148</w:t>
      </w:r>
    </w:p>
    <w:p>
      <w:pPr>
        <w:spacing w:after="0" w:line="200"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4" w:lineRule="exact"/>
        <w:rPr>
          <w:sz w:val="20"/>
          <w:szCs w:val="20"/>
          <w:color w:val="auto"/>
        </w:rPr>
      </w:pPr>
    </w:p>
    <w:p>
      <w:pPr>
        <w:ind w:left="740" w:right="2939"/>
        <w:spacing w:after="0" w:line="235" w:lineRule="auto"/>
        <w:rPr>
          <w:sz w:val="20"/>
          <w:szCs w:val="20"/>
          <w:color w:val="auto"/>
        </w:rPr>
      </w:pPr>
      <w:r>
        <w:rPr>
          <w:rFonts w:ascii="Courier New" w:cs="Courier New" w:eastAsia="Courier New" w:hAnsi="Courier New"/>
          <w:sz w:val="18"/>
          <w:szCs w:val="18"/>
          <w:color w:val="auto"/>
        </w:rPr>
        <w:t>Capital Research and Management Company and The Growth Fund of America, Inc.</w:t>
      </w:r>
    </w:p>
    <w:p>
      <w:pPr>
        <w:spacing w:after="0" w:line="203"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ind w:left="740"/>
        <w:spacing w:after="0" w:line="238" w:lineRule="auto"/>
        <w:rPr>
          <w:sz w:val="20"/>
          <w:szCs w:val="20"/>
          <w:color w:val="auto"/>
        </w:rPr>
      </w:pPr>
      <w:r>
        <w:rPr>
          <w:rFonts w:ascii="Courier New" w:cs="Courier New" w:eastAsia="Courier New" w:hAnsi="Courier New"/>
          <w:sz w:val="18"/>
          <w:szCs w:val="18"/>
          <w:color w:val="auto"/>
        </w:rPr>
        <w:t>333 South Hope Street</w:t>
      </w:r>
    </w:p>
    <w:p>
      <w:pPr>
        <w:ind w:left="740"/>
        <w:spacing w:after="0"/>
        <w:tabs>
          <w:tab w:leader="none" w:pos="2520" w:val="left"/>
        </w:tabs>
        <w:rPr>
          <w:sz w:val="20"/>
          <w:szCs w:val="20"/>
          <w:color w:val="auto"/>
        </w:rPr>
      </w:pPr>
      <w:r>
        <w:rPr>
          <w:rFonts w:ascii="Courier New" w:cs="Courier New" w:eastAsia="Courier New" w:hAnsi="Courier New"/>
          <w:sz w:val="18"/>
          <w:szCs w:val="18"/>
          <w:color w:val="auto"/>
        </w:rPr>
        <w:t>Los Angeles, CA</w:t>
      </w:r>
      <w:r>
        <w:rPr>
          <w:sz w:val="20"/>
          <w:szCs w:val="20"/>
          <w:color w:val="auto"/>
        </w:rPr>
        <w:tab/>
      </w:r>
      <w:r>
        <w:rPr>
          <w:rFonts w:ascii="Courier New" w:cs="Courier New" w:eastAsia="Courier New" w:hAnsi="Courier New"/>
          <w:sz w:val="16"/>
          <w:szCs w:val="16"/>
          <w:color w:val="auto"/>
        </w:rPr>
        <w:t>90071</w:t>
      </w:r>
    </w:p>
    <w:p>
      <w:pPr>
        <w:spacing w:after="0" w:line="200" w:lineRule="exact"/>
        <w:rPr>
          <w:sz w:val="20"/>
          <w:szCs w:val="20"/>
          <w:color w:val="auto"/>
        </w:rPr>
      </w:pPr>
    </w:p>
    <w:p>
      <w:pPr>
        <w:spacing w:after="0"/>
        <w:tabs>
          <w:tab w:leader="none" w:pos="1260" w:val="left"/>
          <w:tab w:leader="none" w:pos="284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8"/>
          <w:szCs w:val="18"/>
          <w:color w:val="auto"/>
        </w:rPr>
        <w:t>Citizenship: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Class A Common Stock</w:t>
      </w:r>
    </w:p>
    <w:p>
      <w:pPr>
        <w:spacing w:after="0" w:line="20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ind w:left="740"/>
        <w:spacing w:after="0" w:line="238" w:lineRule="auto"/>
        <w:rPr>
          <w:sz w:val="20"/>
          <w:szCs w:val="20"/>
          <w:color w:val="auto"/>
        </w:rPr>
      </w:pPr>
      <w:r>
        <w:rPr>
          <w:rFonts w:ascii="Courier New" w:cs="Courier New" w:eastAsia="Courier New" w:hAnsi="Courier New"/>
          <w:sz w:val="18"/>
          <w:szCs w:val="18"/>
          <w:color w:val="auto"/>
        </w:rPr>
        <w:t>200300101</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person(s) filing is(are):</w:t>
      </w:r>
    </w:p>
    <w:p>
      <w:pPr>
        <w:spacing w:after="0" w:line="207" w:lineRule="exact"/>
        <w:rPr>
          <w:sz w:val="20"/>
          <w:szCs w:val="20"/>
          <w:color w:val="auto"/>
        </w:rPr>
      </w:pPr>
    </w:p>
    <w:p>
      <w:pPr>
        <w:ind w:left="1280" w:right="2739" w:hanging="535"/>
        <w:spacing w:after="0" w:line="235" w:lineRule="auto"/>
        <w:tabs>
          <w:tab w:leader="none" w:pos="1385"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Company registered under Section 8 of the Investment Company Act.</w:t>
      </w:r>
    </w:p>
    <w:p>
      <w:pPr>
        <w:spacing w:after="0" w:line="5" w:lineRule="exact"/>
        <w:rPr>
          <w:rFonts w:ascii="Courier New" w:cs="Courier New" w:eastAsia="Courier New" w:hAnsi="Courier New"/>
          <w:sz w:val="18"/>
          <w:szCs w:val="18"/>
          <w:color w:val="auto"/>
        </w:rPr>
      </w:pPr>
    </w:p>
    <w:p>
      <w:pPr>
        <w:ind w:left="1280" w:right="2839" w:hanging="535"/>
        <w:spacing w:after="0" w:line="235" w:lineRule="auto"/>
        <w:tabs>
          <w:tab w:leader="none" w:pos="1491"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Capital Research and Management Company, an investment adviser registered under Section 203 of the Investment Advisers Act of 1940 is deemed to be the beneficial owner of 1,940,000 shares or 6.1% of the 31,794,000 shares of Class A Common Stock believed to be outstanding as a result of acting as investment adviser to various investment companies registered under Section 8 of the Investment Company Act of 1940.</w:t>
      </w:r>
    </w:p>
    <w:p>
      <w:pPr>
        <w:spacing w:after="0" w:line="211" w:lineRule="exact"/>
        <w:rPr>
          <w:sz w:val="20"/>
          <w:szCs w:val="20"/>
          <w:color w:val="auto"/>
        </w:rPr>
      </w:pPr>
    </w:p>
    <w:p>
      <w:pPr>
        <w:ind w:left="740" w:right="2939"/>
        <w:spacing w:after="0" w:line="273" w:lineRule="auto"/>
        <w:rPr>
          <w:sz w:val="20"/>
          <w:szCs w:val="20"/>
          <w:color w:val="auto"/>
        </w:rPr>
      </w:pPr>
      <w:r>
        <w:rPr>
          <w:rFonts w:ascii="Courier New" w:cs="Courier New" w:eastAsia="Courier New" w:hAnsi="Courier New"/>
          <w:sz w:val="16"/>
          <w:szCs w:val="16"/>
          <w:color w:val="auto"/>
        </w:rPr>
        <w:t>The Growth Fund of America, Inc., an investment company registered under the Investment Company Act of 1940, which is advised by Capital Research and Management Company, is the beneficial owner of 1,680,000 shares or 5.3% of the 31,794,000 shares of Class A Common Stock believed to be outstanding.</w:t>
      </w:r>
    </w:p>
    <w:p>
      <w:pPr>
        <w:spacing w:after="0" w:line="17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 [ ]</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 of Another Person: N/A</w:t>
      </w:r>
    </w:p>
    <w:p>
      <w:pPr>
        <w:sectPr>
          <w:pgSz w:w="11900" w:h="16838" w:orient="portrait"/>
          <w:cols w:equalWidth="0" w:num="1">
            <w:col w:w="10219"/>
          </w:cols>
          <w:pgMar w:left="240" w:top="717" w:right="1440" w:bottom="1440" w:gutter="0" w:footer="0" w:header="0"/>
        </w:sectPr>
      </w:pPr>
    </w:p>
    <w:bookmarkStart w:id="6" w:name="page7"/>
    <w:bookmarkEnd w:id="6"/>
    <w:p>
      <w:pPr>
        <w:spacing w:after="0"/>
        <w:tabs>
          <w:tab w:leader="none" w:pos="940" w:val="left"/>
        </w:tabs>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N/A</w:t>
      </w:r>
    </w:p>
    <w:p>
      <w:pPr>
        <w:spacing w:after="0" w:line="203" w:lineRule="exact"/>
        <w:rPr>
          <w:sz w:val="20"/>
          <w:szCs w:val="20"/>
          <w:color w:val="auto"/>
        </w:rPr>
      </w:pPr>
    </w:p>
    <w:p>
      <w:pPr>
        <w:spacing w:after="0"/>
        <w:tabs>
          <w:tab w:leader="none" w:pos="940" w:val="left"/>
          <w:tab w:leader="none" w:pos="726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8"/>
          <w:szCs w:val="18"/>
          <w:color w:val="auto"/>
        </w:rPr>
        <w:t>Identification and Classification of Members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940" w:val="left"/>
          <w:tab w:leader="none" w:pos="48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the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6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Executive Vice</w:t>
      </w:r>
    </w:p>
    <w:p>
      <w:pPr>
        <w:ind w:left="244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07"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Capital Research and Management Company</w:t>
      </w:r>
    </w:p>
    <w:p>
      <w:pPr>
        <w:sectPr>
          <w:pgSz w:w="11900" w:h="16838" w:orient="portrait"/>
          <w:cols w:equalWidth="0" w:num="1">
            <w:col w:w="10219"/>
          </w:cols>
          <w:pgMar w:left="240" w:top="925"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9, 1998 (For the period ended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December 31, 1997)</w:t>
      </w:r>
    </w:p>
    <w:p>
      <w:pPr>
        <w:spacing w:after="0" w:line="200" w:lineRule="exact"/>
        <w:rPr>
          <w:sz w:val="20"/>
          <w:szCs w:val="20"/>
          <w:color w:val="auto"/>
        </w:rPr>
      </w:pPr>
    </w:p>
    <w:p>
      <w:pPr>
        <w:sectPr>
          <w:pgSz w:w="11900" w:h="16838" w:orient="portrait"/>
          <w:cols w:equalWidth="0" w:num="2">
            <w:col w:w="1720" w:space="720"/>
            <w:col w:w="7779"/>
          </w:cols>
          <w:pgMar w:left="240" w:top="925" w:right="1440" w:bottom="1440" w:gutter="0" w:footer="0" w:header="0"/>
          <w:type w:val="continuous"/>
        </w:sectPr>
      </w:pPr>
    </w:p>
    <w:p>
      <w:pPr>
        <w:spacing w:after="0" w:line="204"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Signature:</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860"/>
        <w:spacing w:after="0"/>
        <w:tabs>
          <w:tab w:leader="none" w:pos="2420" w:val="left"/>
        </w:tabs>
        <w:rPr>
          <w:sz w:val="20"/>
          <w:szCs w:val="20"/>
          <w:color w:val="auto"/>
        </w:rPr>
      </w:pPr>
      <w:r>
        <w:rPr>
          <w:rFonts w:ascii="Courier New" w:cs="Courier New" w:eastAsia="Courier New" w:hAnsi="Courier New"/>
          <w:sz w:val="18"/>
          <w:szCs w:val="18"/>
          <w:color w:val="auto"/>
        </w:rPr>
        <w:t>Name/Title:</w:t>
      </w:r>
      <w:r>
        <w:rPr>
          <w:sz w:val="20"/>
          <w:szCs w:val="20"/>
          <w:color w:val="auto"/>
        </w:rPr>
        <w:tab/>
      </w:r>
      <w:r>
        <w:rPr>
          <w:rFonts w:ascii="Courier New" w:cs="Courier New" w:eastAsia="Courier New" w:hAnsi="Courier New"/>
          <w:sz w:val="18"/>
          <w:szCs w:val="18"/>
          <w:color w:val="auto"/>
        </w:rPr>
        <w:t>Paul G. Haaga, Jr., Senior Vice President</w:t>
      </w:r>
    </w:p>
    <w:p>
      <w:pPr>
        <w:spacing w:after="0" w:line="201"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James P. Ryan</w:t>
      </w:r>
    </w:p>
    <w:p>
      <w:pPr>
        <w:ind w:left="158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1580" w:right="2939"/>
        <w:spacing w:after="0" w:line="237" w:lineRule="auto"/>
        <w:rPr>
          <w:sz w:val="20"/>
          <w:szCs w:val="20"/>
          <w:color w:val="auto"/>
        </w:rPr>
      </w:pPr>
      <w:r>
        <w:rPr>
          <w:rFonts w:ascii="Courier New" w:cs="Courier New" w:eastAsia="Courier New" w:hAnsi="Courier New"/>
          <w:sz w:val="18"/>
          <w:szCs w:val="18"/>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p>
      <w:pPr>
        <w:sectPr>
          <w:pgSz w:w="11900" w:h="16838" w:orient="portrait"/>
          <w:cols w:equalWidth="0" w:num="1">
            <w:col w:w="10219"/>
          </w:cols>
          <w:pgMar w:left="240" w:top="925" w:right="1440" w:bottom="1440" w:gutter="0" w:footer="0" w:header="0"/>
          <w:type w:val="continuous"/>
        </w:sectPr>
      </w:pPr>
    </w:p>
    <w:bookmarkStart w:id="8" w:name="page9"/>
    <w:bookmarkEnd w:id="8"/>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center"/>
        <w:ind w:right="2739"/>
        <w:spacing w:after="0"/>
        <w:rPr>
          <w:sz w:val="20"/>
          <w:szCs w:val="20"/>
          <w:color w:val="auto"/>
        </w:rPr>
      </w:pPr>
      <w:r>
        <w:rPr>
          <w:rFonts w:ascii="Courier New" w:cs="Courier New" w:eastAsia="Courier New" w:hAnsi="Courier New"/>
          <w:sz w:val="18"/>
          <w:szCs w:val="18"/>
          <w:color w:val="auto"/>
        </w:rPr>
        <w:t>AGREEMENT</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Los Angeles, CA</w:t>
      </w:r>
    </w:p>
    <w:p>
      <w:pPr>
        <w:ind w:left="3160"/>
        <w:spacing w:after="0" w:line="238" w:lineRule="auto"/>
        <w:rPr>
          <w:sz w:val="20"/>
          <w:szCs w:val="20"/>
          <w:color w:val="auto"/>
        </w:rPr>
      </w:pPr>
      <w:r>
        <w:rPr>
          <w:rFonts w:ascii="Courier New" w:cs="Courier New" w:eastAsia="Courier New" w:hAnsi="Courier New"/>
          <w:sz w:val="18"/>
          <w:szCs w:val="18"/>
          <w:color w:val="auto"/>
        </w:rPr>
        <w:t>July 9, 1998</w:t>
      </w:r>
    </w:p>
    <w:p>
      <w:pPr>
        <w:spacing w:after="0" w:line="207"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Capital Research and Management Company ("CRMC"), The Growth Fund of America, Inc. ("GFA") hereby agree to file a joint statement on Schedule 13G under the Securities Exchange Act of 1934 (the "Act") in connection with their beneficial ownership of Class A Common Stock issued by Comcast Corporation.</w:t>
      </w:r>
    </w:p>
    <w:p>
      <w:pPr>
        <w:spacing w:after="0" w:line="209" w:lineRule="exact"/>
        <w:rPr>
          <w:sz w:val="20"/>
          <w:szCs w:val="20"/>
          <w:color w:val="auto"/>
        </w:rPr>
      </w:pPr>
    </w:p>
    <w:p>
      <w:pPr>
        <w:ind w:right="3359" w:firstLine="211"/>
        <w:spacing w:after="0" w:line="235" w:lineRule="auto"/>
        <w:rPr>
          <w:sz w:val="20"/>
          <w:szCs w:val="20"/>
          <w:color w:val="auto"/>
        </w:rPr>
      </w:pPr>
      <w:r>
        <w:rPr>
          <w:rFonts w:ascii="Courier New" w:cs="Courier New" w:eastAsia="Courier New" w:hAnsi="Courier New"/>
          <w:sz w:val="18"/>
          <w:szCs w:val="18"/>
          <w:color w:val="auto"/>
        </w:rPr>
        <w:t>CRMC, GFA state that they are each entitled to individually use Schedule 13G pursuant to Rule 13d-1(c) of the Act.</w:t>
      </w:r>
    </w:p>
    <w:p>
      <w:pPr>
        <w:spacing w:after="0" w:line="208" w:lineRule="exact"/>
        <w:rPr>
          <w:sz w:val="20"/>
          <w:szCs w:val="20"/>
          <w:color w:val="auto"/>
        </w:rPr>
      </w:pPr>
    </w:p>
    <w:p>
      <w:pPr>
        <w:ind w:right="2619" w:firstLine="211"/>
        <w:spacing w:after="0" w:line="237" w:lineRule="auto"/>
        <w:rPr>
          <w:sz w:val="20"/>
          <w:szCs w:val="20"/>
          <w:color w:val="auto"/>
        </w:rPr>
      </w:pPr>
      <w:r>
        <w:rPr>
          <w:rFonts w:ascii="Courier New" w:cs="Courier New" w:eastAsia="Courier New" w:hAnsi="Courier New"/>
          <w:sz w:val="18"/>
          <w:szCs w:val="18"/>
          <w:color w:val="auto"/>
        </w:rPr>
        <w:t>CRMC, GFA are each responsible for the timely filing of the statement and any amendments thereto, and for the completeness and accuracy of the information concerning each of them contained therein but are not responsible for the completeness or accuracy of the information concerning the others.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CAPITAL RESEARCH AND MANAGEMENT COMPANY</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Executive</w:t>
      </w:r>
    </w:p>
    <w:p>
      <w:pPr>
        <w:ind w:left="3700"/>
        <w:spacing w:after="0" w:line="238" w:lineRule="auto"/>
        <w:rPr>
          <w:sz w:val="20"/>
          <w:szCs w:val="20"/>
          <w:color w:val="auto"/>
        </w:rPr>
      </w:pPr>
      <w:r>
        <w:rPr>
          <w:rFonts w:ascii="Courier New" w:cs="Courier New" w:eastAsia="Courier New" w:hAnsi="Courier New"/>
          <w:sz w:val="18"/>
          <w:szCs w:val="18"/>
          <w:color w:val="auto"/>
        </w:rPr>
        <w:t>Vice President</w:t>
      </w:r>
    </w:p>
    <w:p>
      <w:pPr>
        <w:ind w:left="3700"/>
        <w:spacing w:after="0"/>
        <w:rPr>
          <w:sz w:val="20"/>
          <w:szCs w:val="20"/>
          <w:color w:val="auto"/>
        </w:rPr>
      </w:pPr>
      <w:r>
        <w:rPr>
          <w:rFonts w:ascii="Courier New" w:cs="Courier New" w:eastAsia="Courier New" w:hAnsi="Courier New"/>
          <w:sz w:val="18"/>
          <w:szCs w:val="18"/>
          <w:color w:val="auto"/>
        </w:rPr>
        <w:t>Capital Research and Management</w:t>
      </w:r>
    </w:p>
    <w:p>
      <w:pPr>
        <w:ind w:left="3700"/>
        <w:spacing w:after="0" w:line="237" w:lineRule="auto"/>
        <w:rPr>
          <w:sz w:val="20"/>
          <w:szCs w:val="20"/>
          <w:color w:val="auto"/>
        </w:rPr>
      </w:pPr>
      <w:r>
        <w:rPr>
          <w:rFonts w:ascii="Courier New" w:cs="Courier New" w:eastAsia="Courier New" w:hAnsi="Courier New"/>
          <w:sz w:val="18"/>
          <w:szCs w:val="18"/>
          <w:color w:val="auto"/>
        </w:rPr>
        <w:t>Company</w:t>
      </w:r>
    </w:p>
    <w:p>
      <w:pPr>
        <w:spacing w:after="0" w:line="200" w:lineRule="exact"/>
        <w:rPr>
          <w:sz w:val="20"/>
          <w:szCs w:val="20"/>
          <w:color w:val="auto"/>
        </w:rPr>
      </w:pPr>
    </w:p>
    <w:p>
      <w:pPr>
        <w:spacing w:after="0" w:line="20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THE GROWTH FUND OF AMERICA, INC.</w:t>
      </w:r>
    </w:p>
    <w:p>
      <w:pPr>
        <w:spacing w:after="0" w:line="201" w:lineRule="exact"/>
        <w:rPr>
          <w:sz w:val="20"/>
          <w:szCs w:val="20"/>
          <w:color w:val="auto"/>
        </w:rPr>
      </w:pPr>
    </w:p>
    <w:p>
      <w:pPr>
        <w:ind w:left="180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*Paul G. Haaga, Jr.</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Paul G. Haaga, Jr., Senior Vice</w:t>
      </w:r>
    </w:p>
    <w:p>
      <w:pPr>
        <w:ind w:left="3700"/>
        <w:spacing w:after="0" w:line="238" w:lineRule="auto"/>
        <w:rPr>
          <w:sz w:val="20"/>
          <w:szCs w:val="20"/>
          <w:color w:val="auto"/>
        </w:rPr>
      </w:pPr>
      <w:r>
        <w:rPr>
          <w:rFonts w:ascii="Courier New" w:cs="Courier New" w:eastAsia="Courier New" w:hAnsi="Courier New"/>
          <w:sz w:val="18"/>
          <w:szCs w:val="18"/>
          <w:color w:val="auto"/>
        </w:rPr>
        <w:t>President</w:t>
      </w:r>
    </w:p>
    <w:p>
      <w:pPr>
        <w:ind w:left="3700"/>
        <w:spacing w:after="0"/>
        <w:rPr>
          <w:sz w:val="20"/>
          <w:szCs w:val="20"/>
          <w:color w:val="auto"/>
        </w:rPr>
      </w:pPr>
      <w:r>
        <w:rPr>
          <w:rFonts w:ascii="Courier New" w:cs="Courier New" w:eastAsia="Courier New" w:hAnsi="Courier New"/>
          <w:sz w:val="18"/>
          <w:szCs w:val="18"/>
          <w:color w:val="auto"/>
        </w:rPr>
        <w:t>The Growth Fund of America,</w:t>
      </w:r>
    </w:p>
    <w:p>
      <w:pPr>
        <w:ind w:left="3700"/>
        <w:spacing w:after="0" w:line="237" w:lineRule="auto"/>
        <w:rPr>
          <w:sz w:val="20"/>
          <w:szCs w:val="20"/>
          <w:color w:val="auto"/>
        </w:rPr>
      </w:pPr>
      <w:r>
        <w:rPr>
          <w:rFonts w:ascii="Courier New" w:cs="Courier New" w:eastAsia="Courier New" w:hAnsi="Courier New"/>
          <w:sz w:val="18"/>
          <w:szCs w:val="18"/>
          <w:color w:val="auto"/>
        </w:rPr>
        <w:t>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James P. Ryan</w:t>
      </w:r>
    </w:p>
    <w:p>
      <w:pPr>
        <w:ind w:left="540"/>
        <w:spacing w:after="0" w:line="238" w:lineRule="auto"/>
        <w:rPr>
          <w:sz w:val="20"/>
          <w:szCs w:val="20"/>
          <w:color w:val="auto"/>
        </w:rPr>
      </w:pPr>
      <w:r>
        <w:rPr>
          <w:rFonts w:ascii="Courier New" w:cs="Courier New" w:eastAsia="Courier New" w:hAnsi="Courier New"/>
          <w:sz w:val="18"/>
          <w:szCs w:val="18"/>
          <w:color w:val="auto"/>
        </w:rPr>
        <w:t>Attorney-in-fact</w:t>
      </w:r>
    </w:p>
    <w:p>
      <w:pPr>
        <w:spacing w:after="0" w:line="207" w:lineRule="exact"/>
        <w:rPr>
          <w:sz w:val="20"/>
          <w:szCs w:val="20"/>
          <w:color w:val="auto"/>
        </w:rPr>
      </w:pPr>
    </w:p>
    <w:p>
      <w:pPr>
        <w:ind w:left="540" w:right="2619"/>
        <w:spacing w:after="0" w:line="275" w:lineRule="auto"/>
        <w:rPr>
          <w:sz w:val="20"/>
          <w:szCs w:val="20"/>
          <w:color w:val="auto"/>
        </w:rPr>
      </w:pPr>
      <w:r>
        <w:rPr>
          <w:rFonts w:ascii="Courier New" w:cs="Courier New" w:eastAsia="Courier New" w:hAnsi="Courier New"/>
          <w:sz w:val="16"/>
          <w:szCs w:val="16"/>
          <w:color w:val="auto"/>
        </w:rPr>
        <w:t>Signed pursuant to a Power of Attorney dated June 17, 1998 included as an Exhibit to Schedule 13G filed with the Securities and Exchange Commission by Capital Research and Management Company on July 9, 1998 with respect to ABR Information Services, Inc.</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bullet"/>
      <w:start w:val="1"/>
    </w:lvl>
  </w:abstractNum>
  <w:abstractNum w:abstractNumId="1">
    <w:nsid w:val="515F007C"/>
    <w:multiLevelType w:val="hybridMultilevel"/>
    <w:lvl w:ilvl="0">
      <w:lvlJc w:val="left"/>
      <w:lvlText w:val="3"/>
      <w:numFmt w:val="bullet"/>
      <w:start w:val="1"/>
    </w:lvl>
  </w:abstractNum>
  <w:abstractNum w:abstractNumId="2">
    <w:nsid w:val="5BD062C2"/>
    <w:multiLevelType w:val="hybridMultilevel"/>
    <w:lvl w:ilvl="0">
      <w:lvlJc w:val="left"/>
      <w:lvlText w:val="4"/>
      <w:numFmt w:val="bullet"/>
      <w:start w:val="1"/>
    </w:lvl>
  </w:abstractNum>
  <w:abstractNum w:abstractNumId="3">
    <w:nsid w:val="12200854"/>
    <w:multiLevelType w:val="hybridMultilevel"/>
    <w:lvl w:ilvl="0">
      <w:lvlJc w:val="left"/>
      <w:lvlText w:val="5"/>
      <w:numFmt w:val="bullet"/>
      <w:start w:val="1"/>
    </w:lvl>
  </w:abstractNum>
  <w:abstractNum w:abstractNumId="4">
    <w:nsid w:val="4DB127F8"/>
    <w:multiLevelType w:val="hybridMultilevel"/>
    <w:lvl w:ilvl="0">
      <w:lvlJc w:val="left"/>
      <w:lvlText w:val="8"/>
      <w:numFmt w:val="bullet"/>
      <w:start w:val="1"/>
    </w:lvl>
  </w:abstractNum>
  <w:abstractNum w:abstractNumId="5">
    <w:nsid w:val="216231B"/>
    <w:multiLevelType w:val="hybridMultilevel"/>
    <w:lvl w:ilvl="0">
      <w:lvlJc w:val="left"/>
      <w:lvlText w:val="9"/>
      <w:numFmt w:val="bullet"/>
      <w:start w:val="1"/>
    </w:lvl>
  </w:abstractNum>
  <w:abstractNum w:abstractNumId="6">
    <w:nsid w:val="1F16E9E8"/>
    <w:multiLevelType w:val="hybridMultilevel"/>
    <w:lvl w:ilvl="0">
      <w:lvlJc w:val="left"/>
      <w:lvlText w:val="%1"/>
      <w:numFmt w:val="decimal"/>
      <w:start w:val="10"/>
    </w:lvl>
    <w:lvl w:ilvl="1">
      <w:lvlJc w:val="left"/>
      <w:lvlText w:val="*"/>
      <w:numFmt w:val="bullet"/>
      <w:start w:val="1"/>
    </w:lvl>
  </w:abstractNum>
  <w:abstractNum w:abstractNumId="7">
    <w:nsid w:val="1190CDE7"/>
    <w:multiLevelType w:val="hybridMultilevel"/>
    <w:lvl w:ilvl="0">
      <w:lvlJc w:val="left"/>
      <w:lvlText w:val="1"/>
      <w:numFmt w:val="bullet"/>
      <w:start w:val="1"/>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4"/>
      <w:numFmt w:val="bullet"/>
      <w:start w:val="1"/>
    </w:lvl>
  </w:abstractNum>
  <w:abstractNum w:abstractNumId="10">
    <w:nsid w:val="3352255A"/>
    <w:multiLevelType w:val="hybridMultilevel"/>
    <w:lvl w:ilvl="0">
      <w:lvlJc w:val="left"/>
      <w:lvlText w:val="5"/>
      <w:numFmt w:val="bullet"/>
      <w:start w:val="1"/>
    </w:lvl>
  </w:abstractNum>
  <w:abstractNum w:abstractNumId="11">
    <w:nsid w:val="109CF92E"/>
    <w:multiLevelType w:val="hybridMultilevel"/>
    <w:lvl w:ilvl="0">
      <w:lvlJc w:val="left"/>
      <w:lvlText w:val="8"/>
      <w:numFmt w:val="bullet"/>
      <w:start w:val="1"/>
    </w:lvl>
  </w:abstractNum>
  <w:abstractNum w:abstractNumId="12">
    <w:nsid w:val="DED7263"/>
    <w:multiLevelType w:val="hybridMultilevel"/>
    <w:lvl w:ilvl="0">
      <w:lvlJc w:val="left"/>
      <w:lvlText w:val="9"/>
      <w:numFmt w:val="bullet"/>
      <w:start w:val="1"/>
    </w:lvl>
  </w:abstractNum>
  <w:abstractNum w:abstractNumId="13">
    <w:nsid w:val="7FDCC233"/>
    <w:multiLevelType w:val="hybridMultilevel"/>
    <w:lvl w:ilvl="0">
      <w:lvlJc w:val="left"/>
      <w:lvlText w:val="%1"/>
      <w:numFmt w:val="decimal"/>
      <w:start w:val="10"/>
    </w:lvl>
    <w:lvl w:ilvl="1">
      <w:lvlJc w:val="left"/>
      <w:lvlText w:val="*"/>
      <w:numFmt w:val="bullet"/>
      <w:start w:val="1"/>
    </w:lvl>
  </w:abstractNum>
  <w:abstractNum w:abstractNumId="14">
    <w:nsid w:val="1BEFD79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2019-12-12T23:00:21Z</dcterms:created>
  <dcterms:modified xsi:type="dcterms:W3CDTF">2019-12-12T23:00:21Z</dcterms:modified>
</cp:coreProperties>
</file>