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0"/>
        </w:rPr>
      </w:pPr>
      <w:r>
        <w:rPr>
          <w:rFonts w:ascii="Times New Roman;serif" w:hAnsi="Times New Roman;serif"/>
          <w:b/>
          <w:color w:val="000000"/>
          <w:sz w:val="30"/>
        </w:rPr>
        <w:t xml:space="preserve">FORM 8-K </w:t>
      </w:r>
    </w:p>
    <w:p>
      <w:pPr>
        <w:pStyle w:val="TextBody"/>
        <w:bidi w:val="0"/>
        <w:spacing w:lineRule="auto" w:line="288" w:before="120" w:after="283"/>
        <w:jc w:val="center"/>
        <w:rPr>
          <w:rFonts w:ascii="Times New Roman;serif" w:hAnsi="Times New Roman;serif"/>
          <w:b/>
          <w:color w:val="000000"/>
          <w:sz w:val="30"/>
        </w:rPr>
      </w:pPr>
      <w:r>
        <w:rPr>
          <w:rFonts w:ascii="Times New Roman;serif" w:hAnsi="Times New Roman;serif"/>
          <w:b/>
          <w:color w:val="000000"/>
          <w:sz w:val="30"/>
        </w:rPr>
        <w:t>CURRENT REPORT</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Pursuant to Section 13 or 15(d) of the</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December 16, 2025 </w:t>
      </w:r>
    </w:p>
    <w:tbl>
      <w:tblPr>
        <w:tblW w:w="8677" w:type="dxa"/>
        <w:jc w:val="center"/>
        <w:tblInd w:w="0" w:type="dxa"/>
        <w:tblLayout w:type="fixed"/>
        <w:tblCellMar>
          <w:top w:w="28" w:type="dxa"/>
          <w:left w:w="28" w:type="dxa"/>
          <w:bottom w:w="28" w:type="dxa"/>
          <w:right w:w="28" w:type="dxa"/>
        </w:tblCellMar>
      </w:tblPr>
      <w:tblGrid>
        <w:gridCol w:w="541"/>
        <w:gridCol w:w="474"/>
        <w:gridCol w:w="474"/>
        <w:gridCol w:w="474"/>
        <w:gridCol w:w="474"/>
        <w:gridCol w:w="484"/>
        <w:gridCol w:w="536"/>
        <w:gridCol w:w="536"/>
        <w:gridCol w:w="536"/>
        <w:gridCol w:w="536"/>
        <w:gridCol w:w="536"/>
        <w:gridCol w:w="542"/>
        <w:gridCol w:w="740"/>
        <w:gridCol w:w="740"/>
        <w:gridCol w:w="1054"/>
      </w:tblGrid>
      <w:tr>
        <w:trPr/>
        <w:tc>
          <w:tcPr>
            <w:tcW w:w="54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Comcast Corporation</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001-32871</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27-0000798</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Comcast Center</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Philadelphia, PA</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19103-2838</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 xml:space="preserve">(215) 286-1700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264" w:before="0" w:after="20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Pre-commencement communications pursuant to Rule 13e-4(c) under the Exchange Act (17 CFR 240.13e-4(c))</w:t>
      </w:r>
    </w:p>
    <w:tbl>
      <w:tblPr>
        <w:tblW w:w="10205" w:type="dxa"/>
        <w:jc w:val="center"/>
        <w:tblInd w:w="0" w:type="dxa"/>
        <w:tblLayout w:type="fixed"/>
        <w:tblCellMar>
          <w:top w:w="28" w:type="dxa"/>
          <w:left w:w="28" w:type="dxa"/>
          <w:bottom w:w="28" w:type="dxa"/>
          <w:right w:w="28" w:type="dxa"/>
        </w:tblCellMar>
      </w:tblPr>
      <w:tblGrid>
        <w:gridCol w:w="1420"/>
        <w:gridCol w:w="1226"/>
        <w:gridCol w:w="1225"/>
        <w:gridCol w:w="258"/>
        <w:gridCol w:w="258"/>
        <w:gridCol w:w="258"/>
        <w:gridCol w:w="481"/>
        <w:gridCol w:w="475"/>
        <w:gridCol w:w="471"/>
        <w:gridCol w:w="258"/>
        <w:gridCol w:w="258"/>
        <w:gridCol w:w="258"/>
        <w:gridCol w:w="980"/>
        <w:gridCol w:w="980"/>
        <w:gridCol w:w="1399"/>
      </w:tblGrid>
      <w:tr>
        <w:trPr/>
        <w:tc>
          <w:tcPr>
            <w:tcW w:w="142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CMCSA</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 Notes due 2026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0.250% Notes due 2027</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CMCS27</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1.500% Notes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0.250% Notes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CMCS29A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0.750% Notes due 2032</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CMCS32</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3.250% Notes due 2032</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CMCS32A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1.875% Notes due 2036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3.550% Notes due 2036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CMCS36A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1.250% Notes due 2040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CMCS40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5.250% Notes due 2040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CMCS40A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 Notes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CCGBP29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Exchangeable Subordinated Debentures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CCZ</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64"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64" w:before="0" w:after="0"/>
        <w:jc w:val="left"/>
        <w:rPr>
          <w:color w:val="000000"/>
        </w:rPr>
      </w:pPr>
      <w:r>
        <w:rPr>
          <w:color w:val="000000"/>
        </w:rPr>
        <w:t> </w:t>
      </w:r>
    </w:p>
    <w:p>
      <w:pPr>
        <w:pStyle w:val="TextBody"/>
        <w:bidi w:val="0"/>
        <w:spacing w:lineRule="auto" w:line="264" w:before="0" w:after="0"/>
        <w:jc w:val="left"/>
        <w:rPr/>
      </w:pPr>
      <w:r>
        <w:rPr>
          <w:rFonts w:ascii="Times New Roman;serif" w:hAnsi="Times New Roman;serif"/>
          <w:b w:val="false"/>
          <w:color w:val="000000"/>
          <w:sz w:val="16"/>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64"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On December 16, 2025, Comcast Corporation notified The Bank of New York Mellon, as trustee, that it will redeem (1) all outstanding amounts of its 3.15% Notes due March 1, 2026 (the “</w:t>
      </w:r>
      <w:r>
        <w:rPr>
          <w:rFonts w:ascii="Times New Roman;serif" w:hAnsi="Times New Roman;serif"/>
          <w:b w:val="false"/>
          <w:color w:val="000000"/>
          <w:sz w:val="20"/>
          <w:u w:val="single"/>
        </w:rPr>
        <w:t>2026 Notes</w:t>
      </w:r>
      <w:r>
        <w:rPr>
          <w:color w:val="000000"/>
        </w:rPr>
        <w:t>”</w:t>
      </w:r>
      <w:r>
        <w:rPr>
          <w:rFonts w:ascii="Times New Roman;serif" w:hAnsi="Times New Roman;serif"/>
          <w:b w:val="false"/>
          <w:color w:val="000000"/>
          <w:sz w:val="20"/>
        </w:rPr>
        <w:t>) in full at the redemption price, calculated in accordance with the indenture governing such 2026 Notes, plus accrued and unpaid interest, of approximately $2.1 billion; and (2) all outstanding amounts of its 5.350% Notes due November 15, 2027 (the “</w:t>
      </w:r>
      <w:r>
        <w:rPr>
          <w:rFonts w:ascii="Times New Roman;serif" w:hAnsi="Times New Roman;serif"/>
          <w:b w:val="false"/>
          <w:color w:val="000000"/>
          <w:sz w:val="20"/>
          <w:u w:val="single"/>
        </w:rPr>
        <w:t>2027 Notes</w:t>
      </w:r>
      <w:r>
        <w:rPr>
          <w:rFonts w:ascii="Times New Roman;serif" w:hAnsi="Times New Roman;serif"/>
          <w:b w:val="false"/>
          <w:color w:val="000000"/>
          <w:sz w:val="20"/>
        </w:rPr>
        <w:t>,” and together with the 2026 Notes, the “</w:t>
      </w:r>
      <w:r>
        <w:rPr>
          <w:rFonts w:ascii="Times New Roman;serif" w:hAnsi="Times New Roman;serif"/>
          <w:b w:val="false"/>
          <w:color w:val="000000"/>
          <w:sz w:val="20"/>
          <w:u w:val="single"/>
        </w:rPr>
        <w:t>Notes</w:t>
      </w:r>
      <w:r>
        <w:rPr>
          <w:color w:val="000000"/>
        </w:rPr>
        <w:t>”</w:t>
      </w:r>
      <w:r>
        <w:rPr>
          <w:rFonts w:ascii="Times New Roman;serif" w:hAnsi="Times New Roman;serif"/>
          <w:b w:val="false"/>
          <w:color w:val="000000"/>
          <w:sz w:val="20"/>
        </w:rPr>
        <w:t xml:space="preserve">) in full at the redemption price, calculated in accordance with the indenture governing such 2027 Notes, plus accrued and unpaid interest, of approximately $650 million. The redemption date for the Notes will be January 15,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is not a notice of redemption for the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9.01(d). Exhibits.</w:t>
      </w:r>
    </w:p>
    <w:tbl>
      <w:tblPr>
        <w:tblW w:w="8733"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360"/>
        <w:gridCol w:w="1360"/>
        <w:gridCol w:w="1364"/>
        <w:gridCol w:w="411"/>
        <w:gridCol w:w="411"/>
        <w:gridCol w:w="411"/>
        <w:gridCol w:w="411"/>
        <w:gridCol w:w="411"/>
        <w:gridCol w:w="411"/>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857" w:type="dxa"/>
        <w:jc w:val="center"/>
        <w:tblInd w:w="0" w:type="dxa"/>
        <w:tblLayout w:type="fixed"/>
        <w:tblCellMar>
          <w:top w:w="28" w:type="dxa"/>
          <w:left w:w="28" w:type="dxa"/>
          <w:bottom w:w="28" w:type="dxa"/>
          <w:right w:w="28" w:type="dxa"/>
        </w:tblCellMar>
      </w:tblPr>
      <w:tblGrid>
        <w:gridCol w:w="200"/>
        <w:gridCol w:w="177"/>
        <w:gridCol w:w="178"/>
        <w:gridCol w:w="559"/>
        <w:gridCol w:w="559"/>
        <w:gridCol w:w="561"/>
        <w:gridCol w:w="109"/>
        <w:gridCol w:w="109"/>
        <w:gridCol w:w="109"/>
        <w:gridCol w:w="277"/>
        <w:gridCol w:w="277"/>
        <w:gridCol w:w="277"/>
        <w:gridCol w:w="1002"/>
        <w:gridCol w:w="1002"/>
        <w:gridCol w:w="1002"/>
        <w:gridCol w:w="1002"/>
        <w:gridCol w:w="1002"/>
        <w:gridCol w:w="145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25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COMCAST CORPORATION</w:t>
            </w:r>
          </w:p>
        </w:tc>
      </w:tr>
      <w:tr>
        <w:trPr/>
        <w:tc>
          <w:tcPr>
            <w:tcW w:w="22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6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Elizabeth Wideman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46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Wideman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Senior Deputy General Counsel and Assistant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4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3394</Characters>
  <CharactersWithSpaces>3943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