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1"/>
        </w:trPr>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3660" w:type="dxa"/>
            <w:vAlign w:val="bottom"/>
            <w:tcBorders>
              <w:top w:val="single" w:sz="8" w:color="auto"/>
            </w:tcBorders>
          </w:tcPr>
          <w:p>
            <w:pPr>
              <w:jc w:val="center"/>
              <w:ind w:left="1510"/>
              <w:spacing w:after="0"/>
              <w:rPr>
                <w:sz w:val="20"/>
                <w:szCs w:val="20"/>
                <w:color w:val="auto"/>
              </w:rPr>
            </w:pPr>
            <w:r>
              <w:rPr>
                <w:rFonts w:ascii="Arial" w:cs="Arial" w:eastAsia="Arial" w:hAnsi="Arial"/>
                <w:sz w:val="18"/>
                <w:szCs w:val="18"/>
                <w:b w:val="1"/>
                <w:bCs w:val="1"/>
                <w:color w:val="auto"/>
                <w:w w:val="99"/>
              </w:rPr>
              <w:t>UNITED STATES</w:t>
            </w:r>
          </w:p>
        </w:tc>
        <w:tc>
          <w:tcPr>
            <w:tcW w:w="1440" w:type="dxa"/>
            <w:vAlign w:val="bottom"/>
            <w:tcBorders>
              <w:top w:val="single" w:sz="8" w:color="auto"/>
            </w:tcBorders>
          </w:tcPr>
          <w:p>
            <w:pPr>
              <w:spacing w:after="0"/>
              <w:rPr>
                <w:sz w:val="18"/>
                <w:szCs w:val="18"/>
                <w:color w:val="auto"/>
              </w:rPr>
            </w:pPr>
          </w:p>
        </w:tc>
        <w:tc>
          <w:tcPr>
            <w:tcW w:w="3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240" w:type="dxa"/>
            <w:vAlign w:val="bottom"/>
            <w:gridSpan w:val="3"/>
          </w:tcPr>
          <w:p>
            <w:pPr>
              <w:jc w:val="center"/>
              <w:ind w:right="2960"/>
              <w:spacing w:after="0"/>
              <w:rPr>
                <w:sz w:val="20"/>
                <w:szCs w:val="20"/>
                <w:color w:val="auto"/>
              </w:rPr>
            </w:pPr>
            <w:r>
              <w:rPr>
                <w:rFonts w:ascii="Arial" w:cs="Arial" w:eastAsia="Arial" w:hAnsi="Arial"/>
                <w:sz w:val="18"/>
                <w:szCs w:val="18"/>
                <w:b w:val="1"/>
                <w:bCs w:val="1"/>
                <w:color w:val="auto"/>
              </w:rPr>
              <w:t>SECURITIES AND EXCHANGE COMMISSION</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60" w:type="dxa"/>
            <w:vAlign w:val="bottom"/>
          </w:tcPr>
          <w:p>
            <w:pPr>
              <w:jc w:val="center"/>
              <w:ind w:left="1510"/>
              <w:spacing w:after="0"/>
              <w:rPr>
                <w:sz w:val="20"/>
                <w:szCs w:val="20"/>
                <w:color w:val="auto"/>
              </w:rPr>
            </w:pPr>
            <w:r>
              <w:rPr>
                <w:rFonts w:ascii="Arial" w:cs="Arial" w:eastAsia="Arial" w:hAnsi="Arial"/>
                <w:sz w:val="18"/>
                <w:szCs w:val="18"/>
                <w:b w:val="1"/>
                <w:bCs w:val="1"/>
                <w:color w:val="auto"/>
                <w:w w:val="91"/>
              </w:rPr>
              <w:t>Washington, D.C. 20549</w:t>
            </w:r>
          </w:p>
        </w:tc>
        <w:tc>
          <w:tcPr>
            <w:tcW w:w="14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(Mark One)</w:t>
            </w:r>
          </w:p>
        </w:tc>
        <w:tc>
          <w:tcPr>
            <w:tcW w:w="1720" w:type="dxa"/>
            <w:vAlign w:val="bottom"/>
          </w:tcPr>
          <w:p>
            <w:pPr>
              <w:spacing w:after="0"/>
              <w:rPr>
                <w:sz w:val="20"/>
                <w:szCs w:val="20"/>
                <w:color w:val="auto"/>
              </w:rPr>
            </w:pPr>
          </w:p>
        </w:tc>
        <w:tc>
          <w:tcPr>
            <w:tcW w:w="3660" w:type="dxa"/>
            <w:vAlign w:val="bottom"/>
          </w:tcPr>
          <w:p>
            <w:pPr>
              <w:jc w:val="center"/>
              <w:ind w:left="1510"/>
              <w:spacing w:after="0"/>
              <w:rPr>
                <w:sz w:val="20"/>
                <w:szCs w:val="20"/>
                <w:color w:val="auto"/>
              </w:rPr>
            </w:pPr>
            <w:r>
              <w:rPr>
                <w:rFonts w:ascii="Arial" w:cs="Arial" w:eastAsia="Arial" w:hAnsi="Arial"/>
                <w:sz w:val="18"/>
                <w:szCs w:val="18"/>
                <w:b w:val="1"/>
                <w:bCs w:val="1"/>
                <w:color w:val="auto"/>
                <w:w w:val="99"/>
              </w:rPr>
              <w:t>FORM 10-Q</w:t>
            </w:r>
          </w:p>
        </w:tc>
        <w:tc>
          <w:tcPr>
            <w:tcW w:w="14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1360" w:type="dxa"/>
            <w:vAlign w:val="bottom"/>
            <w:gridSpan w:val="2"/>
            <w:vMerge w:val="continue"/>
          </w:tcPr>
          <w:p>
            <w:pPr>
              <w:spacing w:after="0"/>
              <w:rPr>
                <w:sz w:val="14"/>
                <w:szCs w:val="14"/>
                <w:color w:val="auto"/>
              </w:rPr>
            </w:pPr>
          </w:p>
        </w:tc>
        <w:tc>
          <w:tcPr>
            <w:tcW w:w="17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00" w:type="dxa"/>
            <w:vAlign w:val="bottom"/>
          </w:tcPr>
          <w:p>
            <w:pPr>
              <w:spacing w:after="0"/>
              <w:rPr>
                <w:sz w:val="24"/>
                <w:szCs w:val="24"/>
                <w:color w:val="auto"/>
              </w:rPr>
            </w:pPr>
          </w:p>
        </w:tc>
        <w:tc>
          <w:tcPr>
            <w:tcW w:w="1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9960" w:type="dxa"/>
            <w:vAlign w:val="bottom"/>
            <w:gridSpan w:val="4"/>
          </w:tcPr>
          <w:p>
            <w:pPr>
              <w:jc w:val="center"/>
              <w:ind w:right="1360"/>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240" w:type="dxa"/>
            <w:vAlign w:val="bottom"/>
            <w:gridSpan w:val="3"/>
          </w:tcPr>
          <w:p>
            <w:pPr>
              <w:jc w:val="center"/>
              <w:ind w:right="2980"/>
              <w:spacing w:after="0"/>
              <w:rPr>
                <w:sz w:val="20"/>
                <w:szCs w:val="20"/>
                <w:color w:val="auto"/>
              </w:rPr>
            </w:pPr>
            <w:r>
              <w:rPr>
                <w:rFonts w:ascii="Arial" w:cs="Arial" w:eastAsia="Arial" w:hAnsi="Arial"/>
                <w:sz w:val="18"/>
                <w:szCs w:val="18"/>
                <w:b w:val="1"/>
                <w:bCs w:val="1"/>
                <w:color w:val="auto"/>
                <w:w w:val="90"/>
              </w:rPr>
              <w:t>For the quarterly period ended September 30, 2019</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60" w:type="dxa"/>
            <w:vAlign w:val="bottom"/>
          </w:tcPr>
          <w:p>
            <w:pPr>
              <w:jc w:val="center"/>
              <w:ind w:left="1510"/>
              <w:spacing w:after="0"/>
              <w:rPr>
                <w:sz w:val="20"/>
                <w:szCs w:val="20"/>
                <w:color w:val="auto"/>
              </w:rPr>
            </w:pPr>
            <w:r>
              <w:rPr>
                <w:rFonts w:ascii="Arial" w:cs="Arial" w:eastAsia="Arial" w:hAnsi="Arial"/>
                <w:sz w:val="18"/>
                <w:szCs w:val="18"/>
                <w:b w:val="1"/>
                <w:bCs w:val="1"/>
                <w:color w:val="auto"/>
              </w:rPr>
              <w:t>Or</w:t>
            </w:r>
          </w:p>
        </w:tc>
        <w:tc>
          <w:tcPr>
            <w:tcW w:w="14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100" w:type="dxa"/>
            <w:vAlign w:val="bottom"/>
          </w:tcPr>
          <w:p>
            <w:pPr>
              <w:spacing w:after="0"/>
              <w:rPr>
                <w:sz w:val="24"/>
                <w:szCs w:val="24"/>
                <w:color w:val="auto"/>
              </w:rPr>
            </w:pPr>
          </w:p>
        </w:tc>
        <w:tc>
          <w:tcPr>
            <w:tcW w:w="1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9960" w:type="dxa"/>
            <w:vAlign w:val="bottom"/>
            <w:gridSpan w:val="4"/>
          </w:tcPr>
          <w:p>
            <w:pPr>
              <w:jc w:val="center"/>
              <w:ind w:right="144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60" w:type="dxa"/>
            <w:vAlign w:val="bottom"/>
          </w:tcPr>
          <w:p>
            <w:pPr>
              <w:ind w:left="380"/>
              <w:spacing w:after="0"/>
              <w:rPr>
                <w:sz w:val="20"/>
                <w:szCs w:val="20"/>
                <w:color w:val="auto"/>
              </w:rPr>
            </w:pPr>
            <w:r>
              <w:rPr>
                <w:rFonts w:ascii="Arial" w:cs="Arial" w:eastAsia="Arial" w:hAnsi="Arial"/>
                <w:sz w:val="18"/>
                <w:szCs w:val="18"/>
                <w:b w:val="1"/>
                <w:bCs w:val="1"/>
                <w:color w:val="auto"/>
              </w:rPr>
              <w:t>For the transition period from</w:t>
            </w:r>
          </w:p>
        </w:tc>
        <w:tc>
          <w:tcPr>
            <w:tcW w:w="4580" w:type="dxa"/>
            <w:vAlign w:val="bottom"/>
            <w:gridSpan w:val="2"/>
          </w:tcPr>
          <w:p>
            <w:pPr>
              <w:ind w:left="80"/>
              <w:spacing w:after="0"/>
              <w:rPr>
                <w:sz w:val="20"/>
                <w:szCs w:val="20"/>
                <w:color w:val="auto"/>
              </w:rPr>
            </w:pP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6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3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217805</wp:posOffset>
            </wp:positionH>
            <wp:positionV relativeFrom="page">
              <wp:posOffset>243205</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77470</wp:posOffset>
            </wp:positionV>
            <wp:extent cx="1826895" cy="685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160"/>
        <w:spacing w:after="0"/>
        <w:rPr>
          <w:sz w:val="20"/>
          <w:szCs w:val="20"/>
          <w:color w:val="auto"/>
        </w:rPr>
      </w:pPr>
      <w:r>
        <w:rPr>
          <w:rFonts w:ascii="Arial" w:cs="Arial" w:eastAsia="Arial" w:hAnsi="Arial"/>
          <w:sz w:val="16"/>
          <w:szCs w:val="16"/>
          <w:color w:val="auto"/>
        </w:rPr>
        <w:t>Exact Name of Registrant; State of</w:t>
      </w:r>
    </w:p>
    <w:p>
      <w:pPr>
        <w:spacing w:after="0" w:line="22" w:lineRule="exact"/>
        <w:rPr>
          <w:sz w:val="24"/>
          <w:szCs w:val="24"/>
          <w:color w:val="auto"/>
        </w:rPr>
      </w:pPr>
    </w:p>
    <w:p>
      <w:pPr>
        <w:jc w:val="center"/>
        <w:ind w:right="160"/>
        <w:spacing w:after="0"/>
        <w:rPr>
          <w:sz w:val="20"/>
          <w:szCs w:val="20"/>
          <w:color w:val="auto"/>
        </w:rPr>
      </w:pPr>
      <w:r>
        <w:rPr>
          <w:rFonts w:ascii="Arial" w:cs="Arial" w:eastAsia="Arial" w:hAnsi="Arial"/>
          <w:sz w:val="16"/>
          <w:szCs w:val="16"/>
          <w:color w:val="auto"/>
        </w:rPr>
        <w:t>Incorporation; Address and Telephone</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Borders>
              <w:bottom w:val="single" w:sz="8" w:color="auto"/>
            </w:tcBorders>
          </w:tcPr>
          <w:p>
            <w:pPr>
              <w:jc w:val="center"/>
              <w:ind w:right="428"/>
              <w:spacing w:after="0"/>
              <w:rPr>
                <w:sz w:val="20"/>
                <w:szCs w:val="20"/>
                <w:color w:val="auto"/>
              </w:rPr>
            </w:pPr>
            <w:r>
              <w:rPr>
                <w:rFonts w:ascii="Arial" w:cs="Arial" w:eastAsia="Arial" w:hAnsi="Arial"/>
                <w:sz w:val="14"/>
                <w:szCs w:val="14"/>
                <w:color w:val="auto"/>
                <w:w w:val="94"/>
              </w:rPr>
              <w:t>Commission File Number</w:t>
            </w:r>
          </w:p>
        </w:tc>
        <w:tc>
          <w:tcPr>
            <w:tcW w:w="60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5"/>
          </w:tcPr>
          <w:p>
            <w:pPr>
              <w:jc w:val="center"/>
              <w:ind w:right="620"/>
              <w:spacing w:after="0"/>
              <w:rPr>
                <w:sz w:val="20"/>
                <w:szCs w:val="20"/>
                <w:color w:val="auto"/>
              </w:rPr>
            </w:pPr>
            <w:r>
              <w:rPr>
                <w:rFonts w:ascii="Arial" w:cs="Arial" w:eastAsia="Arial" w:hAnsi="Arial"/>
                <w:sz w:val="16"/>
                <w:szCs w:val="16"/>
                <w:color w:val="auto"/>
                <w:w w:val="94"/>
              </w:rPr>
              <w:t>Number of Principal Executive Offices</w:t>
            </w:r>
          </w:p>
        </w:tc>
        <w:tc>
          <w:tcPr>
            <w:tcW w:w="366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color w:val="auto"/>
                <w:w w:val="96"/>
              </w:rPr>
              <w:t>I.R.S. Employer Identification No.</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580" w:type="dxa"/>
            <w:vAlign w:val="bottom"/>
          </w:tcPr>
          <w:p>
            <w:pPr>
              <w:jc w:val="center"/>
              <w:ind w:right="428"/>
              <w:spacing w:after="0"/>
              <w:rPr>
                <w:sz w:val="20"/>
                <w:szCs w:val="20"/>
                <w:color w:val="auto"/>
              </w:rPr>
            </w:pPr>
            <w:r>
              <w:rPr>
                <w:rFonts w:ascii="Arial" w:cs="Arial" w:eastAsia="Arial" w:hAnsi="Arial"/>
                <w:sz w:val="14"/>
                <w:szCs w:val="14"/>
                <w:b w:val="1"/>
                <w:bCs w:val="1"/>
                <w:color w:val="auto"/>
                <w:w w:val="95"/>
              </w:rPr>
              <w:t>001-32871</w:t>
            </w:r>
          </w:p>
        </w:tc>
        <w:tc>
          <w:tcPr>
            <w:tcW w:w="4120" w:type="dxa"/>
            <w:vAlign w:val="bottom"/>
            <w:gridSpan w:val="6"/>
            <w:vMerge w:val="restart"/>
          </w:tcPr>
          <w:p>
            <w:pPr>
              <w:jc w:val="center"/>
              <w:ind w:right="20"/>
              <w:spacing w:after="0"/>
              <w:rPr>
                <w:sz w:val="20"/>
                <w:szCs w:val="20"/>
                <w:color w:val="auto"/>
              </w:rPr>
            </w:pPr>
            <w:r>
              <w:rPr>
                <w:rFonts w:ascii="Arial" w:cs="Arial" w:eastAsia="Arial" w:hAnsi="Arial"/>
                <w:sz w:val="29"/>
                <w:szCs w:val="29"/>
                <w:b w:val="1"/>
                <w:bCs w:val="1"/>
                <w:color w:val="auto"/>
                <w:w w:val="99"/>
              </w:rPr>
              <w:t>COMCAST CORPORATION</w:t>
            </w:r>
          </w:p>
        </w:tc>
        <w:tc>
          <w:tcPr>
            <w:tcW w:w="3660" w:type="dxa"/>
            <w:vAlign w:val="bottom"/>
          </w:tcPr>
          <w:p>
            <w:pPr>
              <w:jc w:val="center"/>
              <w:ind w:left="408"/>
              <w:spacing w:after="0"/>
              <w:rPr>
                <w:sz w:val="20"/>
                <w:szCs w:val="20"/>
                <w:color w:val="auto"/>
              </w:rPr>
            </w:pPr>
            <w:r>
              <w:rPr>
                <w:rFonts w:ascii="Arial" w:cs="Arial" w:eastAsia="Arial" w:hAnsi="Arial"/>
                <w:sz w:val="14"/>
                <w:szCs w:val="14"/>
                <w:b w:val="1"/>
                <w:bCs w:val="1"/>
                <w:color w:val="auto"/>
                <w:w w:val="93"/>
              </w:rPr>
              <w:t>27-0000798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580" w:type="dxa"/>
            <w:vAlign w:val="bottom"/>
          </w:tcPr>
          <w:p>
            <w:pPr>
              <w:spacing w:after="0"/>
              <w:rPr>
                <w:sz w:val="15"/>
                <w:szCs w:val="15"/>
                <w:color w:val="auto"/>
              </w:rPr>
            </w:pPr>
          </w:p>
        </w:tc>
        <w:tc>
          <w:tcPr>
            <w:tcW w:w="4120" w:type="dxa"/>
            <w:vAlign w:val="bottom"/>
            <w:gridSpan w:val="6"/>
            <w:vMerge w:val="continue"/>
          </w:tcPr>
          <w:p>
            <w:pPr>
              <w:spacing w:after="0"/>
              <w:rPr>
                <w:sz w:val="15"/>
                <w:szCs w:val="15"/>
                <w:color w:val="auto"/>
              </w:rPr>
            </w:pPr>
          </w:p>
        </w:tc>
        <w:tc>
          <w:tcPr>
            <w:tcW w:w="3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91"/>
              </w:rPr>
              <w:t>Pennsylvania</w:t>
            </w:r>
          </w:p>
        </w:tc>
        <w:tc>
          <w:tcPr>
            <w:tcW w:w="3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gridSpan w:val="3"/>
          </w:tcPr>
          <w:p>
            <w:pPr>
              <w:jc w:val="center"/>
              <w:ind w:right="1180"/>
              <w:spacing w:after="0"/>
              <w:rPr>
                <w:sz w:val="20"/>
                <w:szCs w:val="20"/>
                <w:color w:val="auto"/>
              </w:rPr>
            </w:pPr>
            <w:r>
              <w:rPr>
                <w:rFonts w:ascii="Arial" w:cs="Arial" w:eastAsia="Arial" w:hAnsi="Arial"/>
                <w:sz w:val="14"/>
                <w:szCs w:val="14"/>
                <w:b w:val="1"/>
                <w:bCs w:val="1"/>
                <w:color w:val="auto"/>
                <w:w w:val="92"/>
              </w:rPr>
              <w:t>One Comcast Center</w:t>
            </w:r>
          </w:p>
        </w:tc>
        <w:tc>
          <w:tcPr>
            <w:tcW w:w="3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00" w:type="dxa"/>
            <w:vAlign w:val="bottom"/>
            <w:gridSpan w:val="4"/>
          </w:tcPr>
          <w:p>
            <w:pPr>
              <w:jc w:val="center"/>
              <w:ind w:right="1060"/>
              <w:spacing w:after="0"/>
              <w:rPr>
                <w:sz w:val="20"/>
                <w:szCs w:val="20"/>
                <w:color w:val="auto"/>
              </w:rPr>
            </w:pPr>
            <w:r>
              <w:rPr>
                <w:rFonts w:ascii="Arial" w:cs="Arial" w:eastAsia="Arial" w:hAnsi="Arial"/>
                <w:sz w:val="14"/>
                <w:szCs w:val="14"/>
                <w:b w:val="1"/>
                <w:bCs w:val="1"/>
                <w:color w:val="auto"/>
                <w:w w:val="93"/>
              </w:rPr>
              <w:t>Philadelphia, PA 19103-2838</w:t>
            </w:r>
          </w:p>
        </w:tc>
        <w:tc>
          <w:tcPr>
            <w:tcW w:w="3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40" w:type="dxa"/>
            <w:vAlign w:val="bottom"/>
            <w:gridSpan w:val="3"/>
          </w:tcPr>
          <w:p>
            <w:pPr>
              <w:jc w:val="center"/>
              <w:ind w:left="545"/>
              <w:spacing w:after="0"/>
              <w:rPr>
                <w:sz w:val="20"/>
                <w:szCs w:val="20"/>
                <w:color w:val="auto"/>
              </w:rPr>
            </w:pPr>
            <w:r>
              <w:rPr>
                <w:rFonts w:ascii="Arial" w:cs="Arial" w:eastAsia="Arial" w:hAnsi="Arial"/>
                <w:sz w:val="14"/>
                <w:szCs w:val="14"/>
                <w:b w:val="1"/>
                <w:bCs w:val="1"/>
                <w:color w:val="auto"/>
                <w:w w:val="93"/>
              </w:rPr>
              <w:t>(215) 286-1700</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3580" w:type="dxa"/>
            <w:vAlign w:val="bottom"/>
          </w:tcPr>
          <w:p>
            <w:pPr>
              <w:jc w:val="center"/>
              <w:ind w:right="428"/>
              <w:spacing w:after="0"/>
              <w:rPr>
                <w:sz w:val="20"/>
                <w:szCs w:val="20"/>
                <w:color w:val="auto"/>
              </w:rPr>
            </w:pPr>
            <w:r>
              <w:rPr>
                <w:rFonts w:ascii="Arial" w:cs="Arial" w:eastAsia="Arial" w:hAnsi="Arial"/>
                <w:sz w:val="14"/>
                <w:szCs w:val="14"/>
                <w:b w:val="1"/>
                <w:bCs w:val="1"/>
                <w:color w:val="auto"/>
                <w:w w:val="95"/>
              </w:rPr>
              <w:t>001-36438</w:t>
            </w:r>
          </w:p>
        </w:tc>
        <w:tc>
          <w:tcPr>
            <w:tcW w:w="4120" w:type="dxa"/>
            <w:vAlign w:val="bottom"/>
            <w:gridSpan w:val="6"/>
            <w:vMerge w:val="restart"/>
          </w:tcPr>
          <w:p>
            <w:pPr>
              <w:jc w:val="center"/>
              <w:ind w:right="20"/>
              <w:spacing w:after="0"/>
              <w:rPr>
                <w:sz w:val="20"/>
                <w:szCs w:val="20"/>
                <w:color w:val="auto"/>
              </w:rPr>
            </w:pPr>
            <w:r>
              <w:rPr>
                <w:rFonts w:ascii="Arial" w:cs="Arial" w:eastAsia="Arial" w:hAnsi="Arial"/>
                <w:sz w:val="29"/>
                <w:szCs w:val="29"/>
                <w:b w:val="1"/>
                <w:bCs w:val="1"/>
                <w:color w:val="auto"/>
              </w:rPr>
              <w:t>NBCUNIVERSAL MEDIA, LLC</w:t>
            </w:r>
          </w:p>
        </w:tc>
        <w:tc>
          <w:tcPr>
            <w:tcW w:w="3660" w:type="dxa"/>
            <w:vAlign w:val="bottom"/>
          </w:tcPr>
          <w:p>
            <w:pPr>
              <w:jc w:val="center"/>
              <w:ind w:left="408"/>
              <w:spacing w:after="0"/>
              <w:rPr>
                <w:sz w:val="20"/>
                <w:szCs w:val="20"/>
                <w:color w:val="auto"/>
              </w:rPr>
            </w:pPr>
            <w:r>
              <w:rPr>
                <w:rFonts w:ascii="Arial" w:cs="Arial" w:eastAsia="Arial" w:hAnsi="Arial"/>
                <w:sz w:val="14"/>
                <w:szCs w:val="14"/>
                <w:b w:val="1"/>
                <w:bCs w:val="1"/>
                <w:color w:val="auto"/>
                <w:w w:val="93"/>
              </w:rPr>
              <w:t>14-1682529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580" w:type="dxa"/>
            <w:vAlign w:val="bottom"/>
          </w:tcPr>
          <w:p>
            <w:pPr>
              <w:spacing w:after="0"/>
              <w:rPr>
                <w:sz w:val="15"/>
                <w:szCs w:val="15"/>
                <w:color w:val="auto"/>
              </w:rPr>
            </w:pPr>
          </w:p>
        </w:tc>
        <w:tc>
          <w:tcPr>
            <w:tcW w:w="4120" w:type="dxa"/>
            <w:vAlign w:val="bottom"/>
            <w:gridSpan w:val="6"/>
            <w:vMerge w:val="continue"/>
          </w:tcPr>
          <w:p>
            <w:pPr>
              <w:spacing w:after="0"/>
              <w:rPr>
                <w:sz w:val="15"/>
                <w:szCs w:val="15"/>
                <w:color w:val="auto"/>
              </w:rPr>
            </w:pPr>
          </w:p>
        </w:tc>
        <w:tc>
          <w:tcPr>
            <w:tcW w:w="3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94"/>
              </w:rPr>
              <w:t>Delaware</w:t>
            </w:r>
          </w:p>
        </w:tc>
        <w:tc>
          <w:tcPr>
            <w:tcW w:w="3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93"/>
              </w:rPr>
              <w:t>30 Rockefeller Plaza</w:t>
            </w:r>
          </w:p>
        </w:tc>
        <w:tc>
          <w:tcPr>
            <w:tcW w:w="3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00" w:type="dxa"/>
            <w:vAlign w:val="bottom"/>
            <w:gridSpan w:val="4"/>
          </w:tcPr>
          <w:p>
            <w:pPr>
              <w:jc w:val="center"/>
              <w:ind w:right="1080"/>
              <w:spacing w:after="0"/>
              <w:rPr>
                <w:sz w:val="20"/>
                <w:szCs w:val="20"/>
                <w:color w:val="auto"/>
              </w:rPr>
            </w:pPr>
            <w:r>
              <w:rPr>
                <w:rFonts w:ascii="Arial" w:cs="Arial" w:eastAsia="Arial" w:hAnsi="Arial"/>
                <w:sz w:val="14"/>
                <w:szCs w:val="14"/>
                <w:b w:val="1"/>
                <w:bCs w:val="1"/>
                <w:color w:val="auto"/>
                <w:w w:val="95"/>
              </w:rPr>
              <w:t>New York, NY 10112-0015</w:t>
            </w:r>
          </w:p>
        </w:tc>
        <w:tc>
          <w:tcPr>
            <w:tcW w:w="3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40" w:type="dxa"/>
            <w:vAlign w:val="bottom"/>
            <w:gridSpan w:val="3"/>
          </w:tcPr>
          <w:p>
            <w:pPr>
              <w:jc w:val="center"/>
              <w:ind w:left="545"/>
              <w:spacing w:after="0"/>
              <w:rPr>
                <w:sz w:val="20"/>
                <w:szCs w:val="20"/>
                <w:color w:val="auto"/>
              </w:rPr>
            </w:pPr>
            <w:r>
              <w:rPr>
                <w:rFonts w:ascii="Arial" w:cs="Arial" w:eastAsia="Arial" w:hAnsi="Arial"/>
                <w:sz w:val="14"/>
                <w:szCs w:val="14"/>
                <w:b w:val="1"/>
                <w:bCs w:val="1"/>
                <w:color w:val="auto"/>
                <w:w w:val="93"/>
              </w:rPr>
              <w:t>(212) 664-4444</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3580" w:type="dxa"/>
            <w:vAlign w:val="bottom"/>
            <w:tcBorders>
              <w:bottom w:val="single" w:sz="8" w:color="auto"/>
            </w:tcBorders>
          </w:tcPr>
          <w:p>
            <w:pPr>
              <w:jc w:val="center"/>
              <w:ind w:left="1148"/>
              <w:spacing w:after="0"/>
              <w:rPr>
                <w:sz w:val="20"/>
                <w:szCs w:val="20"/>
                <w:color w:val="auto"/>
              </w:rPr>
            </w:pPr>
            <w:r>
              <w:rPr>
                <w:rFonts w:ascii="Arial" w:cs="Arial" w:eastAsia="Arial" w:hAnsi="Arial"/>
                <w:sz w:val="14"/>
                <w:szCs w:val="14"/>
                <w:b w:val="1"/>
                <w:bCs w:val="1"/>
                <w:color w:val="auto"/>
                <w:w w:val="89"/>
              </w:rPr>
              <w:t>Title of each class</w:t>
            </w:r>
          </w:p>
        </w:tc>
        <w:tc>
          <w:tcPr>
            <w:tcW w:w="6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jc w:val="center"/>
              <w:ind w:right="868"/>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580" w:type="dxa"/>
            <w:vAlign w:val="bottom"/>
          </w:tcPr>
          <w:p>
            <w:pPr>
              <w:jc w:val="center"/>
              <w:ind w:left="1168"/>
              <w:spacing w:after="0"/>
              <w:rPr>
                <w:sz w:val="20"/>
                <w:szCs w:val="20"/>
                <w:color w:val="auto"/>
              </w:rPr>
            </w:pPr>
            <w:r>
              <w:rPr>
                <w:rFonts w:ascii="Arial" w:cs="Arial" w:eastAsia="Arial" w:hAnsi="Arial"/>
                <w:sz w:val="14"/>
                <w:szCs w:val="14"/>
                <w:color w:val="auto"/>
                <w:w w:val="92"/>
              </w:rPr>
              <w:t>Class A Common Stock, $0.01 par value</w:t>
            </w: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gridSpan w:val="3"/>
          </w:tcPr>
          <w:p>
            <w:pPr>
              <w:jc w:val="center"/>
              <w:ind w:right="1080"/>
              <w:spacing w:after="0"/>
              <w:rPr>
                <w:sz w:val="20"/>
                <w:szCs w:val="20"/>
                <w:color w:val="auto"/>
              </w:rPr>
            </w:pPr>
            <w:r>
              <w:rPr>
                <w:rFonts w:ascii="Arial" w:cs="Arial" w:eastAsia="Arial" w:hAnsi="Arial"/>
                <w:sz w:val="14"/>
                <w:szCs w:val="14"/>
                <w:color w:val="auto"/>
                <w:w w:val="98"/>
              </w:rPr>
              <w:t>CMCSA</w:t>
            </w:r>
          </w:p>
        </w:tc>
        <w:tc>
          <w:tcPr>
            <w:tcW w:w="3660" w:type="dxa"/>
            <w:vAlign w:val="bottom"/>
          </w:tcPr>
          <w:p>
            <w:pPr>
              <w:jc w:val="center"/>
              <w:ind w:right="848"/>
              <w:spacing w:after="0"/>
              <w:rPr>
                <w:sz w:val="20"/>
                <w:szCs w:val="20"/>
                <w:color w:val="auto"/>
              </w:rPr>
            </w:pPr>
            <w:r>
              <w:rPr>
                <w:rFonts w:ascii="Arial" w:cs="Arial" w:eastAsia="Arial" w:hAnsi="Arial"/>
                <w:sz w:val="14"/>
                <w:szCs w:val="14"/>
                <w:color w:val="auto"/>
                <w:w w:val="96"/>
              </w:rPr>
              <w:t>NASDAQ Global Select Market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180" w:type="dxa"/>
            <w:vAlign w:val="bottom"/>
            <w:gridSpan w:val="2"/>
          </w:tcPr>
          <w:p>
            <w:pPr>
              <w:jc w:val="center"/>
              <w:ind w:left="548"/>
              <w:spacing w:after="0"/>
              <w:rPr>
                <w:sz w:val="20"/>
                <w:szCs w:val="20"/>
                <w:color w:val="auto"/>
              </w:rPr>
            </w:pPr>
            <w:r>
              <w:rPr>
                <w:rFonts w:ascii="Arial" w:cs="Arial" w:eastAsia="Arial" w:hAnsi="Arial"/>
                <w:sz w:val="14"/>
                <w:szCs w:val="14"/>
                <w:color w:val="auto"/>
                <w:w w:val="91"/>
              </w:rPr>
              <w:t>2.0% Exchangeable Subordinated Debentures due 2029</w:t>
            </w: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80" w:type="dxa"/>
            <w:vAlign w:val="bottom"/>
            <w:gridSpan w:val="3"/>
          </w:tcPr>
          <w:p>
            <w:pPr>
              <w:jc w:val="center"/>
              <w:ind w:right="1060"/>
              <w:spacing w:after="0"/>
              <w:rPr>
                <w:sz w:val="20"/>
                <w:szCs w:val="20"/>
                <w:color w:val="auto"/>
              </w:rPr>
            </w:pPr>
            <w:r>
              <w:rPr>
                <w:rFonts w:ascii="Arial" w:cs="Arial" w:eastAsia="Arial" w:hAnsi="Arial"/>
                <w:sz w:val="14"/>
                <w:szCs w:val="14"/>
                <w:color w:val="auto"/>
                <w:w w:val="97"/>
              </w:rPr>
              <w:t>CCZ</w:t>
            </w:r>
          </w:p>
        </w:tc>
        <w:tc>
          <w:tcPr>
            <w:tcW w:w="3660" w:type="dxa"/>
            <w:vAlign w:val="bottom"/>
          </w:tcPr>
          <w:p>
            <w:pPr>
              <w:jc w:val="center"/>
              <w:ind w:right="868"/>
              <w:spacing w:after="0"/>
              <w:rPr>
                <w:sz w:val="20"/>
                <w:szCs w:val="20"/>
                <w:color w:val="auto"/>
              </w:rPr>
            </w:pPr>
            <w:r>
              <w:rPr>
                <w:rFonts w:ascii="Arial" w:cs="Arial" w:eastAsia="Arial" w:hAnsi="Arial"/>
                <w:sz w:val="14"/>
                <w:szCs w:val="14"/>
                <w:color w:val="auto"/>
                <w:w w:val="94"/>
              </w:rPr>
              <w:t>New York Stock Exchange</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80" w:type="dxa"/>
            <w:vAlign w:val="bottom"/>
          </w:tcPr>
          <w:p>
            <w:pPr>
              <w:jc w:val="center"/>
              <w:ind w:left="1148"/>
              <w:spacing w:after="0"/>
              <w:rPr>
                <w:sz w:val="20"/>
                <w:szCs w:val="20"/>
                <w:color w:val="auto"/>
              </w:rPr>
            </w:pPr>
            <w:r>
              <w:rPr>
                <w:rFonts w:ascii="Arial" w:cs="Arial" w:eastAsia="Arial" w:hAnsi="Arial"/>
                <w:sz w:val="14"/>
                <w:szCs w:val="14"/>
                <w:color w:val="auto"/>
                <w:w w:val="92"/>
              </w:rPr>
              <w:t>5.50% Notes due 2029</w:t>
            </w:r>
          </w:p>
        </w:tc>
        <w:tc>
          <w:tcPr>
            <w:tcW w:w="6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80" w:type="dxa"/>
            <w:vAlign w:val="bottom"/>
            <w:gridSpan w:val="3"/>
          </w:tcPr>
          <w:p>
            <w:pPr>
              <w:jc w:val="center"/>
              <w:ind w:right="1080"/>
              <w:spacing w:after="0"/>
              <w:rPr>
                <w:sz w:val="20"/>
                <w:szCs w:val="20"/>
                <w:color w:val="auto"/>
              </w:rPr>
            </w:pPr>
            <w:r>
              <w:rPr>
                <w:rFonts w:ascii="Arial" w:cs="Arial" w:eastAsia="Arial" w:hAnsi="Arial"/>
                <w:sz w:val="14"/>
                <w:szCs w:val="14"/>
                <w:color w:val="auto"/>
                <w:w w:val="94"/>
              </w:rPr>
              <w:t>CCGBP29</w:t>
            </w:r>
          </w:p>
        </w:tc>
        <w:tc>
          <w:tcPr>
            <w:tcW w:w="3660" w:type="dxa"/>
            <w:vAlign w:val="bottom"/>
          </w:tcPr>
          <w:p>
            <w:pPr>
              <w:jc w:val="center"/>
              <w:ind w:right="868"/>
              <w:spacing w:after="0"/>
              <w:rPr>
                <w:sz w:val="20"/>
                <w:szCs w:val="20"/>
                <w:color w:val="auto"/>
              </w:rPr>
            </w:pPr>
            <w:r>
              <w:rPr>
                <w:rFonts w:ascii="Arial" w:cs="Arial" w:eastAsia="Arial" w:hAnsi="Arial"/>
                <w:sz w:val="14"/>
                <w:szCs w:val="14"/>
                <w:color w:val="auto"/>
                <w:w w:val="94"/>
              </w:rPr>
              <w:t>New York Stock Exchange</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80" w:type="dxa"/>
            <w:vAlign w:val="bottom"/>
          </w:tcPr>
          <w:p>
            <w:pPr>
              <w:jc w:val="center"/>
              <w:ind w:left="1148"/>
              <w:spacing w:after="0"/>
              <w:rPr>
                <w:sz w:val="20"/>
                <w:szCs w:val="20"/>
                <w:color w:val="auto"/>
              </w:rPr>
            </w:pPr>
            <w:r>
              <w:rPr>
                <w:rFonts w:ascii="Arial" w:cs="Arial" w:eastAsia="Arial" w:hAnsi="Arial"/>
                <w:sz w:val="14"/>
                <w:szCs w:val="14"/>
                <w:color w:val="auto"/>
                <w:w w:val="91"/>
              </w:rPr>
              <w:t>9.455% Guaranteed Notes due 2022</w:t>
            </w:r>
          </w:p>
        </w:tc>
        <w:tc>
          <w:tcPr>
            <w:tcW w:w="6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80" w:type="dxa"/>
            <w:vAlign w:val="bottom"/>
            <w:gridSpan w:val="3"/>
          </w:tcPr>
          <w:p>
            <w:pPr>
              <w:jc w:val="center"/>
              <w:ind w:right="1060"/>
              <w:spacing w:after="0"/>
              <w:rPr>
                <w:sz w:val="20"/>
                <w:szCs w:val="20"/>
                <w:color w:val="auto"/>
              </w:rPr>
            </w:pPr>
            <w:r>
              <w:rPr>
                <w:rFonts w:ascii="Arial" w:cs="Arial" w:eastAsia="Arial" w:hAnsi="Arial"/>
                <w:sz w:val="14"/>
                <w:szCs w:val="14"/>
                <w:color w:val="auto"/>
                <w:w w:val="97"/>
              </w:rPr>
              <w:t>CMCSA/22</w:t>
            </w:r>
          </w:p>
        </w:tc>
        <w:tc>
          <w:tcPr>
            <w:tcW w:w="3660" w:type="dxa"/>
            <w:vAlign w:val="bottom"/>
          </w:tcPr>
          <w:p>
            <w:pPr>
              <w:jc w:val="center"/>
              <w:ind w:right="868"/>
              <w:spacing w:after="0"/>
              <w:rPr>
                <w:sz w:val="20"/>
                <w:szCs w:val="20"/>
                <w:color w:val="auto"/>
              </w:rPr>
            </w:pPr>
            <w:r>
              <w:rPr>
                <w:rFonts w:ascii="Arial" w:cs="Arial" w:eastAsia="Arial" w:hAnsi="Arial"/>
                <w:sz w:val="14"/>
                <w:szCs w:val="14"/>
                <w:color w:val="auto"/>
                <w:w w:val="94"/>
              </w:rPr>
              <w:t>New York Stock Exchange</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7"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72" w:lineRule="exact"/>
        <w:rPr>
          <w:sz w:val="24"/>
          <w:szCs w:val="24"/>
          <w:color w:val="auto"/>
        </w:rPr>
      </w:pPr>
    </w:p>
    <w:tbl>
      <w:tblPr>
        <w:tblLayout w:type="fixed"/>
        <w:tblInd w:w="3120" w:type="dxa"/>
        <w:tblCellMar>
          <w:top w:w="0" w:type="dxa"/>
          <w:left w:w="0" w:type="dxa"/>
          <w:bottom w:w="0" w:type="dxa"/>
          <w:right w:w="0" w:type="dxa"/>
        </w:tblCellMar>
      </w:tblPr>
      <w:tr>
        <w:trPr>
          <w:trHeight w:val="270"/>
        </w:trPr>
        <w:tc>
          <w:tcPr>
            <w:tcW w:w="2520" w:type="dxa"/>
            <w:vAlign w:val="bottom"/>
          </w:tcPr>
          <w:p>
            <w:pPr>
              <w:spacing w:after="0"/>
              <w:rPr>
                <w:sz w:val="20"/>
                <w:szCs w:val="20"/>
                <w:color w:val="auto"/>
              </w:rPr>
            </w:pPr>
            <w:r>
              <w:rPr>
                <w:rFonts w:ascii="Arial" w:cs="Arial" w:eastAsia="Arial" w:hAnsi="Arial"/>
                <w:sz w:val="14"/>
                <w:szCs w:val="14"/>
                <w:color w:val="auto"/>
              </w:rPr>
              <w:t>Comcast Corporation</w:t>
            </w:r>
          </w:p>
        </w:tc>
        <w:tc>
          <w:tcPr>
            <w:tcW w:w="1160" w:type="dxa"/>
            <w:vAlign w:val="bottom"/>
          </w:tcPr>
          <w:p>
            <w:pPr>
              <w:ind w:left="900"/>
              <w:spacing w:after="0"/>
              <w:rPr>
                <w:sz w:val="20"/>
                <w:szCs w:val="20"/>
                <w:color w:val="auto"/>
              </w:rPr>
            </w:pPr>
            <w:r>
              <w:rPr>
                <w:rFonts w:ascii="Arial" w:cs="Arial" w:eastAsia="Arial" w:hAnsi="Arial"/>
                <w:sz w:val="14"/>
                <w:szCs w:val="14"/>
                <w:color w:val="auto"/>
                <w:w w:val="99"/>
              </w:rPr>
              <w:t>Yes</w:t>
            </w:r>
          </w:p>
        </w:tc>
        <w:tc>
          <w:tcPr>
            <w:tcW w:w="6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400"/>
              <w:spacing w:after="0" w:line="207" w:lineRule="exact"/>
              <w:rPr>
                <w:sz w:val="20"/>
                <w:szCs w:val="20"/>
                <w:color w:val="auto"/>
              </w:rPr>
            </w:pPr>
            <w:r>
              <w:rPr>
                <w:rFonts w:ascii="Arial" w:cs="Arial" w:eastAsia="Arial" w:hAnsi="Arial"/>
                <w:sz w:val="14"/>
                <w:szCs w:val="14"/>
                <w:color w:val="auto"/>
                <w:w w:val="90"/>
              </w:rPr>
              <w:t xml:space="preserve">No </w:t>
            </w:r>
            <w:r>
              <w:rPr>
                <w:rFonts w:ascii="MS PGothic" w:cs="MS PGothic" w:eastAsia="MS PGothic" w:hAnsi="MS PGothic"/>
                <w:sz w:val="18"/>
                <w:szCs w:val="18"/>
                <w:color w:val="auto"/>
                <w:w w:val="90"/>
              </w:rPr>
              <w:t>☐</w:t>
            </w:r>
          </w:p>
        </w:tc>
      </w:tr>
      <w:tr>
        <w:trPr>
          <w:trHeight w:val="283"/>
        </w:trPr>
        <w:tc>
          <w:tcPr>
            <w:tcW w:w="2520" w:type="dxa"/>
            <w:vAlign w:val="bottom"/>
          </w:tcPr>
          <w:p>
            <w:pPr>
              <w:spacing w:after="0"/>
              <w:rPr>
                <w:sz w:val="20"/>
                <w:szCs w:val="20"/>
                <w:color w:val="auto"/>
              </w:rPr>
            </w:pPr>
            <w:r>
              <w:rPr>
                <w:rFonts w:ascii="Arial" w:cs="Arial" w:eastAsia="Arial" w:hAnsi="Arial"/>
                <w:sz w:val="14"/>
                <w:szCs w:val="14"/>
                <w:color w:val="auto"/>
              </w:rPr>
              <w:t>NBCUniversal Media, LLC</w:t>
            </w:r>
          </w:p>
        </w:tc>
        <w:tc>
          <w:tcPr>
            <w:tcW w:w="1160" w:type="dxa"/>
            <w:vAlign w:val="bottom"/>
          </w:tcPr>
          <w:p>
            <w:pPr>
              <w:ind w:left="900"/>
              <w:spacing w:after="0"/>
              <w:rPr>
                <w:sz w:val="20"/>
                <w:szCs w:val="20"/>
                <w:color w:val="auto"/>
              </w:rPr>
            </w:pPr>
            <w:r>
              <w:rPr>
                <w:rFonts w:ascii="Arial" w:cs="Arial" w:eastAsia="Arial" w:hAnsi="Arial"/>
                <w:sz w:val="14"/>
                <w:szCs w:val="14"/>
                <w:color w:val="auto"/>
                <w:w w:val="99"/>
              </w:rPr>
              <w:t>Yes</w:t>
            </w:r>
          </w:p>
        </w:tc>
        <w:tc>
          <w:tcPr>
            <w:tcW w:w="6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400"/>
              <w:spacing w:after="0" w:line="207" w:lineRule="exact"/>
              <w:rPr>
                <w:sz w:val="20"/>
                <w:szCs w:val="20"/>
                <w:color w:val="auto"/>
              </w:rPr>
            </w:pPr>
            <w:r>
              <w:rPr>
                <w:rFonts w:ascii="Arial" w:cs="Arial" w:eastAsia="Arial" w:hAnsi="Arial"/>
                <w:sz w:val="14"/>
                <w:szCs w:val="14"/>
                <w:color w:val="auto"/>
                <w:w w:val="90"/>
              </w:rPr>
              <w:t xml:space="preserve">No </w:t>
            </w:r>
            <w:r>
              <w:rPr>
                <w:rFonts w:ascii="MS PGothic" w:cs="MS PGothic" w:eastAsia="MS PGothic" w:hAnsi="MS PGothic"/>
                <w:sz w:val="18"/>
                <w:szCs w:val="18"/>
                <w:color w:val="auto"/>
                <w:w w:val="90"/>
              </w:rPr>
              <w:t>☐</w:t>
            </w:r>
          </w:p>
        </w:tc>
      </w:tr>
    </w:tbl>
    <w:p>
      <w:pPr>
        <w:spacing w:after="0" w:line="15" w:lineRule="exact"/>
        <w:rPr>
          <w:sz w:val="24"/>
          <w:szCs w:val="24"/>
          <w:color w:val="auto"/>
        </w:rPr>
      </w:pPr>
    </w:p>
    <w:p>
      <w:pPr>
        <w:ind w:right="20"/>
        <w:spacing w:after="0" w:line="35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65" w:lineRule="exact"/>
        <w:rPr>
          <w:sz w:val="24"/>
          <w:szCs w:val="24"/>
          <w:color w:val="auto"/>
        </w:rPr>
      </w:pPr>
    </w:p>
    <w:tbl>
      <w:tblPr>
        <w:tblLayout w:type="fixed"/>
        <w:tblInd w:w="3120" w:type="dxa"/>
        <w:tblCellMar>
          <w:top w:w="0" w:type="dxa"/>
          <w:left w:w="0" w:type="dxa"/>
          <w:bottom w:w="0" w:type="dxa"/>
          <w:right w:w="0" w:type="dxa"/>
        </w:tblCellMar>
      </w:tblPr>
      <w:tr>
        <w:trPr>
          <w:trHeight w:val="270"/>
        </w:trPr>
        <w:tc>
          <w:tcPr>
            <w:tcW w:w="2520" w:type="dxa"/>
            <w:vAlign w:val="bottom"/>
          </w:tcPr>
          <w:p>
            <w:pPr>
              <w:spacing w:after="0"/>
              <w:rPr>
                <w:sz w:val="20"/>
                <w:szCs w:val="20"/>
                <w:color w:val="auto"/>
              </w:rPr>
            </w:pPr>
            <w:r>
              <w:rPr>
                <w:rFonts w:ascii="Arial" w:cs="Arial" w:eastAsia="Arial" w:hAnsi="Arial"/>
                <w:sz w:val="14"/>
                <w:szCs w:val="14"/>
                <w:color w:val="auto"/>
              </w:rPr>
              <w:t>Comcast Corporation</w:t>
            </w:r>
          </w:p>
        </w:tc>
        <w:tc>
          <w:tcPr>
            <w:tcW w:w="1160" w:type="dxa"/>
            <w:vAlign w:val="bottom"/>
          </w:tcPr>
          <w:p>
            <w:pPr>
              <w:ind w:left="900"/>
              <w:spacing w:after="0"/>
              <w:rPr>
                <w:sz w:val="20"/>
                <w:szCs w:val="20"/>
                <w:color w:val="auto"/>
              </w:rPr>
            </w:pPr>
            <w:r>
              <w:rPr>
                <w:rFonts w:ascii="Arial" w:cs="Arial" w:eastAsia="Arial" w:hAnsi="Arial"/>
                <w:sz w:val="14"/>
                <w:szCs w:val="14"/>
                <w:color w:val="auto"/>
                <w:w w:val="99"/>
              </w:rPr>
              <w:t>Yes</w:t>
            </w:r>
          </w:p>
        </w:tc>
        <w:tc>
          <w:tcPr>
            <w:tcW w:w="6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400"/>
              <w:spacing w:after="0" w:line="207" w:lineRule="exact"/>
              <w:rPr>
                <w:sz w:val="20"/>
                <w:szCs w:val="20"/>
                <w:color w:val="auto"/>
              </w:rPr>
            </w:pPr>
            <w:r>
              <w:rPr>
                <w:rFonts w:ascii="Arial" w:cs="Arial" w:eastAsia="Arial" w:hAnsi="Arial"/>
                <w:sz w:val="14"/>
                <w:szCs w:val="14"/>
                <w:color w:val="auto"/>
                <w:w w:val="90"/>
              </w:rPr>
              <w:t xml:space="preserve">No </w:t>
            </w:r>
            <w:r>
              <w:rPr>
                <w:rFonts w:ascii="MS PGothic" w:cs="MS PGothic" w:eastAsia="MS PGothic" w:hAnsi="MS PGothic"/>
                <w:sz w:val="18"/>
                <w:szCs w:val="18"/>
                <w:color w:val="auto"/>
                <w:w w:val="90"/>
              </w:rPr>
              <w:t>☐</w:t>
            </w:r>
          </w:p>
        </w:tc>
      </w:tr>
      <w:tr>
        <w:trPr>
          <w:trHeight w:val="283"/>
        </w:trPr>
        <w:tc>
          <w:tcPr>
            <w:tcW w:w="2520" w:type="dxa"/>
            <w:vAlign w:val="bottom"/>
          </w:tcPr>
          <w:p>
            <w:pPr>
              <w:spacing w:after="0"/>
              <w:rPr>
                <w:sz w:val="20"/>
                <w:szCs w:val="20"/>
                <w:color w:val="auto"/>
              </w:rPr>
            </w:pPr>
            <w:r>
              <w:rPr>
                <w:rFonts w:ascii="Arial" w:cs="Arial" w:eastAsia="Arial" w:hAnsi="Arial"/>
                <w:sz w:val="14"/>
                <w:szCs w:val="14"/>
                <w:color w:val="auto"/>
              </w:rPr>
              <w:t>NBCUniversal Media, LLC</w:t>
            </w:r>
          </w:p>
        </w:tc>
        <w:tc>
          <w:tcPr>
            <w:tcW w:w="1160" w:type="dxa"/>
            <w:vAlign w:val="bottom"/>
          </w:tcPr>
          <w:p>
            <w:pPr>
              <w:ind w:left="900"/>
              <w:spacing w:after="0"/>
              <w:rPr>
                <w:sz w:val="20"/>
                <w:szCs w:val="20"/>
                <w:color w:val="auto"/>
              </w:rPr>
            </w:pPr>
            <w:r>
              <w:rPr>
                <w:rFonts w:ascii="Arial" w:cs="Arial" w:eastAsia="Arial" w:hAnsi="Arial"/>
                <w:sz w:val="14"/>
                <w:szCs w:val="14"/>
                <w:color w:val="auto"/>
                <w:w w:val="99"/>
              </w:rPr>
              <w:t>Yes</w:t>
            </w:r>
          </w:p>
        </w:tc>
        <w:tc>
          <w:tcPr>
            <w:tcW w:w="6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400"/>
              <w:spacing w:after="0" w:line="207" w:lineRule="exact"/>
              <w:rPr>
                <w:sz w:val="20"/>
                <w:szCs w:val="20"/>
                <w:color w:val="auto"/>
              </w:rPr>
            </w:pPr>
            <w:r>
              <w:rPr>
                <w:rFonts w:ascii="Arial" w:cs="Arial" w:eastAsia="Arial" w:hAnsi="Arial"/>
                <w:sz w:val="14"/>
                <w:szCs w:val="14"/>
                <w:color w:val="auto"/>
                <w:w w:val="90"/>
              </w:rPr>
              <w:t xml:space="preserve">No </w:t>
            </w:r>
            <w:r>
              <w:rPr>
                <w:rFonts w:ascii="MS PGothic" w:cs="MS PGothic" w:eastAsia="MS PGothic" w:hAnsi="MS PGothic"/>
                <w:sz w:val="18"/>
                <w:szCs w:val="18"/>
                <w:color w:val="auto"/>
                <w:w w:val="90"/>
              </w:rPr>
              <w:t>☐</w:t>
            </w:r>
          </w:p>
        </w:tc>
      </w:tr>
    </w:tbl>
    <w:p>
      <w:pPr>
        <w:spacing w:after="0" w:line="15" w:lineRule="exact"/>
        <w:rPr>
          <w:sz w:val="24"/>
          <w:szCs w:val="24"/>
          <w:color w:val="auto"/>
        </w:rPr>
      </w:pPr>
    </w:p>
    <w:p>
      <w:pPr>
        <w:spacing w:after="0" w:line="3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5" w:lineRule="exact"/>
        <w:rPr>
          <w:sz w:val="24"/>
          <w:szCs w:val="24"/>
          <w:color w:val="auto"/>
        </w:rPr>
      </w:pPr>
    </w:p>
    <w:p>
      <w:pPr>
        <w:ind w:left="40"/>
        <w:spacing w:after="0" w:line="185" w:lineRule="exact"/>
        <w:tabs>
          <w:tab w:leader="none" w:pos="1940" w:val="left"/>
          <w:tab w:leader="none" w:pos="3520" w:val="left"/>
          <w:tab w:leader="none" w:pos="5000" w:val="left"/>
          <w:tab w:leader="none" w:pos="6780" w:val="left"/>
          <w:tab w:leader="none" w:pos="8900" w:val="left"/>
          <w:tab w:leader="none" w:pos="11020" w:val="left"/>
        </w:tabs>
        <w:rPr>
          <w:sz w:val="20"/>
          <w:szCs w:val="20"/>
          <w:color w:val="auto"/>
        </w:rPr>
      </w:pPr>
      <w:r>
        <w:rPr>
          <w:rFonts w:ascii="Arial" w:cs="Arial" w:eastAsia="Arial" w:hAnsi="Arial"/>
          <w:sz w:val="14"/>
          <w:szCs w:val="14"/>
          <w:color w:val="auto"/>
        </w:rPr>
        <w:t>Comcast Corporation</w:t>
      </w:r>
      <w:r>
        <w:rPr>
          <w:sz w:val="20"/>
          <w:szCs w:val="20"/>
          <w:color w:val="auto"/>
        </w:rPr>
        <w:tab/>
      </w: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4"/>
          <w:szCs w:val="14"/>
          <w:color w:val="auto"/>
        </w:rPr>
        <w:t>Accelerated filer</w:t>
      </w:r>
      <w:r>
        <w:rPr>
          <w:rFonts w:ascii="MS PGothic" w:cs="MS PGothic" w:eastAsia="MS PGothic" w:hAnsi="MS PGothic"/>
          <w:sz w:val="18"/>
          <w:szCs w:val="18"/>
          <w:color w:val="auto"/>
        </w:rPr>
        <w:tab/>
        <w:t xml:space="preserve">☐ </w:t>
      </w:r>
      <w:r>
        <w:rPr>
          <w:rFonts w:ascii="Arial" w:cs="Arial" w:eastAsia="Arial" w:hAnsi="Arial"/>
          <w:sz w:val="14"/>
          <w:szCs w:val="14"/>
          <w:color w:val="auto"/>
        </w:rPr>
        <w:t>Non-accelerated filer</w:t>
      </w:r>
      <w:r>
        <w:rPr>
          <w:rFonts w:ascii="MS PGothic" w:cs="MS PGothic" w:eastAsia="MS PGothic" w:hAnsi="MS PGothic"/>
          <w:sz w:val="18"/>
          <w:szCs w:val="18"/>
          <w:color w:val="auto"/>
        </w:rPr>
        <w:tab/>
        <w:t xml:space="preserve">☐ </w:t>
      </w:r>
      <w:r>
        <w:rPr>
          <w:rFonts w:ascii="Arial" w:cs="Arial" w:eastAsia="Arial" w:hAnsi="Arial"/>
          <w:sz w:val="14"/>
          <w:szCs w:val="14"/>
          <w:color w:val="auto"/>
        </w:rPr>
        <w:t>Smaller reporting company</w:t>
      </w:r>
      <w:r>
        <w:rPr>
          <w:rFonts w:ascii="MS PGothic" w:cs="MS PGothic" w:eastAsia="MS PGothic" w:hAnsi="MS PGothic"/>
          <w:sz w:val="18"/>
          <w:szCs w:val="18"/>
          <w:color w:val="auto"/>
        </w:rPr>
        <w:tab/>
        <w:t xml:space="preserve">☐ </w:t>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99" w:lineRule="exact"/>
        <w:rPr>
          <w:sz w:val="24"/>
          <w:szCs w:val="24"/>
          <w:color w:val="auto"/>
        </w:rPr>
      </w:pPr>
    </w:p>
    <w:p>
      <w:pPr>
        <w:ind w:left="40"/>
        <w:spacing w:after="0" w:line="185" w:lineRule="exact"/>
        <w:tabs>
          <w:tab w:leader="none" w:pos="1940" w:val="left"/>
          <w:tab w:leader="none" w:pos="3520" w:val="left"/>
          <w:tab w:leader="none" w:pos="5000" w:val="left"/>
          <w:tab w:leader="none" w:pos="6780" w:val="left"/>
          <w:tab w:leader="none" w:pos="8900" w:val="left"/>
          <w:tab w:leader="none" w:pos="11020" w:val="left"/>
        </w:tabs>
        <w:rPr>
          <w:sz w:val="20"/>
          <w:szCs w:val="20"/>
          <w:color w:val="auto"/>
        </w:rPr>
      </w:pPr>
      <w:r>
        <w:rPr>
          <w:rFonts w:ascii="Arial" w:cs="Arial" w:eastAsia="Arial" w:hAnsi="Arial"/>
          <w:sz w:val="14"/>
          <w:szCs w:val="14"/>
          <w:color w:val="auto"/>
        </w:rPr>
        <w:t>NBCUniversal Media, LLC</w:t>
      </w:r>
      <w:r>
        <w:rPr>
          <w:sz w:val="20"/>
          <w:szCs w:val="20"/>
          <w:color w:val="auto"/>
        </w:rPr>
        <w:tab/>
      </w: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4"/>
          <w:szCs w:val="14"/>
          <w:color w:val="auto"/>
        </w:rPr>
        <w:t>Accelerated filer</w:t>
      </w:r>
      <w:r>
        <w:rPr>
          <w:rFonts w:ascii="MS PGothic" w:cs="MS PGothic" w:eastAsia="MS PGothic" w:hAnsi="MS PGothic"/>
          <w:sz w:val="18"/>
          <w:szCs w:val="18"/>
          <w:color w:val="auto"/>
        </w:rPr>
        <w:tab/>
        <w:t xml:space="preserve">☐ </w:t>
      </w:r>
      <w:r>
        <w:rPr>
          <w:rFonts w:ascii="Arial" w:cs="Arial" w:eastAsia="Arial" w:hAnsi="Arial"/>
          <w:sz w:val="14"/>
          <w:szCs w:val="14"/>
          <w:color w:val="auto"/>
        </w:rPr>
        <w:t>Non-accelerated filer</w:t>
      </w:r>
      <w:r>
        <w:rPr>
          <w:rFonts w:ascii="MS PGothic" w:cs="MS PGothic" w:eastAsia="MS PGothic" w:hAnsi="MS PGothic"/>
          <w:sz w:val="18"/>
          <w:szCs w:val="18"/>
          <w:color w:val="auto"/>
        </w:rPr>
        <w:tab/>
        <w:t xml:space="preserve">☒ </w:t>
      </w:r>
      <w:r>
        <w:rPr>
          <w:rFonts w:ascii="Arial" w:cs="Arial" w:eastAsia="Arial" w:hAnsi="Arial"/>
          <w:sz w:val="14"/>
          <w:szCs w:val="14"/>
          <w:color w:val="auto"/>
        </w:rPr>
        <w:t>Smaller reporting company</w:t>
      </w:r>
      <w:r>
        <w:rPr>
          <w:rFonts w:ascii="MS PGothic" w:cs="MS PGothic" w:eastAsia="MS PGothic" w:hAnsi="MS PGothic"/>
          <w:sz w:val="18"/>
          <w:szCs w:val="18"/>
          <w:color w:val="auto"/>
        </w:rPr>
        <w:tab/>
        <w:t xml:space="preserve">☐ </w:t>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86" w:lineRule="exact"/>
        <w:rPr>
          <w:sz w:val="24"/>
          <w:szCs w:val="24"/>
          <w:color w:val="auto"/>
        </w:rPr>
      </w:pPr>
    </w:p>
    <w:p>
      <w:pPr>
        <w:spacing w:after="0" w:line="255" w:lineRule="auto"/>
        <w:rPr>
          <w:sz w:val="20"/>
          <w:szCs w:val="20"/>
          <w:color w:val="auto"/>
        </w:rPr>
      </w:pPr>
      <w:r>
        <w:rPr>
          <w:rFonts w:ascii="Arial" w:cs="Arial" w:eastAsia="Arial" w:hAnsi="Arial"/>
          <w:sz w:val="14"/>
          <w:szCs w:val="14"/>
          <w:color w:val="auto"/>
        </w:rPr>
        <w:t>If an emerging growth company, indicate by check mark whether the registrant has elected not to use the extended transition period for complying with any new or revised financial accounting standards provided pursuant to Section 13(a) of the Exchange Act.</w:t>
      </w:r>
    </w:p>
    <w:p>
      <w:pPr>
        <w:spacing w:after="0" w:line="104" w:lineRule="exact"/>
        <w:rPr>
          <w:sz w:val="24"/>
          <w:szCs w:val="24"/>
          <w:color w:val="auto"/>
        </w:rPr>
      </w:pPr>
    </w:p>
    <w:tbl>
      <w:tblPr>
        <w:tblLayout w:type="fixed"/>
        <w:tblInd w:w="3620" w:type="dxa"/>
        <w:tblCellMar>
          <w:top w:w="0" w:type="dxa"/>
          <w:left w:w="0" w:type="dxa"/>
          <w:bottom w:w="0" w:type="dxa"/>
          <w:right w:w="0" w:type="dxa"/>
        </w:tblCellMar>
      </w:tblPr>
      <w:tr>
        <w:trPr>
          <w:trHeight w:val="270"/>
        </w:trPr>
        <w:tc>
          <w:tcPr>
            <w:tcW w:w="2800" w:type="dxa"/>
            <w:vAlign w:val="bottom"/>
          </w:tcPr>
          <w:p>
            <w:pPr>
              <w:spacing w:after="0"/>
              <w:rPr>
                <w:sz w:val="20"/>
                <w:szCs w:val="20"/>
                <w:color w:val="auto"/>
              </w:rPr>
            </w:pPr>
            <w:r>
              <w:rPr>
                <w:rFonts w:ascii="Arial" w:cs="Arial" w:eastAsia="Arial" w:hAnsi="Arial"/>
                <w:sz w:val="14"/>
                <w:szCs w:val="14"/>
                <w:color w:val="auto"/>
              </w:rPr>
              <w:t>Comcast Corporation</w:t>
            </w:r>
          </w:p>
        </w:tc>
        <w:tc>
          <w:tcPr>
            <w:tcW w:w="1340" w:type="dxa"/>
            <w:vAlign w:val="bottom"/>
          </w:tcPr>
          <w:p>
            <w:pPr>
              <w:ind w:left="1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800" w:type="dxa"/>
            <w:vAlign w:val="bottom"/>
          </w:tcPr>
          <w:p>
            <w:pPr>
              <w:spacing w:after="0"/>
              <w:rPr>
                <w:sz w:val="20"/>
                <w:szCs w:val="20"/>
                <w:color w:val="auto"/>
              </w:rPr>
            </w:pPr>
            <w:r>
              <w:rPr>
                <w:rFonts w:ascii="Arial" w:cs="Arial" w:eastAsia="Arial" w:hAnsi="Arial"/>
                <w:sz w:val="14"/>
                <w:szCs w:val="14"/>
                <w:color w:val="auto"/>
              </w:rPr>
              <w:t>NBCUniversal Media, LLC</w:t>
            </w:r>
          </w:p>
        </w:tc>
        <w:tc>
          <w:tcPr>
            <w:tcW w:w="1340" w:type="dxa"/>
            <w:vAlign w:val="bottom"/>
          </w:tcPr>
          <w:p>
            <w:pPr>
              <w:ind w:left="1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sectPr>
          <w:pgSz w:w="11900" w:h="16838" w:orient="portrait"/>
          <w:cols w:equalWidth="0" w:num="1">
            <w:col w:w="11420"/>
          </w:cols>
          <w:pgMar w:left="240" w:top="498" w:right="239" w:bottom="1440" w:gutter="0" w:footer="0" w:header="0"/>
        </w:sectPr>
      </w:pPr>
    </w:p>
    <w:p>
      <w:pPr>
        <w:spacing w:after="0" w:line="190" w:lineRule="exact"/>
        <w:rPr>
          <w:sz w:val="24"/>
          <w:szCs w:val="24"/>
          <w:color w:val="auto"/>
        </w:rPr>
      </w:pPr>
    </w:p>
    <w:p>
      <w:pPr>
        <w:ind w:left="3180"/>
        <w:spacing w:after="0"/>
        <w:tabs>
          <w:tab w:leader="none" w:pos="6260" w:val="left"/>
        </w:tabs>
        <w:rPr>
          <w:sz w:val="20"/>
          <w:szCs w:val="20"/>
          <w:color w:val="auto"/>
        </w:rPr>
      </w:pPr>
      <w:r>
        <w:rPr>
          <w:rFonts w:ascii="Arial" w:cs="Arial" w:eastAsia="Arial" w:hAnsi="Arial"/>
          <w:sz w:val="14"/>
          <w:szCs w:val="14"/>
          <w:color w:val="auto"/>
        </w:rPr>
        <w:t>Comcast Corporation</w:t>
      </w:r>
      <w:r>
        <w:rPr>
          <w:sz w:val="20"/>
          <w:szCs w:val="20"/>
          <w:color w:val="auto"/>
        </w:rPr>
        <w:tab/>
      </w:r>
      <w:r>
        <w:rPr>
          <w:rFonts w:ascii="Arial" w:cs="Arial" w:eastAsia="Arial" w:hAnsi="Arial"/>
          <w:sz w:val="11"/>
          <w:szCs w:val="11"/>
          <w:color w:val="auto"/>
        </w:rPr>
        <w:t>Yes</w:t>
      </w:r>
    </w:p>
    <w:p>
      <w:pPr>
        <w:spacing w:after="0" w:line="109" w:lineRule="exact"/>
        <w:rPr>
          <w:sz w:val="24"/>
          <w:szCs w:val="24"/>
          <w:color w:val="auto"/>
        </w:rPr>
      </w:pPr>
    </w:p>
    <w:p>
      <w:pPr>
        <w:ind w:left="3180"/>
        <w:spacing w:after="0"/>
        <w:tabs>
          <w:tab w:leader="none" w:pos="6260" w:val="left"/>
        </w:tabs>
        <w:rPr>
          <w:sz w:val="20"/>
          <w:szCs w:val="20"/>
          <w:color w:val="auto"/>
        </w:rPr>
      </w:pPr>
      <w:r>
        <w:rPr>
          <w:rFonts w:ascii="Arial" w:cs="Arial" w:eastAsia="Arial" w:hAnsi="Arial"/>
          <w:sz w:val="14"/>
          <w:szCs w:val="14"/>
          <w:color w:val="auto"/>
        </w:rPr>
        <w:t>NBCUniversal Media, LLC</w:t>
      </w:r>
      <w:r>
        <w:rPr>
          <w:sz w:val="20"/>
          <w:szCs w:val="20"/>
          <w:color w:val="auto"/>
        </w:rPr>
        <w:tab/>
      </w:r>
      <w:r>
        <w:rPr>
          <w:rFonts w:ascii="Arial" w:cs="Arial" w:eastAsia="Arial" w:hAnsi="Arial"/>
          <w:sz w:val="11"/>
          <w:szCs w:val="11"/>
          <w:color w:val="auto"/>
        </w:rPr>
        <w:t>Yes</w:t>
      </w:r>
    </w:p>
    <w:p>
      <w:pPr>
        <w:spacing w:after="0" w:line="82" w:lineRule="exact"/>
        <w:rPr>
          <w:sz w:val="24"/>
          <w:szCs w:val="24"/>
          <w:color w:val="auto"/>
        </w:rPr>
      </w:pPr>
    </w:p>
    <w:p>
      <w:pPr>
        <w:spacing w:after="0"/>
        <w:rPr>
          <w:sz w:val="20"/>
          <w:szCs w:val="20"/>
          <w:color w:val="auto"/>
        </w:rPr>
      </w:pPr>
      <w:r>
        <w:rPr>
          <w:rFonts w:ascii="Arial" w:cs="Arial" w:eastAsia="Arial" w:hAnsi="Arial"/>
          <w:sz w:val="12"/>
          <w:szCs w:val="12"/>
          <w:color w:val="auto"/>
        </w:rPr>
        <w:t>Indicate the number of shares outstanding of each of the registrant’s classes of stock, as of the latest practicable date:</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185" w:lineRule="exact"/>
        <w:tabs>
          <w:tab w:leader="none" w:pos="580" w:val="left"/>
          <w:tab w:leader="none" w:pos="11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6"/>
          <w:szCs w:val="16"/>
          <w:color w:val="auto"/>
        </w:rPr>
        <w:t>☒</w:t>
      </w:r>
    </w:p>
    <w:p>
      <w:pPr>
        <w:spacing w:after="0" w:line="99" w:lineRule="exact"/>
        <w:rPr>
          <w:sz w:val="24"/>
          <w:szCs w:val="24"/>
          <w:color w:val="auto"/>
        </w:rPr>
      </w:pPr>
    </w:p>
    <w:p>
      <w:pPr>
        <w:spacing w:after="0" w:line="185" w:lineRule="exact"/>
        <w:tabs>
          <w:tab w:leader="none" w:pos="580" w:val="left"/>
          <w:tab w:leader="none" w:pos="11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6"/>
          <w:szCs w:val="16"/>
          <w:color w:val="auto"/>
        </w:rPr>
        <w:t>☒</w:t>
      </w:r>
    </w:p>
    <w:p>
      <w:pPr>
        <w:spacing w:after="0" w:line="373" w:lineRule="exact"/>
        <w:rPr>
          <w:sz w:val="24"/>
          <w:szCs w:val="24"/>
          <w:color w:val="auto"/>
        </w:rPr>
      </w:pPr>
    </w:p>
    <w:p>
      <w:pPr>
        <w:sectPr>
          <w:pgSz w:w="11900" w:h="16838" w:orient="portrait"/>
          <w:cols w:equalWidth="0" w:num="2">
            <w:col w:w="6720" w:space="80"/>
            <w:col w:w="4620"/>
          </w:cols>
          <w:pgMar w:left="240" w:top="498" w:right="239" w:bottom="1440" w:gutter="0" w:footer="0" w:header="0"/>
          <w:type w:val="continuous"/>
        </w:sectPr>
      </w:pPr>
    </w:p>
    <w:p>
      <w:pPr>
        <w:spacing w:after="0"/>
        <w:rPr>
          <w:sz w:val="20"/>
          <w:szCs w:val="20"/>
          <w:color w:val="auto"/>
        </w:rPr>
      </w:pPr>
      <w:r>
        <w:rPr>
          <w:rFonts w:ascii="Arial" w:cs="Arial" w:eastAsia="Arial" w:hAnsi="Arial"/>
          <w:sz w:val="14"/>
          <w:szCs w:val="14"/>
          <w:color w:val="auto"/>
        </w:rPr>
        <w:t>As of September 30, 2019, there were 4,539,805,879 shares of Comcast Corporation Class A common stock and 9,444,375 shares of Class B common stock outstanding.</w:t>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Not applicable for NBCUniversal Media, LLC.</w:t>
      </w:r>
    </w:p>
    <w:p>
      <w:pPr>
        <w:spacing w:after="0" w:line="2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NBCUniversal Media, LLC meets the conditions set forth in General Instruction H(1)(a) and (b) of Form 10-Q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193675</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107950</wp:posOffset>
            </wp:positionV>
            <wp:extent cx="7126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40" w:type="dxa"/>
            <w:vAlign w:val="bottom"/>
          </w:tcPr>
          <w:p>
            <w:pPr>
              <w:jc w:val="right"/>
              <w:ind w:right="172"/>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88"/>
        </w:trPr>
        <w:tc>
          <w:tcPr>
            <w:tcW w:w="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9340" w:type="dxa"/>
            <w:vAlign w:val="bottom"/>
            <w:gridSpan w:val="19"/>
          </w:tcPr>
          <w:p>
            <w:pPr>
              <w:spacing w:after="0" w:line="202"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1.</w:t>
            </w:r>
          </w:p>
        </w:tc>
        <w:tc>
          <w:tcPr>
            <w:tcW w:w="31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Comcast Corporation Financial Statements</w:t>
              </w:r>
            </w:hyperlink>
          </w:p>
        </w:tc>
        <w:tc>
          <w:tcPr>
            <w:tcW w:w="4760" w:type="dxa"/>
            <w:vAlign w:val="bottom"/>
            <w:gridSpan w:val="9"/>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2C2C2C"/>
              </w:rPr>
            </w:pPr>
            <w:hyperlink w:anchor="page4">
              <w:r>
                <w:rPr>
                  <w:rFonts w:ascii="Arial" w:cs="Arial" w:eastAsia="Arial" w:hAnsi="Arial"/>
                  <w:sz w:val="18"/>
                  <w:szCs w:val="18"/>
                  <w:color w:val="2C2C2C"/>
                </w:rPr>
                <w:t>1</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 of Income (Unaudited)</w:t>
              </w:r>
            </w:hyperlink>
          </w:p>
        </w:tc>
        <w:tc>
          <w:tcPr>
            <w:tcW w:w="3600" w:type="dxa"/>
            <w:vAlign w:val="bottom"/>
            <w:gridSpan w:val="7"/>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2C2C2C"/>
              </w:rPr>
            </w:pPr>
            <w:hyperlink w:anchor="page4">
              <w:r>
                <w:rPr>
                  <w:rFonts w:ascii="Arial" w:cs="Arial" w:eastAsia="Arial" w:hAnsi="Arial"/>
                  <w:sz w:val="18"/>
                  <w:szCs w:val="18"/>
                  <w:color w:val="2C2C2C"/>
                </w:rPr>
                <w:t>1</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6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Comprehensive Income (Unaudited)</w:t>
              </w:r>
            </w:hyperlink>
          </w:p>
        </w:tc>
        <w:tc>
          <w:tcPr>
            <w:tcW w:w="2040" w:type="dxa"/>
            <w:vAlign w:val="bottom"/>
          </w:tcPr>
          <w:p>
            <w:pPr>
              <w:jc w:val="right"/>
              <w:spacing w:after="0"/>
              <w:rPr>
                <w:rFonts w:ascii="Arial" w:cs="Arial" w:eastAsia="Arial" w:hAnsi="Arial"/>
                <w:sz w:val="18"/>
                <w:szCs w:val="18"/>
                <w:color w:val="2C2C2C"/>
              </w:rPr>
            </w:pPr>
            <w:hyperlink w:anchor="page5">
              <w:r>
                <w:rPr>
                  <w:rFonts w:ascii="Arial" w:cs="Arial" w:eastAsia="Arial" w:hAnsi="Arial"/>
                  <w:sz w:val="18"/>
                  <w:szCs w:val="18"/>
                  <w:color w:val="2C2C2C"/>
                </w:rPr>
                <w:t>2</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5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 of Cash Flows (Unaudited)</w:t>
              </w:r>
            </w:hyperlink>
          </w:p>
        </w:tc>
        <w:tc>
          <w:tcPr>
            <w:tcW w:w="860" w:type="dxa"/>
            <w:vAlign w:val="bottom"/>
            <w:tcBorders>
              <w:top w:val="single" w:sz="8" w:color="0000EE"/>
            </w:tcBorders>
            <w:gridSpan w:val="3"/>
          </w:tcPr>
          <w:p>
            <w:pPr>
              <w:spacing w:after="0"/>
              <w:rPr>
                <w:sz w:val="21"/>
                <w:szCs w:val="21"/>
                <w:color w:val="auto"/>
              </w:rPr>
            </w:pPr>
          </w:p>
        </w:tc>
        <w:tc>
          <w:tcPr>
            <w:tcW w:w="2440" w:type="dxa"/>
            <w:vAlign w:val="bottom"/>
            <w:gridSpan w:val="2"/>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2C2C2C"/>
              </w:rPr>
            </w:pPr>
            <w:hyperlink w:anchor="page6">
              <w:r>
                <w:rPr>
                  <w:rFonts w:ascii="Arial" w:cs="Arial" w:eastAsia="Arial" w:hAnsi="Arial"/>
                  <w:sz w:val="18"/>
                  <w:szCs w:val="18"/>
                  <w:color w:val="2C2C2C"/>
                </w:rPr>
                <w:t>3</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Balance Sheet (Unaudited)</w:t>
              </w:r>
            </w:hyperlink>
          </w:p>
        </w:tc>
        <w:tc>
          <w:tcPr>
            <w:tcW w:w="4080" w:type="dxa"/>
            <w:vAlign w:val="bottom"/>
            <w:gridSpan w:val="8"/>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2C2C2C"/>
              </w:rPr>
            </w:pPr>
            <w:hyperlink w:anchor="page7">
              <w:r>
                <w:rPr>
                  <w:rFonts w:ascii="Arial" w:cs="Arial" w:eastAsia="Arial" w:hAnsi="Arial"/>
                  <w:sz w:val="18"/>
                  <w:szCs w:val="18"/>
                  <w:color w:val="2C2C2C"/>
                </w:rPr>
                <w:t>4</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6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 of Changes in Equity (Unaudited)</w:t>
              </w:r>
            </w:hyperlink>
          </w:p>
        </w:tc>
        <w:tc>
          <w:tcPr>
            <w:tcW w:w="2040" w:type="dxa"/>
            <w:vAlign w:val="bottom"/>
          </w:tcPr>
          <w:p>
            <w:pPr>
              <w:jc w:val="right"/>
              <w:spacing w:after="0"/>
              <w:rPr>
                <w:rFonts w:ascii="Arial" w:cs="Arial" w:eastAsia="Arial" w:hAnsi="Arial"/>
                <w:sz w:val="18"/>
                <w:szCs w:val="18"/>
                <w:color w:val="2C2C2C"/>
              </w:rPr>
            </w:pPr>
            <w:hyperlink w:anchor="page8">
              <w:r>
                <w:rPr>
                  <w:rFonts w:ascii="Arial" w:cs="Arial" w:eastAsia="Arial" w:hAnsi="Arial"/>
                  <w:sz w:val="18"/>
                  <w:szCs w:val="18"/>
                  <w:color w:val="2C2C2C"/>
                </w:rPr>
                <w:t>5</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40" w:type="dxa"/>
            <w:vAlign w:val="bottom"/>
            <w:tcBorders>
              <w:top w:val="single" w:sz="8" w:color="0000EE"/>
            </w:tcBorders>
            <w:gridSpan w:val="14"/>
          </w:tcPr>
          <w:p>
            <w:pPr>
              <w:spacing w:after="0"/>
              <w:rPr>
                <w:rFonts w:ascii="Arial" w:cs="Arial" w:eastAsia="Arial" w:hAnsi="Arial"/>
                <w:sz w:val="18"/>
                <w:szCs w:val="18"/>
                <w:color w:val="0000EE"/>
                <w:w w:val="91"/>
              </w:rPr>
            </w:pPr>
            <w:hyperlink w:anchor="page9">
              <w:r>
                <w:rPr>
                  <w:rFonts w:ascii="Arial" w:cs="Arial" w:eastAsia="Arial" w:hAnsi="Arial"/>
                  <w:sz w:val="18"/>
                  <w:szCs w:val="18"/>
                  <w:color w:val="0000EE"/>
                  <w:w w:val="91"/>
                </w:rPr>
                <w:t>Notes to Condensed Consolidated Financial Statements (Unaudited)</w:t>
              </w:r>
            </w:hyperlink>
          </w:p>
        </w:tc>
        <w:tc>
          <w:tcPr>
            <w:tcW w:w="2820" w:type="dxa"/>
            <w:vAlign w:val="bottom"/>
            <w:gridSpan w:val="3"/>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2C2C2C"/>
              </w:rPr>
            </w:pPr>
            <w:hyperlink w:anchor="page9">
              <w:r>
                <w:rPr>
                  <w:rFonts w:ascii="Arial" w:cs="Arial" w:eastAsia="Arial" w:hAnsi="Arial"/>
                  <w:sz w:val="18"/>
                  <w:szCs w:val="18"/>
                  <w:color w:val="2C2C2C"/>
                </w:rPr>
                <w:t>6</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Management’s Discussion and Analysis of Financial Condition and Results of Operations</w:t>
              </w:r>
            </w:hyperlink>
          </w:p>
        </w:tc>
        <w:tc>
          <w:tcPr>
            <w:tcW w:w="1400" w:type="dxa"/>
            <w:vAlign w:val="bottom"/>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3.</w:t>
            </w:r>
          </w:p>
        </w:tc>
        <w:tc>
          <w:tcPr>
            <w:tcW w:w="436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Quantitative and Qualitative Disclosures About Market Risk</w:t>
              </w:r>
            </w:hyperlink>
          </w:p>
        </w:tc>
        <w:tc>
          <w:tcPr>
            <w:tcW w:w="3500" w:type="dxa"/>
            <w:vAlign w:val="bottom"/>
            <w:gridSpan w:val="6"/>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47</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50">
              <w:r>
                <w:rPr>
                  <w:rFonts w:ascii="Arial" w:cs="Arial" w:eastAsia="Arial" w:hAnsi="Arial"/>
                  <w:sz w:val="18"/>
                  <w:szCs w:val="18"/>
                  <w:color w:val="0000EE"/>
                  <w:w w:val="88"/>
                </w:rPr>
                <w:t>Controls and Procedures</w:t>
              </w:r>
            </w:hyperlink>
          </w:p>
        </w:tc>
        <w:tc>
          <w:tcPr>
            <w:tcW w:w="6080" w:type="dxa"/>
            <w:vAlign w:val="bottom"/>
            <w:gridSpan w:val="11"/>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47</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9340" w:type="dxa"/>
            <w:vAlign w:val="bottom"/>
            <w:gridSpan w:val="19"/>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PART II. OTHER INFORMATION</w:t>
              </w:r>
            </w:hyperlink>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800" w:type="dxa"/>
            <w:vAlign w:val="bottom"/>
            <w:gridSpan w:val="1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52">
              <w:r>
                <w:rPr>
                  <w:rFonts w:ascii="Arial" w:cs="Arial" w:eastAsia="Arial" w:hAnsi="Arial"/>
                  <w:sz w:val="18"/>
                  <w:szCs w:val="18"/>
                  <w:color w:val="0000EE"/>
                  <w:w w:val="88"/>
                </w:rPr>
                <w:t>Legal Proceedings</w:t>
              </w:r>
            </w:hyperlink>
          </w:p>
        </w:tc>
        <w:tc>
          <w:tcPr>
            <w:tcW w:w="6520" w:type="dxa"/>
            <w:vAlign w:val="bottom"/>
            <w:gridSpan w:val="13"/>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49</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1A.</w:t>
            </w:r>
          </w:p>
        </w:tc>
        <w:tc>
          <w:tcPr>
            <w:tcW w:w="7860" w:type="dxa"/>
            <w:vAlign w:val="bottom"/>
            <w:gridSpan w:val="1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Risk Factors</w:t>
              </w:r>
            </w:hyperlink>
          </w:p>
        </w:tc>
        <w:tc>
          <w:tcPr>
            <w:tcW w:w="204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49</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6.</w:t>
            </w:r>
          </w:p>
        </w:tc>
        <w:tc>
          <w:tcPr>
            <w:tcW w:w="900" w:type="dxa"/>
            <w:vAlign w:val="bottom"/>
            <w:tcBorders>
              <w:top w:val="single" w:sz="8" w:color="0000EE"/>
            </w:tcBorders>
            <w:gridSpan w:val="2"/>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Exhibits</w:t>
              </w:r>
            </w:hyperlink>
          </w:p>
        </w:tc>
        <w:tc>
          <w:tcPr>
            <w:tcW w:w="6960" w:type="dxa"/>
            <w:vAlign w:val="bottom"/>
            <w:gridSpan w:val="15"/>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49</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Borders>
              <w:bottom w:val="single" w:sz="8" w:color="0000EE"/>
            </w:tcBorders>
          </w:tcPr>
          <w:p>
            <w:pPr>
              <w:spacing w:after="0"/>
              <w:rPr>
                <w:rFonts w:ascii="Arial" w:cs="Arial" w:eastAsia="Arial" w:hAnsi="Arial"/>
                <w:sz w:val="18"/>
                <w:szCs w:val="18"/>
                <w:b w:val="1"/>
                <w:bCs w:val="1"/>
                <w:color w:val="0000EE"/>
                <w:w w:val="96"/>
              </w:rPr>
            </w:pPr>
            <w:hyperlink w:anchor="page53">
              <w:r>
                <w:rPr>
                  <w:rFonts w:ascii="Arial" w:cs="Arial" w:eastAsia="Arial" w:hAnsi="Arial"/>
                  <w:sz w:val="18"/>
                  <w:szCs w:val="18"/>
                  <w:b w:val="1"/>
                  <w:bCs w:val="1"/>
                  <w:color w:val="0000EE"/>
                  <w:w w:val="96"/>
                </w:rPr>
                <w:t>SIGNATURES</w:t>
              </w:r>
            </w:hyperlink>
          </w:p>
        </w:tc>
        <w:tc>
          <w:tcPr>
            <w:tcW w:w="320" w:type="dxa"/>
            <w:vAlign w:val="bottom"/>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50</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9340" w:type="dxa"/>
            <w:vAlign w:val="bottom"/>
            <w:gridSpan w:val="19"/>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NBCUniversal Media, LLC Financial Statements</w:t>
              </w:r>
            </w:hyperlink>
          </w:p>
        </w:tc>
        <w:tc>
          <w:tcPr>
            <w:tcW w:w="204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51</w:t>
              </w:r>
            </w:hyperlink>
          </w:p>
        </w:tc>
        <w:tc>
          <w:tcPr>
            <w:tcW w:w="0" w:type="dxa"/>
            <w:vAlign w:val="bottom"/>
          </w:tcPr>
          <w:p>
            <w:pPr>
              <w:spacing w:after="0"/>
              <w:rPr>
                <w:sz w:val="1"/>
                <w:szCs w:val="1"/>
                <w:color w:val="auto"/>
              </w:rPr>
            </w:pPr>
          </w:p>
        </w:tc>
      </w:tr>
      <w:tr>
        <w:trPr>
          <w:trHeight w:val="48"/>
        </w:trPr>
        <w:tc>
          <w:tcPr>
            <w:tcW w:w="40" w:type="dxa"/>
            <w:vAlign w:val="bottom"/>
            <w:tcBorders>
              <w:bottom w:val="single" w:sz="8" w:color="auto"/>
            </w:tcBorders>
          </w:tcPr>
          <w:p>
            <w:pPr>
              <w:spacing w:after="0"/>
              <w:rPr>
                <w:sz w:val="4"/>
                <w:szCs w:val="4"/>
                <w:color w:val="auto"/>
              </w:rPr>
            </w:pPr>
          </w:p>
        </w:tc>
        <w:tc>
          <w:tcPr>
            <w:tcW w:w="1160" w:type="dxa"/>
            <w:vAlign w:val="bottom"/>
            <w:tcBorders>
              <w:top w:val="single" w:sz="8" w:color="0000EE"/>
              <w:bottom w:val="single" w:sz="8" w:color="auto"/>
            </w:tcBorders>
          </w:tcPr>
          <w:p>
            <w:pPr>
              <w:spacing w:after="0"/>
              <w:rPr>
                <w:sz w:val="4"/>
                <w:szCs w:val="4"/>
                <w:color w:val="auto"/>
              </w:rPr>
            </w:pPr>
          </w:p>
        </w:tc>
        <w:tc>
          <w:tcPr>
            <w:tcW w:w="320" w:type="dxa"/>
            <w:vAlign w:val="bottom"/>
            <w:tcBorders>
              <w:top w:val="single" w:sz="8" w:color="0000EE"/>
              <w:bottom w:val="single" w:sz="8" w:color="auto"/>
            </w:tcBorders>
          </w:tcPr>
          <w:p>
            <w:pPr>
              <w:spacing w:after="0"/>
              <w:rPr>
                <w:sz w:val="4"/>
                <w:szCs w:val="4"/>
                <w:color w:val="auto"/>
              </w:rPr>
            </w:pPr>
          </w:p>
        </w:tc>
        <w:tc>
          <w:tcPr>
            <w:tcW w:w="600" w:type="dxa"/>
            <w:vAlign w:val="bottom"/>
            <w:tcBorders>
              <w:top w:val="single" w:sz="8" w:color="0000EE"/>
              <w:bottom w:val="single" w:sz="8" w:color="auto"/>
            </w:tcBorders>
          </w:tcPr>
          <w:p>
            <w:pPr>
              <w:spacing w:after="0"/>
              <w:rPr>
                <w:sz w:val="4"/>
                <w:szCs w:val="4"/>
                <w:color w:val="auto"/>
              </w:rPr>
            </w:pPr>
          </w:p>
        </w:tc>
        <w:tc>
          <w:tcPr>
            <w:tcW w:w="300" w:type="dxa"/>
            <w:vAlign w:val="bottom"/>
            <w:tcBorders>
              <w:top w:val="single" w:sz="8" w:color="0000EE"/>
              <w:bottom w:val="single" w:sz="8" w:color="auto"/>
            </w:tcBorders>
          </w:tcPr>
          <w:p>
            <w:pPr>
              <w:spacing w:after="0"/>
              <w:rPr>
                <w:sz w:val="4"/>
                <w:szCs w:val="4"/>
                <w:color w:val="auto"/>
              </w:rPr>
            </w:pPr>
          </w:p>
        </w:tc>
        <w:tc>
          <w:tcPr>
            <w:tcW w:w="38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240" w:type="dxa"/>
            <w:vAlign w:val="bottom"/>
            <w:tcBorders>
              <w:top w:val="single" w:sz="8" w:color="0000EE"/>
              <w:bottom w:val="single" w:sz="8" w:color="auto"/>
            </w:tcBorders>
          </w:tcPr>
          <w:p>
            <w:pPr>
              <w:spacing w:after="0"/>
              <w:rPr>
                <w:sz w:val="4"/>
                <w:szCs w:val="4"/>
                <w:color w:val="auto"/>
              </w:rPr>
            </w:pPr>
          </w:p>
        </w:tc>
        <w:tc>
          <w:tcPr>
            <w:tcW w:w="200" w:type="dxa"/>
            <w:vAlign w:val="bottom"/>
            <w:tcBorders>
              <w:top w:val="single" w:sz="8" w:color="0000EE"/>
              <w:bottom w:val="single" w:sz="8" w:color="auto"/>
            </w:tcBorders>
          </w:tcPr>
          <w:p>
            <w:pPr>
              <w:spacing w:after="0"/>
              <w:rPr>
                <w:sz w:val="4"/>
                <w:szCs w:val="4"/>
                <w:color w:val="auto"/>
              </w:rPr>
            </w:pPr>
          </w:p>
        </w:tc>
        <w:tc>
          <w:tcPr>
            <w:tcW w:w="280" w:type="dxa"/>
            <w:vAlign w:val="bottom"/>
            <w:tcBorders>
              <w:top w:val="single" w:sz="8" w:color="0000EE"/>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Quarterly Report on Form 10-Q is a combined report being filed separately by Comcast Corporation (“Comcast”) and NBCUniversal Media, LLC (“NBCUniversal”). Comcast owns all of the common equity interests in NBCUniversal, and NBCUniversal meets the conditions set forth in General Instruction H(1)(a) and (b) of Form 10-Q and is therefore filing its information within this Form 10-Q with the reduced disclosure format. Each of Comcast and NBCUniversal is filing on its own behalf the information contained in this report that relates to itself, and neither company makes any representation as to information relating to the other company. Where information or an explanation is provided that is substantially the same for each company, such information or explanation has been combined in this report. Where information or an explanation is not substantially the same for each company, separate information and explanation has been provided. In addition, separate condensed consolidated financial statements for each company, along with notes to the condensed consolidated financial statements, are included in this report.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indicated otherwise, throughout this Quarterly Report on Form 10-Q, we refer to Comcast and its consolidated subsidiaries, including NBCUniversal and its consolidated subsidiaries, as “we,” “us” and “our;” Comcast Cable Communications, LLC and its consolidated subsidiaries as “Comcast Cable;” Comcast Holdings Corporation as “Comcast Holdings;” NBCUniversal, LLC as “NBCUniversal Holdings;” NBCUniversal Enterprise, Inc. as “NBCUniversal Enterprise;” and Sky Limited and its consolidated subsidiaries as “Sky.”</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Quarterly Report on Form 10-Q is for the three and nine months ended September 30, 2019. This Quarterly Report on Form 10-Q modifies and supersedes documents filed before it. 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on Form 10-Q. In addition, information that we file with the SEC in the future will automatically update and supersede information contained in this Quarterly Report on Form 10-Q.</w:t>
      </w:r>
    </w:p>
    <w:p>
      <w:pPr>
        <w:spacing w:after="0" w:line="1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You should carefully review the information contained in this Quarterly Report on Form 10-Q and particularly consider any risk factors set forth in this Quarterly Report on Form 10-Q and in other reports or documents that we file from time to time with the SEC. In this Quarterly Report on Form 10-Q,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these statements are only our predictions. In evaluating these statements, you should consider various factors, including</w:t>
      </w:r>
    </w:p>
    <w:p>
      <w:pPr>
        <w:sectPr>
          <w:pgSz w:w="11900" w:h="16838" w:orient="portrait"/>
          <w:cols w:equalWidth="0" w:num="1">
            <w:col w:w="11420"/>
          </w:cols>
          <w:pgMar w:left="240" w:top="418" w:right="239" w:bottom="1440" w:gutter="0" w:footer="0" w:header="0"/>
        </w:sectPr>
      </w:pPr>
    </w:p>
    <w:bookmarkStart w:id="2" w:name="page3"/>
    <w:bookmarkEnd w:id="2"/>
    <w:p>
      <w:pPr>
        <w:jc w:val="both"/>
        <w:spacing w:after="0" w:line="264" w:lineRule="auto"/>
        <w:rPr>
          <w:sz w:val="20"/>
          <w:szCs w:val="20"/>
          <w:color w:val="auto"/>
        </w:rPr>
      </w:pPr>
      <w:r>
        <w:rPr>
          <w:rFonts w:ascii="Arial" w:cs="Arial" w:eastAsia="Arial" w:hAnsi="Arial"/>
          <w:sz w:val="18"/>
          <w:szCs w:val="18"/>
          <w:color w:val="auto"/>
        </w:rPr>
        <w:t>the risks outlined below and in other reports we file with the SEC. Actual events or our actual results could differ materially from our forward-looking statements as a result of any such factors, which could adversely affect our businesses, results of operations or financial condition. We undertake no obligation to update any forward-looking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117" w:lineRule="exact"/>
        <w:rPr>
          <w:sz w:val="20"/>
          <w:szCs w:val="20"/>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consumer behavior driven by online video distribution platforms for viewing content could adversely affect our businesses and challenge existing business models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decline in advertisers’ expenditures or changes in advertising markets could negatively impact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are subject to regulation by federal, state, local and foreign authorities, which impose additional costs and restrictions on our businesses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programming expenses for our video services are increasing, which could adversely affect Cable Communications’ and Sky’s video businesses</w:t>
      </w:r>
    </w:p>
    <w:p>
      <w:pPr>
        <w:spacing w:after="0" w:line="74"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NBCUniversal’s and Sky’s success depends on consumer acceptance of their content, and their businesses may be adversely affected if their content fails to achieve sufficient consumer acceptance or the costs to create or acquire content increase</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our businesses</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favorable regulation, the loss of Sky’s transmission agreements with satellite or telecommunications providers or the renewal of these agreements on less favorable terms, could adversely affect Sky’s businesses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loss of Sky’s wholesale distribution agreements with traditional multichannel video providers could adversely affect Sky’s businesses</w:t>
      </w:r>
    </w:p>
    <w:p>
      <w:pPr>
        <w:spacing w:after="0" w:line="74"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businesses depend on using and protecting certain intellectual property rights and on not infringing the intellectual property rights of others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acquisitions, including our acquisition of Sky, and other strategic initiatives present many risks, and we may not realize the financial and strategic goals that we had contemplated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unfavorable litigation or governmental investigation results could require us to pay significant amounts or lead to onerous operating procedures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labor disputes, whether involving employees or sports organizations, may disrupt our operations and adversely affect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ectPr>
          <w:pgSz w:w="11900" w:h="16838" w:orient="portrait"/>
          <w:cols w:equalWidth="0" w:num="1">
            <w:col w:w="11420"/>
          </w:cols>
          <w:pgMar w:left="240" w:top="436"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40" w:type="dxa"/>
            <w:vAlign w:val="bottom"/>
          </w:tcPr>
          <w:p>
            <w:pPr>
              <w:spacing w:after="0"/>
              <w:rPr>
                <w:sz w:val="14"/>
                <w:szCs w:val="14"/>
                <w:color w:val="auto"/>
              </w:rPr>
            </w:pPr>
          </w:p>
        </w:tc>
      </w:tr>
      <w:tr>
        <w:trPr>
          <w:trHeight w:val="188"/>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color w:val="auto"/>
              </w:rPr>
              <w:t>September 30</w:t>
            </w: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color w:val="auto"/>
              </w:rPr>
              <w:t>2019</w:t>
            </w: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rPr>
              <w:t>2018</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2019</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2018</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26,827</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22,135</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80,544</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66,661</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60" w:type="dxa"/>
            <w:vAlign w:val="bottom"/>
          </w:tcPr>
          <w:p>
            <w:pPr>
              <w:spacing w:after="0"/>
              <w:rPr>
                <w:sz w:val="23"/>
                <w:szCs w:val="23"/>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8,316</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6,711</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25,140</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20,440</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60" w:type="dxa"/>
            <w:vAlign w:val="bottom"/>
          </w:tcPr>
          <w:p>
            <w:pPr>
              <w:spacing w:after="0"/>
              <w:rPr>
                <w:sz w:val="23"/>
                <w:szCs w:val="23"/>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8,090</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6,444</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24,076</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19,323</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60" w:type="dxa"/>
            <w:vAlign w:val="bottom"/>
          </w:tcPr>
          <w:p>
            <w:pPr>
              <w:spacing w:after="0"/>
              <w:rPr>
                <w:sz w:val="23"/>
                <w:szCs w:val="23"/>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1,901</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1,667</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5,674</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4,924</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3"/>
                <w:szCs w:val="23"/>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2,124</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2,038</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6,561</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6,070</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3"/>
                <w:szCs w:val="23"/>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1,056</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580</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3,215</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1,750</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Other operating gains</w:t>
            </w:r>
          </w:p>
        </w:tc>
        <w:tc>
          <w:tcPr>
            <w:tcW w:w="360" w:type="dxa"/>
            <w:vAlign w:val="bottom"/>
          </w:tcPr>
          <w:p>
            <w:pPr>
              <w:spacing w:after="0"/>
              <w:rPr>
                <w:sz w:val="23"/>
                <w:szCs w:val="23"/>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(141)</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60" w:type="dxa"/>
            <w:vAlign w:val="bottom"/>
          </w:tcPr>
          <w:p>
            <w:pPr>
              <w:spacing w:after="0"/>
              <w:rPr>
                <w:sz w:val="20"/>
                <w:szCs w:val="20"/>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21,487</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17,299</w:t>
            </w:r>
          </w:p>
        </w:tc>
        <w:tc>
          <w:tcPr>
            <w:tcW w:w="48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64,666</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52,166</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Pr>
          <w:p>
            <w:pPr>
              <w:spacing w:after="0"/>
              <w:rPr>
                <w:sz w:val="20"/>
                <w:szCs w:val="20"/>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5,340</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4,836</w:t>
            </w:r>
          </w:p>
        </w:tc>
        <w:tc>
          <w:tcPr>
            <w:tcW w:w="48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15,878</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14,495</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3"/>
                <w:szCs w:val="23"/>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(1,167)</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(830)</w:t>
            </w:r>
          </w:p>
        </w:tc>
        <w:tc>
          <w:tcPr>
            <w:tcW w:w="48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(3,454)</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(2,413)</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360" w:type="dxa"/>
            <w:vAlign w:val="bottom"/>
          </w:tcPr>
          <w:p>
            <w:pPr>
              <w:spacing w:after="0"/>
              <w:rPr>
                <w:sz w:val="23"/>
                <w:szCs w:val="23"/>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(110)</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(111)</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511</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92</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20"/>
                <w:szCs w:val="20"/>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4,063</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3,895</w:t>
            </w:r>
          </w:p>
        </w:tc>
        <w:tc>
          <w:tcPr>
            <w:tcW w:w="48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12,935</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12,174</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3"/>
                <w:szCs w:val="23"/>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(775)</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(999)</w:t>
            </w:r>
          </w:p>
        </w:tc>
        <w:tc>
          <w:tcPr>
            <w:tcW w:w="48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(2,812)</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(2,894)</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20"/>
                <w:szCs w:val="20"/>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3,288</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2,896</w:t>
            </w:r>
          </w:p>
        </w:tc>
        <w:tc>
          <w:tcPr>
            <w:tcW w:w="48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10,123</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9,280</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w w:val="96"/>
              </w:rPr>
              <w:t>Less: Net income (loss) attributable to noncontrolling interests</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and redeemable subsidiary preferred stock</w:t>
            </w:r>
          </w:p>
        </w:tc>
        <w:tc>
          <w:tcPr>
            <w:tcW w:w="360" w:type="dxa"/>
            <w:vAlign w:val="bottom"/>
          </w:tcPr>
          <w:p>
            <w:pPr>
              <w:spacing w:after="0"/>
              <w:rPr>
                <w:sz w:val="20"/>
                <w:szCs w:val="20"/>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71</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228</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60</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3"/>
              <w:spacing w:after="0"/>
              <w:rPr>
                <w:sz w:val="20"/>
                <w:szCs w:val="20"/>
                <w:color w:val="auto"/>
              </w:rPr>
            </w:pPr>
            <w:r>
              <w:rPr>
                <w:rFonts w:ascii="Arial" w:cs="Arial" w:eastAsia="Arial" w:hAnsi="Arial"/>
                <w:sz w:val="18"/>
                <w:szCs w:val="18"/>
                <w:b w:val="1"/>
                <w:bCs w:val="1"/>
                <w:color w:val="auto"/>
              </w:rPr>
              <w:t>3,217</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b w:val="1"/>
                <w:bCs w:val="1"/>
                <w:color w:val="auto"/>
              </w:rPr>
              <w:t>2,886</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b w:val="1"/>
                <w:bCs w:val="1"/>
                <w:color w:val="auto"/>
              </w:rPr>
              <w:t>9,895</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9,220</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5"/>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w w:val="94"/>
              </w:rPr>
              <w:t>Basic earnings per common share attributable to Comcast</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4"/>
        </w:trPr>
        <w:tc>
          <w:tcPr>
            <w:tcW w:w="4800" w:type="dxa"/>
            <w:vAlign w:val="bottom"/>
          </w:tcPr>
          <w:p>
            <w:pPr>
              <w:ind w:left="200"/>
              <w:spacing w:after="0"/>
              <w:rPr>
                <w:sz w:val="20"/>
                <w:szCs w:val="20"/>
                <w:color w:val="auto"/>
              </w:rPr>
            </w:pPr>
            <w:r>
              <w:rPr>
                <w:rFonts w:ascii="Arial" w:cs="Arial" w:eastAsia="Arial" w:hAnsi="Arial"/>
                <w:sz w:val="18"/>
                <w:szCs w:val="18"/>
                <w:b w:val="1"/>
                <w:bCs w:val="1"/>
                <w:color w:val="auto"/>
              </w:rPr>
              <w:t>Corporation shareholders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3"/>
              <w:spacing w:after="0"/>
              <w:rPr>
                <w:sz w:val="20"/>
                <w:szCs w:val="20"/>
                <w:color w:val="auto"/>
              </w:rPr>
            </w:pPr>
            <w:r>
              <w:rPr>
                <w:rFonts w:ascii="Arial" w:cs="Arial" w:eastAsia="Arial" w:hAnsi="Arial"/>
                <w:sz w:val="18"/>
                <w:szCs w:val="18"/>
                <w:b w:val="1"/>
                <w:bCs w:val="1"/>
                <w:color w:val="auto"/>
              </w:rPr>
              <w:t>0.71</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b w:val="1"/>
                <w:bCs w:val="1"/>
                <w:color w:val="auto"/>
              </w:rPr>
              <w:t>0.63</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b w:val="1"/>
                <w:bCs w:val="1"/>
                <w:color w:val="auto"/>
              </w:rPr>
              <w:t>2.18</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2.00</w:t>
            </w:r>
          </w:p>
        </w:tc>
      </w:tr>
      <w:tr>
        <w:trPr>
          <w:trHeight w:val="252"/>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w w:val="92"/>
              </w:rPr>
              <w:t>Diluted earnings per common share attributable to Comcast</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34"/>
        </w:trPr>
        <w:tc>
          <w:tcPr>
            <w:tcW w:w="4800" w:type="dxa"/>
            <w:vAlign w:val="bottom"/>
          </w:tcPr>
          <w:p>
            <w:pPr>
              <w:ind w:left="200"/>
              <w:spacing w:after="0"/>
              <w:rPr>
                <w:sz w:val="20"/>
                <w:szCs w:val="20"/>
                <w:color w:val="auto"/>
              </w:rPr>
            </w:pPr>
            <w:r>
              <w:rPr>
                <w:rFonts w:ascii="Arial" w:cs="Arial" w:eastAsia="Arial" w:hAnsi="Arial"/>
                <w:sz w:val="18"/>
                <w:szCs w:val="18"/>
                <w:b w:val="1"/>
                <w:bCs w:val="1"/>
                <w:color w:val="auto"/>
              </w:rPr>
              <w:t>Corporation shareholders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3"/>
              <w:spacing w:after="0"/>
              <w:rPr>
                <w:sz w:val="20"/>
                <w:szCs w:val="20"/>
                <w:color w:val="auto"/>
              </w:rPr>
            </w:pPr>
            <w:r>
              <w:rPr>
                <w:rFonts w:ascii="Arial" w:cs="Arial" w:eastAsia="Arial" w:hAnsi="Arial"/>
                <w:sz w:val="18"/>
                <w:szCs w:val="18"/>
                <w:b w:val="1"/>
                <w:bCs w:val="1"/>
                <w:color w:val="auto"/>
              </w:rPr>
              <w:t>0.70</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b w:val="1"/>
                <w:bCs w:val="1"/>
                <w:color w:val="auto"/>
              </w:rPr>
              <w:t>0.62</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b w:val="1"/>
                <w:bCs w:val="1"/>
                <w:color w:val="auto"/>
              </w:rPr>
              <w:t>2.15</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1.98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75"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40" w:type="dxa"/>
            <w:vAlign w:val="bottom"/>
          </w:tcPr>
          <w:p>
            <w:pPr>
              <w:spacing w:after="0"/>
              <w:rPr>
                <w:sz w:val="14"/>
                <w:szCs w:val="14"/>
                <w:color w:val="auto"/>
              </w:rPr>
            </w:pPr>
          </w:p>
        </w:tc>
      </w:tr>
      <w:tr>
        <w:trPr>
          <w:trHeight w:val="188"/>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color w:val="auto"/>
              </w:rPr>
              <w:t>September 30</w:t>
            </w: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color w:val="auto"/>
              </w:rPr>
              <w:t>2019</w:t>
            </w: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2018</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2019</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2018</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3,288</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2,896</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10,123</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9,280</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rPr>
              <w:t>Unrealized gains (losses) on marketable securities, net of</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deferred taxes of $—, $(1), $— and $(1)</w:t>
            </w:r>
          </w:p>
        </w:tc>
        <w:tc>
          <w:tcPr>
            <w:tcW w:w="360" w:type="dxa"/>
            <w:vAlign w:val="bottom"/>
          </w:tcPr>
          <w:p>
            <w:pPr>
              <w:spacing w:after="0"/>
              <w:rPr>
                <w:sz w:val="20"/>
                <w:szCs w:val="20"/>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w w:val="89"/>
              </w:rPr>
              <w:t>Deferred gains (losses) on cash flow hedges, net of deferred taxes</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of $(35), $5, $(24) and $8</w:t>
            </w:r>
          </w:p>
        </w:tc>
        <w:tc>
          <w:tcPr>
            <w:tcW w:w="360" w:type="dxa"/>
            <w:vAlign w:val="bottom"/>
          </w:tcPr>
          <w:p>
            <w:pPr>
              <w:spacing w:after="0"/>
              <w:rPr>
                <w:sz w:val="20"/>
                <w:szCs w:val="20"/>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82</w:t>
            </w:r>
          </w:p>
        </w:tc>
        <w:tc>
          <w:tcPr>
            <w:tcW w:w="68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146</w:t>
            </w:r>
          </w:p>
        </w:tc>
        <w:tc>
          <w:tcPr>
            <w:tcW w:w="6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Amounts reclassified to net income:</w:t>
            </w: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6"/>
        </w:trPr>
        <w:tc>
          <w:tcPr>
            <w:tcW w:w="4800" w:type="dxa"/>
            <w:vAlign w:val="bottom"/>
          </w:tcPr>
          <w:p>
            <w:pPr>
              <w:ind w:left="380"/>
              <w:spacing w:after="0"/>
              <w:rPr>
                <w:sz w:val="20"/>
                <w:szCs w:val="20"/>
                <w:color w:val="auto"/>
              </w:rPr>
            </w:pPr>
            <w:r>
              <w:rPr>
                <w:rFonts w:ascii="Arial" w:cs="Arial" w:eastAsia="Arial" w:hAnsi="Arial"/>
                <w:sz w:val="18"/>
                <w:szCs w:val="18"/>
                <w:color w:val="auto"/>
                <w:w w:val="91"/>
              </w:rPr>
              <w:t>Realized (gains) losses on cash flow hedges, net of deferred</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4800" w:type="dxa"/>
            <w:vAlign w:val="bottom"/>
          </w:tcPr>
          <w:p>
            <w:pPr>
              <w:ind w:left="540"/>
              <w:spacing w:after="0"/>
              <w:rPr>
                <w:sz w:val="20"/>
                <w:szCs w:val="20"/>
                <w:color w:val="auto"/>
              </w:rPr>
            </w:pPr>
            <w:r>
              <w:rPr>
                <w:rFonts w:ascii="Arial" w:cs="Arial" w:eastAsia="Arial" w:hAnsi="Arial"/>
                <w:sz w:val="18"/>
                <w:szCs w:val="18"/>
                <w:color w:val="auto"/>
              </w:rPr>
              <w:t>taxes of $11, $(5), $7 and $(13)</w:t>
            </w:r>
          </w:p>
        </w:tc>
        <w:tc>
          <w:tcPr>
            <w:tcW w:w="360" w:type="dxa"/>
            <w:vAlign w:val="bottom"/>
          </w:tcPr>
          <w:p>
            <w:pPr>
              <w:spacing w:after="0"/>
              <w:rPr>
                <w:sz w:val="20"/>
                <w:szCs w:val="20"/>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(52)</w:t>
            </w:r>
          </w:p>
        </w:tc>
        <w:tc>
          <w:tcPr>
            <w:tcW w:w="6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17</w:t>
            </w:r>
          </w:p>
        </w:tc>
        <w:tc>
          <w:tcPr>
            <w:tcW w:w="48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(39)</w:t>
            </w:r>
          </w:p>
        </w:tc>
        <w:tc>
          <w:tcPr>
            <w:tcW w:w="66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43</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rPr>
              <w:t>Employee benefit obligations, net of deferred taxes of</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$3, $2, $8 and $7</w:t>
            </w:r>
          </w:p>
        </w:tc>
        <w:tc>
          <w:tcPr>
            <w:tcW w:w="360" w:type="dxa"/>
            <w:vAlign w:val="bottom"/>
          </w:tcPr>
          <w:p>
            <w:pPr>
              <w:spacing w:after="0"/>
              <w:rPr>
                <w:sz w:val="20"/>
                <w:szCs w:val="20"/>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(8)</w:t>
            </w:r>
          </w:p>
        </w:tc>
        <w:tc>
          <w:tcPr>
            <w:tcW w:w="68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(24)</w:t>
            </w:r>
          </w:p>
        </w:tc>
        <w:tc>
          <w:tcPr>
            <w:tcW w:w="6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w w:val="92"/>
              </w:rPr>
              <w:t>Currency translation adjustments, net of deferred taxes of $(80),</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$25, $(98) and $22</w:t>
            </w:r>
          </w:p>
        </w:tc>
        <w:tc>
          <w:tcPr>
            <w:tcW w:w="360" w:type="dxa"/>
            <w:vAlign w:val="bottom"/>
          </w:tcPr>
          <w:p>
            <w:pPr>
              <w:spacing w:after="0"/>
              <w:rPr>
                <w:sz w:val="20"/>
                <w:szCs w:val="20"/>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(1,144)</w:t>
            </w:r>
          </w:p>
        </w:tc>
        <w:tc>
          <w:tcPr>
            <w:tcW w:w="68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(103)</w:t>
            </w:r>
          </w:p>
        </w:tc>
        <w:tc>
          <w:tcPr>
            <w:tcW w:w="48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(903)</w:t>
            </w:r>
          </w:p>
        </w:tc>
        <w:tc>
          <w:tcPr>
            <w:tcW w:w="6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Pr>
          <w:p>
            <w:pPr>
              <w:spacing w:after="0"/>
              <w:rPr>
                <w:sz w:val="20"/>
                <w:szCs w:val="20"/>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2,168</w:t>
            </w:r>
          </w:p>
        </w:tc>
        <w:tc>
          <w:tcPr>
            <w:tcW w:w="6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2,789</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9,307</w:t>
            </w:r>
          </w:p>
        </w:tc>
        <w:tc>
          <w:tcPr>
            <w:tcW w:w="66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9,154</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w w:val="96"/>
              </w:rPr>
              <w:t>Less: Net income (loss) attributable to noncontrolling interests</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and redeemable subsidiary preferred stock</w:t>
            </w:r>
          </w:p>
        </w:tc>
        <w:tc>
          <w:tcPr>
            <w:tcW w:w="360" w:type="dxa"/>
            <w:vAlign w:val="bottom"/>
          </w:tcPr>
          <w:p>
            <w:pPr>
              <w:spacing w:after="0"/>
              <w:rPr>
                <w:sz w:val="20"/>
                <w:szCs w:val="20"/>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71</w:t>
            </w:r>
          </w:p>
        </w:tc>
        <w:tc>
          <w:tcPr>
            <w:tcW w:w="6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228</w:t>
            </w:r>
          </w:p>
        </w:tc>
        <w:tc>
          <w:tcPr>
            <w:tcW w:w="66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60</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rPr>
              <w:t>Less: Other comprehensive income (loss) attributable to</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360" w:type="dxa"/>
            <w:vAlign w:val="bottom"/>
          </w:tcPr>
          <w:p>
            <w:pPr>
              <w:spacing w:after="0"/>
              <w:rPr>
                <w:sz w:val="20"/>
                <w:szCs w:val="20"/>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(23)</w:t>
            </w:r>
          </w:p>
        </w:tc>
        <w:tc>
          <w:tcPr>
            <w:tcW w:w="68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(25)</w:t>
            </w:r>
          </w:p>
        </w:tc>
        <w:tc>
          <w:tcPr>
            <w:tcW w:w="6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w w:val="91"/>
              </w:rPr>
              <w:t>Comprehensive income attributable to Comcast Corporation</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4"/>
              <w:spacing w:after="0"/>
              <w:rPr>
                <w:sz w:val="20"/>
                <w:szCs w:val="20"/>
                <w:color w:val="auto"/>
              </w:rPr>
            </w:pPr>
            <w:r>
              <w:rPr>
                <w:rFonts w:ascii="Arial" w:cs="Arial" w:eastAsia="Arial" w:hAnsi="Arial"/>
                <w:sz w:val="18"/>
                <w:szCs w:val="18"/>
                <w:b w:val="1"/>
                <w:bCs w:val="1"/>
                <w:color w:val="auto"/>
              </w:rPr>
              <w:t>2,120</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b w:val="1"/>
                <w:bCs w:val="1"/>
                <w:color w:val="auto"/>
              </w:rPr>
              <w:t>2,799</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4"/>
              <w:spacing w:after="0"/>
              <w:rPr>
                <w:sz w:val="20"/>
                <w:szCs w:val="20"/>
                <w:color w:val="auto"/>
              </w:rPr>
            </w:pPr>
            <w:r>
              <w:rPr>
                <w:rFonts w:ascii="Arial" w:cs="Arial" w:eastAsia="Arial" w:hAnsi="Arial"/>
                <w:sz w:val="18"/>
                <w:szCs w:val="18"/>
                <w:b w:val="1"/>
                <w:bCs w:val="1"/>
                <w:color w:val="auto"/>
              </w:rPr>
              <w:t>9,104</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9,139</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1"/>
        </w:trPr>
        <w:tc>
          <w:tcPr>
            <w:tcW w:w="480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539"/>
        </w:trPr>
        <w:tc>
          <w:tcPr>
            <w:tcW w:w="4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574"/>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40" w:type="dxa"/>
            <w:vAlign w:val="bottom"/>
          </w:tcPr>
          <w:p>
            <w:pPr>
              <w:spacing w:after="0"/>
              <w:rPr>
                <w:sz w:val="14"/>
                <w:szCs w:val="14"/>
                <w:color w:val="auto"/>
              </w:rPr>
            </w:pPr>
          </w:p>
        </w:tc>
      </w:tr>
      <w:tr>
        <w:trPr>
          <w:trHeight w:val="188"/>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rPr>
              <w:t>2019</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2018</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10,123</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9,280</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Depreciation, amortization and other operating gains</w:t>
            </w:r>
          </w:p>
        </w:tc>
        <w:tc>
          <w:tcPr>
            <w:tcW w:w="360" w:type="dxa"/>
            <w:vAlign w:val="bottom"/>
          </w:tcPr>
          <w:p>
            <w:pPr>
              <w:spacing w:after="0"/>
              <w:rPr>
                <w:sz w:val="23"/>
                <w:szCs w:val="23"/>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9,776</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7,479</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Share-based compensation</w:t>
            </w:r>
          </w:p>
        </w:tc>
        <w:tc>
          <w:tcPr>
            <w:tcW w:w="360" w:type="dxa"/>
            <w:vAlign w:val="bottom"/>
          </w:tcPr>
          <w:p>
            <w:pPr>
              <w:spacing w:after="0"/>
              <w:rPr>
                <w:sz w:val="23"/>
                <w:szCs w:val="23"/>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790</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607</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Noncash interest expense (income), net</w:t>
            </w:r>
          </w:p>
        </w:tc>
        <w:tc>
          <w:tcPr>
            <w:tcW w:w="360" w:type="dxa"/>
            <w:vAlign w:val="bottom"/>
          </w:tcPr>
          <w:p>
            <w:pPr>
              <w:spacing w:after="0"/>
              <w:rPr>
                <w:sz w:val="23"/>
                <w:szCs w:val="23"/>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310</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289</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Net (gain) loss on investment activity and other</w:t>
            </w:r>
          </w:p>
        </w:tc>
        <w:tc>
          <w:tcPr>
            <w:tcW w:w="360" w:type="dxa"/>
            <w:vAlign w:val="bottom"/>
          </w:tcPr>
          <w:p>
            <w:pPr>
              <w:spacing w:after="0"/>
              <w:rPr>
                <w:sz w:val="23"/>
                <w:szCs w:val="23"/>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(166)</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118</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3"/>
                <w:szCs w:val="23"/>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468</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877</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Current and noncurrent receivables, net</w:t>
            </w:r>
          </w:p>
        </w:tc>
        <w:tc>
          <w:tcPr>
            <w:tcW w:w="360" w:type="dxa"/>
            <w:vAlign w:val="bottom"/>
          </w:tcPr>
          <w:p>
            <w:pPr>
              <w:spacing w:after="0"/>
              <w:rPr>
                <w:sz w:val="23"/>
                <w:szCs w:val="23"/>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360</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Film and television costs, net</w:t>
            </w:r>
          </w:p>
        </w:tc>
        <w:tc>
          <w:tcPr>
            <w:tcW w:w="360" w:type="dxa"/>
            <w:vAlign w:val="bottom"/>
          </w:tcPr>
          <w:p>
            <w:pPr>
              <w:spacing w:after="0"/>
              <w:rPr>
                <w:sz w:val="23"/>
                <w:szCs w:val="23"/>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(321)</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64</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360" w:type="dxa"/>
            <w:vAlign w:val="bottom"/>
          </w:tcPr>
          <w:p>
            <w:pPr>
              <w:spacing w:after="0"/>
              <w:rPr>
                <w:sz w:val="23"/>
                <w:szCs w:val="23"/>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(1,149)</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Other operating assets and liabilities</w:t>
            </w:r>
          </w:p>
        </w:tc>
        <w:tc>
          <w:tcPr>
            <w:tcW w:w="360" w:type="dxa"/>
            <w:vAlign w:val="bottom"/>
          </w:tcPr>
          <w:p>
            <w:pPr>
              <w:spacing w:after="0"/>
              <w:rPr>
                <w:sz w:val="23"/>
                <w:szCs w:val="23"/>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(729)</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103</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Pr>
          <w:p>
            <w:pPr>
              <w:spacing w:after="0"/>
              <w:rPr>
                <w:sz w:val="20"/>
                <w:szCs w:val="20"/>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b w:val="1"/>
                <w:bCs w:val="1"/>
                <w:color w:val="auto"/>
              </w:rPr>
              <w:t>19,462</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18,507</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23"/>
                <w:szCs w:val="23"/>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(6,866)</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(6,607)</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Cash paid for intangible assets</w:t>
            </w:r>
          </w:p>
        </w:tc>
        <w:tc>
          <w:tcPr>
            <w:tcW w:w="360" w:type="dxa"/>
            <w:vAlign w:val="bottom"/>
          </w:tcPr>
          <w:p>
            <w:pPr>
              <w:spacing w:after="0"/>
              <w:rPr>
                <w:sz w:val="23"/>
                <w:szCs w:val="23"/>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(1,686)</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(1,375)</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Acquisitions and construction of real estate properties</w:t>
            </w:r>
          </w:p>
        </w:tc>
        <w:tc>
          <w:tcPr>
            <w:tcW w:w="360" w:type="dxa"/>
            <w:vAlign w:val="bottom"/>
          </w:tcPr>
          <w:p>
            <w:pPr>
              <w:spacing w:after="0"/>
              <w:rPr>
                <w:sz w:val="23"/>
                <w:szCs w:val="23"/>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(40)</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Construction of Universal Beijing Resort</w:t>
            </w:r>
          </w:p>
        </w:tc>
        <w:tc>
          <w:tcPr>
            <w:tcW w:w="360" w:type="dxa"/>
            <w:vAlign w:val="bottom"/>
          </w:tcPr>
          <w:p>
            <w:pPr>
              <w:spacing w:after="0"/>
              <w:rPr>
                <w:sz w:val="23"/>
                <w:szCs w:val="23"/>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(736)</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Acquisitions, net of cash acquired</w:t>
            </w:r>
          </w:p>
        </w:tc>
        <w:tc>
          <w:tcPr>
            <w:tcW w:w="360" w:type="dxa"/>
            <w:vAlign w:val="bottom"/>
          </w:tcPr>
          <w:p>
            <w:pPr>
              <w:spacing w:after="0"/>
              <w:rPr>
                <w:sz w:val="23"/>
                <w:szCs w:val="23"/>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(181)</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Proceeds from sales of businesses and investments</w:t>
            </w:r>
          </w:p>
        </w:tc>
        <w:tc>
          <w:tcPr>
            <w:tcW w:w="360" w:type="dxa"/>
            <w:vAlign w:val="bottom"/>
          </w:tcPr>
          <w:p>
            <w:pPr>
              <w:spacing w:after="0"/>
              <w:rPr>
                <w:sz w:val="23"/>
                <w:szCs w:val="23"/>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208</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127</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Purchases of investments</w:t>
            </w:r>
          </w:p>
        </w:tc>
        <w:tc>
          <w:tcPr>
            <w:tcW w:w="360" w:type="dxa"/>
            <w:vAlign w:val="bottom"/>
          </w:tcPr>
          <w:p>
            <w:pPr>
              <w:spacing w:after="0"/>
              <w:rPr>
                <w:sz w:val="23"/>
                <w:szCs w:val="23"/>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(1,697)</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(840)</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86</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579</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60" w:type="dxa"/>
            <w:vAlign w:val="bottom"/>
          </w:tcPr>
          <w:p>
            <w:pPr>
              <w:spacing w:after="0"/>
              <w:rPr>
                <w:sz w:val="20"/>
                <w:szCs w:val="20"/>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rPr>
              <w:t>(10,912)</w:t>
            </w:r>
          </w:p>
        </w:tc>
        <w:tc>
          <w:tcPr>
            <w:tcW w:w="6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(8,590)</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Proceeds from (repayments of) short-term borrowings, net</w:t>
            </w:r>
          </w:p>
        </w:tc>
        <w:tc>
          <w:tcPr>
            <w:tcW w:w="360" w:type="dxa"/>
            <w:vAlign w:val="bottom"/>
          </w:tcPr>
          <w:p>
            <w:pPr>
              <w:spacing w:after="0"/>
              <w:rPr>
                <w:sz w:val="23"/>
                <w:szCs w:val="23"/>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(1,288)</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2,909</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Proceeds from borrowings</w:t>
            </w:r>
          </w:p>
        </w:tc>
        <w:tc>
          <w:tcPr>
            <w:tcW w:w="360" w:type="dxa"/>
            <w:vAlign w:val="bottom"/>
          </w:tcPr>
          <w:p>
            <w:pPr>
              <w:spacing w:after="0"/>
              <w:rPr>
                <w:sz w:val="23"/>
                <w:szCs w:val="23"/>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516</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9,850</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Proceeds from collateralized obligation</w:t>
            </w:r>
          </w:p>
        </w:tc>
        <w:tc>
          <w:tcPr>
            <w:tcW w:w="360" w:type="dxa"/>
            <w:vAlign w:val="bottom"/>
          </w:tcPr>
          <w:p>
            <w:pPr>
              <w:spacing w:after="0"/>
              <w:rPr>
                <w:sz w:val="23"/>
                <w:szCs w:val="23"/>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5,175</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Repurchases and repayments of debt</w:t>
            </w:r>
          </w:p>
        </w:tc>
        <w:tc>
          <w:tcPr>
            <w:tcW w:w="360" w:type="dxa"/>
            <w:vAlign w:val="bottom"/>
          </w:tcPr>
          <w:p>
            <w:pPr>
              <w:spacing w:after="0"/>
              <w:rPr>
                <w:sz w:val="23"/>
                <w:szCs w:val="23"/>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(9,975)</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(4,405)</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Repurchases of common stock under repurchase program and employee plans</w:t>
            </w:r>
          </w:p>
        </w:tc>
        <w:tc>
          <w:tcPr>
            <w:tcW w:w="360" w:type="dxa"/>
            <w:vAlign w:val="bottom"/>
          </w:tcPr>
          <w:p>
            <w:pPr>
              <w:spacing w:after="0"/>
              <w:rPr>
                <w:sz w:val="23"/>
                <w:szCs w:val="23"/>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(432)</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(4,282)</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360" w:type="dxa"/>
            <w:vAlign w:val="bottom"/>
          </w:tcPr>
          <w:p>
            <w:pPr>
              <w:spacing w:after="0"/>
              <w:rPr>
                <w:sz w:val="23"/>
                <w:szCs w:val="23"/>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(2,778)</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(2,487)</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360" w:type="dxa"/>
            <w:vAlign w:val="bottom"/>
          </w:tcPr>
          <w:p>
            <w:pPr>
              <w:spacing w:after="0"/>
              <w:rPr>
                <w:sz w:val="23"/>
                <w:szCs w:val="23"/>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(235)</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191</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60" w:type="dxa"/>
            <w:vAlign w:val="bottom"/>
          </w:tcPr>
          <w:p>
            <w:pPr>
              <w:spacing w:after="0"/>
              <w:rPr>
                <w:sz w:val="20"/>
                <w:szCs w:val="20"/>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rPr>
              <w:t>(8,826)</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1,134</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Impact of foreign currency on cash, cash equivalents and restricted cash</w:t>
            </w:r>
          </w:p>
        </w:tc>
        <w:tc>
          <w:tcPr>
            <w:tcW w:w="360" w:type="dxa"/>
            <w:vAlign w:val="bottom"/>
          </w:tcPr>
          <w:p>
            <w:pPr>
              <w:spacing w:after="0"/>
              <w:rPr>
                <w:sz w:val="20"/>
                <w:szCs w:val="20"/>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Increase (decrease) in cash, cash equivalents and restricted cash</w:t>
            </w:r>
          </w:p>
        </w:tc>
        <w:tc>
          <w:tcPr>
            <w:tcW w:w="360" w:type="dxa"/>
            <w:vAlign w:val="bottom"/>
          </w:tcPr>
          <w:p>
            <w:pPr>
              <w:spacing w:after="0"/>
              <w:rPr>
                <w:sz w:val="23"/>
                <w:szCs w:val="23"/>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(307)</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11,051</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beginning of period</w:t>
            </w:r>
          </w:p>
        </w:tc>
        <w:tc>
          <w:tcPr>
            <w:tcW w:w="360" w:type="dxa"/>
            <w:vAlign w:val="bottom"/>
          </w:tcPr>
          <w:p>
            <w:pPr>
              <w:spacing w:after="0"/>
              <w:rPr>
                <w:sz w:val="23"/>
                <w:szCs w:val="23"/>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3,909</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3,571</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b w:val="1"/>
                <w:bCs w:val="1"/>
                <w:color w:val="auto"/>
              </w:rPr>
              <w:t>3,602</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14,622</w:t>
            </w:r>
          </w:p>
        </w:tc>
      </w:tr>
      <w:tr>
        <w:trPr>
          <w:trHeight w:val="34"/>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1"/>
        </w:trPr>
        <w:tc>
          <w:tcPr>
            <w:tcW w:w="824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539"/>
        </w:trPr>
        <w:tc>
          <w:tcPr>
            <w:tcW w:w="8240" w:type="dxa"/>
            <w:vAlign w:val="bottom"/>
          </w:tcPr>
          <w:p>
            <w:pPr>
              <w:ind w:left="566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ind w:right="351"/>
              <w:spacing w:after="0"/>
              <w:rPr>
                <w:sz w:val="20"/>
                <w:szCs w:val="20"/>
                <w:color w:val="auto"/>
              </w:rPr>
            </w:pPr>
            <w:r>
              <w:rPr>
                <w:rFonts w:ascii="Arial" w:cs="Arial" w:eastAsia="Arial" w:hAnsi="Arial"/>
                <w:sz w:val="14"/>
                <w:szCs w:val="14"/>
                <w:color w:val="auto"/>
              </w:rPr>
              <w:t>September 30,</w:t>
            </w:r>
          </w:p>
        </w:tc>
        <w:tc>
          <w:tcPr>
            <w:tcW w:w="340" w:type="dxa"/>
            <w:vAlign w:val="bottom"/>
          </w:tcPr>
          <w:p>
            <w:pPr>
              <w:spacing w:after="0"/>
              <w:rPr>
                <w:sz w:val="14"/>
                <w:szCs w:val="14"/>
                <w:color w:val="auto"/>
              </w:rPr>
            </w:pPr>
          </w:p>
        </w:tc>
        <w:tc>
          <w:tcPr>
            <w:tcW w:w="1260" w:type="dxa"/>
            <w:vAlign w:val="bottom"/>
          </w:tcPr>
          <w:p>
            <w:pPr>
              <w:jc w:val="right"/>
              <w:ind w:right="271"/>
              <w:spacing w:after="0"/>
              <w:rPr>
                <w:sz w:val="20"/>
                <w:szCs w:val="20"/>
                <w:color w:val="auto"/>
              </w:rPr>
            </w:pPr>
            <w:r>
              <w:rPr>
                <w:rFonts w:ascii="Arial" w:cs="Arial" w:eastAsia="Arial" w:hAnsi="Arial"/>
                <w:sz w:val="14"/>
                <w:szCs w:val="14"/>
                <w:color w:val="auto"/>
              </w:rPr>
              <w:t>December 31,</w:t>
            </w:r>
          </w:p>
        </w:tc>
      </w:tr>
      <w:tr>
        <w:trPr>
          <w:trHeight w:val="188"/>
        </w:trPr>
        <w:tc>
          <w:tcPr>
            <w:tcW w:w="8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share data)</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rPr>
              <w:t>2019</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2018</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3,507</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3,814</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10,684</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11,104</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Programming rights</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3,457</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3,746</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4,675</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3,184</w:t>
            </w:r>
          </w:p>
        </w:tc>
      </w:tr>
      <w:tr>
        <w:trPr>
          <w:trHeight w:val="27"/>
        </w:trPr>
        <w:tc>
          <w:tcPr>
            <w:tcW w:w="8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0"/>
                <w:szCs w:val="20"/>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22,323</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21,848</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8,647</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7,837</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7,473</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7,883</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Investment securing collateralized obligation</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816</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of $52,983 and $51,306</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46,790</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44,437</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Franchise rights</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59,365</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59,365</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66,913</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66,154</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Other intangible assets, net of accumulated amortization of $16,764 and $14,194</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35,164</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38,358</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8,883</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5,802</w:t>
            </w:r>
          </w:p>
        </w:tc>
      </w:tr>
      <w:tr>
        <w:trPr>
          <w:trHeight w:val="27"/>
        </w:trPr>
        <w:tc>
          <w:tcPr>
            <w:tcW w:w="8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111"/>
              <w:spacing w:after="0"/>
              <w:rPr>
                <w:sz w:val="20"/>
                <w:szCs w:val="20"/>
                <w:color w:val="auto"/>
              </w:rPr>
            </w:pPr>
            <w:r>
              <w:rPr>
                <w:rFonts w:ascii="Arial" w:cs="Arial" w:eastAsia="Arial" w:hAnsi="Arial"/>
                <w:sz w:val="18"/>
                <w:szCs w:val="18"/>
                <w:b w:val="1"/>
                <w:bCs w:val="1"/>
                <w:color w:val="auto"/>
              </w:rPr>
              <w:t>256,374</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251,684</w:t>
            </w:r>
          </w:p>
        </w:tc>
      </w:tr>
      <w:tr>
        <w:trPr>
          <w:trHeight w:val="34"/>
        </w:trPr>
        <w:tc>
          <w:tcPr>
            <w:tcW w:w="8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10,198</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8,494</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Accrued participations and residuals</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1,615</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1,808</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2,944</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2,182</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10,193</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10,721</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1,039</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4,398</w:t>
            </w:r>
          </w:p>
        </w:tc>
      </w:tr>
      <w:tr>
        <w:trPr>
          <w:trHeight w:val="27"/>
        </w:trPr>
        <w:tc>
          <w:tcPr>
            <w:tcW w:w="8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0"/>
                <w:szCs w:val="20"/>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25,989</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27,603</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99,847</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107,345</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Collateralized obligation</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5,165</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27,992</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27,589</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16,853</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15,329</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Commitments and contingencies (Note 12)</w:t>
            </w: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1,368</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1,316</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Equity:</w:t>
            </w: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Preferred stock—authorized, 20,000,000 shares; issued, zero</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6"/>
        </w:trPr>
        <w:tc>
          <w:tcPr>
            <w:tcW w:w="8200" w:type="dxa"/>
            <w:vAlign w:val="bottom"/>
          </w:tcPr>
          <w:p>
            <w:pPr>
              <w:ind w:left="380"/>
              <w:spacing w:after="0"/>
              <w:rPr>
                <w:sz w:val="20"/>
                <w:szCs w:val="20"/>
                <w:color w:val="auto"/>
              </w:rPr>
            </w:pPr>
            <w:r>
              <w:rPr>
                <w:rFonts w:ascii="Arial" w:cs="Arial" w:eastAsia="Arial" w:hAnsi="Arial"/>
                <w:sz w:val="18"/>
                <w:szCs w:val="18"/>
                <w:color w:val="auto"/>
                <w:w w:val="94"/>
              </w:rPr>
              <w:t>Class A common stock, $0.01 par value—authorized, 7,500,000,000 shares; issued, 5,412,596,907 and</w:t>
            </w: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0"/>
        </w:trPr>
        <w:tc>
          <w:tcPr>
            <w:tcW w:w="8200" w:type="dxa"/>
            <w:vAlign w:val="bottom"/>
          </w:tcPr>
          <w:p>
            <w:pPr>
              <w:ind w:left="540"/>
              <w:spacing w:after="0"/>
              <w:rPr>
                <w:sz w:val="20"/>
                <w:szCs w:val="20"/>
                <w:color w:val="auto"/>
              </w:rPr>
            </w:pPr>
            <w:r>
              <w:rPr>
                <w:rFonts w:ascii="Arial" w:cs="Arial" w:eastAsia="Arial" w:hAnsi="Arial"/>
                <w:sz w:val="18"/>
                <w:szCs w:val="18"/>
                <w:color w:val="auto"/>
              </w:rPr>
              <w:t>5,389,309,175; outstanding, 4,539,805,879 and 4,516,518,147</w:t>
            </w:r>
          </w:p>
        </w:tc>
        <w:tc>
          <w:tcPr>
            <w:tcW w:w="240" w:type="dxa"/>
            <w:vAlign w:val="bottom"/>
          </w:tcPr>
          <w:p>
            <w:pPr>
              <w:spacing w:after="0"/>
              <w:rPr>
                <w:sz w:val="20"/>
                <w:szCs w:val="20"/>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54</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w w:val="90"/>
              </w:rPr>
              <w:t>Class B common stock, $0.01 par value—authorized, 75,000,000 shares; issued and outstanding, 9,444,375</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38,196</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37,461</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48,570</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41,983</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Treasury stock, 872,791,028 Class A common shares</w:t>
            </w:r>
          </w:p>
        </w:tc>
        <w:tc>
          <w:tcPr>
            <w:tcW w:w="240" w:type="dxa"/>
            <w:vAlign w:val="bottom"/>
          </w:tcPr>
          <w:p>
            <w:pPr>
              <w:spacing w:after="0"/>
              <w:rPr>
                <w:sz w:val="23"/>
                <w:szCs w:val="23"/>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(7,517)</w:t>
            </w: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(7,517)</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Pr>
          <w:p>
            <w:pPr>
              <w:spacing w:after="0"/>
              <w:rPr>
                <w:sz w:val="23"/>
                <w:szCs w:val="23"/>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(1,159)</w:t>
            </w: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7"/>
        </w:trPr>
        <w:tc>
          <w:tcPr>
            <w:tcW w:w="8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 Comcast Corporation shareholders’ equity</w:t>
            </w:r>
          </w:p>
        </w:tc>
        <w:tc>
          <w:tcPr>
            <w:tcW w:w="240" w:type="dxa"/>
            <w:vAlign w:val="bottom"/>
          </w:tcPr>
          <w:p>
            <w:pPr>
              <w:spacing w:after="0"/>
              <w:rPr>
                <w:sz w:val="20"/>
                <w:szCs w:val="20"/>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78,144</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71,613</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23"/>
                <w:szCs w:val="23"/>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1,016</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889</w:t>
            </w:r>
          </w:p>
        </w:tc>
      </w:tr>
      <w:tr>
        <w:trPr>
          <w:trHeight w:val="27"/>
        </w:trPr>
        <w:tc>
          <w:tcPr>
            <w:tcW w:w="8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40" w:type="dxa"/>
            <w:vAlign w:val="bottom"/>
          </w:tcPr>
          <w:p>
            <w:pPr>
              <w:spacing w:after="0"/>
              <w:rPr>
                <w:sz w:val="20"/>
                <w:szCs w:val="20"/>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79,160</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72,502</w:t>
            </w:r>
          </w:p>
        </w:tc>
      </w:tr>
      <w:tr>
        <w:trPr>
          <w:trHeight w:val="27"/>
        </w:trPr>
        <w:tc>
          <w:tcPr>
            <w:tcW w:w="8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111"/>
              <w:spacing w:after="0"/>
              <w:rPr>
                <w:sz w:val="20"/>
                <w:szCs w:val="20"/>
                <w:color w:val="auto"/>
              </w:rPr>
            </w:pPr>
            <w:r>
              <w:rPr>
                <w:rFonts w:ascii="Arial" w:cs="Arial" w:eastAsia="Arial" w:hAnsi="Arial"/>
                <w:sz w:val="18"/>
                <w:szCs w:val="18"/>
                <w:b w:val="1"/>
                <w:bCs w:val="1"/>
                <w:color w:val="auto"/>
              </w:rPr>
              <w:t>256,374</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251,684</w:t>
            </w:r>
          </w:p>
        </w:tc>
      </w:tr>
      <w:tr>
        <w:trPr>
          <w:trHeight w:val="34"/>
        </w:trPr>
        <w:tc>
          <w:tcPr>
            <w:tcW w:w="8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1"/>
        </w:trPr>
        <w:tc>
          <w:tcPr>
            <w:tcW w:w="820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gridSpan w:val="3"/>
          </w:tcPr>
          <w:p>
            <w:pPr>
              <w:jc w:val="right"/>
              <w:ind w:right="859"/>
              <w:spacing w:after="0"/>
              <w:rPr>
                <w:sz w:val="20"/>
                <w:szCs w:val="20"/>
                <w:color w:val="auto"/>
              </w:rPr>
            </w:pPr>
            <w:r>
              <w:rPr>
                <w:rFonts w:ascii="Arial" w:cs="Arial" w:eastAsia="Arial" w:hAnsi="Arial"/>
                <w:sz w:val="14"/>
                <w:szCs w:val="14"/>
                <w:color w:val="auto"/>
              </w:rPr>
              <w:t>Three Months Ended</w:t>
            </w:r>
          </w:p>
        </w:tc>
        <w:tc>
          <w:tcPr>
            <w:tcW w:w="480" w:type="dxa"/>
            <w:vAlign w:val="bottom"/>
          </w:tcPr>
          <w:p>
            <w:pPr>
              <w:spacing w:after="0"/>
              <w:rPr>
                <w:sz w:val="14"/>
                <w:szCs w:val="14"/>
                <w:color w:val="auto"/>
              </w:rPr>
            </w:pPr>
          </w:p>
        </w:tc>
        <w:tc>
          <w:tcPr>
            <w:tcW w:w="2540" w:type="dxa"/>
            <w:vAlign w:val="bottom"/>
            <w:gridSpan w:val="3"/>
          </w:tcPr>
          <w:p>
            <w:pPr>
              <w:jc w:val="right"/>
              <w:ind w:right="779"/>
              <w:spacing w:after="0"/>
              <w:rPr>
                <w:sz w:val="20"/>
                <w:szCs w:val="20"/>
                <w:color w:val="auto"/>
              </w:rPr>
            </w:pPr>
            <w:r>
              <w:rPr>
                <w:rFonts w:ascii="Arial" w:cs="Arial" w:eastAsia="Arial" w:hAnsi="Arial"/>
                <w:sz w:val="14"/>
                <w:szCs w:val="14"/>
                <w:color w:val="auto"/>
              </w:rPr>
              <w:t>Nine Months Ended</w:t>
            </w:r>
          </w:p>
        </w:tc>
      </w:tr>
      <w:tr>
        <w:trPr>
          <w:trHeight w:val="188"/>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color w:val="auto"/>
              </w:rPr>
              <w:t>September 30</w:t>
            </w:r>
          </w:p>
        </w:tc>
        <w:tc>
          <w:tcPr>
            <w:tcW w:w="10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960" w:type="dxa"/>
            <w:vAlign w:val="bottom"/>
            <w:tcBorders>
              <w:bottom w:val="single" w:sz="8" w:color="auto"/>
            </w:tcBorders>
          </w:tcPr>
          <w:p>
            <w:pPr>
              <w:spacing w:after="0"/>
              <w:rPr>
                <w:sz w:val="16"/>
                <w:szCs w:val="16"/>
                <w:color w:val="auto"/>
              </w:rPr>
            </w:pPr>
          </w:p>
        </w:tc>
      </w:tr>
      <w:tr>
        <w:trPr>
          <w:trHeight w:val="264"/>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2019</w:t>
            </w: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color w:val="auto"/>
              </w:rPr>
              <w:t>2018</w:t>
            </w: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2019</w:t>
            </w: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color w:val="auto"/>
              </w:rPr>
              <w:t>2018</w:t>
            </w:r>
          </w:p>
        </w:tc>
      </w:tr>
      <w:tr>
        <w:trPr>
          <w:trHeight w:val="215"/>
        </w:trPr>
        <w:tc>
          <w:tcPr>
            <w:tcW w:w="5200" w:type="dxa"/>
            <w:vAlign w:val="bottom"/>
          </w:tcPr>
          <w:p>
            <w:pPr>
              <w:ind w:left="40"/>
              <w:spacing w:after="0"/>
              <w:rPr>
                <w:sz w:val="20"/>
                <w:szCs w:val="20"/>
                <w:color w:val="auto"/>
              </w:rPr>
            </w:pPr>
            <w:r>
              <w:rPr>
                <w:rFonts w:ascii="Arial" w:cs="Arial" w:eastAsia="Arial" w:hAnsi="Arial"/>
                <w:sz w:val="16"/>
                <w:szCs w:val="16"/>
                <w:b w:val="1"/>
                <w:bCs w:val="1"/>
                <w:color w:val="auto"/>
              </w:rPr>
              <w:t>Redeemable Noncontrolling Interests and Redeemable Subsidiary</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0"/>
        </w:trPr>
        <w:tc>
          <w:tcPr>
            <w:tcW w:w="5200" w:type="dxa"/>
            <w:vAlign w:val="bottom"/>
          </w:tcPr>
          <w:p>
            <w:pPr>
              <w:ind w:left="200"/>
              <w:spacing w:after="0"/>
              <w:rPr>
                <w:sz w:val="20"/>
                <w:szCs w:val="20"/>
                <w:color w:val="auto"/>
              </w:rPr>
            </w:pPr>
            <w:r>
              <w:rPr>
                <w:rFonts w:ascii="Arial" w:cs="Arial" w:eastAsia="Arial" w:hAnsi="Arial"/>
                <w:sz w:val="16"/>
                <w:szCs w:val="16"/>
                <w:b w:val="1"/>
                <w:bCs w:val="1"/>
                <w:color w:val="auto"/>
              </w:rPr>
              <w:t>Preferred Stock</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Balance, beginning of period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1,329</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1,343</w:t>
            </w:r>
          </w:p>
        </w:tc>
        <w:tc>
          <w:tcPr>
            <w:tcW w:w="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1,316</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1,357</w:t>
            </w: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Contributions from (distributions to) noncontrolling interests, net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w:t>
            </w:r>
          </w:p>
        </w:tc>
        <w:tc>
          <w:tcPr>
            <w:tcW w:w="52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(11)</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w:t>
            </w:r>
          </w:p>
        </w:tc>
        <w:tc>
          <w:tcPr>
            <w:tcW w:w="52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(11)</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60</w:t>
            </w:r>
          </w:p>
        </w:tc>
        <w:tc>
          <w:tcPr>
            <w:tcW w:w="52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48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129</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37</w:t>
            </w:r>
          </w:p>
        </w:tc>
      </w:tr>
      <w:tr>
        <w:trPr>
          <w:trHeight w:val="33"/>
        </w:trPr>
        <w:tc>
          <w:tcPr>
            <w:tcW w:w="5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5200" w:type="dxa"/>
            <w:vAlign w:val="bottom"/>
          </w:tcPr>
          <w:p>
            <w:pPr>
              <w:ind w:left="280"/>
              <w:spacing w:after="0"/>
              <w:rPr>
                <w:sz w:val="20"/>
                <w:szCs w:val="20"/>
                <w:color w:val="auto"/>
              </w:rPr>
            </w:pPr>
            <w:r>
              <w:rPr>
                <w:rFonts w:ascii="Arial" w:cs="Arial" w:eastAsia="Arial" w:hAnsi="Arial"/>
                <w:sz w:val="16"/>
                <w:szCs w:val="16"/>
                <w:b w:val="1"/>
                <w:bCs w:val="1"/>
                <w:color w:val="auto"/>
              </w:rPr>
              <w:t>Balance, end of period</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b w:val="1"/>
                <w:bCs w:val="1"/>
                <w:color w:val="auto"/>
              </w:rPr>
              <w:t>1,368</w:t>
            </w:r>
          </w:p>
        </w:tc>
        <w:tc>
          <w:tcPr>
            <w:tcW w:w="52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rPr>
              <w:t>1,317</w:t>
            </w:r>
          </w:p>
        </w:tc>
        <w:tc>
          <w:tcPr>
            <w:tcW w:w="48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b w:val="1"/>
                <w:bCs w:val="1"/>
                <w:color w:val="auto"/>
              </w:rPr>
              <w:t>1,368</w:t>
            </w:r>
          </w:p>
        </w:tc>
        <w:tc>
          <w:tcPr>
            <w:tcW w:w="50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auto"/>
              </w:rPr>
              <w:t>1,317</w:t>
            </w:r>
          </w:p>
        </w:tc>
      </w:tr>
      <w:tr>
        <w:trPr>
          <w:trHeight w:val="40"/>
        </w:trPr>
        <w:tc>
          <w:tcPr>
            <w:tcW w:w="5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372"/>
        </w:trPr>
        <w:tc>
          <w:tcPr>
            <w:tcW w:w="5200" w:type="dxa"/>
            <w:vAlign w:val="bottom"/>
          </w:tcPr>
          <w:p>
            <w:pPr>
              <w:ind w:left="40"/>
              <w:spacing w:after="0"/>
              <w:rPr>
                <w:sz w:val="20"/>
                <w:szCs w:val="20"/>
                <w:color w:val="auto"/>
              </w:rPr>
            </w:pPr>
            <w:r>
              <w:rPr>
                <w:rFonts w:ascii="Arial" w:cs="Arial" w:eastAsia="Arial" w:hAnsi="Arial"/>
                <w:sz w:val="16"/>
                <w:szCs w:val="16"/>
                <w:b w:val="1"/>
                <w:bCs w:val="1"/>
                <w:color w:val="auto"/>
              </w:rPr>
              <w:t>Class A common stock</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Balance, beginning of period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54</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54</w:t>
            </w:r>
          </w:p>
        </w:tc>
        <w:tc>
          <w:tcPr>
            <w:tcW w:w="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54</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55</w:t>
            </w:r>
          </w:p>
        </w:tc>
      </w:tr>
      <w:tr>
        <w:trPr>
          <w:trHeight w:val="253"/>
        </w:trPr>
        <w:tc>
          <w:tcPr>
            <w:tcW w:w="5200" w:type="dxa"/>
            <w:vAlign w:val="bottom"/>
          </w:tcPr>
          <w:p>
            <w:pPr>
              <w:ind w:left="280"/>
              <w:spacing w:after="0"/>
              <w:rPr>
                <w:sz w:val="20"/>
                <w:szCs w:val="20"/>
                <w:color w:val="auto"/>
              </w:rPr>
            </w:pPr>
            <w:r>
              <w:rPr>
                <w:rFonts w:ascii="Arial" w:cs="Arial" w:eastAsia="Arial" w:hAnsi="Arial"/>
                <w:sz w:val="16"/>
                <w:szCs w:val="16"/>
                <w:color w:val="auto"/>
                <w:w w:val="94"/>
              </w:rPr>
              <w:t>Repurchases of common stock under repurchase program and employee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06"/>
        </w:trPr>
        <w:tc>
          <w:tcPr>
            <w:tcW w:w="5200" w:type="dxa"/>
            <w:vAlign w:val="bottom"/>
          </w:tcPr>
          <w:p>
            <w:pPr>
              <w:ind w:left="440"/>
              <w:spacing w:after="0"/>
              <w:rPr>
                <w:sz w:val="20"/>
                <w:szCs w:val="20"/>
                <w:color w:val="auto"/>
              </w:rPr>
            </w:pPr>
            <w:r>
              <w:rPr>
                <w:rFonts w:ascii="Arial" w:cs="Arial" w:eastAsia="Arial" w:hAnsi="Arial"/>
                <w:sz w:val="16"/>
                <w:szCs w:val="16"/>
                <w:color w:val="auto"/>
              </w:rPr>
              <w:t>plans</w:t>
            </w:r>
          </w:p>
        </w:tc>
        <w:tc>
          <w:tcPr>
            <w:tcW w:w="340" w:type="dxa"/>
            <w:vAlign w:val="bottom"/>
          </w:tcPr>
          <w:p>
            <w:pPr>
              <w:spacing w:after="0"/>
              <w:rPr>
                <w:sz w:val="17"/>
                <w:szCs w:val="17"/>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5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5200" w:type="dxa"/>
            <w:vAlign w:val="bottom"/>
          </w:tcPr>
          <w:p>
            <w:pPr>
              <w:ind w:left="280"/>
              <w:spacing w:after="0"/>
              <w:rPr>
                <w:sz w:val="20"/>
                <w:szCs w:val="20"/>
                <w:color w:val="auto"/>
              </w:rPr>
            </w:pPr>
            <w:r>
              <w:rPr>
                <w:rFonts w:ascii="Arial" w:cs="Arial" w:eastAsia="Arial" w:hAnsi="Arial"/>
                <w:sz w:val="16"/>
                <w:szCs w:val="16"/>
                <w:b w:val="1"/>
                <w:bCs w:val="1"/>
                <w:color w:val="auto"/>
              </w:rPr>
              <w:t>Balance, end of period</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b w:val="1"/>
                <w:bCs w:val="1"/>
                <w:color w:val="auto"/>
              </w:rPr>
              <w:t>54</w:t>
            </w:r>
          </w:p>
        </w:tc>
        <w:tc>
          <w:tcPr>
            <w:tcW w:w="52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rPr>
              <w:t>54</w:t>
            </w:r>
          </w:p>
        </w:tc>
        <w:tc>
          <w:tcPr>
            <w:tcW w:w="48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b w:val="1"/>
                <w:bCs w:val="1"/>
                <w:color w:val="auto"/>
              </w:rPr>
              <w:t>54</w:t>
            </w:r>
          </w:p>
        </w:tc>
        <w:tc>
          <w:tcPr>
            <w:tcW w:w="50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auto"/>
              </w:rPr>
              <w:t>54</w:t>
            </w:r>
          </w:p>
        </w:tc>
      </w:tr>
      <w:tr>
        <w:trPr>
          <w:trHeight w:val="40"/>
        </w:trPr>
        <w:tc>
          <w:tcPr>
            <w:tcW w:w="5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372"/>
        </w:trPr>
        <w:tc>
          <w:tcPr>
            <w:tcW w:w="5200" w:type="dxa"/>
            <w:vAlign w:val="bottom"/>
          </w:tcPr>
          <w:p>
            <w:pPr>
              <w:ind w:left="40"/>
              <w:spacing w:after="0"/>
              <w:rPr>
                <w:sz w:val="20"/>
                <w:szCs w:val="20"/>
                <w:color w:val="auto"/>
              </w:rPr>
            </w:pPr>
            <w:r>
              <w:rPr>
                <w:rFonts w:ascii="Arial" w:cs="Arial" w:eastAsia="Arial" w:hAnsi="Arial"/>
                <w:sz w:val="16"/>
                <w:szCs w:val="16"/>
                <w:b w:val="1"/>
                <w:bCs w:val="1"/>
                <w:color w:val="auto"/>
              </w:rPr>
              <w:t>Additional Paid-In Capital</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Balance, beginning of period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37,950</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37,427</w:t>
            </w:r>
          </w:p>
        </w:tc>
        <w:tc>
          <w:tcPr>
            <w:tcW w:w="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37,461</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37,497</w:t>
            </w: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Stock compensation plans</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193</w:t>
            </w:r>
          </w:p>
        </w:tc>
        <w:tc>
          <w:tcPr>
            <w:tcW w:w="520" w:type="dxa"/>
            <w:vAlign w:val="bottom"/>
          </w:tcPr>
          <w:p>
            <w:pPr>
              <w:spacing w:after="0"/>
              <w:rPr>
                <w:sz w:val="23"/>
                <w:szCs w:val="23"/>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144</w:t>
            </w:r>
          </w:p>
        </w:tc>
        <w:tc>
          <w:tcPr>
            <w:tcW w:w="48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604</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434</w:t>
            </w:r>
          </w:p>
        </w:tc>
      </w:tr>
      <w:tr>
        <w:trPr>
          <w:trHeight w:val="253"/>
        </w:trPr>
        <w:tc>
          <w:tcPr>
            <w:tcW w:w="5200" w:type="dxa"/>
            <w:vAlign w:val="bottom"/>
          </w:tcPr>
          <w:p>
            <w:pPr>
              <w:ind w:left="280"/>
              <w:spacing w:after="0"/>
              <w:rPr>
                <w:sz w:val="20"/>
                <w:szCs w:val="20"/>
                <w:color w:val="auto"/>
              </w:rPr>
            </w:pPr>
            <w:r>
              <w:rPr>
                <w:rFonts w:ascii="Arial" w:cs="Arial" w:eastAsia="Arial" w:hAnsi="Arial"/>
                <w:sz w:val="16"/>
                <w:szCs w:val="16"/>
                <w:color w:val="auto"/>
                <w:w w:val="94"/>
              </w:rPr>
              <w:t>Repurchases of common stock under repurchase program and employee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06"/>
        </w:trPr>
        <w:tc>
          <w:tcPr>
            <w:tcW w:w="5200" w:type="dxa"/>
            <w:vAlign w:val="bottom"/>
          </w:tcPr>
          <w:p>
            <w:pPr>
              <w:ind w:left="440"/>
              <w:spacing w:after="0"/>
              <w:rPr>
                <w:sz w:val="20"/>
                <w:szCs w:val="20"/>
                <w:color w:val="auto"/>
              </w:rPr>
            </w:pPr>
            <w:r>
              <w:rPr>
                <w:rFonts w:ascii="Arial" w:cs="Arial" w:eastAsia="Arial" w:hAnsi="Arial"/>
                <w:sz w:val="16"/>
                <w:szCs w:val="16"/>
                <w:color w:val="auto"/>
              </w:rPr>
              <w:t>plans</w:t>
            </w:r>
          </w:p>
        </w:tc>
        <w:tc>
          <w:tcPr>
            <w:tcW w:w="340" w:type="dxa"/>
            <w:vAlign w:val="bottom"/>
          </w:tcPr>
          <w:p>
            <w:pPr>
              <w:spacing w:after="0"/>
              <w:rPr>
                <w:sz w:val="17"/>
                <w:szCs w:val="17"/>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52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(228)</w:t>
            </w:r>
          </w:p>
        </w:tc>
        <w:tc>
          <w:tcPr>
            <w:tcW w:w="4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w:t>
            </w: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(757)</w:t>
            </w: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Employee stock purchase plans</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51</w:t>
            </w:r>
          </w:p>
        </w:tc>
        <w:tc>
          <w:tcPr>
            <w:tcW w:w="520" w:type="dxa"/>
            <w:vAlign w:val="bottom"/>
          </w:tcPr>
          <w:p>
            <w:pPr>
              <w:spacing w:after="0"/>
              <w:rPr>
                <w:sz w:val="23"/>
                <w:szCs w:val="23"/>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49</w:t>
            </w:r>
          </w:p>
        </w:tc>
        <w:tc>
          <w:tcPr>
            <w:tcW w:w="48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166</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161</w:t>
            </w: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c>
          <w:tcPr>
            <w:tcW w:w="520" w:type="dxa"/>
            <w:vAlign w:val="bottom"/>
          </w:tcPr>
          <w:p>
            <w:pPr>
              <w:spacing w:after="0"/>
              <w:rPr>
                <w:sz w:val="23"/>
                <w:szCs w:val="23"/>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w:t>
            </w:r>
          </w:p>
        </w:tc>
        <w:tc>
          <w:tcPr>
            <w:tcW w:w="48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59</w:t>
            </w:r>
          </w:p>
        </w:tc>
      </w:tr>
      <w:tr>
        <w:trPr>
          <w:trHeight w:val="33"/>
        </w:trPr>
        <w:tc>
          <w:tcPr>
            <w:tcW w:w="5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5200" w:type="dxa"/>
            <w:vAlign w:val="bottom"/>
          </w:tcPr>
          <w:p>
            <w:pPr>
              <w:ind w:left="280"/>
              <w:spacing w:after="0"/>
              <w:rPr>
                <w:sz w:val="20"/>
                <w:szCs w:val="20"/>
                <w:color w:val="auto"/>
              </w:rPr>
            </w:pPr>
            <w:r>
              <w:rPr>
                <w:rFonts w:ascii="Arial" w:cs="Arial" w:eastAsia="Arial" w:hAnsi="Arial"/>
                <w:sz w:val="16"/>
                <w:szCs w:val="16"/>
                <w:b w:val="1"/>
                <w:bCs w:val="1"/>
                <w:color w:val="auto"/>
              </w:rPr>
              <w:t>Balance, end of period</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b w:val="1"/>
                <w:bCs w:val="1"/>
                <w:color w:val="auto"/>
              </w:rPr>
              <w:t>38,196</w:t>
            </w:r>
          </w:p>
        </w:tc>
        <w:tc>
          <w:tcPr>
            <w:tcW w:w="52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rPr>
              <w:t>37,394</w:t>
            </w:r>
          </w:p>
        </w:tc>
        <w:tc>
          <w:tcPr>
            <w:tcW w:w="48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b w:val="1"/>
                <w:bCs w:val="1"/>
                <w:color w:val="auto"/>
              </w:rPr>
              <w:t>38,196</w:t>
            </w:r>
          </w:p>
        </w:tc>
        <w:tc>
          <w:tcPr>
            <w:tcW w:w="50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auto"/>
              </w:rPr>
              <w:t>37,394</w:t>
            </w:r>
          </w:p>
        </w:tc>
      </w:tr>
      <w:tr>
        <w:trPr>
          <w:trHeight w:val="40"/>
        </w:trPr>
        <w:tc>
          <w:tcPr>
            <w:tcW w:w="5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359"/>
        </w:trPr>
        <w:tc>
          <w:tcPr>
            <w:tcW w:w="5200" w:type="dxa"/>
            <w:vAlign w:val="bottom"/>
          </w:tcPr>
          <w:p>
            <w:pPr>
              <w:ind w:left="40"/>
              <w:spacing w:after="0"/>
              <w:rPr>
                <w:sz w:val="20"/>
                <w:szCs w:val="20"/>
                <w:color w:val="auto"/>
              </w:rPr>
            </w:pPr>
            <w:r>
              <w:rPr>
                <w:rFonts w:ascii="Arial" w:cs="Arial" w:eastAsia="Arial" w:hAnsi="Arial"/>
                <w:sz w:val="16"/>
                <w:szCs w:val="16"/>
                <w:b w:val="1"/>
                <w:bCs w:val="1"/>
                <w:color w:val="auto"/>
              </w:rPr>
              <w:t>Retained Earnings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Balance, beginning of period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46,425</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40,269</w:t>
            </w:r>
          </w:p>
        </w:tc>
        <w:tc>
          <w:tcPr>
            <w:tcW w:w="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41,983</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38,202</w:t>
            </w: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Cumulative effects of adoption of accounting standards</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3"/>
                <w:szCs w:val="23"/>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53"/>
        </w:trPr>
        <w:tc>
          <w:tcPr>
            <w:tcW w:w="5200" w:type="dxa"/>
            <w:vAlign w:val="bottom"/>
          </w:tcPr>
          <w:p>
            <w:pPr>
              <w:ind w:left="280"/>
              <w:spacing w:after="0"/>
              <w:rPr>
                <w:sz w:val="20"/>
                <w:szCs w:val="20"/>
                <w:color w:val="auto"/>
              </w:rPr>
            </w:pPr>
            <w:r>
              <w:rPr>
                <w:rFonts w:ascii="Arial" w:cs="Arial" w:eastAsia="Arial" w:hAnsi="Arial"/>
                <w:sz w:val="16"/>
                <w:szCs w:val="16"/>
                <w:color w:val="auto"/>
                <w:w w:val="94"/>
              </w:rPr>
              <w:t>Repurchases of common stock under repurchase program and employee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06"/>
        </w:trPr>
        <w:tc>
          <w:tcPr>
            <w:tcW w:w="5200" w:type="dxa"/>
            <w:vAlign w:val="bottom"/>
          </w:tcPr>
          <w:p>
            <w:pPr>
              <w:ind w:left="440"/>
              <w:spacing w:after="0"/>
              <w:rPr>
                <w:sz w:val="20"/>
                <w:szCs w:val="20"/>
                <w:color w:val="auto"/>
              </w:rPr>
            </w:pPr>
            <w:r>
              <w:rPr>
                <w:rFonts w:ascii="Arial" w:cs="Arial" w:eastAsia="Arial" w:hAnsi="Arial"/>
                <w:sz w:val="16"/>
                <w:szCs w:val="16"/>
                <w:color w:val="auto"/>
              </w:rPr>
              <w:t>plans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w:t>
            </w:r>
          </w:p>
        </w:tc>
        <w:tc>
          <w:tcPr>
            <w:tcW w:w="52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(1,064)</w:t>
            </w:r>
          </w:p>
        </w:tc>
        <w:tc>
          <w:tcPr>
            <w:tcW w:w="4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(406)</w:t>
            </w: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(3,530)</w:t>
            </w: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Dividends declared</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(965)</w:t>
            </w:r>
          </w:p>
        </w:tc>
        <w:tc>
          <w:tcPr>
            <w:tcW w:w="52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(871)</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(2,893)</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(2,631)</w:t>
            </w: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c>
          <w:tcPr>
            <w:tcW w:w="52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3,217</w:t>
            </w:r>
          </w:p>
        </w:tc>
        <w:tc>
          <w:tcPr>
            <w:tcW w:w="520" w:type="dxa"/>
            <w:vAlign w:val="bottom"/>
          </w:tcPr>
          <w:p>
            <w:pPr>
              <w:spacing w:after="0"/>
              <w:rPr>
                <w:sz w:val="23"/>
                <w:szCs w:val="23"/>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2,886</w:t>
            </w:r>
          </w:p>
        </w:tc>
        <w:tc>
          <w:tcPr>
            <w:tcW w:w="48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9,895</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9,220</w:t>
            </w:r>
          </w:p>
        </w:tc>
      </w:tr>
      <w:tr>
        <w:trPr>
          <w:trHeight w:val="33"/>
        </w:trPr>
        <w:tc>
          <w:tcPr>
            <w:tcW w:w="5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5200" w:type="dxa"/>
            <w:vAlign w:val="bottom"/>
          </w:tcPr>
          <w:p>
            <w:pPr>
              <w:ind w:left="280"/>
              <w:spacing w:after="0"/>
              <w:rPr>
                <w:sz w:val="20"/>
                <w:szCs w:val="20"/>
                <w:color w:val="auto"/>
              </w:rPr>
            </w:pPr>
            <w:r>
              <w:rPr>
                <w:rFonts w:ascii="Arial" w:cs="Arial" w:eastAsia="Arial" w:hAnsi="Arial"/>
                <w:sz w:val="16"/>
                <w:szCs w:val="16"/>
                <w:b w:val="1"/>
                <w:bCs w:val="1"/>
                <w:color w:val="auto"/>
              </w:rPr>
              <w:t>Balance, end of period</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b w:val="1"/>
                <w:bCs w:val="1"/>
                <w:color w:val="auto"/>
              </w:rPr>
              <w:t>48,570</w:t>
            </w:r>
          </w:p>
        </w:tc>
        <w:tc>
          <w:tcPr>
            <w:tcW w:w="52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rPr>
              <w:t>41,218</w:t>
            </w:r>
          </w:p>
        </w:tc>
        <w:tc>
          <w:tcPr>
            <w:tcW w:w="48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b w:val="1"/>
                <w:bCs w:val="1"/>
                <w:color w:val="auto"/>
              </w:rPr>
              <w:t>48,570</w:t>
            </w:r>
          </w:p>
        </w:tc>
        <w:tc>
          <w:tcPr>
            <w:tcW w:w="50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auto"/>
              </w:rPr>
              <w:t>41,218</w:t>
            </w:r>
          </w:p>
        </w:tc>
      </w:tr>
      <w:tr>
        <w:trPr>
          <w:trHeight w:val="40"/>
        </w:trPr>
        <w:tc>
          <w:tcPr>
            <w:tcW w:w="5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359"/>
        </w:trPr>
        <w:tc>
          <w:tcPr>
            <w:tcW w:w="5200" w:type="dxa"/>
            <w:vAlign w:val="bottom"/>
          </w:tcPr>
          <w:p>
            <w:pPr>
              <w:ind w:left="40"/>
              <w:spacing w:after="0"/>
              <w:rPr>
                <w:sz w:val="20"/>
                <w:szCs w:val="20"/>
                <w:color w:val="auto"/>
              </w:rPr>
            </w:pPr>
            <w:r>
              <w:rPr>
                <w:rFonts w:ascii="Arial" w:cs="Arial" w:eastAsia="Arial" w:hAnsi="Arial"/>
                <w:sz w:val="16"/>
                <w:szCs w:val="16"/>
                <w:b w:val="1"/>
                <w:bCs w:val="1"/>
                <w:color w:val="auto"/>
              </w:rPr>
              <w:t>Treasury Stock at Cost</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Balance, beginning of period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(7,517)</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(7,517)</w:t>
            </w:r>
          </w:p>
        </w:tc>
        <w:tc>
          <w:tcPr>
            <w:tcW w:w="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(7,517)</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(7,517)</w:t>
            </w:r>
          </w:p>
        </w:tc>
      </w:tr>
      <w:tr>
        <w:trPr>
          <w:trHeight w:val="33"/>
        </w:trPr>
        <w:tc>
          <w:tcPr>
            <w:tcW w:w="5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5200" w:type="dxa"/>
            <w:vAlign w:val="bottom"/>
          </w:tcPr>
          <w:p>
            <w:pPr>
              <w:ind w:left="280"/>
              <w:spacing w:after="0"/>
              <w:rPr>
                <w:sz w:val="20"/>
                <w:szCs w:val="20"/>
                <w:color w:val="auto"/>
              </w:rPr>
            </w:pPr>
            <w:r>
              <w:rPr>
                <w:rFonts w:ascii="Arial" w:cs="Arial" w:eastAsia="Arial" w:hAnsi="Arial"/>
                <w:sz w:val="16"/>
                <w:szCs w:val="16"/>
                <w:b w:val="1"/>
                <w:bCs w:val="1"/>
                <w:color w:val="auto"/>
              </w:rPr>
              <w:t>Balance, end of period</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(7,517)</w:t>
            </w:r>
          </w:p>
        </w:tc>
        <w:tc>
          <w:tcPr>
            <w:tcW w:w="52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(7,517)</w:t>
            </w:r>
          </w:p>
        </w:tc>
        <w:tc>
          <w:tcPr>
            <w:tcW w:w="48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(7,517)</w:t>
            </w:r>
          </w:p>
        </w:tc>
        <w:tc>
          <w:tcPr>
            <w:tcW w:w="50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(7,517)</w:t>
            </w:r>
          </w:p>
        </w:tc>
      </w:tr>
      <w:tr>
        <w:trPr>
          <w:trHeight w:val="40"/>
        </w:trPr>
        <w:tc>
          <w:tcPr>
            <w:tcW w:w="5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359"/>
        </w:trPr>
        <w:tc>
          <w:tcPr>
            <w:tcW w:w="5200" w:type="dxa"/>
            <w:vAlign w:val="bottom"/>
          </w:tcPr>
          <w:p>
            <w:pPr>
              <w:ind w:left="40"/>
              <w:spacing w:after="0"/>
              <w:rPr>
                <w:sz w:val="20"/>
                <w:szCs w:val="20"/>
                <w:color w:val="auto"/>
              </w:rPr>
            </w:pPr>
            <w:r>
              <w:rPr>
                <w:rFonts w:ascii="Arial" w:cs="Arial" w:eastAsia="Arial" w:hAnsi="Arial"/>
                <w:sz w:val="16"/>
                <w:szCs w:val="16"/>
                <w:b w:val="1"/>
                <w:bCs w:val="1"/>
                <w:color w:val="auto"/>
              </w:rPr>
              <w:t>Accumulated Other Comprehensive Income (Loss)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Balance, beginning of period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(62)</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461</w:t>
            </w:r>
          </w:p>
        </w:tc>
        <w:tc>
          <w:tcPr>
            <w:tcW w:w="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(368)</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379</w:t>
            </w: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Cumulative effects of adoption of accounting standards</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3"/>
                <w:szCs w:val="23"/>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76</w:t>
            </w: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Other comprehensive income (loss)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(1,097)</w:t>
            </w:r>
          </w:p>
        </w:tc>
        <w:tc>
          <w:tcPr>
            <w:tcW w:w="52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(87)</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(791)</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33"/>
        </w:trPr>
        <w:tc>
          <w:tcPr>
            <w:tcW w:w="5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5200" w:type="dxa"/>
            <w:vAlign w:val="bottom"/>
          </w:tcPr>
          <w:p>
            <w:pPr>
              <w:ind w:left="280"/>
              <w:spacing w:after="0"/>
              <w:rPr>
                <w:sz w:val="20"/>
                <w:szCs w:val="20"/>
                <w:color w:val="auto"/>
              </w:rPr>
            </w:pPr>
            <w:r>
              <w:rPr>
                <w:rFonts w:ascii="Arial" w:cs="Arial" w:eastAsia="Arial" w:hAnsi="Arial"/>
                <w:sz w:val="16"/>
                <w:szCs w:val="16"/>
                <w:b w:val="1"/>
                <w:bCs w:val="1"/>
                <w:color w:val="auto"/>
              </w:rPr>
              <w:t>Balance, end of period</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(1,159)</w:t>
            </w:r>
          </w:p>
        </w:tc>
        <w:tc>
          <w:tcPr>
            <w:tcW w:w="52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rPr>
              <w:t>374</w:t>
            </w:r>
          </w:p>
        </w:tc>
        <w:tc>
          <w:tcPr>
            <w:tcW w:w="48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(1,159)</w:t>
            </w:r>
          </w:p>
        </w:tc>
        <w:tc>
          <w:tcPr>
            <w:tcW w:w="50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auto"/>
              </w:rPr>
              <w:t>374</w:t>
            </w:r>
          </w:p>
        </w:tc>
      </w:tr>
      <w:tr>
        <w:trPr>
          <w:trHeight w:val="40"/>
        </w:trPr>
        <w:tc>
          <w:tcPr>
            <w:tcW w:w="5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359"/>
        </w:trPr>
        <w:tc>
          <w:tcPr>
            <w:tcW w:w="5200" w:type="dxa"/>
            <w:vAlign w:val="bottom"/>
          </w:tcPr>
          <w:p>
            <w:pPr>
              <w:ind w:left="40"/>
              <w:spacing w:after="0"/>
              <w:rPr>
                <w:sz w:val="20"/>
                <w:szCs w:val="20"/>
                <w:color w:val="auto"/>
              </w:rPr>
            </w:pPr>
            <w:r>
              <w:rPr>
                <w:rFonts w:ascii="Arial" w:cs="Arial" w:eastAsia="Arial" w:hAnsi="Arial"/>
                <w:sz w:val="16"/>
                <w:szCs w:val="16"/>
                <w:b w:val="1"/>
                <w:bCs w:val="1"/>
                <w:color w:val="auto"/>
              </w:rPr>
              <w:t>Noncontrolling Interests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Balance, beginning of period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980</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1,049</w:t>
            </w:r>
          </w:p>
        </w:tc>
        <w:tc>
          <w:tcPr>
            <w:tcW w:w="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889</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843</w:t>
            </w: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Other comprehensive income (loss)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w:t>
            </w:r>
          </w:p>
        </w:tc>
        <w:tc>
          <w:tcPr>
            <w:tcW w:w="52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(20)</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Contributions from (distributions to) noncontrolling interests, net</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52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(40)</w:t>
            </w:r>
          </w:p>
        </w:tc>
        <w:tc>
          <w:tcPr>
            <w:tcW w:w="48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66</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277</w:t>
            </w: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52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(181)</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(276)</w:t>
            </w:r>
          </w:p>
        </w:tc>
      </w:tr>
      <w:tr>
        <w:trPr>
          <w:trHeight w:val="270"/>
        </w:trPr>
        <w:tc>
          <w:tcPr>
            <w:tcW w:w="520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520" w:type="dxa"/>
            <w:vAlign w:val="bottom"/>
          </w:tcPr>
          <w:p>
            <w:pPr>
              <w:spacing w:after="0"/>
              <w:rPr>
                <w:sz w:val="23"/>
                <w:szCs w:val="23"/>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14</w:t>
            </w:r>
          </w:p>
        </w:tc>
        <w:tc>
          <w:tcPr>
            <w:tcW w:w="48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99</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33"/>
        </w:trPr>
        <w:tc>
          <w:tcPr>
            <w:tcW w:w="5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5200" w:type="dxa"/>
            <w:vAlign w:val="bottom"/>
          </w:tcPr>
          <w:p>
            <w:pPr>
              <w:ind w:left="280"/>
              <w:spacing w:after="0"/>
              <w:rPr>
                <w:sz w:val="20"/>
                <w:szCs w:val="20"/>
                <w:color w:val="auto"/>
              </w:rPr>
            </w:pPr>
            <w:r>
              <w:rPr>
                <w:rFonts w:ascii="Arial" w:cs="Arial" w:eastAsia="Arial" w:hAnsi="Arial"/>
                <w:sz w:val="16"/>
                <w:szCs w:val="16"/>
                <w:b w:val="1"/>
                <w:bCs w:val="1"/>
                <w:color w:val="auto"/>
              </w:rPr>
              <w:t>Balance, end of period</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b w:val="1"/>
                <w:bCs w:val="1"/>
                <w:color w:val="auto"/>
              </w:rPr>
              <w:t>1,016</w:t>
            </w:r>
          </w:p>
        </w:tc>
        <w:tc>
          <w:tcPr>
            <w:tcW w:w="52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rPr>
              <w:t>822</w:t>
            </w:r>
          </w:p>
        </w:tc>
        <w:tc>
          <w:tcPr>
            <w:tcW w:w="48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b w:val="1"/>
                <w:bCs w:val="1"/>
                <w:color w:val="auto"/>
              </w:rPr>
              <w:t>1,016</w:t>
            </w:r>
          </w:p>
        </w:tc>
        <w:tc>
          <w:tcPr>
            <w:tcW w:w="50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auto"/>
              </w:rPr>
              <w:t>822</w:t>
            </w:r>
          </w:p>
        </w:tc>
      </w:tr>
      <w:tr>
        <w:trPr>
          <w:trHeight w:val="40"/>
        </w:trPr>
        <w:tc>
          <w:tcPr>
            <w:tcW w:w="5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359"/>
        </w:trPr>
        <w:tc>
          <w:tcPr>
            <w:tcW w:w="5200" w:type="dxa"/>
            <w:vAlign w:val="bottom"/>
          </w:tcPr>
          <w:p>
            <w:pPr>
              <w:ind w:left="40"/>
              <w:spacing w:after="0"/>
              <w:rPr>
                <w:sz w:val="20"/>
                <w:szCs w:val="20"/>
                <w:color w:val="auto"/>
              </w:rPr>
            </w:pPr>
            <w:r>
              <w:rPr>
                <w:rFonts w:ascii="Arial" w:cs="Arial" w:eastAsia="Arial" w:hAnsi="Arial"/>
                <w:sz w:val="16"/>
                <w:szCs w:val="16"/>
                <w:b w:val="1"/>
                <w:bCs w:val="1"/>
                <w:color w:val="auto"/>
              </w:rPr>
              <w:t>Total equity</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b w:val="1"/>
                <w:bCs w:val="1"/>
                <w:color w:val="auto"/>
              </w:rPr>
              <w:t>79,160</w:t>
            </w:r>
          </w:p>
        </w:tc>
        <w:tc>
          <w:tcPr>
            <w:tcW w:w="52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rPr>
              <w:t>72,345</w:t>
            </w:r>
          </w:p>
        </w:tc>
        <w:tc>
          <w:tcPr>
            <w:tcW w:w="48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b w:val="1"/>
                <w:bCs w:val="1"/>
                <w:color w:val="auto"/>
              </w:rPr>
              <w:t>79,160</w:t>
            </w:r>
          </w:p>
        </w:tc>
        <w:tc>
          <w:tcPr>
            <w:tcW w:w="50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auto"/>
              </w:rPr>
              <w:t>72,345</w:t>
            </w:r>
          </w:p>
        </w:tc>
      </w:tr>
      <w:tr>
        <w:trPr>
          <w:trHeight w:val="40"/>
        </w:trPr>
        <w:tc>
          <w:tcPr>
            <w:tcW w:w="5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359"/>
        </w:trPr>
        <w:tc>
          <w:tcPr>
            <w:tcW w:w="5200" w:type="dxa"/>
            <w:vAlign w:val="bottom"/>
          </w:tcPr>
          <w:p>
            <w:pPr>
              <w:ind w:left="40"/>
              <w:spacing w:after="0"/>
              <w:rPr>
                <w:sz w:val="20"/>
                <w:szCs w:val="20"/>
                <w:color w:val="auto"/>
              </w:rPr>
            </w:pPr>
            <w:r>
              <w:rPr>
                <w:rFonts w:ascii="Arial" w:cs="Arial" w:eastAsia="Arial" w:hAnsi="Arial"/>
                <w:sz w:val="16"/>
                <w:szCs w:val="16"/>
                <w:b w:val="1"/>
                <w:bCs w:val="1"/>
                <w:color w:val="auto"/>
              </w:rPr>
              <w:t>Cash dividends declared per common share</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b w:val="1"/>
                <w:bCs w:val="1"/>
                <w:color w:val="auto"/>
              </w:rPr>
              <w:t>0.21</w:t>
            </w:r>
          </w:p>
        </w:tc>
        <w:tc>
          <w:tcPr>
            <w:tcW w:w="52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rPr>
              <w:t>0.19</w:t>
            </w:r>
          </w:p>
        </w:tc>
        <w:tc>
          <w:tcPr>
            <w:tcW w:w="48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b w:val="1"/>
                <w:bCs w:val="1"/>
                <w:color w:val="auto"/>
              </w:rPr>
              <w:t>0.63</w:t>
            </w:r>
          </w:p>
        </w:tc>
        <w:tc>
          <w:tcPr>
            <w:tcW w:w="50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auto"/>
              </w:rPr>
              <w:t>0.57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20955</wp:posOffset>
            </wp:positionV>
            <wp:extent cx="71437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3750" cy="17145"/>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340"/>
          </w:cols>
          <w:pgMar w:left="240" w:top="121" w:right="319" w:bottom="0" w:gutter="0" w:footer="0" w:header="0"/>
        </w:sectPr>
      </w:pPr>
    </w:p>
    <w:p>
      <w:pPr>
        <w:spacing w:after="0" w:line="33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40"/>
          </w:cols>
          <w:pgMar w:left="240" w:top="121" w:right="319" w:bottom="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0" w:lineRule="exact"/>
        <w:rPr>
          <w:sz w:val="20"/>
          <w:szCs w:val="20"/>
          <w:color w:val="auto"/>
        </w:rPr>
      </w:pPr>
    </w:p>
    <w:p>
      <w:pPr>
        <w:ind w:right="4380"/>
        <w:spacing w:after="0" w:line="274"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Basis of Presentation</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cash flows and financial condition for the periods shown, including normal, recurring accruals and other items. The consolidated results of operations for the interim periods presented are not necessarily indicative of results for the full year.</w:t>
      </w:r>
    </w:p>
    <w:p>
      <w:pPr>
        <w:spacing w:after="0" w:line="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2018 Annual Report on Form 10-K and the notes within this Form 10-Q.</w:t>
      </w:r>
    </w:p>
    <w:p>
      <w:pPr>
        <w:spacing w:after="0" w:line="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fourth quarter of 2018, we acquired a 100% interest in Sky through a series of transactions, for total cash consideration of £30.2 billion (approximately $39.4 billion using the exchange rates on the purchase dates). See Note 6 for additional information on the transaction.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Reclassifications have been made to our condensed consolidated financial statements for the prior year periods to conform to classifications used in 2019. See Note 7 for a discussion of the effects of the adoption of new accounting pronouncements on our condensed consolidated financial statements.</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Segment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We present our operations in six reportable business segments: (1) Comcast Cable in one reportable business segment, referred to as Cable Communications;</w:t>
      </w:r>
    </w:p>
    <w:p>
      <w:pPr>
        <w:spacing w:after="0" w:line="46" w:lineRule="exact"/>
        <w:rPr>
          <w:sz w:val="20"/>
          <w:szCs w:val="20"/>
          <w:color w:val="auto"/>
        </w:rPr>
      </w:pPr>
    </w:p>
    <w:p>
      <w:pPr>
        <w:ind w:right="20" w:firstLine="8"/>
        <w:spacing w:after="0" w:line="261" w:lineRule="auto"/>
        <w:tabs>
          <w:tab w:leader="none" w:pos="275" w:val="left"/>
        </w:tabs>
        <w:numPr>
          <w:ilvl w:val="0"/>
          <w:numId w:val="2"/>
        </w:numPr>
        <w:rPr>
          <w:rFonts w:ascii="Arial" w:cs="Arial" w:eastAsia="Arial" w:hAnsi="Arial"/>
          <w:sz w:val="18"/>
          <w:szCs w:val="18"/>
          <w:color w:val="auto"/>
        </w:rPr>
      </w:pPr>
      <w:r>
        <w:rPr>
          <w:rFonts w:ascii="Arial" w:cs="Arial" w:eastAsia="Arial" w:hAnsi="Arial"/>
          <w:sz w:val="18"/>
          <w:szCs w:val="18"/>
          <w:color w:val="auto"/>
        </w:rPr>
        <w:t>NBCUniversal in four reportable business segments: Cable Networks, Broadcast Television, Filmed Entertainment and Theme Parks (collectively, the “NBCUniversal segments”); and (3) Sky in one reportable business segment.</w:t>
      </w:r>
    </w:p>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Cable Communications segment consists of the operations of Comcast Cable, which is one of the nation’s largest providers of high-speed internet, video, voice, wireless, and security and automation services (“cable services”) to residential customers under the Xfinity brand; we also provide these and other services to business customers and sell advertising.</w:t>
      </w:r>
    </w:p>
    <w:p>
      <w:pPr>
        <w:spacing w:after="0" w:line="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Cable Networks segment consists primarily of our national cable networks that provide a variety of entertainment, news and information, and sports content; our regional sports and news networks; our international cable networks; our cable television studio production operations and various digital properties.</w:t>
      </w:r>
    </w:p>
    <w:p>
      <w:pPr>
        <w:spacing w:after="0" w:line="33"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Our Broadcast Television segment consists primarily of the NBC and Telemundo broadcast networks, our NBC and Telemundo owned local broadcast television stations, the NBC Universo national cable network, our broadcast television studio production operations, and various digital properties.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Filmed Entertainment segment consists primarily of the operations of Universal Pictures, which produces, acquires, markets and distributes filmed entertainment worldwide; our films are also produced under the Illumination, DreamWorks Animation and Focus Features names.</w:t>
      </w:r>
    </w:p>
    <w:p>
      <w:pPr>
        <w:spacing w:after="0" w:line="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Theme Parks segment consists primarily of our Universal theme parks in Orlando, Florida; Hollywood, California; and Osaka, Japan. In addition, along with a consortium of Chinese state-owned companies, we are developing a Universal theme park and resort in Beijing, China.</w:t>
      </w:r>
    </w:p>
    <w:p>
      <w:pPr>
        <w:spacing w:after="0" w:line="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Sky segment consists of the operations of Sky, one of Europe’s leading entertainment companies, which primarily includes a direct-to-consumer business, providing video, high-speed internet, voice and wireless phone services, and a content business, operating entertainment networks, the Sky News broadcast network and Sky Sports networks.</w:t>
      </w:r>
    </w:p>
    <w:p>
      <w:pPr>
        <w:spacing w:after="0" w:line="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Adjusted EBITDA to evaluate the profitability of our operating segments and the components of net income attributable to Comcast Corporation excluded from Adjusted EBITDA are not separately evaluated. Beginning in the first quarter of 2019, Comcast Cable’s wireless phone service and certain other Cable-related business development initiatives are now presented in the Cable Communications segment. Results were previously presented in Corporate and Other. Prior periods have been adjusted to reflect this presentation. To be consistent with our current management reporting presentation, certain 2018 operating results were reclassified related to certain NBCUniversal businesses now presented in the Sky segment. Our financial data by business segment is presented in the tables below.</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5"/>
          </w:tcPr>
          <w:p>
            <w:pPr>
              <w:jc w:val="center"/>
              <w:ind w:right="93"/>
              <w:spacing w:after="0"/>
              <w:rPr>
                <w:sz w:val="20"/>
                <w:szCs w:val="20"/>
                <w:color w:val="auto"/>
              </w:rPr>
            </w:pPr>
            <w:r>
              <w:rPr>
                <w:rFonts w:ascii="Arial" w:cs="Arial" w:eastAsia="Arial" w:hAnsi="Arial"/>
                <w:sz w:val="14"/>
                <w:szCs w:val="14"/>
                <w:color w:val="auto"/>
                <w:w w:val="91"/>
              </w:rPr>
              <w:t>Three Months Ended September 30, 2019</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56"/>
        </w:trPr>
        <w:tc>
          <w:tcPr>
            <w:tcW w:w="4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center"/>
              <w:ind w:right="113"/>
              <w:spacing w:after="0" w:line="157" w:lineRule="exact"/>
              <w:rPr>
                <w:sz w:val="20"/>
                <w:szCs w:val="20"/>
                <w:color w:val="auto"/>
              </w:rPr>
            </w:pPr>
            <w:r>
              <w:rPr>
                <w:rFonts w:ascii="Arial" w:cs="Arial" w:eastAsia="Arial" w:hAnsi="Arial"/>
                <w:sz w:val="14"/>
                <w:szCs w:val="14"/>
                <w:color w:val="auto"/>
                <w:w w:val="95"/>
              </w:rPr>
              <w:t>Adjusted</w:t>
            </w:r>
          </w:p>
        </w:tc>
        <w:tc>
          <w:tcPr>
            <w:tcW w:w="160" w:type="dxa"/>
            <w:vAlign w:val="bottom"/>
          </w:tcPr>
          <w:p>
            <w:pPr>
              <w:spacing w:after="0"/>
              <w:rPr>
                <w:sz w:val="13"/>
                <w:szCs w:val="13"/>
                <w:color w:val="auto"/>
              </w:rPr>
            </w:pPr>
          </w:p>
        </w:tc>
        <w:tc>
          <w:tcPr>
            <w:tcW w:w="1160" w:type="dxa"/>
            <w:vAlign w:val="bottom"/>
          </w:tcPr>
          <w:p>
            <w:pPr>
              <w:jc w:val="center"/>
              <w:ind w:right="33"/>
              <w:spacing w:after="0" w:line="157" w:lineRule="exact"/>
              <w:rPr>
                <w:sz w:val="20"/>
                <w:szCs w:val="20"/>
                <w:color w:val="auto"/>
              </w:rPr>
            </w:pPr>
            <w:r>
              <w:rPr>
                <w:rFonts w:ascii="Arial" w:cs="Arial" w:eastAsia="Arial" w:hAnsi="Arial"/>
                <w:sz w:val="14"/>
                <w:szCs w:val="14"/>
                <w:color w:val="auto"/>
                <w:w w:val="94"/>
              </w:rPr>
              <w:t>Depreciation and</w:t>
            </w:r>
          </w:p>
        </w:tc>
        <w:tc>
          <w:tcPr>
            <w:tcW w:w="220" w:type="dxa"/>
            <w:vAlign w:val="bottom"/>
          </w:tcPr>
          <w:p>
            <w:pPr>
              <w:spacing w:after="0"/>
              <w:rPr>
                <w:sz w:val="13"/>
                <w:szCs w:val="13"/>
                <w:color w:val="auto"/>
              </w:rPr>
            </w:pPr>
          </w:p>
        </w:tc>
        <w:tc>
          <w:tcPr>
            <w:tcW w:w="1040" w:type="dxa"/>
            <w:vAlign w:val="bottom"/>
          </w:tcPr>
          <w:p>
            <w:pPr>
              <w:jc w:val="center"/>
              <w:ind w:right="53"/>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20" w:type="dxa"/>
            <w:vAlign w:val="bottom"/>
          </w:tcPr>
          <w:p>
            <w:pPr>
              <w:jc w:val="center"/>
              <w:ind w:right="52"/>
              <w:spacing w:after="0" w:line="157" w:lineRule="exact"/>
              <w:rPr>
                <w:sz w:val="20"/>
                <w:szCs w:val="20"/>
                <w:color w:val="auto"/>
              </w:rPr>
            </w:pPr>
            <w:r>
              <w:rPr>
                <w:rFonts w:ascii="Arial" w:cs="Arial" w:eastAsia="Arial" w:hAnsi="Arial"/>
                <w:sz w:val="14"/>
                <w:szCs w:val="14"/>
                <w:color w:val="auto"/>
                <w:w w:val="91"/>
              </w:rPr>
              <w:t>Cash Paid for</w:t>
            </w:r>
          </w:p>
        </w:tc>
        <w:tc>
          <w:tcPr>
            <w:tcW w:w="20" w:type="dxa"/>
            <w:vAlign w:val="bottom"/>
          </w:tcPr>
          <w:p>
            <w:pPr>
              <w:spacing w:after="0"/>
              <w:rPr>
                <w:sz w:val="13"/>
                <w:szCs w:val="13"/>
                <w:color w:val="auto"/>
              </w:rPr>
            </w:pPr>
          </w:p>
        </w:tc>
      </w:tr>
      <w:tr>
        <w:trPr>
          <w:trHeight w:val="188"/>
        </w:trPr>
        <w:tc>
          <w:tcPr>
            <w:tcW w:w="40" w:type="dxa"/>
            <w:vAlign w:val="bottom"/>
          </w:tcPr>
          <w:p>
            <w:pPr>
              <w:spacing w:after="0"/>
              <w:rPr>
                <w:sz w:val="16"/>
                <w:szCs w:val="16"/>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Revenue</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color w:val="auto"/>
              </w:rPr>
              <w:t>EBITDA</w:t>
            </w:r>
            <w:r>
              <w:rPr>
                <w:rFonts w:ascii="Arial" w:cs="Arial" w:eastAsia="Arial" w:hAnsi="Arial"/>
                <w:sz w:val="12"/>
                <w:szCs w:val="12"/>
                <w:color w:val="auto"/>
              </w:rPr>
              <w:t>(d)</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7"/>
              </w:rPr>
              <w:t>Amortization</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92"/>
              </w:rPr>
              <w:t>Expenditures</w:t>
            </w: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Intangible Assets</w:t>
            </w:r>
          </w:p>
        </w:tc>
        <w:tc>
          <w:tcPr>
            <w:tcW w:w="20" w:type="dxa"/>
            <w:vAlign w:val="bottom"/>
          </w:tcPr>
          <w:p>
            <w:pPr>
              <w:spacing w:after="0"/>
              <w:rPr>
                <w:sz w:val="16"/>
                <w:szCs w:val="16"/>
                <w:color w:val="auto"/>
              </w:rPr>
            </w:pPr>
          </w:p>
        </w:tc>
      </w:tr>
      <w:tr>
        <w:trPr>
          <w:trHeight w:val="243"/>
        </w:trPr>
        <w:tc>
          <w:tcPr>
            <w:tcW w:w="40" w:type="dxa"/>
            <w:vAlign w:val="bottom"/>
          </w:tcPr>
          <w:p>
            <w:pPr>
              <w:spacing w:after="0"/>
              <w:rPr>
                <w:sz w:val="21"/>
                <w:szCs w:val="21"/>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Cable Communications</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14,584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5,801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1,814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336</w:t>
            </w:r>
          </w:p>
        </w:tc>
        <w:tc>
          <w:tcPr>
            <w:tcW w:w="20" w:type="dxa"/>
            <w:vAlign w:val="bottom"/>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NBCUniversal</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88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2,771</w:t>
            </w:r>
          </w:p>
        </w:tc>
        <w:tc>
          <w:tcPr>
            <w:tcW w:w="30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955</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184</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88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2,230</w:t>
            </w:r>
          </w:p>
        </w:tc>
        <w:tc>
          <w:tcPr>
            <w:tcW w:w="30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338</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88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1,706</w:t>
            </w:r>
          </w:p>
        </w:tc>
        <w:tc>
          <w:tcPr>
            <w:tcW w:w="30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88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1,631</w:t>
            </w:r>
          </w:p>
        </w:tc>
        <w:tc>
          <w:tcPr>
            <w:tcW w:w="30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731</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182</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3"/>
                <w:szCs w:val="23"/>
                <w:color w:val="auto"/>
              </w:rPr>
            </w:pPr>
          </w:p>
        </w:tc>
      </w:tr>
      <w:tr>
        <w:trPr>
          <w:trHeight w:val="310"/>
        </w:trPr>
        <w:tc>
          <w:tcPr>
            <w:tcW w:w="40" w:type="dxa"/>
            <w:vAlign w:val="bottom"/>
          </w:tcPr>
          <w:p>
            <w:pPr>
              <w:spacing w:after="0"/>
              <w:rPr>
                <w:sz w:val="24"/>
                <w:szCs w:val="24"/>
                <w:color w:val="auto"/>
              </w:rPr>
            </w:pPr>
          </w:p>
        </w:tc>
        <w:tc>
          <w:tcPr>
            <w:tcW w:w="4880" w:type="dxa"/>
            <w:vAlign w:val="bottom"/>
          </w:tcPr>
          <w:p>
            <w:pPr>
              <w:ind w:left="38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4"/>
                <w:szCs w:val="24"/>
                <w:color w:val="auto"/>
              </w:rPr>
            </w:pPr>
          </w:p>
        </w:tc>
      </w:tr>
      <w:tr>
        <w:trPr>
          <w:trHeight w:val="257"/>
        </w:trPr>
        <w:tc>
          <w:tcPr>
            <w:tcW w:w="40" w:type="dxa"/>
            <w:vAlign w:val="bottom"/>
          </w:tcPr>
          <w:p>
            <w:pPr>
              <w:spacing w:after="0"/>
              <w:rPr>
                <w:sz w:val="22"/>
                <w:szCs w:val="22"/>
                <w:color w:val="auto"/>
              </w:rPr>
            </w:pPr>
          </w:p>
        </w:tc>
        <w:tc>
          <w:tcPr>
            <w:tcW w:w="4880" w:type="dxa"/>
            <w:vAlign w:val="bottom"/>
            <w:tcBorders>
              <w:bottom w:val="single" w:sz="8" w:color="auto"/>
            </w:tcBorders>
          </w:tcPr>
          <w:p>
            <w:pPr>
              <w:ind w:left="38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173"/>
              <w:spacing w:after="0"/>
              <w:rPr>
                <w:sz w:val="20"/>
                <w:szCs w:val="20"/>
                <w:color w:val="auto"/>
              </w:rPr>
            </w:pPr>
            <w:r>
              <w:rPr>
                <w:rFonts w:ascii="Arial" w:cs="Arial" w:eastAsia="Arial" w:hAnsi="Arial"/>
                <w:sz w:val="18"/>
                <w:szCs w:val="18"/>
                <w:color w:val="auto"/>
              </w:rPr>
              <w:t>(64)</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37"/>
        </w:trPr>
        <w:tc>
          <w:tcPr>
            <w:tcW w:w="4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NBCUniversal</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8,295</w:t>
            </w:r>
          </w:p>
        </w:tc>
        <w:tc>
          <w:tcPr>
            <w:tcW w:w="30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2,091</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537</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505</w:t>
            </w:r>
          </w:p>
        </w:tc>
        <w:tc>
          <w:tcPr>
            <w:tcW w:w="16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Sky</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4,554</w:t>
            </w:r>
          </w:p>
        </w:tc>
        <w:tc>
          <w:tcPr>
            <w:tcW w:w="30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899</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644</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23"/>
                <w:szCs w:val="23"/>
                <w:color w:val="auto"/>
              </w:rPr>
            </w:pPr>
          </w:p>
        </w:tc>
      </w:tr>
      <w:tr>
        <w:trPr>
          <w:trHeight w:val="310"/>
        </w:trPr>
        <w:tc>
          <w:tcPr>
            <w:tcW w:w="4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(c)</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r>
      <w:tr>
        <w:trPr>
          <w:trHeight w:val="257"/>
        </w:trPr>
        <w:tc>
          <w:tcPr>
            <w:tcW w:w="40" w:type="dxa"/>
            <w:vAlign w:val="bottom"/>
          </w:tcPr>
          <w:p>
            <w:pPr>
              <w:spacing w:after="0"/>
              <w:rPr>
                <w:sz w:val="22"/>
                <w:szCs w:val="22"/>
                <w:color w:val="auto"/>
              </w:rPr>
            </w:pPr>
          </w:p>
        </w:tc>
        <w:tc>
          <w:tcPr>
            <w:tcW w:w="4880" w:type="dxa"/>
            <w:vAlign w:val="bottom"/>
            <w:tcBorders>
              <w:bottom w:val="single" w:sz="8" w:color="auto"/>
            </w:tcBorders>
          </w:tcPr>
          <w:p>
            <w:pPr>
              <w:ind w:left="2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173"/>
              <w:spacing w:after="0"/>
              <w:rPr>
                <w:sz w:val="20"/>
                <w:szCs w:val="20"/>
                <w:color w:val="auto"/>
              </w:rPr>
            </w:pPr>
            <w:r>
              <w:rPr>
                <w:rFonts w:ascii="Arial" w:cs="Arial" w:eastAsia="Arial" w:hAnsi="Arial"/>
                <w:sz w:val="18"/>
                <w:szCs w:val="18"/>
                <w:color w:val="auto"/>
              </w:rPr>
              <w:t>(648)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37"/>
        </w:trPr>
        <w:tc>
          <w:tcPr>
            <w:tcW w:w="4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Comcast Consolidated</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26,827</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b w:val="1"/>
                <w:bCs w:val="1"/>
                <w:color w:val="auto"/>
              </w:rPr>
              <w:t>8,553</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3,180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2,511</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rPr>
              <w:t>608</w:t>
            </w:r>
          </w:p>
        </w:tc>
        <w:tc>
          <w:tcPr>
            <w:tcW w:w="20" w:type="dxa"/>
            <w:vAlign w:val="bottom"/>
          </w:tcPr>
          <w:p>
            <w:pPr>
              <w:spacing w:after="0"/>
              <w:rPr>
                <w:sz w:val="20"/>
                <w:szCs w:val="20"/>
                <w:color w:val="auto"/>
              </w:rPr>
            </w:pPr>
          </w:p>
        </w:tc>
      </w:tr>
      <w:tr>
        <w:trPr>
          <w:trHeight w:val="34"/>
        </w:trPr>
        <w:tc>
          <w:tcPr>
            <w:tcW w:w="4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399"/>
        </w:trPr>
        <w:tc>
          <w:tcPr>
            <w:tcW w:w="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5"/>
          </w:tcPr>
          <w:p>
            <w:pPr>
              <w:jc w:val="center"/>
              <w:ind w:right="93"/>
              <w:spacing w:after="0"/>
              <w:rPr>
                <w:sz w:val="20"/>
                <w:szCs w:val="20"/>
                <w:color w:val="auto"/>
              </w:rPr>
            </w:pPr>
            <w:r>
              <w:rPr>
                <w:rFonts w:ascii="Arial" w:cs="Arial" w:eastAsia="Arial" w:hAnsi="Arial"/>
                <w:sz w:val="14"/>
                <w:szCs w:val="14"/>
                <w:color w:val="auto"/>
                <w:w w:val="91"/>
              </w:rPr>
              <w:t>Three Months Ended September 30, 2018</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4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center"/>
              <w:ind w:right="113"/>
              <w:spacing w:after="0" w:line="157" w:lineRule="exact"/>
              <w:rPr>
                <w:sz w:val="20"/>
                <w:szCs w:val="20"/>
                <w:color w:val="auto"/>
              </w:rPr>
            </w:pPr>
            <w:r>
              <w:rPr>
                <w:rFonts w:ascii="Arial" w:cs="Arial" w:eastAsia="Arial" w:hAnsi="Arial"/>
                <w:sz w:val="14"/>
                <w:szCs w:val="14"/>
                <w:color w:val="auto"/>
                <w:w w:val="95"/>
              </w:rPr>
              <w:t>Adjusted</w:t>
            </w:r>
          </w:p>
        </w:tc>
        <w:tc>
          <w:tcPr>
            <w:tcW w:w="160" w:type="dxa"/>
            <w:vAlign w:val="bottom"/>
          </w:tcPr>
          <w:p>
            <w:pPr>
              <w:spacing w:after="0"/>
              <w:rPr>
                <w:sz w:val="13"/>
                <w:szCs w:val="13"/>
                <w:color w:val="auto"/>
              </w:rPr>
            </w:pPr>
          </w:p>
        </w:tc>
        <w:tc>
          <w:tcPr>
            <w:tcW w:w="1160" w:type="dxa"/>
            <w:vAlign w:val="bottom"/>
          </w:tcPr>
          <w:p>
            <w:pPr>
              <w:jc w:val="center"/>
              <w:ind w:right="33"/>
              <w:spacing w:after="0" w:line="157" w:lineRule="exact"/>
              <w:rPr>
                <w:sz w:val="20"/>
                <w:szCs w:val="20"/>
                <w:color w:val="auto"/>
              </w:rPr>
            </w:pPr>
            <w:r>
              <w:rPr>
                <w:rFonts w:ascii="Arial" w:cs="Arial" w:eastAsia="Arial" w:hAnsi="Arial"/>
                <w:sz w:val="14"/>
                <w:szCs w:val="14"/>
                <w:color w:val="auto"/>
                <w:w w:val="94"/>
              </w:rPr>
              <w:t>Depreciation and</w:t>
            </w:r>
          </w:p>
        </w:tc>
        <w:tc>
          <w:tcPr>
            <w:tcW w:w="220" w:type="dxa"/>
            <w:vAlign w:val="bottom"/>
          </w:tcPr>
          <w:p>
            <w:pPr>
              <w:spacing w:after="0"/>
              <w:rPr>
                <w:sz w:val="13"/>
                <w:szCs w:val="13"/>
                <w:color w:val="auto"/>
              </w:rPr>
            </w:pPr>
          </w:p>
        </w:tc>
        <w:tc>
          <w:tcPr>
            <w:tcW w:w="1040" w:type="dxa"/>
            <w:vAlign w:val="bottom"/>
          </w:tcPr>
          <w:p>
            <w:pPr>
              <w:jc w:val="center"/>
              <w:ind w:right="53"/>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20" w:type="dxa"/>
            <w:vAlign w:val="bottom"/>
          </w:tcPr>
          <w:p>
            <w:pPr>
              <w:jc w:val="center"/>
              <w:ind w:right="52"/>
              <w:spacing w:after="0" w:line="157" w:lineRule="exact"/>
              <w:rPr>
                <w:sz w:val="20"/>
                <w:szCs w:val="20"/>
                <w:color w:val="auto"/>
              </w:rPr>
            </w:pPr>
            <w:r>
              <w:rPr>
                <w:rFonts w:ascii="Arial" w:cs="Arial" w:eastAsia="Arial" w:hAnsi="Arial"/>
                <w:sz w:val="14"/>
                <w:szCs w:val="14"/>
                <w:color w:val="auto"/>
                <w:w w:val="91"/>
              </w:rPr>
              <w:t>Cash Paid for</w:t>
            </w:r>
          </w:p>
        </w:tc>
        <w:tc>
          <w:tcPr>
            <w:tcW w:w="20" w:type="dxa"/>
            <w:vAlign w:val="bottom"/>
          </w:tcPr>
          <w:p>
            <w:pPr>
              <w:spacing w:after="0"/>
              <w:rPr>
                <w:sz w:val="13"/>
                <w:szCs w:val="13"/>
                <w:color w:val="auto"/>
              </w:rPr>
            </w:pPr>
          </w:p>
        </w:tc>
      </w:tr>
      <w:tr>
        <w:trPr>
          <w:trHeight w:val="188"/>
        </w:trPr>
        <w:tc>
          <w:tcPr>
            <w:tcW w:w="40" w:type="dxa"/>
            <w:vAlign w:val="bottom"/>
          </w:tcPr>
          <w:p>
            <w:pPr>
              <w:spacing w:after="0"/>
              <w:rPr>
                <w:sz w:val="16"/>
                <w:szCs w:val="16"/>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Revenue</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color w:val="auto"/>
              </w:rPr>
              <w:t>EBITDA</w:t>
            </w:r>
            <w:r>
              <w:rPr>
                <w:rFonts w:ascii="Arial" w:cs="Arial" w:eastAsia="Arial" w:hAnsi="Arial"/>
                <w:sz w:val="12"/>
                <w:szCs w:val="12"/>
                <w:color w:val="auto"/>
              </w:rPr>
              <w:t>(d)</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7"/>
              </w:rPr>
              <w:t>Amortization</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92"/>
              </w:rPr>
              <w:t>Expenditures</w:t>
            </w: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Intangible Assets</w:t>
            </w:r>
          </w:p>
        </w:tc>
        <w:tc>
          <w:tcPr>
            <w:tcW w:w="20" w:type="dxa"/>
            <w:vAlign w:val="bottom"/>
          </w:tcPr>
          <w:p>
            <w:pPr>
              <w:spacing w:after="0"/>
              <w:rPr>
                <w:sz w:val="16"/>
                <w:szCs w:val="16"/>
                <w:color w:val="auto"/>
              </w:rPr>
            </w:pPr>
          </w:p>
        </w:tc>
      </w:tr>
      <w:tr>
        <w:trPr>
          <w:trHeight w:val="243"/>
        </w:trPr>
        <w:tc>
          <w:tcPr>
            <w:tcW w:w="40" w:type="dxa"/>
            <w:vAlign w:val="bottom"/>
          </w:tcPr>
          <w:p>
            <w:pPr>
              <w:spacing w:after="0"/>
              <w:rPr>
                <w:sz w:val="21"/>
                <w:szCs w:val="21"/>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Cable Communications</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14,023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5,434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2,077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1,945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367</w:t>
            </w:r>
          </w:p>
        </w:tc>
        <w:tc>
          <w:tcPr>
            <w:tcW w:w="20" w:type="dxa"/>
            <w:vAlign w:val="bottom"/>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NBCUniversal</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88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2,850</w:t>
            </w:r>
          </w:p>
        </w:tc>
        <w:tc>
          <w:tcPr>
            <w:tcW w:w="30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959</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88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2,452</w:t>
            </w:r>
          </w:p>
        </w:tc>
        <w:tc>
          <w:tcPr>
            <w:tcW w:w="30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88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1,819</w:t>
            </w:r>
          </w:p>
        </w:tc>
        <w:tc>
          <w:tcPr>
            <w:tcW w:w="30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214</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88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1,528</w:t>
            </w:r>
          </w:p>
        </w:tc>
        <w:tc>
          <w:tcPr>
            <w:tcW w:w="30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725</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269</w:t>
            </w:r>
          </w:p>
        </w:tc>
        <w:tc>
          <w:tcPr>
            <w:tcW w:w="16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3"/>
                <w:szCs w:val="23"/>
                <w:color w:val="auto"/>
              </w:rPr>
            </w:pPr>
          </w:p>
        </w:tc>
      </w:tr>
      <w:tr>
        <w:trPr>
          <w:trHeight w:val="310"/>
        </w:trPr>
        <w:tc>
          <w:tcPr>
            <w:tcW w:w="40" w:type="dxa"/>
            <w:vAlign w:val="bottom"/>
          </w:tcPr>
          <w:p>
            <w:pPr>
              <w:spacing w:after="0"/>
              <w:rPr>
                <w:sz w:val="24"/>
                <w:szCs w:val="24"/>
                <w:color w:val="auto"/>
              </w:rPr>
            </w:pPr>
          </w:p>
        </w:tc>
        <w:tc>
          <w:tcPr>
            <w:tcW w:w="4880" w:type="dxa"/>
            <w:vAlign w:val="bottom"/>
          </w:tcPr>
          <w:p>
            <w:pPr>
              <w:ind w:left="38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4"/>
                <w:szCs w:val="24"/>
                <w:color w:val="auto"/>
              </w:rPr>
            </w:pPr>
          </w:p>
        </w:tc>
      </w:tr>
      <w:tr>
        <w:trPr>
          <w:trHeight w:val="257"/>
        </w:trPr>
        <w:tc>
          <w:tcPr>
            <w:tcW w:w="40" w:type="dxa"/>
            <w:vAlign w:val="bottom"/>
          </w:tcPr>
          <w:p>
            <w:pPr>
              <w:spacing w:after="0"/>
              <w:rPr>
                <w:sz w:val="22"/>
                <w:szCs w:val="22"/>
                <w:color w:val="auto"/>
              </w:rPr>
            </w:pPr>
          </w:p>
        </w:tc>
        <w:tc>
          <w:tcPr>
            <w:tcW w:w="4880" w:type="dxa"/>
            <w:vAlign w:val="bottom"/>
            <w:tcBorders>
              <w:bottom w:val="single" w:sz="8" w:color="auto"/>
            </w:tcBorders>
          </w:tcPr>
          <w:p>
            <w:pPr>
              <w:ind w:left="38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173"/>
              <w:spacing w:after="0"/>
              <w:rPr>
                <w:sz w:val="20"/>
                <w:szCs w:val="20"/>
                <w:color w:val="auto"/>
              </w:rPr>
            </w:pPr>
            <w:r>
              <w:rPr>
                <w:rFonts w:ascii="Arial" w:cs="Arial" w:eastAsia="Arial" w:hAnsi="Arial"/>
                <w:sz w:val="18"/>
                <w:szCs w:val="18"/>
                <w:color w:val="auto"/>
              </w:rPr>
              <w:t>(68)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37"/>
        </w:trPr>
        <w:tc>
          <w:tcPr>
            <w:tcW w:w="4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NBCUniversal</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8,596</w:t>
            </w:r>
          </w:p>
        </w:tc>
        <w:tc>
          <w:tcPr>
            <w:tcW w:w="30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2,057</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514</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405</w:t>
            </w:r>
          </w:p>
        </w:tc>
        <w:tc>
          <w:tcPr>
            <w:tcW w:w="16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0"/>
                <w:szCs w:val="20"/>
                <w:color w:val="auto"/>
              </w:rPr>
            </w:pPr>
          </w:p>
        </w:tc>
      </w:tr>
      <w:tr>
        <w:trPr>
          <w:trHeight w:val="310"/>
        </w:trPr>
        <w:tc>
          <w:tcPr>
            <w:tcW w:w="4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(c)</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57"/>
        </w:trPr>
        <w:tc>
          <w:tcPr>
            <w:tcW w:w="40" w:type="dxa"/>
            <w:vAlign w:val="bottom"/>
          </w:tcPr>
          <w:p>
            <w:pPr>
              <w:spacing w:after="0"/>
              <w:rPr>
                <w:sz w:val="22"/>
                <w:szCs w:val="22"/>
                <w:color w:val="auto"/>
              </w:rPr>
            </w:pPr>
          </w:p>
        </w:tc>
        <w:tc>
          <w:tcPr>
            <w:tcW w:w="4880" w:type="dxa"/>
            <w:vAlign w:val="bottom"/>
            <w:tcBorders>
              <w:bottom w:val="single" w:sz="8" w:color="auto"/>
            </w:tcBorders>
          </w:tcPr>
          <w:p>
            <w:pPr>
              <w:ind w:left="2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173"/>
              <w:spacing w:after="0"/>
              <w:rPr>
                <w:sz w:val="20"/>
                <w:szCs w:val="20"/>
                <w:color w:val="auto"/>
              </w:rPr>
            </w:pPr>
            <w:r>
              <w:rPr>
                <w:rFonts w:ascii="Arial" w:cs="Arial" w:eastAsia="Arial" w:hAnsi="Arial"/>
                <w:sz w:val="18"/>
                <w:szCs w:val="18"/>
                <w:color w:val="auto"/>
              </w:rPr>
              <w:t>(557)</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37"/>
        </w:trPr>
        <w:tc>
          <w:tcPr>
            <w:tcW w:w="4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Comcast Consolidated</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22,135</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b w:val="1"/>
                <w:bCs w:val="1"/>
                <w:color w:val="auto"/>
              </w:rPr>
              <w:t>7,313</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2,618</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2,384</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rPr>
              <w:t>445</w:t>
            </w:r>
          </w:p>
        </w:tc>
        <w:tc>
          <w:tcPr>
            <w:tcW w:w="20" w:type="dxa"/>
            <w:vAlign w:val="bottom"/>
          </w:tcPr>
          <w:p>
            <w:pPr>
              <w:spacing w:after="0"/>
              <w:rPr>
                <w:sz w:val="20"/>
                <w:szCs w:val="20"/>
                <w:color w:val="auto"/>
              </w:rPr>
            </w:pPr>
          </w:p>
        </w:tc>
      </w:tr>
      <w:tr>
        <w:trPr>
          <w:trHeight w:val="34"/>
        </w:trPr>
        <w:tc>
          <w:tcPr>
            <w:tcW w:w="4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386"/>
        </w:trPr>
        <w:tc>
          <w:tcPr>
            <w:tcW w:w="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5"/>
          </w:tcPr>
          <w:p>
            <w:pPr>
              <w:jc w:val="right"/>
              <w:ind w:right="673"/>
              <w:spacing w:after="0"/>
              <w:rPr>
                <w:sz w:val="20"/>
                <w:szCs w:val="20"/>
                <w:color w:val="auto"/>
              </w:rPr>
            </w:pPr>
            <w:r>
              <w:rPr>
                <w:rFonts w:ascii="Arial" w:cs="Arial" w:eastAsia="Arial" w:hAnsi="Arial"/>
                <w:sz w:val="14"/>
                <w:szCs w:val="14"/>
                <w:color w:val="auto"/>
              </w:rPr>
              <w:t>Nine Months Ended September 30, 2019</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56"/>
        </w:trPr>
        <w:tc>
          <w:tcPr>
            <w:tcW w:w="4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13"/>
              <w:spacing w:after="0" w:line="157" w:lineRule="exact"/>
              <w:rPr>
                <w:sz w:val="20"/>
                <w:szCs w:val="20"/>
                <w:color w:val="auto"/>
              </w:rPr>
            </w:pPr>
            <w:r>
              <w:rPr>
                <w:rFonts w:ascii="Arial" w:cs="Arial" w:eastAsia="Arial" w:hAnsi="Arial"/>
                <w:sz w:val="14"/>
                <w:szCs w:val="14"/>
                <w:color w:val="auto"/>
                <w:w w:val="92"/>
              </w:rPr>
              <w:t>Depreciation and</w:t>
            </w:r>
          </w:p>
        </w:tc>
        <w:tc>
          <w:tcPr>
            <w:tcW w:w="220" w:type="dxa"/>
            <w:vAlign w:val="bottom"/>
          </w:tcPr>
          <w:p>
            <w:pPr>
              <w:spacing w:after="0"/>
              <w:rPr>
                <w:sz w:val="13"/>
                <w:szCs w:val="13"/>
                <w:color w:val="auto"/>
              </w:rPr>
            </w:pPr>
          </w:p>
        </w:tc>
        <w:tc>
          <w:tcPr>
            <w:tcW w:w="1040" w:type="dxa"/>
            <w:vAlign w:val="bottom"/>
          </w:tcPr>
          <w:p>
            <w:pPr>
              <w:jc w:val="center"/>
              <w:ind w:right="53"/>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20" w:type="dxa"/>
            <w:vAlign w:val="bottom"/>
          </w:tcPr>
          <w:p>
            <w:pPr>
              <w:jc w:val="right"/>
              <w:ind w:right="132"/>
              <w:spacing w:after="0" w:line="157" w:lineRule="exact"/>
              <w:rPr>
                <w:sz w:val="20"/>
                <w:szCs w:val="20"/>
                <w:color w:val="auto"/>
              </w:rPr>
            </w:pPr>
            <w:r>
              <w:rPr>
                <w:rFonts w:ascii="Arial" w:cs="Arial" w:eastAsia="Arial" w:hAnsi="Arial"/>
                <w:sz w:val="14"/>
                <w:szCs w:val="14"/>
                <w:color w:val="auto"/>
              </w:rPr>
              <w:t>Cash Paid for</w:t>
            </w:r>
          </w:p>
        </w:tc>
        <w:tc>
          <w:tcPr>
            <w:tcW w:w="20" w:type="dxa"/>
            <w:vAlign w:val="bottom"/>
          </w:tcPr>
          <w:p>
            <w:pPr>
              <w:spacing w:after="0"/>
              <w:rPr>
                <w:sz w:val="13"/>
                <w:szCs w:val="13"/>
                <w:color w:val="auto"/>
              </w:rPr>
            </w:pPr>
          </w:p>
        </w:tc>
      </w:tr>
      <w:tr>
        <w:trPr>
          <w:trHeight w:val="188"/>
        </w:trPr>
        <w:tc>
          <w:tcPr>
            <w:tcW w:w="4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w w:val="99"/>
              </w:rPr>
              <w:t>Revenue</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Adjusted EBITDA</w:t>
            </w:r>
            <w:r>
              <w:rPr>
                <w:rFonts w:ascii="Arial" w:cs="Arial" w:eastAsia="Arial" w:hAnsi="Arial"/>
                <w:sz w:val="12"/>
                <w:szCs w:val="12"/>
                <w:color w:val="auto"/>
              </w:rPr>
              <w:t>(d)</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7"/>
              </w:rPr>
              <w:t>Amortization</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1"/>
              </w:rPr>
              <w:t>Intangible Assets</w:t>
            </w:r>
          </w:p>
        </w:tc>
        <w:tc>
          <w:tcPr>
            <w:tcW w:w="20" w:type="dxa"/>
            <w:vAlign w:val="bottom"/>
            <w:tcBorders>
              <w:bottom w:val="single" w:sz="8" w:color="auto"/>
            </w:tcBorders>
          </w:tcPr>
          <w:p>
            <w:pPr>
              <w:spacing w:after="0"/>
              <w:rPr>
                <w:sz w:val="16"/>
                <w:szCs w:val="16"/>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Cable Communications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43,314</w:t>
            </w:r>
          </w:p>
        </w:tc>
        <w:tc>
          <w:tcPr>
            <w:tcW w:w="300" w:type="dxa"/>
            <w:vAlign w:val="bottom"/>
          </w:tcPr>
          <w:p>
            <w:pPr>
              <w:jc w:val="right"/>
              <w:ind w:right="113"/>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17,383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6,038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4,771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962</w:t>
            </w:r>
          </w:p>
        </w:tc>
        <w:tc>
          <w:tcPr>
            <w:tcW w:w="20" w:type="dxa"/>
            <w:vAlign w:val="bottom"/>
          </w:tcPr>
          <w:p>
            <w:pPr>
              <w:spacing w:after="0"/>
              <w:rPr>
                <w:sz w:val="21"/>
                <w:szCs w:val="21"/>
                <w:color w:val="auto"/>
              </w:rPr>
            </w:pPr>
          </w:p>
        </w:tc>
      </w:tr>
      <w:tr>
        <w:trPr>
          <w:trHeight w:val="270"/>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NBCUniversal</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Cable Networks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8,586</w:t>
            </w:r>
          </w:p>
        </w:tc>
        <w:tc>
          <w:tcPr>
            <w:tcW w:w="30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3,418</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549</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Broadcast Television</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7,099</w:t>
            </w:r>
          </w:p>
        </w:tc>
        <w:tc>
          <w:tcPr>
            <w:tcW w:w="30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1,259</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Filmed Entertainment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4,931</w:t>
            </w:r>
          </w:p>
        </w:tc>
        <w:tc>
          <w:tcPr>
            <w:tcW w:w="30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742</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Theme Parks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4,371</w:t>
            </w:r>
          </w:p>
        </w:tc>
        <w:tc>
          <w:tcPr>
            <w:tcW w:w="30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1,819</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514</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1,172</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3"/>
                <w:szCs w:val="23"/>
                <w:color w:val="auto"/>
              </w:rPr>
            </w:pPr>
          </w:p>
        </w:tc>
      </w:tr>
      <w:tr>
        <w:trPr>
          <w:trHeight w:val="310"/>
        </w:trPr>
        <w:tc>
          <w:tcPr>
            <w:tcW w:w="40" w:type="dxa"/>
            <w:vAlign w:val="bottom"/>
          </w:tcPr>
          <w:p>
            <w:pPr>
              <w:spacing w:after="0"/>
              <w:rPr>
                <w:sz w:val="24"/>
                <w:szCs w:val="24"/>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(486)</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341</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24"/>
                <w:szCs w:val="24"/>
                <w:color w:val="auto"/>
              </w:rPr>
            </w:pPr>
          </w:p>
        </w:tc>
      </w:tr>
      <w:tr>
        <w:trPr>
          <w:trHeight w:val="257"/>
        </w:trPr>
        <w:tc>
          <w:tcPr>
            <w:tcW w:w="40" w:type="dxa"/>
            <w:vAlign w:val="bottom"/>
            <w:tcBorders>
              <w:bottom w:val="single" w:sz="8" w:color="auto"/>
            </w:tcBorders>
          </w:tcPr>
          <w:p>
            <w:pPr>
              <w:spacing w:after="0"/>
              <w:rPr>
                <w:sz w:val="22"/>
                <w:szCs w:val="22"/>
                <w:color w:val="auto"/>
              </w:rPr>
            </w:pPr>
          </w:p>
        </w:tc>
        <w:tc>
          <w:tcPr>
            <w:tcW w:w="4880" w:type="dxa"/>
            <w:vAlign w:val="bottom"/>
            <w:tcBorders>
              <w:bottom w:val="single" w:sz="8" w:color="auto"/>
            </w:tcBorders>
          </w:tcPr>
          <w:p>
            <w:pPr>
              <w:ind w:left="3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2"/>
                <w:szCs w:val="22"/>
                <w:color w:val="auto"/>
              </w:rPr>
            </w:pPr>
          </w:p>
        </w:tc>
      </w:tr>
      <w:tr>
        <w:trPr>
          <w:trHeight w:val="237"/>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NBCUniversal</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24,814</w:t>
            </w:r>
          </w:p>
        </w:tc>
        <w:tc>
          <w:tcPr>
            <w:tcW w:w="30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6,752</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1,579</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1,431</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20"/>
                <w:szCs w:val="20"/>
                <w:color w:val="auto"/>
              </w:rPr>
            </w:pPr>
          </w:p>
        </w:tc>
      </w:tr>
      <w:tr>
        <w:trPr>
          <w:trHeight w:val="270"/>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Sky</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14,179</w:t>
            </w:r>
          </w:p>
        </w:tc>
        <w:tc>
          <w:tcPr>
            <w:tcW w:w="30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2,334</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2,058</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540</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491</w:t>
            </w:r>
          </w:p>
        </w:tc>
        <w:tc>
          <w:tcPr>
            <w:tcW w:w="20" w:type="dxa"/>
            <w:vAlign w:val="bottom"/>
          </w:tcPr>
          <w:p>
            <w:pPr>
              <w:spacing w:after="0"/>
              <w:rPr>
                <w:sz w:val="23"/>
                <w:szCs w:val="23"/>
                <w:color w:val="auto"/>
              </w:rPr>
            </w:pPr>
          </w:p>
        </w:tc>
      </w:tr>
      <w:tr>
        <w:trPr>
          <w:trHeight w:val="310"/>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(c)</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206</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(637)</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4"/>
                <w:szCs w:val="24"/>
                <w:color w:val="auto"/>
              </w:rPr>
            </w:pPr>
          </w:p>
        </w:tc>
      </w:tr>
      <w:tr>
        <w:trPr>
          <w:trHeight w:val="257"/>
        </w:trPr>
        <w:tc>
          <w:tcPr>
            <w:tcW w:w="4920" w:type="dxa"/>
            <w:vAlign w:val="bottom"/>
            <w:tcBorders>
              <w:bottom w:val="single" w:sz="8" w:color="auto"/>
            </w:tcBorders>
            <w:gridSpan w:val="2"/>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2"/>
                <w:szCs w:val="22"/>
                <w:color w:val="auto"/>
              </w:rPr>
            </w:pPr>
          </w:p>
        </w:tc>
      </w:tr>
      <w:tr>
        <w:trPr>
          <w:trHeight w:val="237"/>
        </w:trPr>
        <w:tc>
          <w:tcPr>
            <w:tcW w:w="4920" w:type="dxa"/>
            <w:vAlign w:val="bottom"/>
            <w:gridSpan w:val="2"/>
          </w:tcPr>
          <w:p>
            <w:pPr>
              <w:ind w:left="40"/>
              <w:spacing w:after="0"/>
              <w:rPr>
                <w:sz w:val="20"/>
                <w:szCs w:val="20"/>
                <w:color w:val="auto"/>
              </w:rPr>
            </w:pPr>
            <w:r>
              <w:rPr>
                <w:rFonts w:ascii="Arial" w:cs="Arial" w:eastAsia="Arial" w:hAnsi="Arial"/>
                <w:sz w:val="18"/>
                <w:szCs w:val="18"/>
                <w:b w:val="1"/>
                <w:bCs w:val="1"/>
                <w:color w:val="auto"/>
              </w:rPr>
              <w:t>Comcast Consolidated</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80,544</w:t>
            </w:r>
          </w:p>
        </w:tc>
        <w:tc>
          <w:tcPr>
            <w:tcW w:w="300" w:type="dxa"/>
            <w:vAlign w:val="bottom"/>
          </w:tcPr>
          <w:p>
            <w:pPr>
              <w:jc w:val="right"/>
              <w:ind w:right="113"/>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b w:val="1"/>
                <w:bCs w:val="1"/>
                <w:color w:val="auto"/>
              </w:rPr>
              <w:t>25,822</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9,776</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6,866</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1,686</w:t>
            </w:r>
          </w:p>
        </w:tc>
        <w:tc>
          <w:tcPr>
            <w:tcW w:w="20" w:type="dxa"/>
            <w:vAlign w:val="bottom"/>
          </w:tcPr>
          <w:p>
            <w:pPr>
              <w:spacing w:after="0"/>
              <w:rPr>
                <w:sz w:val="20"/>
                <w:szCs w:val="20"/>
                <w:color w:val="auto"/>
              </w:rPr>
            </w:pPr>
          </w:p>
        </w:tc>
      </w:tr>
      <w:tr>
        <w:trPr>
          <w:trHeight w:val="34"/>
        </w:trPr>
        <w:tc>
          <w:tcPr>
            <w:tcW w:w="40" w:type="dxa"/>
            <w:vAlign w:val="bottom"/>
            <w:tcBorders>
              <w:bottom w:val="single" w:sz="8" w:color="auto"/>
            </w:tcBorders>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5"/>
          </w:tcPr>
          <w:p>
            <w:pPr>
              <w:jc w:val="right"/>
              <w:ind w:right="673"/>
              <w:spacing w:after="0"/>
              <w:rPr>
                <w:sz w:val="20"/>
                <w:szCs w:val="20"/>
                <w:color w:val="auto"/>
              </w:rPr>
            </w:pPr>
            <w:r>
              <w:rPr>
                <w:rFonts w:ascii="Arial" w:cs="Arial" w:eastAsia="Arial" w:hAnsi="Arial"/>
                <w:sz w:val="14"/>
                <w:szCs w:val="14"/>
                <w:color w:val="auto"/>
              </w:rPr>
              <w:t>Nine Months Ended September 30, 2018</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56"/>
        </w:trPr>
        <w:tc>
          <w:tcPr>
            <w:tcW w:w="4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53"/>
              <w:spacing w:after="0" w:line="157" w:lineRule="exact"/>
              <w:rPr>
                <w:sz w:val="20"/>
                <w:szCs w:val="20"/>
                <w:color w:val="auto"/>
              </w:rPr>
            </w:pPr>
            <w:r>
              <w:rPr>
                <w:rFonts w:ascii="Arial" w:cs="Arial" w:eastAsia="Arial" w:hAnsi="Arial"/>
                <w:sz w:val="14"/>
                <w:szCs w:val="14"/>
                <w:color w:val="auto"/>
                <w:w w:val="94"/>
              </w:rPr>
              <w:t>Depreciation and</w:t>
            </w:r>
          </w:p>
        </w:tc>
        <w:tc>
          <w:tcPr>
            <w:tcW w:w="240" w:type="dxa"/>
            <w:vAlign w:val="bottom"/>
          </w:tcPr>
          <w:p>
            <w:pPr>
              <w:spacing w:after="0"/>
              <w:rPr>
                <w:sz w:val="13"/>
                <w:szCs w:val="13"/>
                <w:color w:val="auto"/>
              </w:rPr>
            </w:pPr>
          </w:p>
        </w:tc>
        <w:tc>
          <w:tcPr>
            <w:tcW w:w="1020" w:type="dxa"/>
            <w:vAlign w:val="bottom"/>
          </w:tcPr>
          <w:p>
            <w:pPr>
              <w:jc w:val="right"/>
              <w:ind w:right="293"/>
              <w:spacing w:after="0" w:line="157" w:lineRule="exact"/>
              <w:rPr>
                <w:sz w:val="20"/>
                <w:szCs w:val="20"/>
                <w:color w:val="auto"/>
              </w:rPr>
            </w:pPr>
            <w:r>
              <w:rPr>
                <w:rFonts w:ascii="Arial" w:cs="Arial" w:eastAsia="Arial" w:hAnsi="Arial"/>
                <w:sz w:val="14"/>
                <w:szCs w:val="14"/>
                <w:color w:val="auto"/>
              </w:rPr>
              <w:t>Capital</w:t>
            </w:r>
          </w:p>
        </w:tc>
        <w:tc>
          <w:tcPr>
            <w:tcW w:w="160" w:type="dxa"/>
            <w:vAlign w:val="bottom"/>
          </w:tcPr>
          <w:p>
            <w:pPr>
              <w:spacing w:after="0"/>
              <w:rPr>
                <w:sz w:val="13"/>
                <w:szCs w:val="13"/>
                <w:color w:val="auto"/>
              </w:rPr>
            </w:pPr>
          </w:p>
        </w:tc>
        <w:tc>
          <w:tcPr>
            <w:tcW w:w="1140" w:type="dxa"/>
            <w:vAlign w:val="bottom"/>
          </w:tcPr>
          <w:p>
            <w:pPr>
              <w:jc w:val="right"/>
              <w:ind w:right="153"/>
              <w:spacing w:after="0" w:line="157" w:lineRule="exact"/>
              <w:rPr>
                <w:sz w:val="20"/>
                <w:szCs w:val="20"/>
                <w:color w:val="auto"/>
              </w:rPr>
            </w:pPr>
            <w:r>
              <w:rPr>
                <w:rFonts w:ascii="Arial" w:cs="Arial" w:eastAsia="Arial" w:hAnsi="Arial"/>
                <w:sz w:val="14"/>
                <w:szCs w:val="14"/>
                <w:color w:val="auto"/>
              </w:rPr>
              <w:t>Cash Paid for</w:t>
            </w:r>
          </w:p>
        </w:tc>
      </w:tr>
      <w:tr>
        <w:trPr>
          <w:trHeight w:val="18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Revenue</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Adjusted EBITDA</w:t>
            </w:r>
            <w:r>
              <w:rPr>
                <w:rFonts w:ascii="Arial" w:cs="Arial" w:eastAsia="Arial" w:hAnsi="Arial"/>
                <w:sz w:val="12"/>
                <w:szCs w:val="12"/>
                <w:color w:val="auto"/>
              </w:rPr>
              <w:t>(d)</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w w:val="97"/>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w w:val="91"/>
              </w:rPr>
              <w:t>Intangible Assets</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Cable Communications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41,638</w:t>
            </w:r>
          </w:p>
        </w:tc>
        <w:tc>
          <w:tcPr>
            <w:tcW w:w="46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16,100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6,161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5,403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998</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310"/>
        </w:trPr>
        <w:tc>
          <w:tcPr>
            <w:tcW w:w="4920" w:type="dxa"/>
            <w:vAlign w:val="bottom"/>
          </w:tcPr>
          <w:p>
            <w:pPr>
              <w:ind w:left="380"/>
              <w:spacing w:after="0"/>
              <w:rPr>
                <w:sz w:val="20"/>
                <w:szCs w:val="20"/>
                <w:color w:val="auto"/>
              </w:rPr>
            </w:pPr>
            <w:r>
              <w:rPr>
                <w:rFonts w:ascii="Arial" w:cs="Arial" w:eastAsia="Arial" w:hAnsi="Arial"/>
                <w:sz w:val="18"/>
                <w:szCs w:val="18"/>
                <w:color w:val="auto"/>
              </w:rPr>
              <w:t>Cable Networks</w:t>
            </w:r>
            <w:r>
              <w:rPr>
                <w:rFonts w:ascii="Arial" w:cs="Arial" w:eastAsia="Arial" w:hAnsi="Arial"/>
                <w:sz w:val="25"/>
                <w:szCs w:val="25"/>
                <w:color w:val="auto"/>
                <w:vertAlign w:val="superscript"/>
              </w:rPr>
              <w:t>(e)</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8,881</w:t>
            </w:r>
          </w:p>
        </w:tc>
        <w:tc>
          <w:tcPr>
            <w:tcW w:w="460" w:type="dxa"/>
            <w:vAlign w:val="bottom"/>
          </w:tcPr>
          <w:p>
            <w:pPr>
              <w:spacing w:after="0"/>
              <w:rPr>
                <w:sz w:val="24"/>
                <w:szCs w:val="24"/>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3,389</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548</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15</w:t>
            </w:r>
          </w:p>
        </w:tc>
      </w:tr>
      <w:tr>
        <w:trPr>
          <w:trHeight w:val="270"/>
        </w:trPr>
        <w:tc>
          <w:tcPr>
            <w:tcW w:w="4920" w:type="dxa"/>
            <w:vAlign w:val="bottom"/>
          </w:tcPr>
          <w:p>
            <w:pPr>
              <w:ind w:left="380"/>
              <w:spacing w:after="0" w:line="270" w:lineRule="exact"/>
              <w:rPr>
                <w:sz w:val="20"/>
                <w:szCs w:val="20"/>
                <w:color w:val="auto"/>
              </w:rPr>
            </w:pPr>
            <w:r>
              <w:rPr>
                <w:rFonts w:ascii="Arial" w:cs="Arial" w:eastAsia="Arial" w:hAnsi="Arial"/>
                <w:sz w:val="18"/>
                <w:szCs w:val="18"/>
                <w:color w:val="auto"/>
              </w:rPr>
              <w:t>Broadcast Television</w:t>
            </w:r>
            <w:r>
              <w:rPr>
                <w:rFonts w:ascii="Arial" w:cs="Arial" w:eastAsia="Arial" w:hAnsi="Arial"/>
                <w:sz w:val="25"/>
                <w:szCs w:val="25"/>
                <w:color w:val="auto"/>
                <w:vertAlign w:val="superscript"/>
              </w:rPr>
              <w:t>(e)</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8,340</w:t>
            </w: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1,245</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75</w:t>
            </w:r>
          </w:p>
        </w:tc>
      </w:tr>
      <w:tr>
        <w:trPr>
          <w:trHeight w:val="230"/>
        </w:trPr>
        <w:tc>
          <w:tcPr>
            <w:tcW w:w="492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5,176</w:t>
            </w:r>
          </w:p>
        </w:tc>
        <w:tc>
          <w:tcPr>
            <w:tcW w:w="46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555</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20</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4,170</w:t>
            </w: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1,789</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492</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811</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158</w:t>
            </w:r>
          </w:p>
        </w:tc>
      </w:tr>
      <w:tr>
        <w:trPr>
          <w:trHeight w:val="310"/>
        </w:trPr>
        <w:tc>
          <w:tcPr>
            <w:tcW w:w="4920" w:type="dxa"/>
            <w:vAlign w:val="bottom"/>
          </w:tcPr>
          <w:p>
            <w:pPr>
              <w:ind w:left="38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(497)</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314</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106</w:t>
            </w:r>
          </w:p>
        </w:tc>
      </w:tr>
      <w:tr>
        <w:trPr>
          <w:trHeight w:val="257"/>
        </w:trPr>
        <w:tc>
          <w:tcPr>
            <w:tcW w:w="4920" w:type="dxa"/>
            <w:vAlign w:val="bottom"/>
            <w:tcBorders>
              <w:bottom w:val="single" w:sz="8" w:color="auto"/>
            </w:tcBorders>
          </w:tcPr>
          <w:p>
            <w:pPr>
              <w:ind w:left="38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(b)(e)</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26,366</w:t>
            </w:r>
          </w:p>
        </w:tc>
        <w:tc>
          <w:tcPr>
            <w:tcW w:w="46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6,478</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1,577</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1,135</w:t>
            </w:r>
          </w:p>
        </w:tc>
        <w:tc>
          <w:tcPr>
            <w:tcW w:w="16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374</w:t>
            </w:r>
          </w:p>
        </w:tc>
      </w:tr>
      <w:tr>
        <w:trPr>
          <w:trHeight w:val="310"/>
        </w:trPr>
        <w:tc>
          <w:tcPr>
            <w:tcW w:w="4920" w:type="dxa"/>
            <w:vAlign w:val="bottom"/>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(c)</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412</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(566)</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57"/>
        </w:trPr>
        <w:tc>
          <w:tcPr>
            <w:tcW w:w="492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(b)(e)</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Comcast Consolidated</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66,661</w:t>
            </w:r>
          </w:p>
        </w:tc>
        <w:tc>
          <w:tcPr>
            <w:tcW w:w="460" w:type="dxa"/>
            <w:vAlign w:val="bottom"/>
          </w:tcPr>
          <w:p>
            <w:pPr>
              <w:jc w:val="right"/>
              <w:ind w:right="236"/>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21,974</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7,820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6,607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auto"/>
              </w:rPr>
              <w:t>1,375</w:t>
            </w:r>
          </w:p>
        </w:tc>
      </w:tr>
      <w:tr>
        <w:trPr>
          <w:trHeight w:val="34"/>
        </w:trPr>
        <w:tc>
          <w:tcPr>
            <w:tcW w:w="4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37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NBCUniversal Headquarters and Other activities include costs associated with overhead, allocations, personnel costs and headquarter initiatives.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The most common types of transactions are the following:</w:t>
      </w:r>
    </w:p>
    <w:p>
      <w:pPr>
        <w:spacing w:after="0" w:line="68" w:lineRule="exact"/>
        <w:rPr>
          <w:rFonts w:ascii="Arial" w:cs="Arial" w:eastAsia="Arial" w:hAnsi="Arial"/>
          <w:sz w:val="14"/>
          <w:szCs w:val="14"/>
          <w:color w:val="auto"/>
        </w:rPr>
      </w:pPr>
    </w:p>
    <w:p>
      <w:pPr>
        <w:ind w:left="980" w:hanging="81"/>
        <w:spacing w:after="0" w:line="273" w:lineRule="auto"/>
        <w:tabs>
          <w:tab w:leader="none" w:pos="980" w:val="left"/>
        </w:tabs>
        <w:numPr>
          <w:ilvl w:val="1"/>
          <w:numId w:val="3"/>
        </w:numPr>
        <w:rPr>
          <w:rFonts w:ascii="Arial" w:cs="Arial" w:eastAsia="Arial" w:hAnsi="Arial"/>
          <w:sz w:val="14"/>
          <w:szCs w:val="14"/>
          <w:color w:val="auto"/>
        </w:rPr>
      </w:pPr>
      <w:r>
        <w:rPr>
          <w:rFonts w:ascii="Arial" w:cs="Arial" w:eastAsia="Arial" w:hAnsi="Arial"/>
          <w:sz w:val="14"/>
          <w:szCs w:val="14"/>
          <w:color w:val="auto"/>
        </w:rPr>
        <w:t>our Cable Networks segment generates revenue by selling programming to our Cable Communications segment, which represents a substantial majority of the revenue elimination amount</w:t>
      </w:r>
    </w:p>
    <w:p>
      <w:pPr>
        <w:spacing w:after="0" w:line="25" w:lineRule="exact"/>
        <w:rPr>
          <w:rFonts w:ascii="Arial" w:cs="Arial" w:eastAsia="Arial" w:hAnsi="Arial"/>
          <w:sz w:val="14"/>
          <w:szCs w:val="14"/>
          <w:color w:val="auto"/>
        </w:rPr>
      </w:pPr>
    </w:p>
    <w:p>
      <w:pPr>
        <w:ind w:left="980" w:hanging="81"/>
        <w:spacing w:after="0"/>
        <w:tabs>
          <w:tab w:leader="none" w:pos="980" w:val="left"/>
        </w:tabs>
        <w:numPr>
          <w:ilvl w:val="1"/>
          <w:numId w:val="3"/>
        </w:numPr>
        <w:rPr>
          <w:rFonts w:ascii="Arial" w:cs="Arial" w:eastAsia="Arial" w:hAnsi="Arial"/>
          <w:sz w:val="14"/>
          <w:szCs w:val="14"/>
          <w:color w:val="auto"/>
        </w:rPr>
      </w:pPr>
      <w:r>
        <w:rPr>
          <w:rFonts w:ascii="Arial" w:cs="Arial" w:eastAsia="Arial" w:hAnsi="Arial"/>
          <w:sz w:val="14"/>
          <w:szCs w:val="14"/>
          <w:color w:val="auto"/>
        </w:rPr>
        <w:t>our Broadcast Television segment generates revenue from the fees received under retransmission consent agreements with our Cable Communications segment</w:t>
      </w:r>
    </w:p>
    <w:p>
      <w:pPr>
        <w:spacing w:after="0" w:line="68" w:lineRule="exact"/>
        <w:rPr>
          <w:rFonts w:ascii="Arial" w:cs="Arial" w:eastAsia="Arial" w:hAnsi="Arial"/>
          <w:sz w:val="14"/>
          <w:szCs w:val="14"/>
          <w:color w:val="auto"/>
        </w:rPr>
      </w:pPr>
    </w:p>
    <w:p>
      <w:pPr>
        <w:ind w:left="980" w:hanging="81"/>
        <w:spacing w:after="0"/>
        <w:tabs>
          <w:tab w:leader="none" w:pos="980" w:val="left"/>
        </w:tabs>
        <w:numPr>
          <w:ilvl w:val="1"/>
          <w:numId w:val="3"/>
        </w:numPr>
        <w:rPr>
          <w:rFonts w:ascii="Arial" w:cs="Arial" w:eastAsia="Arial" w:hAnsi="Arial"/>
          <w:sz w:val="14"/>
          <w:szCs w:val="14"/>
          <w:color w:val="auto"/>
        </w:rPr>
      </w:pPr>
      <w:r>
        <w:rPr>
          <w:rFonts w:ascii="Arial" w:cs="Arial" w:eastAsia="Arial" w:hAnsi="Arial"/>
          <w:sz w:val="14"/>
          <w:szCs w:val="14"/>
          <w:color w:val="auto"/>
        </w:rPr>
        <w:t>our Cable Communications segment generates revenue by selling advertising and by selling the use of satellite feeds to our Cable Networks segment</w:t>
      </w:r>
    </w:p>
    <w:p>
      <w:pPr>
        <w:spacing w:after="0" w:line="68" w:lineRule="exact"/>
        <w:rPr>
          <w:rFonts w:ascii="Arial" w:cs="Arial" w:eastAsia="Arial" w:hAnsi="Arial"/>
          <w:sz w:val="14"/>
          <w:szCs w:val="14"/>
          <w:color w:val="auto"/>
        </w:rPr>
      </w:pPr>
    </w:p>
    <w:p>
      <w:pPr>
        <w:ind w:left="980" w:hanging="81"/>
        <w:spacing w:after="0"/>
        <w:tabs>
          <w:tab w:leader="none" w:pos="980" w:val="left"/>
        </w:tabs>
        <w:numPr>
          <w:ilvl w:val="1"/>
          <w:numId w:val="3"/>
        </w:numPr>
        <w:rPr>
          <w:rFonts w:ascii="Arial" w:cs="Arial" w:eastAsia="Arial" w:hAnsi="Arial"/>
          <w:sz w:val="14"/>
          <w:szCs w:val="14"/>
          <w:color w:val="auto"/>
        </w:rPr>
      </w:pPr>
      <w:r>
        <w:rPr>
          <w:rFonts w:ascii="Arial" w:cs="Arial" w:eastAsia="Arial" w:hAnsi="Arial"/>
          <w:sz w:val="14"/>
          <w:szCs w:val="14"/>
          <w:color w:val="auto"/>
        </w:rPr>
        <w:t>our Cable Networks and Broadcast Television segments generate revenue by selling advertising to our Cable Communications segment</w:t>
      </w:r>
    </w:p>
    <w:p>
      <w:pPr>
        <w:spacing w:after="0" w:line="68" w:lineRule="exact"/>
        <w:rPr>
          <w:rFonts w:ascii="Arial" w:cs="Arial" w:eastAsia="Arial" w:hAnsi="Arial"/>
          <w:sz w:val="14"/>
          <w:szCs w:val="14"/>
          <w:color w:val="auto"/>
        </w:rPr>
      </w:pPr>
    </w:p>
    <w:p>
      <w:pPr>
        <w:ind w:left="980" w:hanging="81"/>
        <w:spacing w:after="0" w:line="273" w:lineRule="auto"/>
        <w:tabs>
          <w:tab w:leader="none" w:pos="980" w:val="left"/>
        </w:tabs>
        <w:numPr>
          <w:ilvl w:val="1"/>
          <w:numId w:val="3"/>
        </w:numPr>
        <w:rPr>
          <w:rFonts w:ascii="Arial" w:cs="Arial" w:eastAsia="Arial" w:hAnsi="Arial"/>
          <w:sz w:val="14"/>
          <w:szCs w:val="14"/>
          <w:color w:val="auto"/>
        </w:rPr>
      </w:pPr>
      <w:r>
        <w:rPr>
          <w:rFonts w:ascii="Arial" w:cs="Arial" w:eastAsia="Arial" w:hAnsi="Arial"/>
          <w:sz w:val="14"/>
          <w:szCs w:val="14"/>
          <w:color w:val="auto"/>
        </w:rPr>
        <w:t>our Filmed Entertainment and Broadcast Television segments generate revenue by licensing content to our Cable Networks segment; for segment reporting, this revenue is recognized as the programming rights asset for the licensed content is amortized based on third party revenue</w:t>
      </w:r>
    </w:p>
    <w:p>
      <w:pPr>
        <w:spacing w:after="0" w:line="11" w:lineRule="exact"/>
        <w:rPr>
          <w:rFonts w:ascii="Arial" w:cs="Arial" w:eastAsia="Arial" w:hAnsi="Arial"/>
          <w:sz w:val="14"/>
          <w:szCs w:val="14"/>
          <w:color w:val="auto"/>
        </w:rPr>
      </w:pPr>
    </w:p>
    <w:p>
      <w:pPr>
        <w:ind w:left="980" w:hanging="81"/>
        <w:spacing w:after="0"/>
        <w:tabs>
          <w:tab w:leader="none" w:pos="980" w:val="left"/>
        </w:tabs>
        <w:numPr>
          <w:ilvl w:val="1"/>
          <w:numId w:val="3"/>
        </w:numPr>
        <w:rPr>
          <w:rFonts w:ascii="Arial" w:cs="Arial" w:eastAsia="Arial" w:hAnsi="Arial"/>
          <w:sz w:val="14"/>
          <w:szCs w:val="14"/>
          <w:color w:val="auto"/>
        </w:rPr>
      </w:pPr>
      <w:r>
        <w:rPr>
          <w:rFonts w:ascii="Arial" w:cs="Arial" w:eastAsia="Arial" w:hAnsi="Arial"/>
          <w:sz w:val="14"/>
          <w:szCs w:val="14"/>
          <w:color w:val="auto"/>
        </w:rPr>
        <w:t>our Filmed Entertainment, Cable Networks and Broadcast Television segments generate revenue by licensing content to our Sky segment</w:t>
      </w:r>
    </w:p>
    <w:p>
      <w:pPr>
        <w:spacing w:after="0" w:line="163" w:lineRule="exact"/>
        <w:rPr>
          <w:rFonts w:ascii="Arial" w:cs="Arial" w:eastAsia="Arial" w:hAnsi="Arial"/>
          <w:sz w:val="14"/>
          <w:szCs w:val="14"/>
          <w:color w:val="auto"/>
        </w:rPr>
      </w:pPr>
    </w:p>
    <w:p>
      <w:pPr>
        <w:jc w:val="both"/>
        <w:ind w:left="340" w:hanging="332"/>
        <w:spacing w:after="0" w:line="257"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Corporate and Other activities include costs associated with overhead and personnel, revenue and expenses associated with the operations of Comcast Spectacor, which owns the Philadelphia Flyers and the Wells Fargo Center arena in Philadelphia, Pennsylvania, and other business initiatives, such as the development of Peacock, NBCUniversal’s direct-to-consumer streaming service.</w:t>
      </w:r>
    </w:p>
    <w:p>
      <w:pPr>
        <w:spacing w:after="0" w:line="144" w:lineRule="exact"/>
        <w:rPr>
          <w:rFonts w:ascii="Arial" w:cs="Arial" w:eastAsia="Arial" w:hAnsi="Arial"/>
          <w:sz w:val="14"/>
          <w:szCs w:val="14"/>
          <w:color w:val="auto"/>
        </w:rPr>
      </w:pPr>
    </w:p>
    <w:p>
      <w:pPr>
        <w:jc w:val="both"/>
        <w:ind w:left="340" w:hanging="332"/>
        <w:spacing w:after="0" w:line="247"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use Adjusted EBITDA as the measure of profit or loss for our operating segments. Adjusted EBITDA is defined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Our reconciliation of the aggregate amount of Adjusted EBITDA for our reportable segments to consolidated income before income taxes is presented in the table below.</w:t>
      </w:r>
    </w:p>
    <w:p>
      <w:pPr>
        <w:spacing w:after="0" w:line="19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20" w:type="dxa"/>
            <w:vAlign w:val="bottom"/>
            <w:gridSpan w:val="2"/>
          </w:tcPr>
          <w:p>
            <w:pPr>
              <w:jc w:val="right"/>
              <w:ind w:right="228"/>
              <w:spacing w:after="0"/>
              <w:rPr>
                <w:sz w:val="20"/>
                <w:szCs w:val="20"/>
                <w:color w:val="auto"/>
              </w:rPr>
            </w:pPr>
            <w:r>
              <w:rPr>
                <w:rFonts w:ascii="Arial" w:cs="Arial" w:eastAsia="Arial" w:hAnsi="Arial"/>
                <w:sz w:val="14"/>
                <w:szCs w:val="14"/>
                <w:color w:val="auto"/>
                <w:w w:val="91"/>
              </w:rPr>
              <w:t>Three Months Ended</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20" w:type="dxa"/>
            <w:vAlign w:val="bottom"/>
            <w:gridSpan w:val="3"/>
          </w:tcPr>
          <w:p>
            <w:pPr>
              <w:jc w:val="right"/>
              <w:ind w:right="688"/>
              <w:spacing w:after="0"/>
              <w:rPr>
                <w:sz w:val="20"/>
                <w:szCs w:val="20"/>
                <w:color w:val="auto"/>
              </w:rPr>
            </w:pPr>
            <w:r>
              <w:rPr>
                <w:rFonts w:ascii="Arial" w:cs="Arial" w:eastAsia="Arial" w:hAnsi="Arial"/>
                <w:sz w:val="14"/>
                <w:szCs w:val="14"/>
                <w:color w:val="auto"/>
              </w:rPr>
              <w:t>Nine Months Ended</w:t>
            </w:r>
          </w:p>
        </w:tc>
      </w:tr>
      <w:tr>
        <w:trPr>
          <w:trHeight w:val="188"/>
        </w:trPr>
        <w:tc>
          <w:tcPr>
            <w:tcW w:w="49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color w:val="auto"/>
              </w:rPr>
              <w:t>September 30</w:t>
            </w:r>
          </w:p>
        </w:tc>
        <w:tc>
          <w:tcPr>
            <w:tcW w:w="5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September 30</w:t>
            </w:r>
          </w:p>
        </w:tc>
        <w:tc>
          <w:tcPr>
            <w:tcW w:w="860" w:type="dxa"/>
            <w:vAlign w:val="bottom"/>
            <w:tcBorders>
              <w:bottom w:val="single" w:sz="8" w:color="auto"/>
            </w:tcBorders>
          </w:tcPr>
          <w:p>
            <w:pPr>
              <w:spacing w:after="0"/>
              <w:rPr>
                <w:sz w:val="16"/>
                <w:szCs w:val="16"/>
                <w:color w:val="auto"/>
              </w:rPr>
            </w:pPr>
          </w:p>
        </w:tc>
      </w:tr>
      <w:tr>
        <w:trPr>
          <w:trHeight w:val="264"/>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5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5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2019</w:t>
            </w: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2018</w:t>
            </w:r>
          </w:p>
        </w:tc>
      </w:tr>
      <w:tr>
        <w:trPr>
          <w:trHeight w:val="258"/>
        </w:trPr>
        <w:tc>
          <w:tcPr>
            <w:tcW w:w="490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8,553</w:t>
            </w:r>
          </w:p>
        </w:tc>
        <w:tc>
          <w:tcPr>
            <w:tcW w:w="94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7,313</w:t>
            </w:r>
          </w:p>
        </w:tc>
        <w:tc>
          <w:tcPr>
            <w:tcW w:w="4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25,822</w:t>
            </w:r>
          </w:p>
        </w:tc>
        <w:tc>
          <w:tcPr>
            <w:tcW w:w="5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21,974</w:t>
            </w:r>
          </w:p>
        </w:tc>
      </w:tr>
      <w:tr>
        <w:trPr>
          <w:trHeight w:val="270"/>
        </w:trPr>
        <w:tc>
          <w:tcPr>
            <w:tcW w:w="4900" w:type="dxa"/>
            <w:vAlign w:val="bottom"/>
          </w:tcPr>
          <w:p>
            <w:pPr>
              <w:ind w:left="20"/>
              <w:spacing w:after="0"/>
              <w:rPr>
                <w:sz w:val="20"/>
                <w:szCs w:val="20"/>
                <w:color w:val="auto"/>
              </w:rPr>
            </w:pPr>
            <w:r>
              <w:rPr>
                <w:rFonts w:ascii="Arial" w:cs="Arial" w:eastAsia="Arial" w:hAnsi="Arial"/>
                <w:sz w:val="14"/>
                <w:szCs w:val="14"/>
                <w:color w:val="auto"/>
              </w:rPr>
              <w:t>Adjustment for Sky transaction-related costs</w:t>
            </w:r>
          </w:p>
        </w:tc>
        <w:tc>
          <w:tcPr>
            <w:tcW w:w="800" w:type="dxa"/>
            <w:vAlign w:val="bottom"/>
          </w:tcPr>
          <w:p>
            <w:pPr>
              <w:spacing w:after="0"/>
              <w:rPr>
                <w:sz w:val="23"/>
                <w:szCs w:val="23"/>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(33)</w:t>
            </w:r>
          </w:p>
        </w:tc>
        <w:tc>
          <w:tcPr>
            <w:tcW w:w="940" w:type="dxa"/>
            <w:vAlign w:val="bottom"/>
          </w:tcPr>
          <w:p>
            <w:pPr>
              <w:spacing w:after="0"/>
              <w:rPr>
                <w:sz w:val="23"/>
                <w:szCs w:val="23"/>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(168)</w:t>
            </w:r>
          </w:p>
        </w:tc>
        <w:tc>
          <w:tcPr>
            <w:tcW w:w="52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90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800" w:type="dxa"/>
            <w:vAlign w:val="bottom"/>
          </w:tcPr>
          <w:p>
            <w:pPr>
              <w:spacing w:after="0"/>
              <w:rPr>
                <w:sz w:val="23"/>
                <w:szCs w:val="23"/>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w w:val="94"/>
              </w:rPr>
              <w:t>(2,124)</w:t>
            </w:r>
          </w:p>
        </w:tc>
        <w:tc>
          <w:tcPr>
            <w:tcW w:w="940" w:type="dxa"/>
            <w:vAlign w:val="bottom"/>
          </w:tcPr>
          <w:p>
            <w:pPr>
              <w:spacing w:after="0"/>
              <w:rPr>
                <w:sz w:val="23"/>
                <w:szCs w:val="23"/>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color w:val="auto"/>
                <w:w w:val="90"/>
              </w:rPr>
              <w:t>(2,038)</w:t>
            </w:r>
          </w:p>
        </w:tc>
        <w:tc>
          <w:tcPr>
            <w:tcW w:w="420" w:type="dxa"/>
            <w:vAlign w:val="bottom"/>
          </w:tcPr>
          <w:p>
            <w:pPr>
              <w:spacing w:after="0"/>
              <w:rPr>
                <w:sz w:val="23"/>
                <w:szCs w:val="23"/>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(6,561)</w:t>
            </w:r>
          </w:p>
        </w:tc>
        <w:tc>
          <w:tcPr>
            <w:tcW w:w="5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(6,070)</w:t>
            </w:r>
          </w:p>
        </w:tc>
      </w:tr>
      <w:tr>
        <w:trPr>
          <w:trHeight w:val="270"/>
        </w:trPr>
        <w:tc>
          <w:tcPr>
            <w:tcW w:w="490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800" w:type="dxa"/>
            <w:vAlign w:val="bottom"/>
          </w:tcPr>
          <w:p>
            <w:pPr>
              <w:spacing w:after="0"/>
              <w:rPr>
                <w:sz w:val="23"/>
                <w:szCs w:val="23"/>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w w:val="94"/>
              </w:rPr>
              <w:t>(1,056)</w:t>
            </w:r>
          </w:p>
        </w:tc>
        <w:tc>
          <w:tcPr>
            <w:tcW w:w="940" w:type="dxa"/>
            <w:vAlign w:val="bottom"/>
          </w:tcPr>
          <w:p>
            <w:pPr>
              <w:spacing w:after="0"/>
              <w:rPr>
                <w:sz w:val="23"/>
                <w:szCs w:val="23"/>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(580)</w:t>
            </w:r>
          </w:p>
        </w:tc>
        <w:tc>
          <w:tcPr>
            <w:tcW w:w="420" w:type="dxa"/>
            <w:vAlign w:val="bottom"/>
          </w:tcPr>
          <w:p>
            <w:pPr>
              <w:spacing w:after="0"/>
              <w:rPr>
                <w:sz w:val="23"/>
                <w:szCs w:val="23"/>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(3,215)</w:t>
            </w:r>
          </w:p>
        </w:tc>
        <w:tc>
          <w:tcPr>
            <w:tcW w:w="5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(1,750)</w:t>
            </w:r>
          </w:p>
        </w:tc>
      </w:tr>
      <w:tr>
        <w:trPr>
          <w:trHeight w:val="270"/>
        </w:trPr>
        <w:tc>
          <w:tcPr>
            <w:tcW w:w="4900" w:type="dxa"/>
            <w:vAlign w:val="bottom"/>
          </w:tcPr>
          <w:p>
            <w:pPr>
              <w:ind w:left="20"/>
              <w:spacing w:after="0"/>
              <w:rPr>
                <w:sz w:val="20"/>
                <w:szCs w:val="20"/>
                <w:color w:val="auto"/>
              </w:rPr>
            </w:pPr>
            <w:r>
              <w:rPr>
                <w:rFonts w:ascii="Arial" w:cs="Arial" w:eastAsia="Arial" w:hAnsi="Arial"/>
                <w:sz w:val="14"/>
                <w:szCs w:val="14"/>
                <w:color w:val="auto"/>
              </w:rPr>
              <w:t>Other operating gains</w:t>
            </w:r>
          </w:p>
        </w:tc>
        <w:tc>
          <w:tcPr>
            <w:tcW w:w="800" w:type="dxa"/>
            <w:vAlign w:val="bottom"/>
          </w:tcPr>
          <w:p>
            <w:pPr>
              <w:spacing w:after="0"/>
              <w:rPr>
                <w:sz w:val="23"/>
                <w:szCs w:val="23"/>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23"/>
                <w:szCs w:val="23"/>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141</w:t>
            </w:r>
          </w:p>
        </w:tc>
        <w:tc>
          <w:tcPr>
            <w:tcW w:w="420" w:type="dxa"/>
            <w:vAlign w:val="bottom"/>
          </w:tcPr>
          <w:p>
            <w:pPr>
              <w:spacing w:after="0"/>
              <w:rPr>
                <w:sz w:val="23"/>
                <w:szCs w:val="23"/>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341</w:t>
            </w:r>
          </w:p>
        </w:tc>
      </w:tr>
      <w:tr>
        <w:trPr>
          <w:trHeight w:val="270"/>
        </w:trPr>
        <w:tc>
          <w:tcPr>
            <w:tcW w:w="49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800" w:type="dxa"/>
            <w:vAlign w:val="bottom"/>
          </w:tcPr>
          <w:p>
            <w:pPr>
              <w:spacing w:after="0"/>
              <w:rPr>
                <w:sz w:val="23"/>
                <w:szCs w:val="23"/>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w w:val="94"/>
              </w:rPr>
              <w:t>(1,167)</w:t>
            </w:r>
          </w:p>
        </w:tc>
        <w:tc>
          <w:tcPr>
            <w:tcW w:w="940" w:type="dxa"/>
            <w:vAlign w:val="bottom"/>
          </w:tcPr>
          <w:p>
            <w:pPr>
              <w:spacing w:after="0"/>
              <w:rPr>
                <w:sz w:val="23"/>
                <w:szCs w:val="23"/>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(830)</w:t>
            </w:r>
          </w:p>
        </w:tc>
        <w:tc>
          <w:tcPr>
            <w:tcW w:w="420" w:type="dxa"/>
            <w:vAlign w:val="bottom"/>
          </w:tcPr>
          <w:p>
            <w:pPr>
              <w:spacing w:after="0"/>
              <w:rPr>
                <w:sz w:val="23"/>
                <w:szCs w:val="23"/>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(3,454)</w:t>
            </w:r>
          </w:p>
        </w:tc>
        <w:tc>
          <w:tcPr>
            <w:tcW w:w="5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(2,413)</w:t>
            </w:r>
          </w:p>
        </w:tc>
      </w:tr>
      <w:tr>
        <w:trPr>
          <w:trHeight w:val="276"/>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Investment and other income (loss), net</w:t>
            </w:r>
          </w:p>
        </w:tc>
        <w:tc>
          <w:tcPr>
            <w:tcW w:w="8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(110)</w:t>
            </w:r>
          </w:p>
        </w:tc>
        <w:tc>
          <w:tcPr>
            <w:tcW w:w="9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(111)</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511</w:t>
            </w: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w:t>
            </w:r>
          </w:p>
        </w:tc>
      </w:tr>
      <w:tr>
        <w:trPr>
          <w:trHeight w:val="277"/>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before income taxes</w:t>
            </w:r>
          </w:p>
        </w:tc>
        <w:tc>
          <w:tcPr>
            <w:tcW w:w="8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4,063</w:t>
            </w:r>
          </w:p>
        </w:tc>
        <w:tc>
          <w:tcPr>
            <w:tcW w:w="9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3,895</w:t>
            </w:r>
          </w:p>
        </w:tc>
        <w:tc>
          <w:tcPr>
            <w:tcW w:w="4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12,935</w:t>
            </w:r>
          </w:p>
        </w:tc>
        <w:tc>
          <w:tcPr>
            <w:tcW w:w="5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12,174</w:t>
            </w:r>
          </w:p>
        </w:tc>
      </w:tr>
    </w:tbl>
    <w:p>
      <w:pPr>
        <w:spacing w:after="0" w:line="265" w:lineRule="exact"/>
        <w:rPr>
          <w:sz w:val="20"/>
          <w:szCs w:val="20"/>
          <w:color w:val="auto"/>
        </w:rPr>
      </w:pPr>
    </w:p>
    <w:p>
      <w:pPr>
        <w:jc w:val="both"/>
        <w:ind w:left="340" w:hanging="332"/>
        <w:spacing w:after="0" w:line="257"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revenue and operating costs and expenses associated with our broadcast of the 2018 PyeongChang Olympics were reported in our Cable Networks and Broadcast Television segments. The revenue and operating costs and expenses associated with our broadcast of the 2018 Super Bowl were reported in our Broadcast Television segment. Included in Eliminations are transactions relating to these events that our Broadcast Television and Cable Networks segments enter into with our other segments.</w:t>
      </w:r>
    </w:p>
    <w:p>
      <w:pPr>
        <w:sectPr>
          <w:pgSz w:w="11900" w:h="16838" w:orient="portrait"/>
          <w:cols w:equalWidth="0" w:num="1">
            <w:col w:w="11420"/>
          </w:cols>
          <w:pgMar w:left="240" w:top="121" w:right="239" w:bottom="1440" w:gutter="0" w:footer="0" w:header="0"/>
        </w:sect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Revenue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860" w:type="dxa"/>
            <w:vAlign w:val="bottom"/>
          </w:tcPr>
          <w:p>
            <w:pPr>
              <w:spacing w:after="0"/>
              <w:rPr>
                <w:sz w:val="14"/>
                <w:szCs w:val="14"/>
                <w:color w:val="auto"/>
              </w:rPr>
            </w:pPr>
          </w:p>
        </w:tc>
      </w:tr>
      <w:tr>
        <w:trPr>
          <w:trHeight w:val="188"/>
        </w:trPr>
        <w:tc>
          <w:tcPr>
            <w:tcW w:w="5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color w:val="auto"/>
              </w:rPr>
              <w:t>September 30</w:t>
            </w:r>
          </w:p>
        </w:tc>
        <w:tc>
          <w:tcPr>
            <w:tcW w:w="86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rPr>
              <w:t>2019</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color w:val="auto"/>
                <w:w w:val="96"/>
              </w:rPr>
              <w:t>2018</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2019</w:t>
            </w:r>
          </w:p>
        </w:tc>
        <w:tc>
          <w:tcPr>
            <w:tcW w:w="6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color w:val="auto"/>
                <w:w w:val="96"/>
              </w:rPr>
              <w:t>2018</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5260" w:type="dxa"/>
            <w:vAlign w:val="bottom"/>
          </w:tcPr>
          <w:p>
            <w:pPr>
              <w:ind w:left="180"/>
              <w:spacing w:after="0"/>
              <w:rPr>
                <w:sz w:val="20"/>
                <w:szCs w:val="20"/>
                <w:color w:val="auto"/>
              </w:rPr>
            </w:pPr>
            <w:r>
              <w:rPr>
                <w:rFonts w:ascii="Arial" w:cs="Arial" w:eastAsia="Arial" w:hAnsi="Arial"/>
                <w:sz w:val="18"/>
                <w:szCs w:val="18"/>
                <w:color w:val="auto"/>
              </w:rPr>
              <w:t>High-speed internet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4,721</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4,321</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13,961</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12,740</w:t>
            </w:r>
          </w:p>
        </w:tc>
      </w:tr>
      <w:tr>
        <w:trPr>
          <w:trHeight w:val="270"/>
        </w:trPr>
        <w:tc>
          <w:tcPr>
            <w:tcW w:w="5260" w:type="dxa"/>
            <w:vAlign w:val="bottom"/>
          </w:tcPr>
          <w:p>
            <w:pPr>
              <w:ind w:left="180"/>
              <w:spacing w:after="0"/>
              <w:rPr>
                <w:sz w:val="20"/>
                <w:szCs w:val="20"/>
                <w:color w:val="auto"/>
              </w:rPr>
            </w:pPr>
            <w:r>
              <w:rPr>
                <w:rFonts w:ascii="Arial" w:cs="Arial" w:eastAsia="Arial" w:hAnsi="Arial"/>
                <w:sz w:val="18"/>
                <w:szCs w:val="18"/>
                <w:color w:val="auto"/>
              </w:rPr>
              <w:t>Video</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5,541</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5,591</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16,763</w:t>
            </w:r>
          </w:p>
        </w:tc>
        <w:tc>
          <w:tcPr>
            <w:tcW w:w="6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16,878</w:t>
            </w:r>
          </w:p>
        </w:tc>
      </w:tr>
      <w:tr>
        <w:trPr>
          <w:trHeight w:val="270"/>
        </w:trPr>
        <w:tc>
          <w:tcPr>
            <w:tcW w:w="5260" w:type="dxa"/>
            <w:vAlign w:val="bottom"/>
          </w:tcPr>
          <w:p>
            <w:pPr>
              <w:ind w:left="180"/>
              <w:spacing w:after="0"/>
              <w:rPr>
                <w:sz w:val="20"/>
                <w:szCs w:val="20"/>
                <w:color w:val="auto"/>
              </w:rPr>
            </w:pPr>
            <w:r>
              <w:rPr>
                <w:rFonts w:ascii="Arial" w:cs="Arial" w:eastAsia="Arial" w:hAnsi="Arial"/>
                <w:sz w:val="18"/>
                <w:szCs w:val="18"/>
                <w:color w:val="auto"/>
              </w:rPr>
              <w:t>Voice</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963</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982</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2,935</w:t>
            </w:r>
          </w:p>
        </w:tc>
        <w:tc>
          <w:tcPr>
            <w:tcW w:w="6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2,982</w:t>
            </w:r>
          </w:p>
        </w:tc>
      </w:tr>
      <w:tr>
        <w:trPr>
          <w:trHeight w:val="270"/>
        </w:trPr>
        <w:tc>
          <w:tcPr>
            <w:tcW w:w="5260" w:type="dxa"/>
            <w:vAlign w:val="bottom"/>
          </w:tcPr>
          <w:p>
            <w:pPr>
              <w:ind w:left="180"/>
              <w:spacing w:after="0"/>
              <w:rPr>
                <w:sz w:val="20"/>
                <w:szCs w:val="20"/>
                <w:color w:val="auto"/>
              </w:rPr>
            </w:pPr>
            <w:r>
              <w:rPr>
                <w:rFonts w:ascii="Arial" w:cs="Arial" w:eastAsia="Arial" w:hAnsi="Arial"/>
                <w:sz w:val="18"/>
                <w:szCs w:val="18"/>
                <w:color w:val="auto"/>
              </w:rPr>
              <w:t>Wireless</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326</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236</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795</w:t>
            </w:r>
          </w:p>
        </w:tc>
        <w:tc>
          <w:tcPr>
            <w:tcW w:w="6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623</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Business services</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1,971</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1,803</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5,795</w:t>
            </w:r>
          </w:p>
        </w:tc>
        <w:tc>
          <w:tcPr>
            <w:tcW w:w="6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5,290</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603</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684</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1,766</w:t>
            </w:r>
          </w:p>
        </w:tc>
        <w:tc>
          <w:tcPr>
            <w:tcW w:w="6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1,932</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459</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406</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1,299</w:t>
            </w:r>
          </w:p>
        </w:tc>
        <w:tc>
          <w:tcPr>
            <w:tcW w:w="6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1,193</w:t>
            </w:r>
          </w:p>
        </w:tc>
      </w:tr>
      <w:tr>
        <w:trPr>
          <w:trHeight w:val="27"/>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335"/>
        </w:trPr>
        <w:tc>
          <w:tcPr>
            <w:tcW w:w="5260" w:type="dxa"/>
            <w:vAlign w:val="bottom"/>
          </w:tcPr>
          <w:p>
            <w:pPr>
              <w:ind w:left="40"/>
              <w:spacing w:after="0"/>
              <w:rPr>
                <w:sz w:val="20"/>
                <w:szCs w:val="20"/>
                <w:color w:val="auto"/>
              </w:rPr>
            </w:pPr>
            <w:r>
              <w:rPr>
                <w:rFonts w:ascii="Arial" w:cs="Arial" w:eastAsia="Arial" w:hAnsi="Arial"/>
                <w:sz w:val="18"/>
                <w:szCs w:val="18"/>
                <w:color w:val="auto"/>
              </w:rPr>
              <w:t>Total Cable Communications</w:t>
            </w:r>
            <w:r>
              <w:rPr>
                <w:rFonts w:ascii="Arial" w:cs="Arial" w:eastAsia="Arial" w:hAnsi="Arial"/>
                <w:sz w:val="25"/>
                <w:szCs w:val="25"/>
                <w:color w:val="auto"/>
                <w:vertAlign w:val="superscript"/>
              </w:rPr>
              <w:t>(a)(b)</w:t>
            </w:r>
          </w:p>
        </w:tc>
        <w:tc>
          <w:tcPr>
            <w:tcW w:w="34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14,584</w:t>
            </w:r>
          </w:p>
        </w:tc>
        <w:tc>
          <w:tcPr>
            <w:tcW w:w="640" w:type="dxa"/>
            <w:vAlign w:val="bottom"/>
          </w:tcPr>
          <w:p>
            <w:pPr>
              <w:spacing w:after="0"/>
              <w:rPr>
                <w:sz w:val="24"/>
                <w:szCs w:val="24"/>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14,023</w:t>
            </w:r>
          </w:p>
        </w:tc>
        <w:tc>
          <w:tcPr>
            <w:tcW w:w="44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43,314</w:t>
            </w:r>
          </w:p>
        </w:tc>
        <w:tc>
          <w:tcPr>
            <w:tcW w:w="62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41,638</w:t>
            </w:r>
          </w:p>
        </w:tc>
      </w:tr>
      <w:tr>
        <w:trPr>
          <w:trHeight w:val="334"/>
        </w:trPr>
        <w:tc>
          <w:tcPr>
            <w:tcW w:w="526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34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1,681</w:t>
            </w:r>
          </w:p>
        </w:tc>
        <w:tc>
          <w:tcPr>
            <w:tcW w:w="640" w:type="dxa"/>
            <w:vAlign w:val="bottom"/>
          </w:tcPr>
          <w:p>
            <w:pPr>
              <w:spacing w:after="0"/>
              <w:rPr>
                <w:sz w:val="24"/>
                <w:szCs w:val="24"/>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1,655</w:t>
            </w:r>
          </w:p>
        </w:tc>
        <w:tc>
          <w:tcPr>
            <w:tcW w:w="44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5,123</w:t>
            </w:r>
          </w:p>
        </w:tc>
        <w:tc>
          <w:tcPr>
            <w:tcW w:w="62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5,166</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809</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812</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2,592</w:t>
            </w:r>
          </w:p>
        </w:tc>
        <w:tc>
          <w:tcPr>
            <w:tcW w:w="6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2,718</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Content licensing and other</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281</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383</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871</w:t>
            </w:r>
          </w:p>
        </w:tc>
        <w:tc>
          <w:tcPr>
            <w:tcW w:w="6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997</w:t>
            </w:r>
          </w:p>
        </w:tc>
      </w:tr>
      <w:tr>
        <w:trPr>
          <w:trHeight w:val="27"/>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Cable Networks</w:t>
            </w:r>
          </w:p>
        </w:tc>
        <w:tc>
          <w:tcPr>
            <w:tcW w:w="340" w:type="dxa"/>
            <w:vAlign w:val="bottom"/>
          </w:tcPr>
          <w:p>
            <w:pPr>
              <w:spacing w:after="0"/>
              <w:rPr>
                <w:sz w:val="20"/>
                <w:szCs w:val="20"/>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2,771</w:t>
            </w:r>
          </w:p>
        </w:tc>
        <w:tc>
          <w:tcPr>
            <w:tcW w:w="64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2,850</w:t>
            </w:r>
          </w:p>
        </w:tc>
        <w:tc>
          <w:tcPr>
            <w:tcW w:w="440" w:type="dxa"/>
            <w:vAlign w:val="bottom"/>
          </w:tcPr>
          <w:p>
            <w:pPr>
              <w:spacing w:after="0"/>
              <w:rPr>
                <w:sz w:val="20"/>
                <w:szCs w:val="20"/>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8,586</w:t>
            </w:r>
          </w:p>
        </w:tc>
        <w:tc>
          <w:tcPr>
            <w:tcW w:w="62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8,881</w:t>
            </w:r>
          </w:p>
        </w:tc>
      </w:tr>
      <w:tr>
        <w:trPr>
          <w:trHeight w:val="432"/>
        </w:trPr>
        <w:tc>
          <w:tcPr>
            <w:tcW w:w="526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1,191</w:t>
            </w:r>
          </w:p>
        </w:tc>
        <w:tc>
          <w:tcPr>
            <w:tcW w:w="640" w:type="dxa"/>
            <w:vAlign w:val="bottom"/>
          </w:tcPr>
          <w:p>
            <w:pPr>
              <w:spacing w:after="0"/>
              <w:rPr>
                <w:sz w:val="24"/>
                <w:szCs w:val="24"/>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1,355</w:t>
            </w:r>
          </w:p>
        </w:tc>
        <w:tc>
          <w:tcPr>
            <w:tcW w:w="44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3,837</w:t>
            </w:r>
          </w:p>
        </w:tc>
        <w:tc>
          <w:tcPr>
            <w:tcW w:w="62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5,107</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447</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538</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1,479</w:t>
            </w:r>
          </w:p>
        </w:tc>
        <w:tc>
          <w:tcPr>
            <w:tcW w:w="6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1,541</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Distribution and other</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592</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559</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1,783</w:t>
            </w:r>
          </w:p>
        </w:tc>
        <w:tc>
          <w:tcPr>
            <w:tcW w:w="6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1,692</w:t>
            </w:r>
          </w:p>
        </w:tc>
      </w:tr>
      <w:tr>
        <w:trPr>
          <w:trHeight w:val="27"/>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Broadcast Television</w:t>
            </w:r>
          </w:p>
        </w:tc>
        <w:tc>
          <w:tcPr>
            <w:tcW w:w="340" w:type="dxa"/>
            <w:vAlign w:val="bottom"/>
          </w:tcPr>
          <w:p>
            <w:pPr>
              <w:spacing w:after="0"/>
              <w:rPr>
                <w:sz w:val="20"/>
                <w:szCs w:val="20"/>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2,230</w:t>
            </w:r>
          </w:p>
        </w:tc>
        <w:tc>
          <w:tcPr>
            <w:tcW w:w="64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2,452</w:t>
            </w:r>
          </w:p>
        </w:tc>
        <w:tc>
          <w:tcPr>
            <w:tcW w:w="440" w:type="dxa"/>
            <w:vAlign w:val="bottom"/>
          </w:tcPr>
          <w:p>
            <w:pPr>
              <w:spacing w:after="0"/>
              <w:rPr>
                <w:sz w:val="20"/>
                <w:szCs w:val="20"/>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7,099</w:t>
            </w:r>
          </w:p>
        </w:tc>
        <w:tc>
          <w:tcPr>
            <w:tcW w:w="62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8,340</w:t>
            </w:r>
          </w:p>
        </w:tc>
      </w:tr>
      <w:tr>
        <w:trPr>
          <w:trHeight w:val="432"/>
        </w:trPr>
        <w:tc>
          <w:tcPr>
            <w:tcW w:w="5260" w:type="dxa"/>
            <w:vAlign w:val="bottom"/>
          </w:tcPr>
          <w:p>
            <w:pPr>
              <w:ind w:left="40"/>
              <w:spacing w:after="0"/>
              <w:rPr>
                <w:sz w:val="20"/>
                <w:szCs w:val="20"/>
                <w:color w:val="auto"/>
              </w:rPr>
            </w:pPr>
            <w:r>
              <w:rPr>
                <w:rFonts w:ascii="Arial" w:cs="Arial" w:eastAsia="Arial" w:hAnsi="Arial"/>
                <w:sz w:val="18"/>
                <w:szCs w:val="18"/>
                <w:color w:val="auto"/>
              </w:rPr>
              <w:t>Theatrical</w:t>
            </w:r>
          </w:p>
        </w:tc>
        <w:tc>
          <w:tcPr>
            <w:tcW w:w="34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549</w:t>
            </w:r>
          </w:p>
        </w:tc>
        <w:tc>
          <w:tcPr>
            <w:tcW w:w="640" w:type="dxa"/>
            <w:vAlign w:val="bottom"/>
          </w:tcPr>
          <w:p>
            <w:pPr>
              <w:spacing w:after="0"/>
              <w:rPr>
                <w:sz w:val="24"/>
                <w:szCs w:val="24"/>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601</w:t>
            </w:r>
          </w:p>
        </w:tc>
        <w:tc>
          <w:tcPr>
            <w:tcW w:w="44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1,246</w:t>
            </w:r>
          </w:p>
        </w:tc>
        <w:tc>
          <w:tcPr>
            <w:tcW w:w="62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1,564</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737</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719</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2,266</w:t>
            </w:r>
          </w:p>
        </w:tc>
        <w:tc>
          <w:tcPr>
            <w:tcW w:w="6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2,100</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Home entertainment</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185</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260</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681</w:t>
            </w:r>
          </w:p>
        </w:tc>
        <w:tc>
          <w:tcPr>
            <w:tcW w:w="6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733</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235</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239</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738</w:t>
            </w:r>
          </w:p>
        </w:tc>
        <w:tc>
          <w:tcPr>
            <w:tcW w:w="6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779</w:t>
            </w:r>
          </w:p>
        </w:tc>
      </w:tr>
      <w:tr>
        <w:trPr>
          <w:trHeight w:val="27"/>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Filmed Entertainment</w:t>
            </w:r>
          </w:p>
        </w:tc>
        <w:tc>
          <w:tcPr>
            <w:tcW w:w="340" w:type="dxa"/>
            <w:vAlign w:val="bottom"/>
          </w:tcPr>
          <w:p>
            <w:pPr>
              <w:spacing w:after="0"/>
              <w:rPr>
                <w:sz w:val="20"/>
                <w:szCs w:val="20"/>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1,706</w:t>
            </w:r>
          </w:p>
        </w:tc>
        <w:tc>
          <w:tcPr>
            <w:tcW w:w="64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1,819</w:t>
            </w:r>
          </w:p>
        </w:tc>
        <w:tc>
          <w:tcPr>
            <w:tcW w:w="440" w:type="dxa"/>
            <w:vAlign w:val="bottom"/>
          </w:tcPr>
          <w:p>
            <w:pPr>
              <w:spacing w:after="0"/>
              <w:rPr>
                <w:sz w:val="20"/>
                <w:szCs w:val="20"/>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4,931</w:t>
            </w:r>
          </w:p>
        </w:tc>
        <w:tc>
          <w:tcPr>
            <w:tcW w:w="62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5,176</w:t>
            </w:r>
          </w:p>
        </w:tc>
      </w:tr>
      <w:tr>
        <w:trPr>
          <w:trHeight w:val="432"/>
        </w:trPr>
        <w:tc>
          <w:tcPr>
            <w:tcW w:w="5260" w:type="dxa"/>
            <w:vAlign w:val="bottom"/>
          </w:tcPr>
          <w:p>
            <w:pPr>
              <w:ind w:left="40"/>
              <w:spacing w:after="0"/>
              <w:rPr>
                <w:sz w:val="20"/>
                <w:szCs w:val="20"/>
                <w:color w:val="auto"/>
              </w:rPr>
            </w:pPr>
            <w:r>
              <w:rPr>
                <w:rFonts w:ascii="Arial" w:cs="Arial" w:eastAsia="Arial" w:hAnsi="Arial"/>
                <w:sz w:val="18"/>
                <w:szCs w:val="18"/>
                <w:color w:val="auto"/>
              </w:rPr>
              <w:t>Total Theme Parks</w:t>
            </w:r>
          </w:p>
        </w:tc>
        <w:tc>
          <w:tcPr>
            <w:tcW w:w="34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1,631</w:t>
            </w:r>
          </w:p>
        </w:tc>
        <w:tc>
          <w:tcPr>
            <w:tcW w:w="640" w:type="dxa"/>
            <w:vAlign w:val="bottom"/>
          </w:tcPr>
          <w:p>
            <w:pPr>
              <w:spacing w:after="0"/>
              <w:rPr>
                <w:sz w:val="24"/>
                <w:szCs w:val="24"/>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1,528</w:t>
            </w:r>
          </w:p>
        </w:tc>
        <w:tc>
          <w:tcPr>
            <w:tcW w:w="44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4,371</w:t>
            </w:r>
          </w:p>
        </w:tc>
        <w:tc>
          <w:tcPr>
            <w:tcW w:w="62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4,170</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Headquarters and Other</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21</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60</w:t>
            </w:r>
          </w:p>
        </w:tc>
        <w:tc>
          <w:tcPr>
            <w:tcW w:w="6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44</w:t>
            </w:r>
          </w:p>
        </w:tc>
      </w:tr>
      <w:tr>
        <w:trPr>
          <w:trHeight w:val="297"/>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(c)</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(64)</w:t>
            </w:r>
          </w:p>
        </w:tc>
        <w:tc>
          <w:tcPr>
            <w:tcW w:w="6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(68)</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(233)</w:t>
            </w:r>
          </w:p>
        </w:tc>
        <w:tc>
          <w:tcPr>
            <w:tcW w:w="6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NBCUniversal</w:t>
            </w:r>
          </w:p>
        </w:tc>
        <w:tc>
          <w:tcPr>
            <w:tcW w:w="340" w:type="dxa"/>
            <w:vAlign w:val="bottom"/>
          </w:tcPr>
          <w:p>
            <w:pPr>
              <w:spacing w:after="0"/>
              <w:rPr>
                <w:sz w:val="20"/>
                <w:szCs w:val="20"/>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8,295</w:t>
            </w:r>
          </w:p>
        </w:tc>
        <w:tc>
          <w:tcPr>
            <w:tcW w:w="64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8,596</w:t>
            </w:r>
          </w:p>
        </w:tc>
        <w:tc>
          <w:tcPr>
            <w:tcW w:w="440" w:type="dxa"/>
            <w:vAlign w:val="bottom"/>
          </w:tcPr>
          <w:p>
            <w:pPr>
              <w:spacing w:after="0"/>
              <w:rPr>
                <w:sz w:val="20"/>
                <w:szCs w:val="20"/>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24,814</w:t>
            </w:r>
          </w:p>
        </w:tc>
        <w:tc>
          <w:tcPr>
            <w:tcW w:w="62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26,366</w:t>
            </w:r>
          </w:p>
        </w:tc>
      </w:tr>
      <w:tr>
        <w:trPr>
          <w:trHeight w:val="432"/>
        </w:trPr>
        <w:tc>
          <w:tcPr>
            <w:tcW w:w="5260" w:type="dxa"/>
            <w:vAlign w:val="bottom"/>
          </w:tcPr>
          <w:p>
            <w:pPr>
              <w:ind w:left="40"/>
              <w:spacing w:after="0"/>
              <w:rPr>
                <w:sz w:val="20"/>
                <w:szCs w:val="20"/>
                <w:color w:val="auto"/>
              </w:rPr>
            </w:pPr>
            <w:r>
              <w:rPr>
                <w:rFonts w:ascii="Arial" w:cs="Arial" w:eastAsia="Arial" w:hAnsi="Arial"/>
                <w:sz w:val="18"/>
                <w:szCs w:val="18"/>
                <w:color w:val="auto"/>
              </w:rPr>
              <w:t>Direct-to-consumer</w:t>
            </w:r>
          </w:p>
        </w:tc>
        <w:tc>
          <w:tcPr>
            <w:tcW w:w="34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3,793</w:t>
            </w:r>
          </w:p>
        </w:tc>
        <w:tc>
          <w:tcPr>
            <w:tcW w:w="640" w:type="dxa"/>
            <w:vAlign w:val="bottom"/>
          </w:tcPr>
          <w:p>
            <w:pPr>
              <w:spacing w:after="0"/>
              <w:rPr>
                <w:sz w:val="24"/>
                <w:szCs w:val="24"/>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11,516</w:t>
            </w:r>
          </w:p>
        </w:tc>
        <w:tc>
          <w:tcPr>
            <w:tcW w:w="62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Content</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315</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1,061</w:t>
            </w:r>
          </w:p>
        </w:tc>
        <w:tc>
          <w:tcPr>
            <w:tcW w:w="6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446</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1,602</w:t>
            </w:r>
          </w:p>
        </w:tc>
        <w:tc>
          <w:tcPr>
            <w:tcW w:w="6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Sky</w:t>
            </w:r>
          </w:p>
        </w:tc>
        <w:tc>
          <w:tcPr>
            <w:tcW w:w="340" w:type="dxa"/>
            <w:vAlign w:val="bottom"/>
          </w:tcPr>
          <w:p>
            <w:pPr>
              <w:spacing w:after="0"/>
              <w:rPr>
                <w:sz w:val="20"/>
                <w:szCs w:val="20"/>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4,554</w:t>
            </w:r>
          </w:p>
        </w:tc>
        <w:tc>
          <w:tcPr>
            <w:tcW w:w="64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14,179</w:t>
            </w:r>
          </w:p>
        </w:tc>
        <w:tc>
          <w:tcPr>
            <w:tcW w:w="62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472"/>
        </w:trPr>
        <w:tc>
          <w:tcPr>
            <w:tcW w:w="5260" w:type="dxa"/>
            <w:vAlign w:val="bottom"/>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(b)</w:t>
            </w:r>
          </w:p>
        </w:tc>
        <w:tc>
          <w:tcPr>
            <w:tcW w:w="34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42</w:t>
            </w:r>
          </w:p>
        </w:tc>
        <w:tc>
          <w:tcPr>
            <w:tcW w:w="640" w:type="dxa"/>
            <w:vAlign w:val="bottom"/>
          </w:tcPr>
          <w:p>
            <w:pPr>
              <w:spacing w:after="0"/>
              <w:rPr>
                <w:sz w:val="24"/>
                <w:szCs w:val="24"/>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73</w:t>
            </w:r>
          </w:p>
        </w:tc>
        <w:tc>
          <w:tcPr>
            <w:tcW w:w="44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206</w:t>
            </w:r>
          </w:p>
        </w:tc>
        <w:tc>
          <w:tcPr>
            <w:tcW w:w="62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412</w:t>
            </w:r>
          </w:p>
        </w:tc>
      </w:tr>
      <w:tr>
        <w:trPr>
          <w:trHeight w:val="257"/>
        </w:trPr>
        <w:tc>
          <w:tcPr>
            <w:tcW w:w="526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(c)</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(648)</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(557)</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(1,969)</w:t>
            </w:r>
          </w:p>
        </w:tc>
        <w:tc>
          <w:tcPr>
            <w:tcW w:w="6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32"/>
              <w:spacing w:after="0"/>
              <w:rPr>
                <w:sz w:val="20"/>
                <w:szCs w:val="20"/>
                <w:color w:val="auto"/>
              </w:rPr>
            </w:pPr>
            <w:r>
              <w:rPr>
                <w:rFonts w:ascii="Arial" w:cs="Arial" w:eastAsia="Arial" w:hAnsi="Arial"/>
                <w:sz w:val="18"/>
                <w:szCs w:val="18"/>
                <w:b w:val="1"/>
                <w:bCs w:val="1"/>
                <w:color w:val="auto"/>
              </w:rPr>
              <w:t>26,827</w:t>
            </w:r>
          </w:p>
        </w:tc>
        <w:tc>
          <w:tcPr>
            <w:tcW w:w="64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1"/>
              <w:spacing w:after="0"/>
              <w:rPr>
                <w:sz w:val="20"/>
                <w:szCs w:val="20"/>
                <w:color w:val="auto"/>
              </w:rPr>
            </w:pPr>
            <w:r>
              <w:rPr>
                <w:rFonts w:ascii="Arial" w:cs="Arial" w:eastAsia="Arial" w:hAnsi="Arial"/>
                <w:sz w:val="18"/>
                <w:szCs w:val="18"/>
                <w:b w:val="1"/>
                <w:bCs w:val="1"/>
                <w:color w:val="auto"/>
              </w:rPr>
              <w:t>22,135</w:t>
            </w:r>
          </w:p>
        </w:tc>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12"/>
              <w:spacing w:after="0"/>
              <w:rPr>
                <w:sz w:val="20"/>
                <w:szCs w:val="20"/>
                <w:color w:val="auto"/>
              </w:rPr>
            </w:pPr>
            <w:r>
              <w:rPr>
                <w:rFonts w:ascii="Arial" w:cs="Arial" w:eastAsia="Arial" w:hAnsi="Arial"/>
                <w:sz w:val="18"/>
                <w:szCs w:val="18"/>
                <w:b w:val="1"/>
                <w:bCs w:val="1"/>
                <w:color w:val="auto"/>
              </w:rPr>
              <w:t>80,544</w:t>
            </w:r>
          </w:p>
        </w:tc>
        <w:tc>
          <w:tcPr>
            <w:tcW w:w="62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b w:val="1"/>
                <w:bCs w:val="1"/>
                <w:color w:val="auto"/>
              </w:rPr>
              <w:t>66,661</w:t>
            </w:r>
          </w:p>
        </w:tc>
      </w:tr>
      <w:tr>
        <w:trPr>
          <w:trHeight w:val="34"/>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ind w:left="340" w:hanging="332"/>
        <w:spacing w:after="0" w:line="312" w:lineRule="auto"/>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For both the three and nine months ended September 30, 2019, 2.6% of Cable Communications segment revenue was derived from franchise and other regulatory fees. For the three and nine months ended September 30, 2018, 2.6% and 2.7%, respectively, of Cable Communications segment revenue was derived from franchise and other regulatory fees.</w:t>
      </w:r>
    </w:p>
    <w:p>
      <w:pPr>
        <w:spacing w:after="0" w:line="56" w:lineRule="exact"/>
        <w:rPr>
          <w:rFonts w:ascii="Arial" w:cs="Arial" w:eastAsia="Arial" w:hAnsi="Arial"/>
          <w:sz w:val="13"/>
          <w:szCs w:val="13"/>
          <w:color w:val="auto"/>
        </w:rPr>
      </w:pPr>
    </w:p>
    <w:p>
      <w:pPr>
        <w:jc w:val="both"/>
        <w:ind w:left="340" w:hanging="332"/>
        <w:spacing w:after="0" w:line="257"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Comcast Cable’s wireless phone service is now presented in the Cable Communications segment. Results were previously presented in Corporate and Other. We recognize revenue from our wireless phone service as the services are provided, similar to how we recognize revenue for other residential cable services. We recognize revenue from the sale of handsets at the point of sale.</w:t>
      </w:r>
    </w:p>
    <w:p>
      <w:pPr>
        <w:spacing w:after="0" w:line="90"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See Note 2 for a description of these transactions.</w:t>
      </w:r>
    </w:p>
    <w:p>
      <w:pPr>
        <w:sectPr>
          <w:pgSz w:w="11900" w:h="16838" w:orient="portrait"/>
          <w:cols w:equalWidth="0" w:num="1">
            <w:col w:w="11420"/>
          </w:cols>
          <w:pgMar w:left="240" w:top="121" w:right="239" w:bottom="1440" w:gutter="0" w:footer="0" w:header="0"/>
        </w:sect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We operate primarily in the United States but also in select international markets. The table below summarizes revenue by geographic location.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860" w:type="dxa"/>
            <w:vAlign w:val="bottom"/>
          </w:tcPr>
          <w:p>
            <w:pPr>
              <w:spacing w:after="0"/>
              <w:rPr>
                <w:sz w:val="14"/>
                <w:szCs w:val="14"/>
                <w:color w:val="auto"/>
              </w:rPr>
            </w:pPr>
          </w:p>
        </w:tc>
      </w:tr>
      <w:tr>
        <w:trPr>
          <w:trHeight w:val="188"/>
        </w:trPr>
        <w:tc>
          <w:tcPr>
            <w:tcW w:w="5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9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color w:val="auto"/>
              </w:rPr>
              <w:t>September 30</w:t>
            </w:r>
          </w:p>
        </w:tc>
        <w:tc>
          <w:tcPr>
            <w:tcW w:w="86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color w:val="auto"/>
              </w:rPr>
              <w:t>2019</w:t>
            </w:r>
          </w:p>
        </w:tc>
        <w:tc>
          <w:tcPr>
            <w:tcW w:w="6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w w:val="96"/>
              </w:rPr>
              <w:t>2018</w:t>
            </w: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color w:val="auto"/>
              </w:rPr>
              <w:t>2019</w:t>
            </w:r>
          </w:p>
        </w:tc>
        <w:tc>
          <w:tcPr>
            <w:tcW w:w="6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w w:val="96"/>
              </w:rPr>
              <w:t>2018</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8"/>
              <w:spacing w:after="0"/>
              <w:rPr>
                <w:sz w:val="20"/>
                <w:szCs w:val="20"/>
                <w:color w:val="auto"/>
              </w:rPr>
            </w:pPr>
            <w:r>
              <w:rPr>
                <w:rFonts w:ascii="Arial" w:cs="Arial" w:eastAsia="Arial" w:hAnsi="Arial"/>
                <w:sz w:val="18"/>
                <w:szCs w:val="18"/>
                <w:color w:val="auto"/>
              </w:rPr>
              <w:t>20,398</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20,244</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8"/>
              <w:spacing w:after="0"/>
              <w:rPr>
                <w:sz w:val="20"/>
                <w:szCs w:val="20"/>
                <w:color w:val="auto"/>
              </w:rPr>
            </w:pPr>
            <w:r>
              <w:rPr>
                <w:rFonts w:ascii="Arial" w:cs="Arial" w:eastAsia="Arial" w:hAnsi="Arial"/>
                <w:sz w:val="18"/>
                <w:szCs w:val="18"/>
                <w:color w:val="auto"/>
              </w:rPr>
              <w:t>61,394</w:t>
            </w: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61,060</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Europe</w:t>
            </w:r>
          </w:p>
        </w:tc>
        <w:tc>
          <w:tcPr>
            <w:tcW w:w="340" w:type="dxa"/>
            <w:vAlign w:val="bottom"/>
          </w:tcPr>
          <w:p>
            <w:pPr>
              <w:spacing w:after="0"/>
              <w:rPr>
                <w:sz w:val="23"/>
                <w:szCs w:val="23"/>
                <w:color w:val="auto"/>
              </w:rPr>
            </w:pPr>
          </w:p>
        </w:tc>
        <w:tc>
          <w:tcPr>
            <w:tcW w:w="1140" w:type="dxa"/>
            <w:vAlign w:val="bottom"/>
          </w:tcPr>
          <w:p>
            <w:pPr>
              <w:jc w:val="right"/>
              <w:ind w:right="118"/>
              <w:spacing w:after="0"/>
              <w:rPr>
                <w:sz w:val="20"/>
                <w:szCs w:val="20"/>
                <w:color w:val="auto"/>
              </w:rPr>
            </w:pPr>
            <w:r>
              <w:rPr>
                <w:rFonts w:ascii="Arial" w:cs="Arial" w:eastAsia="Arial" w:hAnsi="Arial"/>
                <w:sz w:val="18"/>
                <w:szCs w:val="18"/>
                <w:color w:val="auto"/>
              </w:rPr>
              <w:t>5,211</w:t>
            </w:r>
          </w:p>
        </w:tc>
        <w:tc>
          <w:tcPr>
            <w:tcW w:w="660" w:type="dxa"/>
            <w:vAlign w:val="bottom"/>
          </w:tcPr>
          <w:p>
            <w:pPr>
              <w:spacing w:after="0"/>
              <w:rPr>
                <w:sz w:val="23"/>
                <w:szCs w:val="23"/>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825</w:t>
            </w:r>
          </w:p>
        </w:tc>
        <w:tc>
          <w:tcPr>
            <w:tcW w:w="480" w:type="dxa"/>
            <w:vAlign w:val="bottom"/>
          </w:tcPr>
          <w:p>
            <w:pPr>
              <w:spacing w:after="0"/>
              <w:rPr>
                <w:sz w:val="23"/>
                <w:szCs w:val="23"/>
                <w:color w:val="auto"/>
              </w:rPr>
            </w:pPr>
          </w:p>
        </w:tc>
        <w:tc>
          <w:tcPr>
            <w:tcW w:w="1100" w:type="dxa"/>
            <w:vAlign w:val="bottom"/>
          </w:tcPr>
          <w:p>
            <w:pPr>
              <w:jc w:val="right"/>
              <w:ind w:right="78"/>
              <w:spacing w:after="0"/>
              <w:rPr>
                <w:sz w:val="20"/>
                <w:szCs w:val="20"/>
                <w:color w:val="auto"/>
              </w:rPr>
            </w:pPr>
            <w:r>
              <w:rPr>
                <w:rFonts w:ascii="Arial" w:cs="Arial" w:eastAsia="Arial" w:hAnsi="Arial"/>
                <w:sz w:val="18"/>
                <w:szCs w:val="18"/>
                <w:color w:val="auto"/>
              </w:rPr>
              <w:t>15,878</w:t>
            </w:r>
          </w:p>
        </w:tc>
        <w:tc>
          <w:tcPr>
            <w:tcW w:w="66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2,345</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140" w:type="dxa"/>
            <w:vAlign w:val="bottom"/>
          </w:tcPr>
          <w:p>
            <w:pPr>
              <w:jc w:val="right"/>
              <w:ind w:right="118"/>
              <w:spacing w:after="0"/>
              <w:rPr>
                <w:sz w:val="20"/>
                <w:szCs w:val="20"/>
                <w:color w:val="auto"/>
              </w:rPr>
            </w:pPr>
            <w:r>
              <w:rPr>
                <w:rFonts w:ascii="Arial" w:cs="Arial" w:eastAsia="Arial" w:hAnsi="Arial"/>
                <w:sz w:val="18"/>
                <w:szCs w:val="18"/>
                <w:color w:val="auto"/>
              </w:rPr>
              <w:t>1,218</w:t>
            </w:r>
          </w:p>
        </w:tc>
        <w:tc>
          <w:tcPr>
            <w:tcW w:w="660" w:type="dxa"/>
            <w:vAlign w:val="bottom"/>
          </w:tcPr>
          <w:p>
            <w:pPr>
              <w:spacing w:after="0"/>
              <w:rPr>
                <w:sz w:val="23"/>
                <w:szCs w:val="23"/>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1,066</w:t>
            </w:r>
          </w:p>
        </w:tc>
        <w:tc>
          <w:tcPr>
            <w:tcW w:w="480" w:type="dxa"/>
            <w:vAlign w:val="bottom"/>
          </w:tcPr>
          <w:p>
            <w:pPr>
              <w:spacing w:after="0"/>
              <w:rPr>
                <w:sz w:val="23"/>
                <w:szCs w:val="23"/>
                <w:color w:val="auto"/>
              </w:rPr>
            </w:pPr>
          </w:p>
        </w:tc>
        <w:tc>
          <w:tcPr>
            <w:tcW w:w="1100" w:type="dxa"/>
            <w:vAlign w:val="bottom"/>
          </w:tcPr>
          <w:p>
            <w:pPr>
              <w:jc w:val="right"/>
              <w:ind w:right="78"/>
              <w:spacing w:after="0"/>
              <w:rPr>
                <w:sz w:val="20"/>
                <w:szCs w:val="20"/>
                <w:color w:val="auto"/>
              </w:rPr>
            </w:pPr>
            <w:r>
              <w:rPr>
                <w:rFonts w:ascii="Arial" w:cs="Arial" w:eastAsia="Arial" w:hAnsi="Arial"/>
                <w:sz w:val="18"/>
                <w:szCs w:val="18"/>
                <w:color w:val="auto"/>
              </w:rPr>
              <w:t>3,272</w:t>
            </w:r>
          </w:p>
        </w:tc>
        <w:tc>
          <w:tcPr>
            <w:tcW w:w="66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3,256</w:t>
            </w:r>
          </w:p>
        </w:tc>
      </w:tr>
      <w:tr>
        <w:trPr>
          <w:trHeight w:val="27"/>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18"/>
              <w:spacing w:after="0"/>
              <w:rPr>
                <w:sz w:val="20"/>
                <w:szCs w:val="20"/>
                <w:color w:val="auto"/>
              </w:rPr>
            </w:pPr>
            <w:r>
              <w:rPr>
                <w:rFonts w:ascii="Arial" w:cs="Arial" w:eastAsia="Arial" w:hAnsi="Arial"/>
                <w:sz w:val="18"/>
                <w:szCs w:val="18"/>
                <w:b w:val="1"/>
                <w:bCs w:val="1"/>
                <w:color w:val="auto"/>
              </w:rPr>
              <w:t>26,827</w:t>
            </w:r>
          </w:p>
        </w:tc>
        <w:tc>
          <w:tcPr>
            <w:tcW w:w="66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74"/>
              <w:spacing w:after="0"/>
              <w:rPr>
                <w:sz w:val="20"/>
                <w:szCs w:val="20"/>
                <w:color w:val="auto"/>
              </w:rPr>
            </w:pPr>
            <w:r>
              <w:rPr>
                <w:rFonts w:ascii="Arial" w:cs="Arial" w:eastAsia="Arial" w:hAnsi="Arial"/>
                <w:sz w:val="18"/>
                <w:szCs w:val="18"/>
                <w:b w:val="1"/>
                <w:bCs w:val="1"/>
                <w:color w:val="auto"/>
              </w:rPr>
              <w:t>22,135</w:t>
            </w:r>
          </w:p>
        </w:tc>
        <w:tc>
          <w:tcPr>
            <w:tcW w:w="4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78"/>
              <w:spacing w:after="0"/>
              <w:rPr>
                <w:sz w:val="20"/>
                <w:szCs w:val="20"/>
                <w:color w:val="auto"/>
              </w:rPr>
            </w:pPr>
            <w:r>
              <w:rPr>
                <w:rFonts w:ascii="Arial" w:cs="Arial" w:eastAsia="Arial" w:hAnsi="Arial"/>
                <w:sz w:val="18"/>
                <w:szCs w:val="18"/>
                <w:b w:val="1"/>
                <w:bCs w:val="1"/>
                <w:color w:val="auto"/>
              </w:rPr>
              <w:t>80,544</w:t>
            </w:r>
          </w:p>
        </w:tc>
        <w:tc>
          <w:tcPr>
            <w:tcW w:w="66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b w:val="1"/>
                <w:bCs w:val="1"/>
                <w:color w:val="auto"/>
              </w:rPr>
              <w:t>66,661</w:t>
            </w:r>
          </w:p>
        </w:tc>
      </w:tr>
      <w:tr>
        <w:trPr>
          <w:trHeight w:val="34"/>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accounted for a significant amount of revenue in any period presented.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tables summarize our accounts receivable and other balances that are not separately presented in our condensed consolidated balance sheet that relate to the recognition of revenue and collection of the related cash, as well as deferred costs associated with our contracts with customers.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2"/>
          </w:tcPr>
          <w:p>
            <w:pPr>
              <w:jc w:val="center"/>
              <w:ind w:left="278"/>
              <w:spacing w:after="0"/>
              <w:rPr>
                <w:sz w:val="20"/>
                <w:szCs w:val="20"/>
                <w:color w:val="auto"/>
              </w:rPr>
            </w:pPr>
            <w:r>
              <w:rPr>
                <w:rFonts w:ascii="Arial" w:cs="Arial" w:eastAsia="Arial" w:hAnsi="Arial"/>
                <w:sz w:val="14"/>
                <w:szCs w:val="14"/>
                <w:color w:val="auto"/>
                <w:w w:val="91"/>
              </w:rPr>
              <w:t>September 30,</w:t>
            </w:r>
          </w:p>
        </w:tc>
        <w:tc>
          <w:tcPr>
            <w:tcW w:w="30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December 31,</w:t>
            </w:r>
          </w:p>
        </w:tc>
      </w:tr>
      <w:tr>
        <w:trPr>
          <w:trHeight w:val="188"/>
        </w:trPr>
        <w:tc>
          <w:tcPr>
            <w:tcW w:w="3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616"/>
              <w:spacing w:after="0"/>
              <w:rPr>
                <w:sz w:val="20"/>
                <w:szCs w:val="20"/>
                <w:color w:val="auto"/>
              </w:rPr>
            </w:pPr>
            <w:r>
              <w:rPr>
                <w:rFonts w:ascii="Arial" w:cs="Arial" w:eastAsia="Arial" w:hAnsi="Arial"/>
                <w:sz w:val="14"/>
                <w:szCs w:val="14"/>
                <w:color w:val="auto"/>
                <w:w w:val="89"/>
              </w:rPr>
              <w:t>2019</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color w:val="auto"/>
                <w:w w:val="89"/>
              </w:rPr>
              <w:t>2018</w:t>
            </w:r>
          </w:p>
        </w:tc>
        <w:tc>
          <w:tcPr>
            <w:tcW w:w="20" w:type="dxa"/>
            <w:vAlign w:val="bottom"/>
            <w:tcBorders>
              <w:bottom w:val="single" w:sz="8" w:color="auto"/>
            </w:tcBorders>
          </w:tcPr>
          <w:p>
            <w:pPr>
              <w:spacing w:after="0"/>
              <w:rPr>
                <w:sz w:val="16"/>
                <w:szCs w:val="16"/>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Receivables, gross</w:t>
            </w:r>
          </w:p>
        </w:tc>
        <w:tc>
          <w:tcPr>
            <w:tcW w:w="1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278"/>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6"/>
              <w:spacing w:after="0"/>
              <w:rPr>
                <w:sz w:val="20"/>
                <w:szCs w:val="20"/>
                <w:color w:val="auto"/>
              </w:rPr>
            </w:pPr>
            <w:r>
              <w:rPr>
                <w:rFonts w:ascii="Arial" w:cs="Arial" w:eastAsia="Arial" w:hAnsi="Arial"/>
                <w:sz w:val="18"/>
                <w:szCs w:val="18"/>
                <w:color w:val="auto"/>
              </w:rPr>
              <w:t>11,159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11,456</w:t>
            </w:r>
          </w:p>
        </w:tc>
        <w:tc>
          <w:tcPr>
            <w:tcW w:w="20" w:type="dxa"/>
            <w:vAlign w:val="bottom"/>
          </w:tcPr>
          <w:p>
            <w:pPr>
              <w:spacing w:after="0"/>
              <w:rPr>
                <w:sz w:val="21"/>
                <w:szCs w:val="21"/>
                <w:color w:val="auto"/>
              </w:rPr>
            </w:pP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Less: Allowance for doubtful accounts</w:t>
            </w:r>
          </w:p>
        </w:tc>
        <w:tc>
          <w:tcPr>
            <w:tcW w:w="1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60" w:type="dxa"/>
            <w:vAlign w:val="bottom"/>
          </w:tcPr>
          <w:p>
            <w:pPr>
              <w:jc w:val="right"/>
              <w:ind w:right="256"/>
              <w:spacing w:after="0"/>
              <w:rPr>
                <w:sz w:val="20"/>
                <w:szCs w:val="20"/>
                <w:color w:val="auto"/>
              </w:rPr>
            </w:pPr>
            <w:r>
              <w:rPr>
                <w:rFonts w:ascii="Arial" w:cs="Arial" w:eastAsia="Arial" w:hAnsi="Arial"/>
                <w:sz w:val="18"/>
                <w:szCs w:val="18"/>
                <w:color w:val="auto"/>
              </w:rPr>
              <w:t>475</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23"/>
                <w:szCs w:val="23"/>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8"/>
                <w:szCs w:val="18"/>
                <w:b w:val="1"/>
                <w:bCs w:val="1"/>
                <w:color w:val="auto"/>
              </w:rPr>
              <w:t>Receivables, net</w:t>
            </w: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78"/>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256"/>
              <w:spacing w:after="0"/>
              <w:rPr>
                <w:sz w:val="20"/>
                <w:szCs w:val="20"/>
                <w:color w:val="auto"/>
              </w:rPr>
            </w:pPr>
            <w:r>
              <w:rPr>
                <w:rFonts w:ascii="Arial" w:cs="Arial" w:eastAsia="Arial" w:hAnsi="Arial"/>
                <w:sz w:val="18"/>
                <w:szCs w:val="18"/>
                <w:b w:val="1"/>
                <w:bCs w:val="1"/>
                <w:color w:val="auto"/>
              </w:rPr>
              <w:t>10,684</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11,104</w:t>
            </w:r>
          </w:p>
        </w:tc>
        <w:tc>
          <w:tcPr>
            <w:tcW w:w="20" w:type="dxa"/>
            <w:vAlign w:val="bottom"/>
          </w:tcPr>
          <w:p>
            <w:pPr>
              <w:spacing w:after="0"/>
              <w:rPr>
                <w:sz w:val="20"/>
                <w:szCs w:val="20"/>
                <w:color w:val="auto"/>
              </w:rPr>
            </w:pPr>
          </w:p>
        </w:tc>
      </w:tr>
      <w:tr>
        <w:trPr>
          <w:trHeight w:val="34"/>
        </w:trPr>
        <w:tc>
          <w:tcPr>
            <w:tcW w:w="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684"/>
        </w:trPr>
        <w:tc>
          <w:tcPr>
            <w:tcW w:w="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2"/>
          </w:tcPr>
          <w:p>
            <w:pPr>
              <w:jc w:val="center"/>
              <w:ind w:left="278"/>
              <w:spacing w:after="0"/>
              <w:rPr>
                <w:sz w:val="20"/>
                <w:szCs w:val="20"/>
                <w:color w:val="auto"/>
              </w:rPr>
            </w:pPr>
            <w:r>
              <w:rPr>
                <w:rFonts w:ascii="Arial" w:cs="Arial" w:eastAsia="Arial" w:hAnsi="Arial"/>
                <w:sz w:val="14"/>
                <w:szCs w:val="14"/>
                <w:color w:val="auto"/>
                <w:w w:val="91"/>
              </w:rPr>
              <w:t>September 30,</w:t>
            </w:r>
          </w:p>
        </w:tc>
        <w:tc>
          <w:tcPr>
            <w:tcW w:w="300" w:type="dxa"/>
            <w:vAlign w:val="bottom"/>
          </w:tcPr>
          <w:p>
            <w:pPr>
              <w:spacing w:after="0"/>
              <w:rPr>
                <w:sz w:val="24"/>
                <w:szCs w:val="2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December 31,</w:t>
            </w:r>
          </w:p>
        </w:tc>
      </w:tr>
      <w:tr>
        <w:trPr>
          <w:trHeight w:val="188"/>
        </w:trPr>
        <w:tc>
          <w:tcPr>
            <w:tcW w:w="3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616"/>
              <w:spacing w:after="0"/>
              <w:rPr>
                <w:sz w:val="20"/>
                <w:szCs w:val="20"/>
                <w:color w:val="auto"/>
              </w:rPr>
            </w:pPr>
            <w:r>
              <w:rPr>
                <w:rFonts w:ascii="Arial" w:cs="Arial" w:eastAsia="Arial" w:hAnsi="Arial"/>
                <w:sz w:val="14"/>
                <w:szCs w:val="14"/>
                <w:color w:val="auto"/>
                <w:w w:val="89"/>
              </w:rPr>
              <w:t>2019</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color w:val="auto"/>
                <w:w w:val="89"/>
              </w:rPr>
              <w:t>2018</w:t>
            </w:r>
          </w:p>
        </w:tc>
        <w:tc>
          <w:tcPr>
            <w:tcW w:w="20" w:type="dxa"/>
            <w:vAlign w:val="bottom"/>
            <w:tcBorders>
              <w:bottom w:val="single" w:sz="8" w:color="auto"/>
            </w:tcBorders>
          </w:tcPr>
          <w:p>
            <w:pPr>
              <w:spacing w:after="0"/>
              <w:rPr>
                <w:sz w:val="16"/>
                <w:szCs w:val="16"/>
                <w:color w:val="auto"/>
              </w:rPr>
            </w:pPr>
          </w:p>
        </w:tc>
      </w:tr>
      <w:tr>
        <w:trPr>
          <w:trHeight w:val="243"/>
        </w:trPr>
        <w:tc>
          <w:tcPr>
            <w:tcW w:w="5100" w:type="dxa"/>
            <w:vAlign w:val="bottom"/>
            <w:gridSpan w:val="4"/>
          </w:tcPr>
          <w:p>
            <w:pPr>
              <w:ind w:left="40"/>
              <w:spacing w:after="0"/>
              <w:rPr>
                <w:sz w:val="20"/>
                <w:szCs w:val="20"/>
                <w:color w:val="auto"/>
              </w:rPr>
            </w:pPr>
            <w:r>
              <w:rPr>
                <w:rFonts w:ascii="Arial" w:cs="Arial" w:eastAsia="Arial" w:hAnsi="Arial"/>
                <w:sz w:val="18"/>
                <w:szCs w:val="18"/>
                <w:color w:val="auto"/>
                <w:w w:val="91"/>
              </w:rPr>
              <w:t>Noncurrent receivables, net (included in other noncurrent assets, net)</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278"/>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6"/>
              <w:spacing w:after="0"/>
              <w:rPr>
                <w:sz w:val="20"/>
                <w:szCs w:val="20"/>
                <w:color w:val="auto"/>
              </w:rPr>
            </w:pPr>
            <w:r>
              <w:rPr>
                <w:rFonts w:ascii="Arial" w:cs="Arial" w:eastAsia="Arial" w:hAnsi="Arial"/>
                <w:sz w:val="18"/>
                <w:szCs w:val="18"/>
                <w:color w:val="auto"/>
              </w:rPr>
              <w:t>1,261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1,399</w:t>
            </w:r>
          </w:p>
        </w:tc>
        <w:tc>
          <w:tcPr>
            <w:tcW w:w="20" w:type="dxa"/>
            <w:vAlign w:val="bottom"/>
          </w:tcPr>
          <w:p>
            <w:pPr>
              <w:spacing w:after="0"/>
              <w:rPr>
                <w:sz w:val="21"/>
                <w:szCs w:val="21"/>
                <w:color w:val="auto"/>
              </w:rPr>
            </w:pPr>
          </w:p>
        </w:tc>
      </w:tr>
      <w:tr>
        <w:trPr>
          <w:trHeight w:val="270"/>
        </w:trPr>
        <w:tc>
          <w:tcPr>
            <w:tcW w:w="6060" w:type="dxa"/>
            <w:vAlign w:val="bottom"/>
            <w:gridSpan w:val="5"/>
          </w:tcPr>
          <w:p>
            <w:pPr>
              <w:ind w:left="40"/>
              <w:spacing w:after="0"/>
              <w:rPr>
                <w:sz w:val="20"/>
                <w:szCs w:val="20"/>
                <w:color w:val="auto"/>
              </w:rPr>
            </w:pPr>
            <w:r>
              <w:rPr>
                <w:rFonts w:ascii="Arial" w:cs="Arial" w:eastAsia="Arial" w:hAnsi="Arial"/>
                <w:sz w:val="18"/>
                <w:szCs w:val="18"/>
                <w:color w:val="auto"/>
                <w:w w:val="91"/>
              </w:rPr>
              <w:t>Contract acquisition and fulfillment costs (included in other noncurrent assets, net)</w:t>
            </w: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278"/>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6"/>
              <w:spacing w:after="0"/>
              <w:rPr>
                <w:sz w:val="20"/>
                <w:szCs w:val="20"/>
                <w:color w:val="auto"/>
              </w:rPr>
            </w:pPr>
            <w:r>
              <w:rPr>
                <w:rFonts w:ascii="Arial" w:cs="Arial" w:eastAsia="Arial" w:hAnsi="Arial"/>
                <w:sz w:val="18"/>
                <w:szCs w:val="18"/>
                <w:color w:val="auto"/>
              </w:rPr>
              <w:t>1,055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991</w:t>
            </w:r>
          </w:p>
        </w:tc>
        <w:tc>
          <w:tcPr>
            <w:tcW w:w="20" w:type="dxa"/>
            <w:vAlign w:val="bottom"/>
          </w:tcPr>
          <w:p>
            <w:pPr>
              <w:spacing w:after="0"/>
              <w:rPr>
                <w:sz w:val="23"/>
                <w:szCs w:val="23"/>
                <w:color w:val="auto"/>
              </w:rPr>
            </w:pPr>
          </w:p>
        </w:tc>
      </w:tr>
      <w:tr>
        <w:trPr>
          <w:trHeight w:val="270"/>
        </w:trPr>
        <w:tc>
          <w:tcPr>
            <w:tcW w:w="5100" w:type="dxa"/>
            <w:vAlign w:val="bottom"/>
            <w:gridSpan w:val="4"/>
          </w:tcPr>
          <w:p>
            <w:pPr>
              <w:ind w:left="40"/>
              <w:spacing w:after="0"/>
              <w:rPr>
                <w:sz w:val="20"/>
                <w:szCs w:val="20"/>
                <w:color w:val="auto"/>
              </w:rPr>
            </w:pPr>
            <w:r>
              <w:rPr>
                <w:rFonts w:ascii="Arial" w:cs="Arial" w:eastAsia="Arial" w:hAnsi="Arial"/>
                <w:sz w:val="18"/>
                <w:szCs w:val="18"/>
                <w:color w:val="auto"/>
                <w:w w:val="92"/>
              </w:rPr>
              <w:t>Noncurrent deferred revenue (included in other noncurrent liabilities)</w:t>
            </w: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278"/>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6"/>
              <w:spacing w:after="0"/>
              <w:rPr>
                <w:sz w:val="20"/>
                <w:szCs w:val="20"/>
                <w:color w:val="auto"/>
              </w:rPr>
            </w:pPr>
            <w:r>
              <w:rPr>
                <w:rFonts w:ascii="Arial" w:cs="Arial" w:eastAsia="Arial" w:hAnsi="Arial"/>
                <w:sz w:val="18"/>
                <w:szCs w:val="18"/>
                <w:color w:val="auto"/>
              </w:rPr>
              <w:t>663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650</w:t>
            </w:r>
          </w:p>
        </w:tc>
        <w:tc>
          <w:tcPr>
            <w:tcW w:w="20" w:type="dxa"/>
            <w:vAlign w:val="bottom"/>
          </w:tcPr>
          <w:p>
            <w:pPr>
              <w:spacing w:after="0"/>
              <w:rPr>
                <w:sz w:val="23"/>
                <w:szCs w:val="23"/>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773"/>
        </w:trPr>
        <w:tc>
          <w:tcPr>
            <w:tcW w:w="3340" w:type="dxa"/>
            <w:vAlign w:val="bottom"/>
            <w:gridSpan w:val="2"/>
          </w:tcPr>
          <w:p>
            <w:pPr>
              <w:spacing w:after="0"/>
              <w:rPr>
                <w:sz w:val="20"/>
                <w:szCs w:val="20"/>
                <w:color w:val="auto"/>
              </w:rPr>
            </w:pPr>
            <w:r>
              <w:rPr>
                <w:rFonts w:ascii="Arial" w:cs="Arial" w:eastAsia="Arial" w:hAnsi="Arial"/>
                <w:sz w:val="22"/>
                <w:szCs w:val="22"/>
                <w:b w:val="1"/>
                <w:bCs w:val="1"/>
                <w:color w:val="auto"/>
              </w:rPr>
              <w:t>Note 4: Earnings Per Share</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8"/>
        </w:trPr>
        <w:tc>
          <w:tcPr>
            <w:tcW w:w="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40" w:type="dxa"/>
            <w:vAlign w:val="bottom"/>
            <w:gridSpan w:val="4"/>
          </w:tcPr>
          <w:p>
            <w:pPr>
              <w:jc w:val="right"/>
              <w:ind w:right="341"/>
              <w:spacing w:after="0"/>
              <w:rPr>
                <w:sz w:val="20"/>
                <w:szCs w:val="20"/>
                <w:color w:val="auto"/>
              </w:rPr>
            </w:pPr>
            <w:r>
              <w:rPr>
                <w:rFonts w:ascii="Arial" w:cs="Arial" w:eastAsia="Arial" w:hAnsi="Arial"/>
                <w:sz w:val="18"/>
                <w:szCs w:val="18"/>
                <w:b w:val="1"/>
                <w:bCs w:val="1"/>
                <w:color w:val="auto"/>
              </w:rPr>
              <w:t>Computation of Diluted EPS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3"/>
        </w:trPr>
        <w:tc>
          <w:tcPr>
            <w:tcW w:w="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right"/>
              <w:ind w:right="218"/>
              <w:spacing w:after="0"/>
              <w:rPr>
                <w:sz w:val="20"/>
                <w:szCs w:val="20"/>
                <w:color w:val="auto"/>
              </w:rPr>
            </w:pPr>
            <w:r>
              <w:rPr>
                <w:rFonts w:ascii="Arial" w:cs="Arial" w:eastAsia="Arial" w:hAnsi="Arial"/>
                <w:sz w:val="14"/>
                <w:szCs w:val="14"/>
                <w:color w:val="auto"/>
                <w:w w:val="94"/>
              </w:rPr>
              <w:t>Three Months Ended September 30</w:t>
            </w:r>
          </w:p>
        </w:tc>
        <w:tc>
          <w:tcPr>
            <w:tcW w:w="1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color w:val="auto"/>
              </w:rPr>
              <w:t>2019</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rPr>
              <w:t>2018</w:t>
            </w: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156"/>
        </w:trPr>
        <w:tc>
          <w:tcPr>
            <w:tcW w:w="4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jc w:val="center"/>
              <w:ind w:right="560"/>
              <w:spacing w:after="0" w:line="157" w:lineRule="exact"/>
              <w:rPr>
                <w:sz w:val="20"/>
                <w:szCs w:val="20"/>
                <w:color w:val="auto"/>
              </w:rPr>
            </w:pPr>
            <w:r>
              <w:rPr>
                <w:rFonts w:ascii="Arial" w:cs="Arial" w:eastAsia="Arial" w:hAnsi="Arial"/>
                <w:sz w:val="14"/>
                <w:szCs w:val="14"/>
                <w:color w:val="auto"/>
                <w:w w:val="94"/>
              </w:rPr>
              <w:t>Net Income</w:t>
            </w: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center"/>
              <w:ind w:right="98"/>
              <w:spacing w:after="0" w:line="157" w:lineRule="exact"/>
              <w:rPr>
                <w:sz w:val="20"/>
                <w:szCs w:val="20"/>
                <w:color w:val="auto"/>
              </w:rPr>
            </w:pPr>
            <w:r>
              <w:rPr>
                <w:rFonts w:ascii="Arial" w:cs="Arial" w:eastAsia="Arial" w:hAnsi="Arial"/>
                <w:sz w:val="14"/>
                <w:szCs w:val="14"/>
                <w:color w:val="auto"/>
                <w:w w:val="94"/>
              </w:rPr>
              <w:t>Net Income</w:t>
            </w: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ind w:right="560"/>
              <w:spacing w:after="0" w:line="149" w:lineRule="exact"/>
              <w:rPr>
                <w:sz w:val="20"/>
                <w:szCs w:val="20"/>
                <w:color w:val="auto"/>
              </w:rPr>
            </w:pPr>
            <w:r>
              <w:rPr>
                <w:rFonts w:ascii="Arial" w:cs="Arial" w:eastAsia="Arial" w:hAnsi="Arial"/>
                <w:sz w:val="14"/>
                <w:szCs w:val="14"/>
                <w:color w:val="auto"/>
                <w:w w:val="97"/>
              </w:rPr>
              <w:t>Attributable to</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right="98"/>
              <w:spacing w:after="0" w:line="149" w:lineRule="exact"/>
              <w:rPr>
                <w:sz w:val="20"/>
                <w:szCs w:val="20"/>
                <w:color w:val="auto"/>
              </w:rPr>
            </w:pPr>
            <w:r>
              <w:rPr>
                <w:rFonts w:ascii="Arial" w:cs="Arial" w:eastAsia="Arial" w:hAnsi="Arial"/>
                <w:sz w:val="14"/>
                <w:szCs w:val="14"/>
                <w:color w:val="auto"/>
                <w:w w:val="97"/>
              </w:rPr>
              <w:t>Attributable to</w:t>
            </w: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ind w:right="560"/>
              <w:spacing w:after="0" w:line="149" w:lineRule="exact"/>
              <w:rPr>
                <w:sz w:val="20"/>
                <w:szCs w:val="20"/>
                <w:color w:val="auto"/>
              </w:rPr>
            </w:pPr>
            <w:r>
              <w:rPr>
                <w:rFonts w:ascii="Arial" w:cs="Arial" w:eastAsia="Arial" w:hAnsi="Arial"/>
                <w:sz w:val="14"/>
                <w:szCs w:val="14"/>
                <w:color w:val="auto"/>
                <w:w w:val="94"/>
              </w:rPr>
              <w:t>Comcast</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ind w:right="261"/>
              <w:spacing w:after="0" w:line="149" w:lineRule="exact"/>
              <w:rPr>
                <w:sz w:val="20"/>
                <w:szCs w:val="20"/>
                <w:color w:val="auto"/>
              </w:rPr>
            </w:pPr>
            <w:r>
              <w:rPr>
                <w:rFonts w:ascii="Arial" w:cs="Arial" w:eastAsia="Arial" w:hAnsi="Arial"/>
                <w:sz w:val="14"/>
                <w:szCs w:val="14"/>
                <w:color w:val="auto"/>
              </w:rPr>
              <w:t>Per Share</w:t>
            </w:r>
          </w:p>
        </w:tc>
        <w:tc>
          <w:tcPr>
            <w:tcW w:w="260" w:type="dxa"/>
            <w:vAlign w:val="bottom"/>
          </w:tcPr>
          <w:p>
            <w:pPr>
              <w:spacing w:after="0"/>
              <w:rPr>
                <w:sz w:val="12"/>
                <w:szCs w:val="12"/>
                <w:color w:val="auto"/>
              </w:rPr>
            </w:pPr>
          </w:p>
        </w:tc>
        <w:tc>
          <w:tcPr>
            <w:tcW w:w="1100" w:type="dxa"/>
            <w:vAlign w:val="bottom"/>
          </w:tcPr>
          <w:p>
            <w:pPr>
              <w:jc w:val="center"/>
              <w:ind w:right="78"/>
              <w:spacing w:after="0" w:line="149" w:lineRule="exact"/>
              <w:rPr>
                <w:sz w:val="20"/>
                <w:szCs w:val="20"/>
                <w:color w:val="auto"/>
              </w:rPr>
            </w:pPr>
            <w:r>
              <w:rPr>
                <w:rFonts w:ascii="Arial" w:cs="Arial" w:eastAsia="Arial" w:hAnsi="Arial"/>
                <w:sz w:val="14"/>
                <w:szCs w:val="14"/>
                <w:color w:val="auto"/>
                <w:w w:val="90"/>
              </w:rPr>
              <w:t>Comcast</w:t>
            </w: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8"/>
              </w:rPr>
              <w:t>Per Share</w:t>
            </w:r>
          </w:p>
        </w:tc>
      </w:tr>
      <w:tr>
        <w:trPr>
          <w:trHeight w:val="188"/>
        </w:trPr>
        <w:tc>
          <w:tcPr>
            <w:tcW w:w="40" w:type="dxa"/>
            <w:vAlign w:val="bottom"/>
          </w:tcPr>
          <w:p>
            <w:pPr>
              <w:spacing w:after="0"/>
              <w:rPr>
                <w:sz w:val="16"/>
                <w:szCs w:val="16"/>
                <w:color w:val="auto"/>
              </w:rPr>
            </w:pPr>
          </w:p>
        </w:tc>
        <w:tc>
          <w:tcPr>
            <w:tcW w:w="3300" w:type="dxa"/>
            <w:vAlign w:val="bottom"/>
          </w:tcPr>
          <w:p>
            <w:pPr>
              <w:ind w:left="20"/>
              <w:spacing w:after="0"/>
              <w:rPr>
                <w:sz w:val="20"/>
                <w:szCs w:val="20"/>
                <w:color w:val="auto"/>
              </w:rPr>
            </w:pPr>
            <w:r>
              <w:rPr>
                <w:rFonts w:ascii="Arial" w:cs="Arial" w:eastAsia="Arial" w:hAnsi="Arial"/>
                <w:sz w:val="14"/>
                <w:szCs w:val="14"/>
                <w:color w:val="auto"/>
              </w:rPr>
              <w:t>(in millions, except per share data)</w:t>
            </w:r>
          </w:p>
        </w:tc>
        <w:tc>
          <w:tcPr>
            <w:tcW w:w="160" w:type="dxa"/>
            <w:vAlign w:val="bottom"/>
          </w:tcPr>
          <w:p>
            <w:pPr>
              <w:spacing w:after="0"/>
              <w:rPr>
                <w:sz w:val="16"/>
                <w:szCs w:val="16"/>
                <w:color w:val="auto"/>
              </w:rPr>
            </w:pPr>
          </w:p>
        </w:tc>
        <w:tc>
          <w:tcPr>
            <w:tcW w:w="1600" w:type="dxa"/>
            <w:vAlign w:val="bottom"/>
          </w:tcPr>
          <w:p>
            <w:pPr>
              <w:jc w:val="center"/>
              <w:ind w:right="560"/>
              <w:spacing w:after="0"/>
              <w:rPr>
                <w:sz w:val="20"/>
                <w:szCs w:val="20"/>
                <w:color w:val="auto"/>
              </w:rPr>
            </w:pPr>
            <w:r>
              <w:rPr>
                <w:rFonts w:ascii="Arial" w:cs="Arial" w:eastAsia="Arial" w:hAnsi="Arial"/>
                <w:sz w:val="14"/>
                <w:szCs w:val="14"/>
                <w:color w:val="auto"/>
                <w:w w:val="92"/>
              </w:rPr>
              <w:t>Corporation</w:t>
            </w:r>
          </w:p>
        </w:tc>
        <w:tc>
          <w:tcPr>
            <w:tcW w:w="960" w:type="dxa"/>
            <w:vAlign w:val="bottom"/>
          </w:tcPr>
          <w:p>
            <w:pPr>
              <w:jc w:val="right"/>
              <w:ind w:right="416"/>
              <w:spacing w:after="0"/>
              <w:rPr>
                <w:sz w:val="20"/>
                <w:szCs w:val="20"/>
                <w:color w:val="auto"/>
              </w:rPr>
            </w:pPr>
            <w:r>
              <w:rPr>
                <w:rFonts w:ascii="Arial" w:cs="Arial" w:eastAsia="Arial" w:hAnsi="Arial"/>
                <w:sz w:val="14"/>
                <w:szCs w:val="14"/>
                <w:color w:val="auto"/>
                <w:w w:val="99"/>
              </w:rPr>
              <w:t>Shares</w:t>
            </w:r>
          </w:p>
        </w:tc>
        <w:tc>
          <w:tcPr>
            <w:tcW w:w="220" w:type="dxa"/>
            <w:vAlign w:val="bottom"/>
          </w:tcPr>
          <w:p>
            <w:pPr>
              <w:spacing w:after="0"/>
              <w:rPr>
                <w:sz w:val="16"/>
                <w:szCs w:val="16"/>
                <w:color w:val="auto"/>
              </w:rPr>
            </w:pPr>
          </w:p>
        </w:tc>
        <w:tc>
          <w:tcPr>
            <w:tcW w:w="1060" w:type="dxa"/>
            <w:vAlign w:val="bottom"/>
          </w:tcPr>
          <w:p>
            <w:pPr>
              <w:jc w:val="right"/>
              <w:ind w:right="321"/>
              <w:spacing w:after="0"/>
              <w:rPr>
                <w:sz w:val="20"/>
                <w:szCs w:val="20"/>
                <w:color w:val="auto"/>
              </w:rPr>
            </w:pPr>
            <w:r>
              <w:rPr>
                <w:rFonts w:ascii="Arial" w:cs="Arial" w:eastAsia="Arial" w:hAnsi="Arial"/>
                <w:sz w:val="14"/>
                <w:szCs w:val="14"/>
                <w:color w:val="auto"/>
              </w:rPr>
              <w:t>Amount</w:t>
            </w:r>
          </w:p>
        </w:tc>
        <w:tc>
          <w:tcPr>
            <w:tcW w:w="260" w:type="dxa"/>
            <w:vAlign w:val="bottom"/>
          </w:tcPr>
          <w:p>
            <w:pPr>
              <w:spacing w:after="0"/>
              <w:rPr>
                <w:sz w:val="16"/>
                <w:szCs w:val="16"/>
                <w:color w:val="auto"/>
              </w:rPr>
            </w:pPr>
          </w:p>
        </w:tc>
        <w:tc>
          <w:tcPr>
            <w:tcW w:w="1100" w:type="dxa"/>
            <w:vAlign w:val="bottom"/>
          </w:tcPr>
          <w:p>
            <w:pPr>
              <w:jc w:val="center"/>
              <w:ind w:right="78"/>
              <w:spacing w:after="0"/>
              <w:rPr>
                <w:sz w:val="20"/>
                <w:szCs w:val="20"/>
                <w:color w:val="auto"/>
              </w:rPr>
            </w:pPr>
            <w:r>
              <w:rPr>
                <w:rFonts w:ascii="Arial" w:cs="Arial" w:eastAsia="Arial" w:hAnsi="Arial"/>
                <w:sz w:val="14"/>
                <w:szCs w:val="14"/>
                <w:color w:val="auto"/>
                <w:w w:val="95"/>
              </w:rPr>
              <w:t>Corporation</w:t>
            </w:r>
          </w:p>
        </w:tc>
        <w:tc>
          <w:tcPr>
            <w:tcW w:w="1260" w:type="dxa"/>
            <w:vAlign w:val="bottom"/>
          </w:tcPr>
          <w:p>
            <w:pPr>
              <w:jc w:val="right"/>
              <w:ind w:right="276"/>
              <w:spacing w:after="0"/>
              <w:rPr>
                <w:sz w:val="20"/>
                <w:szCs w:val="20"/>
                <w:color w:val="auto"/>
              </w:rPr>
            </w:pPr>
            <w:r>
              <w:rPr>
                <w:rFonts w:ascii="Arial" w:cs="Arial" w:eastAsia="Arial" w:hAnsi="Arial"/>
                <w:sz w:val="14"/>
                <w:szCs w:val="14"/>
                <w:color w:val="auto"/>
              </w:rPr>
              <w:t>Shares</w:t>
            </w:r>
          </w:p>
        </w:tc>
        <w:tc>
          <w:tcPr>
            <w:tcW w:w="300" w:type="dxa"/>
            <w:vAlign w:val="bottom"/>
          </w:tcPr>
          <w:p>
            <w:pPr>
              <w:spacing w:after="0"/>
              <w:rPr>
                <w:sz w:val="16"/>
                <w:szCs w:val="16"/>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Amount</w:t>
            </w:r>
          </w:p>
        </w:tc>
      </w:tr>
      <w:tr>
        <w:trPr>
          <w:trHeight w:val="228"/>
        </w:trPr>
        <w:tc>
          <w:tcPr>
            <w:tcW w:w="40" w:type="dxa"/>
            <w:vAlign w:val="bottom"/>
          </w:tcPr>
          <w:p>
            <w:pPr>
              <w:spacing w:after="0"/>
              <w:rPr>
                <w:sz w:val="19"/>
                <w:szCs w:val="19"/>
                <w:color w:val="auto"/>
              </w:rPr>
            </w:pPr>
          </w:p>
        </w:tc>
        <w:tc>
          <w:tcPr>
            <w:tcW w:w="3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Basic EPS attributable to Comcast</w:t>
            </w:r>
          </w:p>
        </w:tc>
        <w:tc>
          <w:tcPr>
            <w:tcW w:w="1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3300" w:type="dxa"/>
            <w:vAlign w:val="bottom"/>
          </w:tcPr>
          <w:p>
            <w:pPr>
              <w:ind w:left="280"/>
              <w:spacing w:after="0"/>
              <w:rPr>
                <w:sz w:val="20"/>
                <w:szCs w:val="20"/>
                <w:color w:val="auto"/>
              </w:rPr>
            </w:pPr>
            <w:r>
              <w:rPr>
                <w:rFonts w:ascii="Arial" w:cs="Arial" w:eastAsia="Arial" w:hAnsi="Arial"/>
                <w:sz w:val="18"/>
                <w:szCs w:val="18"/>
                <w:color w:val="auto"/>
              </w:rPr>
              <w:t>Corporation shareholders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520"/>
              <w:spacing w:after="0"/>
              <w:rPr>
                <w:sz w:val="20"/>
                <w:szCs w:val="20"/>
                <w:color w:val="auto"/>
              </w:rPr>
            </w:pPr>
            <w:r>
              <w:rPr>
                <w:rFonts w:ascii="Arial" w:cs="Arial" w:eastAsia="Arial" w:hAnsi="Arial"/>
                <w:sz w:val="18"/>
                <w:szCs w:val="18"/>
                <w:color w:val="auto"/>
              </w:rPr>
              <w:t>3,217</w:t>
            </w: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4,551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1"/>
              <w:spacing w:after="0"/>
              <w:rPr>
                <w:sz w:val="20"/>
                <w:szCs w:val="20"/>
                <w:color w:val="auto"/>
              </w:rPr>
            </w:pPr>
            <w:r>
              <w:rPr>
                <w:rFonts w:ascii="Arial" w:cs="Arial" w:eastAsia="Arial" w:hAnsi="Arial"/>
                <w:sz w:val="18"/>
                <w:szCs w:val="18"/>
                <w:color w:val="auto"/>
              </w:rPr>
              <w:t>0.71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2,886</w:t>
            </w:r>
          </w:p>
        </w:tc>
        <w:tc>
          <w:tcPr>
            <w:tcW w:w="1260" w:type="dxa"/>
            <w:vAlign w:val="bottom"/>
          </w:tcPr>
          <w:p>
            <w:pPr>
              <w:jc w:val="right"/>
              <w:spacing w:after="0"/>
              <w:rPr>
                <w:sz w:val="20"/>
                <w:szCs w:val="20"/>
                <w:color w:val="auto"/>
              </w:rPr>
            </w:pPr>
            <w:r>
              <w:rPr>
                <w:rFonts w:ascii="Arial" w:cs="Arial" w:eastAsia="Arial" w:hAnsi="Arial"/>
                <w:sz w:val="18"/>
                <w:szCs w:val="18"/>
                <w:color w:val="auto"/>
              </w:rPr>
              <w:t>4,564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0.63</w:t>
            </w:r>
          </w:p>
        </w:tc>
        <w:tc>
          <w:tcPr>
            <w:tcW w:w="2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6"/>
        </w:trPr>
        <w:tc>
          <w:tcPr>
            <w:tcW w:w="40" w:type="dxa"/>
            <w:vAlign w:val="bottom"/>
          </w:tcPr>
          <w:p>
            <w:pPr>
              <w:spacing w:after="0"/>
              <w:rPr>
                <w:sz w:val="22"/>
                <w:szCs w:val="22"/>
                <w:color w:val="auto"/>
              </w:rPr>
            </w:pPr>
          </w:p>
        </w:tc>
        <w:tc>
          <w:tcPr>
            <w:tcW w:w="3300" w:type="dxa"/>
            <w:vAlign w:val="bottom"/>
          </w:tcPr>
          <w:p>
            <w:pPr>
              <w:ind w:left="460"/>
              <w:spacing w:after="0"/>
              <w:rPr>
                <w:sz w:val="20"/>
                <w:szCs w:val="20"/>
                <w:color w:val="auto"/>
              </w:rPr>
            </w:pPr>
            <w:r>
              <w:rPr>
                <w:rFonts w:ascii="Arial" w:cs="Arial" w:eastAsia="Arial" w:hAnsi="Arial"/>
                <w:sz w:val="18"/>
                <w:szCs w:val="18"/>
                <w:color w:val="auto"/>
              </w:rPr>
              <w:t>Assumed exercise or issuance of</w:t>
            </w: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0"/>
        </w:trPr>
        <w:tc>
          <w:tcPr>
            <w:tcW w:w="40" w:type="dxa"/>
            <w:vAlign w:val="bottom"/>
          </w:tcPr>
          <w:p>
            <w:pPr>
              <w:spacing w:after="0"/>
              <w:rPr>
                <w:sz w:val="20"/>
                <w:szCs w:val="20"/>
                <w:color w:val="auto"/>
              </w:rPr>
            </w:pPr>
          </w:p>
        </w:tc>
        <w:tc>
          <w:tcPr>
            <w:tcW w:w="3300" w:type="dxa"/>
            <w:vAlign w:val="bottom"/>
          </w:tcPr>
          <w:p>
            <w:pPr>
              <w:ind w:left="620"/>
              <w:spacing w:after="0"/>
              <w:rPr>
                <w:sz w:val="20"/>
                <w:szCs w:val="20"/>
                <w:color w:val="auto"/>
              </w:rPr>
            </w:pPr>
            <w:r>
              <w:rPr>
                <w:rFonts w:ascii="Arial" w:cs="Arial" w:eastAsia="Arial" w:hAnsi="Arial"/>
                <w:sz w:val="18"/>
                <w:szCs w:val="18"/>
                <w:color w:val="auto"/>
              </w:rPr>
              <w:t>shares relating to stock plans</w:t>
            </w: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Diluted EPS attributable to Comcast</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3300" w:type="dxa"/>
            <w:vAlign w:val="bottom"/>
          </w:tcPr>
          <w:p>
            <w:pPr>
              <w:ind w:left="280"/>
              <w:spacing w:after="0"/>
              <w:rPr>
                <w:sz w:val="20"/>
                <w:szCs w:val="20"/>
                <w:color w:val="auto"/>
              </w:rPr>
            </w:pPr>
            <w:r>
              <w:rPr>
                <w:rFonts w:ascii="Arial" w:cs="Arial" w:eastAsia="Arial" w:hAnsi="Arial"/>
                <w:sz w:val="18"/>
                <w:szCs w:val="18"/>
                <w:b w:val="1"/>
                <w:bCs w:val="1"/>
                <w:color w:val="auto"/>
              </w:rPr>
              <w:t>Corporation shareholders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Pr>
          <w:p>
            <w:pPr>
              <w:jc w:val="right"/>
              <w:ind w:right="520"/>
              <w:spacing w:after="0"/>
              <w:rPr>
                <w:sz w:val="20"/>
                <w:szCs w:val="20"/>
                <w:color w:val="auto"/>
              </w:rPr>
            </w:pPr>
            <w:r>
              <w:rPr>
                <w:rFonts w:ascii="Arial" w:cs="Arial" w:eastAsia="Arial" w:hAnsi="Arial"/>
                <w:sz w:val="18"/>
                <w:szCs w:val="18"/>
                <w:b w:val="1"/>
                <w:bCs w:val="1"/>
                <w:color w:val="auto"/>
              </w:rPr>
              <w:t>3,217</w:t>
            </w:r>
          </w:p>
        </w:tc>
        <w:tc>
          <w:tcPr>
            <w:tcW w:w="960" w:type="dxa"/>
            <w:vAlign w:val="bottom"/>
          </w:tcPr>
          <w:p>
            <w:pPr>
              <w:jc w:val="right"/>
              <w:ind w:right="96"/>
              <w:spacing w:after="0"/>
              <w:rPr>
                <w:sz w:val="20"/>
                <w:szCs w:val="20"/>
                <w:color w:val="auto"/>
              </w:rPr>
            </w:pPr>
            <w:r>
              <w:rPr>
                <w:rFonts w:ascii="Arial" w:cs="Arial" w:eastAsia="Arial" w:hAnsi="Arial"/>
                <w:sz w:val="18"/>
                <w:szCs w:val="18"/>
                <w:b w:val="1"/>
                <w:bCs w:val="1"/>
                <w:color w:val="auto"/>
              </w:rPr>
              <w:t>4,619</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1"/>
              <w:spacing w:after="0"/>
              <w:rPr>
                <w:sz w:val="20"/>
                <w:szCs w:val="20"/>
                <w:color w:val="auto"/>
              </w:rPr>
            </w:pPr>
            <w:r>
              <w:rPr>
                <w:rFonts w:ascii="Arial" w:cs="Arial" w:eastAsia="Arial" w:hAnsi="Arial"/>
                <w:sz w:val="18"/>
                <w:szCs w:val="18"/>
                <w:b w:val="1"/>
                <w:bCs w:val="1"/>
                <w:color w:val="auto"/>
              </w:rPr>
              <w:t>0.70</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8"/>
              <w:spacing w:after="0"/>
              <w:rPr>
                <w:sz w:val="20"/>
                <w:szCs w:val="20"/>
                <w:color w:val="auto"/>
              </w:rPr>
            </w:pPr>
            <w:r>
              <w:rPr>
                <w:rFonts w:ascii="Arial" w:cs="Arial" w:eastAsia="Arial" w:hAnsi="Arial"/>
                <w:sz w:val="18"/>
                <w:szCs w:val="18"/>
                <w:b w:val="1"/>
                <w:bCs w:val="1"/>
                <w:color w:val="auto"/>
              </w:rPr>
              <w:t>2,886</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4,619</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38"/>
              <w:spacing w:after="0"/>
              <w:rPr>
                <w:sz w:val="20"/>
                <w:szCs w:val="20"/>
                <w:color w:val="auto"/>
              </w:rPr>
            </w:pPr>
            <w:r>
              <w:rPr>
                <w:rFonts w:ascii="Arial" w:cs="Arial" w:eastAsia="Arial" w:hAnsi="Arial"/>
                <w:sz w:val="18"/>
                <w:szCs w:val="18"/>
                <w:b w:val="1"/>
                <w:bCs w:val="1"/>
                <w:color w:val="auto"/>
              </w:rPr>
              <w:t>0.62</w:t>
            </w:r>
          </w:p>
        </w:tc>
        <w:tc>
          <w:tcPr>
            <w:tcW w:w="20" w:type="dxa"/>
            <w:vAlign w:val="bottom"/>
          </w:tcPr>
          <w:p>
            <w:pPr>
              <w:spacing w:after="0"/>
              <w:rPr>
                <w:sz w:val="20"/>
                <w:szCs w:val="20"/>
                <w:color w:val="auto"/>
              </w:rPr>
            </w:pPr>
          </w:p>
        </w:tc>
      </w:tr>
      <w:tr>
        <w:trPr>
          <w:trHeight w:val="34"/>
        </w:trPr>
        <w:tc>
          <w:tcPr>
            <w:tcW w:w="4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513"/>
        </w:trPr>
        <w:tc>
          <w:tcPr>
            <w:tcW w:w="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60" w:type="dxa"/>
            <w:vAlign w:val="bottom"/>
          </w:tcPr>
          <w:p>
            <w:pPr>
              <w:jc w:val="right"/>
              <w:ind w:right="176"/>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4"/>
                <w:szCs w:val="14"/>
                <w:color w:val="auto"/>
                <w:w w:val="95"/>
              </w:rPr>
              <w:t>Nine Months Ended September 30</w:t>
            </w:r>
          </w:p>
        </w:tc>
        <w:tc>
          <w:tcPr>
            <w:tcW w:w="1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color w:val="auto"/>
              </w:rPr>
              <w:t>2019</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rPr>
              <w:t>2018</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156"/>
        </w:trPr>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ind w:right="302"/>
              <w:spacing w:after="0" w:line="157" w:lineRule="exact"/>
              <w:rPr>
                <w:sz w:val="20"/>
                <w:szCs w:val="20"/>
                <w:color w:val="auto"/>
              </w:rPr>
            </w:pPr>
            <w:r>
              <w:rPr>
                <w:rFonts w:ascii="Arial" w:cs="Arial" w:eastAsia="Arial" w:hAnsi="Arial"/>
                <w:sz w:val="14"/>
                <w:szCs w:val="14"/>
                <w:color w:val="auto"/>
                <w:w w:val="94"/>
              </w:rPr>
              <w:t>Net Income</w:t>
            </w:r>
          </w:p>
        </w:tc>
        <w:tc>
          <w:tcPr>
            <w:tcW w:w="1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center"/>
              <w:ind w:right="302"/>
              <w:spacing w:after="0" w:line="157" w:lineRule="exact"/>
              <w:rPr>
                <w:sz w:val="20"/>
                <w:szCs w:val="20"/>
                <w:color w:val="auto"/>
              </w:rPr>
            </w:pPr>
            <w:r>
              <w:rPr>
                <w:rFonts w:ascii="Arial" w:cs="Arial" w:eastAsia="Arial" w:hAnsi="Arial"/>
                <w:sz w:val="14"/>
                <w:szCs w:val="14"/>
                <w:color w:val="auto"/>
                <w:w w:val="94"/>
              </w:rPr>
              <w:t>Net Income</w:t>
            </w: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7"/>
              </w:rPr>
              <w:t>Attributable to</w:t>
            </w: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7"/>
              </w:rPr>
              <w:t>Attributable to</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4"/>
              </w:rPr>
              <w:t>Comcast</w:t>
            </w: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281"/>
              <w:spacing w:after="0" w:line="149" w:lineRule="exact"/>
              <w:rPr>
                <w:sz w:val="20"/>
                <w:szCs w:val="20"/>
                <w:color w:val="auto"/>
              </w:rPr>
            </w:pPr>
            <w:r>
              <w:rPr>
                <w:rFonts w:ascii="Arial" w:cs="Arial" w:eastAsia="Arial" w:hAnsi="Arial"/>
                <w:sz w:val="14"/>
                <w:szCs w:val="14"/>
                <w:color w:val="auto"/>
              </w:rPr>
              <w:t>Per Share</w:t>
            </w:r>
          </w:p>
        </w:tc>
        <w:tc>
          <w:tcPr>
            <w:tcW w:w="260" w:type="dxa"/>
            <w:vAlign w:val="bottom"/>
          </w:tcPr>
          <w:p>
            <w:pPr>
              <w:spacing w:after="0"/>
              <w:rPr>
                <w:sz w:val="12"/>
                <w:szCs w:val="12"/>
                <w:color w:val="auto"/>
              </w:rPr>
            </w:pPr>
          </w:p>
        </w:tc>
        <w:tc>
          <w:tcPr>
            <w:tcW w:w="1300" w:type="dxa"/>
            <w:vAlign w:val="bottom"/>
          </w:tcPr>
          <w:p>
            <w:pPr>
              <w:jc w:val="center"/>
              <w:ind w:right="322"/>
              <w:spacing w:after="0" w:line="149" w:lineRule="exact"/>
              <w:rPr>
                <w:sz w:val="20"/>
                <w:szCs w:val="20"/>
                <w:color w:val="auto"/>
              </w:rPr>
            </w:pPr>
            <w:r>
              <w:rPr>
                <w:rFonts w:ascii="Arial" w:cs="Arial" w:eastAsia="Arial" w:hAnsi="Arial"/>
                <w:sz w:val="14"/>
                <w:szCs w:val="14"/>
                <w:color w:val="auto"/>
                <w:w w:val="90"/>
              </w:rPr>
              <w:t>Comcast</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jc w:val="right"/>
              <w:ind w:right="279"/>
              <w:spacing w:after="0" w:line="149" w:lineRule="exact"/>
              <w:rPr>
                <w:sz w:val="20"/>
                <w:szCs w:val="20"/>
                <w:color w:val="auto"/>
              </w:rPr>
            </w:pPr>
            <w:r>
              <w:rPr>
                <w:rFonts w:ascii="Arial" w:cs="Arial" w:eastAsia="Arial" w:hAnsi="Arial"/>
                <w:sz w:val="14"/>
                <w:szCs w:val="14"/>
                <w:color w:val="auto"/>
              </w:rPr>
              <w:t>Per Share</w:t>
            </w:r>
          </w:p>
        </w:tc>
      </w:tr>
      <w:tr>
        <w:trPr>
          <w:trHeight w:val="188"/>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color w:val="auto"/>
                <w:w w:val="92"/>
              </w:rPr>
              <w:t>Corporation</w:t>
            </w:r>
          </w:p>
        </w:tc>
        <w:tc>
          <w:tcPr>
            <w:tcW w:w="11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rPr>
              <w:t>Shares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Amount</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22"/>
              <w:spacing w:after="0"/>
              <w:rPr>
                <w:sz w:val="20"/>
                <w:szCs w:val="20"/>
                <w:color w:val="auto"/>
              </w:rPr>
            </w:pPr>
            <w:r>
              <w:rPr>
                <w:rFonts w:ascii="Arial" w:cs="Arial" w:eastAsia="Arial" w:hAnsi="Arial"/>
                <w:sz w:val="14"/>
                <w:szCs w:val="14"/>
                <w:color w:val="auto"/>
                <w:w w:val="95"/>
              </w:rPr>
              <w:t>Corporation</w:t>
            </w:r>
          </w:p>
        </w:tc>
        <w:tc>
          <w:tcPr>
            <w:tcW w:w="11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Shares</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Amount</w:t>
            </w:r>
          </w:p>
        </w:tc>
      </w:tr>
      <w:tr>
        <w:trPr>
          <w:trHeight w:val="228"/>
        </w:trPr>
        <w:tc>
          <w:tcPr>
            <w:tcW w:w="3340" w:type="dxa"/>
            <w:vAlign w:val="bottom"/>
          </w:tcPr>
          <w:p>
            <w:pPr>
              <w:ind w:left="40"/>
              <w:spacing w:after="0"/>
              <w:rPr>
                <w:sz w:val="20"/>
                <w:szCs w:val="20"/>
                <w:color w:val="auto"/>
              </w:rPr>
            </w:pPr>
            <w:r>
              <w:rPr>
                <w:rFonts w:ascii="Arial" w:cs="Arial" w:eastAsia="Arial" w:hAnsi="Arial"/>
                <w:sz w:val="18"/>
                <w:szCs w:val="18"/>
                <w:color w:val="auto"/>
              </w:rPr>
              <w:t>Basic EPS attributable to Comcast</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3340" w:type="dxa"/>
            <w:vAlign w:val="bottom"/>
          </w:tcPr>
          <w:p>
            <w:pPr>
              <w:ind w:left="280"/>
              <w:spacing w:after="0"/>
              <w:rPr>
                <w:sz w:val="20"/>
                <w:szCs w:val="20"/>
                <w:color w:val="auto"/>
              </w:rPr>
            </w:pPr>
            <w:r>
              <w:rPr>
                <w:rFonts w:ascii="Arial" w:cs="Arial" w:eastAsia="Arial" w:hAnsi="Arial"/>
                <w:sz w:val="18"/>
                <w:szCs w:val="18"/>
                <w:color w:val="auto"/>
              </w:rPr>
              <w:t>Corporation shareholders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262"/>
              <w:spacing w:after="0"/>
              <w:rPr>
                <w:sz w:val="20"/>
                <w:szCs w:val="20"/>
                <w:color w:val="auto"/>
              </w:rPr>
            </w:pPr>
            <w:r>
              <w:rPr>
                <w:rFonts w:ascii="Arial" w:cs="Arial" w:eastAsia="Arial" w:hAnsi="Arial"/>
                <w:sz w:val="18"/>
                <w:szCs w:val="18"/>
                <w:color w:val="auto"/>
              </w:rPr>
              <w:t>9,895</w:t>
            </w: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4,544</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1"/>
              <w:spacing w:after="0"/>
              <w:rPr>
                <w:sz w:val="20"/>
                <w:szCs w:val="20"/>
                <w:color w:val="auto"/>
              </w:rPr>
            </w:pPr>
            <w:r>
              <w:rPr>
                <w:rFonts w:ascii="Arial" w:cs="Arial" w:eastAsia="Arial" w:hAnsi="Arial"/>
                <w:sz w:val="18"/>
                <w:szCs w:val="18"/>
                <w:color w:val="auto"/>
              </w:rPr>
              <w:t>2.18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42"/>
              <w:spacing w:after="0"/>
              <w:rPr>
                <w:sz w:val="20"/>
                <w:szCs w:val="20"/>
                <w:color w:val="auto"/>
              </w:rPr>
            </w:pPr>
            <w:r>
              <w:rPr>
                <w:rFonts w:ascii="Arial" w:cs="Arial" w:eastAsia="Arial" w:hAnsi="Arial"/>
                <w:sz w:val="18"/>
                <w:szCs w:val="18"/>
                <w:color w:val="auto"/>
              </w:rPr>
              <w:t>9,220</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4,599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2.00</w:t>
            </w:r>
          </w:p>
        </w:tc>
      </w:tr>
      <w:tr>
        <w:trPr>
          <w:trHeight w:val="270"/>
        </w:trPr>
        <w:tc>
          <w:tcPr>
            <w:tcW w:w="334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6"/>
        </w:trPr>
        <w:tc>
          <w:tcPr>
            <w:tcW w:w="3340" w:type="dxa"/>
            <w:vAlign w:val="bottom"/>
          </w:tcPr>
          <w:p>
            <w:pPr>
              <w:ind w:left="460"/>
              <w:spacing w:after="0"/>
              <w:rPr>
                <w:sz w:val="20"/>
                <w:szCs w:val="20"/>
                <w:color w:val="auto"/>
              </w:rPr>
            </w:pPr>
            <w:r>
              <w:rPr>
                <w:rFonts w:ascii="Arial" w:cs="Arial" w:eastAsia="Arial" w:hAnsi="Arial"/>
                <w:sz w:val="18"/>
                <w:szCs w:val="18"/>
                <w:color w:val="auto"/>
              </w:rPr>
              <w:t>Assumed exercise or issuance of</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0"/>
        </w:trPr>
        <w:tc>
          <w:tcPr>
            <w:tcW w:w="3340" w:type="dxa"/>
            <w:vAlign w:val="bottom"/>
          </w:tcPr>
          <w:p>
            <w:pPr>
              <w:ind w:left="620"/>
              <w:spacing w:after="0"/>
              <w:rPr>
                <w:sz w:val="20"/>
                <w:szCs w:val="20"/>
                <w:color w:val="auto"/>
              </w:rPr>
            </w:pPr>
            <w:r>
              <w:rPr>
                <w:rFonts w:ascii="Arial" w:cs="Arial" w:eastAsia="Arial" w:hAnsi="Arial"/>
                <w:sz w:val="18"/>
                <w:szCs w:val="18"/>
                <w:color w:val="auto"/>
              </w:rPr>
              <w:t>shares relating to stock plans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3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Diluted EPS attributable to Comcast</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3340" w:type="dxa"/>
            <w:vAlign w:val="bottom"/>
          </w:tcPr>
          <w:p>
            <w:pPr>
              <w:ind w:left="280"/>
              <w:spacing w:after="0"/>
              <w:rPr>
                <w:sz w:val="20"/>
                <w:szCs w:val="20"/>
                <w:color w:val="auto"/>
              </w:rPr>
            </w:pPr>
            <w:r>
              <w:rPr>
                <w:rFonts w:ascii="Arial" w:cs="Arial" w:eastAsia="Arial" w:hAnsi="Arial"/>
                <w:sz w:val="18"/>
                <w:szCs w:val="18"/>
                <w:b w:val="1"/>
                <w:bCs w:val="1"/>
                <w:color w:val="auto"/>
              </w:rPr>
              <w:t>Corporation shareholders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ind w:right="262"/>
              <w:spacing w:after="0"/>
              <w:rPr>
                <w:sz w:val="20"/>
                <w:szCs w:val="20"/>
                <w:color w:val="auto"/>
              </w:rPr>
            </w:pPr>
            <w:r>
              <w:rPr>
                <w:rFonts w:ascii="Arial" w:cs="Arial" w:eastAsia="Arial" w:hAnsi="Arial"/>
                <w:sz w:val="18"/>
                <w:szCs w:val="18"/>
                <w:b w:val="1"/>
                <w:bCs w:val="1"/>
                <w:color w:val="auto"/>
              </w:rPr>
              <w:t>9,895</w:t>
            </w:r>
          </w:p>
        </w:tc>
        <w:tc>
          <w:tcPr>
            <w:tcW w:w="1160" w:type="dxa"/>
            <w:vAlign w:val="bottom"/>
          </w:tcPr>
          <w:p>
            <w:pPr>
              <w:jc w:val="right"/>
              <w:ind w:right="57"/>
              <w:spacing w:after="0"/>
              <w:rPr>
                <w:sz w:val="20"/>
                <w:szCs w:val="20"/>
                <w:color w:val="auto"/>
              </w:rPr>
            </w:pPr>
            <w:r>
              <w:rPr>
                <w:rFonts w:ascii="Arial" w:cs="Arial" w:eastAsia="Arial" w:hAnsi="Arial"/>
                <w:sz w:val="18"/>
                <w:szCs w:val="18"/>
                <w:b w:val="1"/>
                <w:bCs w:val="1"/>
                <w:color w:val="auto"/>
              </w:rPr>
              <w:t>4,606</w:t>
            </w: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1"/>
              <w:spacing w:after="0"/>
              <w:rPr>
                <w:sz w:val="20"/>
                <w:szCs w:val="20"/>
                <w:color w:val="auto"/>
              </w:rPr>
            </w:pPr>
            <w:r>
              <w:rPr>
                <w:rFonts w:ascii="Arial" w:cs="Arial" w:eastAsia="Arial" w:hAnsi="Arial"/>
                <w:sz w:val="18"/>
                <w:szCs w:val="18"/>
                <w:b w:val="1"/>
                <w:bCs w:val="1"/>
                <w:color w:val="auto"/>
              </w:rPr>
              <w:t>2.15</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242"/>
              <w:spacing w:after="0"/>
              <w:rPr>
                <w:sz w:val="20"/>
                <w:szCs w:val="20"/>
                <w:color w:val="auto"/>
              </w:rPr>
            </w:pPr>
            <w:r>
              <w:rPr>
                <w:rFonts w:ascii="Arial" w:cs="Arial" w:eastAsia="Arial" w:hAnsi="Arial"/>
                <w:sz w:val="18"/>
                <w:szCs w:val="18"/>
                <w:b w:val="1"/>
                <w:bCs w:val="1"/>
                <w:color w:val="auto"/>
              </w:rPr>
              <w:t>9,220</w:t>
            </w:r>
          </w:p>
        </w:tc>
        <w:tc>
          <w:tcPr>
            <w:tcW w:w="1140" w:type="dxa"/>
            <w:vAlign w:val="bottom"/>
          </w:tcPr>
          <w:p>
            <w:pPr>
              <w:jc w:val="right"/>
              <w:ind w:right="37"/>
              <w:spacing w:after="0"/>
              <w:rPr>
                <w:sz w:val="20"/>
                <w:szCs w:val="20"/>
                <w:color w:val="auto"/>
              </w:rPr>
            </w:pPr>
            <w:r>
              <w:rPr>
                <w:rFonts w:ascii="Arial" w:cs="Arial" w:eastAsia="Arial" w:hAnsi="Arial"/>
                <w:sz w:val="18"/>
                <w:szCs w:val="18"/>
                <w:b w:val="1"/>
                <w:bCs w:val="1"/>
                <w:color w:val="auto"/>
              </w:rPr>
              <w:t>4,655</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9"/>
              <w:spacing w:after="0"/>
              <w:rPr>
                <w:sz w:val="20"/>
                <w:szCs w:val="20"/>
                <w:color w:val="auto"/>
              </w:rPr>
            </w:pPr>
            <w:r>
              <w:rPr>
                <w:rFonts w:ascii="Arial" w:cs="Arial" w:eastAsia="Arial" w:hAnsi="Arial"/>
                <w:sz w:val="18"/>
                <w:szCs w:val="18"/>
                <w:b w:val="1"/>
                <w:bCs w:val="1"/>
                <w:color w:val="auto"/>
              </w:rPr>
              <w:t>1.98</w:t>
            </w:r>
          </w:p>
        </w:tc>
      </w:tr>
      <w:tr>
        <w:trPr>
          <w:trHeight w:val="34"/>
        </w:trPr>
        <w:tc>
          <w:tcPr>
            <w:tcW w:w="3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3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Diluted earnings per common share attributable to Comcast Corporation shareholders (“diluted EPS”) considers the impact of potentially dilutive securities using the treasury stock method. Our potentially dilutive securities include potential common shares related to our stock options and our restricted share units (“RSUs”). Diluted EPS excludes the impact of potential common shares related to our stock options in periods in which the combination of the option exercise price and the associated unrecognized compensation expense is greater than the average market price of our common stock. The amount of potential common shares related to our share-based compensation plans that were excluded from diluted EPS because their effect would have been antidilutive was not material for the three and nine months ended September 30, 2019 or 2018.</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Long-Term Debt</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September 30, 2019, our debt had a carrying value of $100.9 billion and an estimated fair value of $114.1 billion. The estimated fair value of our publicly traded debt was primarily based on Level 1 inputs that use quoted market values for the debt. The estimated fair value of debt for which there are no quoted market prices was based on Level 2 inputs that use interest rates available to us for debt with similar terms and remaining maturities.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Borrowings and Repayments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2019, we had borrowings of $516 million primarily related to the Universal Beijing Resort term loans.</w:t>
      </w:r>
    </w:p>
    <w:p>
      <w:pPr>
        <w:spacing w:after="0" w:line="77"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For the nine months ended September 30, 2019, we made repayments of $10.0 billion, including the early redemptions of $3.4 billion of senior notes due 2020 and the partial repayment of a term loan, both of which were funded using proceeds from our collateralized obligation (see Note 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Structure</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Comcast, Comcast Cable and NBCUniversal fully and unconditionally guarantee each other’s debt securities, including the Comcast revolving credit facility.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 the principal amount of debt securities outstanding within the cross-guarantee structure totaled $86.4 billion.</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Comcast and Comcast Cable fully and unconditionally guarantee NBCUniversal Enterprise’s debt securities, including its revolving credit facility. As of September 30, 2019, the principal amount of debt securities guaranteed by Comcast and Comcast Cable totaled $1.5 billion. NBCUniversal does not guarantee NBCUniversal Enterprise’s debt securities.</w:t>
      </w:r>
    </w:p>
    <w:p>
      <w:pPr>
        <w:spacing w:after="0" w:line="3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Comcast fully and unconditionally guarantees Universal Studios Japan’s yen-denominated ¥379 billion (approximately $3.5 billion using exchange rates as of September 30, 2019) term loans with a final maturity of March 2022. None of Comcast, Comcast Cable nor NBCUniversal guarantee the ¥7.4 billion RMB (approximately $1.0 billion using exchange rates as of September 30, 2019) principal amount of Universal Beijing Resort term loans outstanding.</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May 2019, Comcast provided a full and unconditional guarantee of Sky’s debt (approximately $9.0 billion using exchange rates as of September 30, 2019) in connection with Sky’s noteholders consenting to (i) the transfer of the listing of three series of notes from the Main Market of the London Stock Exchange to the Professional Securities Market of the London Stock Exchange and (ii) amending certain terms of the Sky notes.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Significant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Transaction</w:t>
      </w:r>
    </w:p>
    <w:p>
      <w:pPr>
        <w:spacing w:after="0" w:line="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9, 2018, in connection with our offer to acquire the share capital of Sky, we acquired a controlling interest in Sky through a series of purchases of Sky shares at our offer price of £17.28 per share. In the fourth quarter of 2018, we acquired the remaining Sky shares and now own 100% of Sky’s equity interests. Total cash consideration was £30.2 billion (approximately $39.4 billion using the exchange rates on the purchase dates). We financed the acquisition through a combination of new fixed and floating rate notes, issuance of term loans and cash on hand. Sky is one of Europe’s leading entertainment companies, which primarily includes a direct-to-consumer business, providing video, high-speed internet, voice and wireless phone services, and a content business, operating entertainment networks, the Sky News broadcast network and Sky Sports networks.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Purchase Price</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applied acquisition accounting to Sky. Sky’s results of operations are included in our consolidated results of operations since the acquisition date and are reported in our Sky segment. The net assets of Sky were recorded at their estimated fair value using primarily Level 3 inputs. In valuing acquired assets and liabilities, fair value estimates are based on, but are not limited to, future expected cash flows, market rate assumptions for contractual obligations and appropriate discount rates.</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first quarter of 2019, we revised our estimates of fair value, primarily related to intangible assets, property and equipment, and investments (included below in other noncurrent assets and (liabilities), net), and recorded corresponding adjustments to deferred taxes. We also recorded an additional valuation allowance of approximately $1.2 billion associated with our assessment of the realization of Sky’s deferred tax assets, primarily related to net operating losses. These changes resulted in an increase in goodwill of approximately $1.4 billion and an adjustment in the first quarter of 2019 related to the fourth quarter of 2018 that resulted in an increase to depreciation and amortization expense of $53 million.</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presents the allocation of the all-cash purchase price of £30.2 billion, or $39.4 billion, to the assets and liabilities of Sky as a result of the transaction.</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Allocation of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ind w:left="40"/>
              <w:spacing w:after="0"/>
              <w:rPr>
                <w:sz w:val="20"/>
                <w:szCs w:val="20"/>
                <w:color w:val="auto"/>
              </w:rPr>
            </w:pPr>
            <w:r>
              <w:rPr>
                <w:rFonts w:ascii="Arial" w:cs="Arial" w:eastAsia="Arial" w:hAnsi="Arial"/>
                <w:sz w:val="18"/>
                <w:szCs w:val="18"/>
                <w:color w:val="auto"/>
              </w:rPr>
              <w:t>Consideration transferred</w:t>
            </w:r>
          </w:p>
        </w:tc>
        <w:tc>
          <w:tcPr>
            <w:tcW w:w="30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39,387</w:t>
            </w:r>
          </w:p>
        </w:tc>
      </w:tr>
      <w:tr>
        <w:trPr>
          <w:trHeight w:val="540"/>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Allocation of purchase price</w:t>
            </w:r>
          </w:p>
        </w:tc>
        <w:tc>
          <w:tcPr>
            <w:tcW w:w="30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Cash</w:t>
            </w:r>
          </w:p>
        </w:tc>
        <w:tc>
          <w:tcPr>
            <w:tcW w:w="30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1,283</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Accounts receivable and other current assets</w:t>
            </w:r>
          </w:p>
        </w:tc>
        <w:tc>
          <w:tcPr>
            <w:tcW w:w="308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2,359</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308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2,512</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308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4,127</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308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19,539</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Accounts payable, accrued liabilities and other current liabilities</w:t>
            </w:r>
          </w:p>
        </w:tc>
        <w:tc>
          <w:tcPr>
            <w:tcW w:w="30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(5,885)</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0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(11,468)</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Deferred tax assets (liabilities), net</w:t>
            </w:r>
          </w:p>
        </w:tc>
        <w:tc>
          <w:tcPr>
            <w:tcW w:w="30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(2,974)</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Other noncurrent assets and (liabilities), net</w:t>
            </w:r>
          </w:p>
        </w:tc>
        <w:tc>
          <w:tcPr>
            <w:tcW w:w="30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(1,398)</w:t>
            </w:r>
          </w:p>
        </w:tc>
      </w:tr>
      <w:tr>
        <w:trPr>
          <w:trHeight w:val="27"/>
        </w:trPr>
        <w:tc>
          <w:tcPr>
            <w:tcW w:w="69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Fair value of identifiable net assets acquired</w:t>
            </w:r>
          </w:p>
        </w:tc>
        <w:tc>
          <w:tcPr>
            <w:tcW w:w="308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8,095</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31,292</w:t>
            </w:r>
          </w:p>
        </w:tc>
      </w:tr>
      <w:tr>
        <w:trPr>
          <w:trHeight w:val="27"/>
        </w:trPr>
        <w:tc>
          <w:tcPr>
            <w:tcW w:w="69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includes customer premise equipment with a carrying value of $1.4 billion, which have original estimated useful lives of 5 to 7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remaining property and equipment includes network assets, real estate, and other machinery and equipment.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Finite-lived intangible assets primarily consist of customer relationships with a carrying amount of $9.5 billion and developed technology and software with a carrying amount of $4.3 billion, with original estimated useful lives between 6 and 19 years and 4 and 9 years, respectively. Indefinite-lived assets consist of trade names with a carrying amount of $5.8 billion.</w:t>
      </w:r>
    </w:p>
    <w:p>
      <w:pPr>
        <w:sectPr>
          <w:pgSz w:w="11900" w:h="16838" w:orient="portrait"/>
          <w:cols w:equalWidth="0" w:num="1">
            <w:col w:w="11420"/>
          </w:cols>
          <w:pgMar w:left="240" w:top="121"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1"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consists primarily of intangible assets that do not qualify for separate recognition, including increased footprint, assembled workforce, noncontractual relationships and agreements. The acquired goodwill is not expected to be deductible for tax purposes.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Costs</w:t>
      </w:r>
    </w:p>
    <w:p>
      <w:pPr>
        <w:spacing w:after="0" w:line="1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 result of the Sky transaction, we incurred expenses in 2018 related to legal, accounting, valuation and other professional services, which are reflected in other operating and administrative expenses. We also incurred certain financing costs associated with our borrowings, which are reflected in interest expense. The table below presents the amounts related to these expenses included in our condensed consolidated statement of income.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3780" w:type="dxa"/>
            <w:vAlign w:val="bottom"/>
          </w:tcPr>
          <w:p>
            <w:pPr>
              <w:jc w:val="right"/>
              <w:spacing w:after="0"/>
              <w:rPr>
                <w:sz w:val="20"/>
                <w:szCs w:val="20"/>
                <w:color w:val="auto"/>
              </w:rPr>
            </w:pPr>
            <w:r>
              <w:rPr>
                <w:rFonts w:ascii="Arial" w:cs="Arial" w:eastAsia="Arial" w:hAnsi="Arial"/>
                <w:sz w:val="14"/>
                <w:szCs w:val="14"/>
                <w:color w:val="auto"/>
              </w:rPr>
              <w:t>Three Months Ended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ind w:right="259"/>
              <w:spacing w:after="0"/>
              <w:rPr>
                <w:sz w:val="20"/>
                <w:szCs w:val="20"/>
                <w:color w:val="auto"/>
              </w:rPr>
            </w:pPr>
            <w:r>
              <w:rPr>
                <w:rFonts w:ascii="Arial" w:cs="Arial" w:eastAsia="Arial" w:hAnsi="Arial"/>
                <w:sz w:val="14"/>
                <w:szCs w:val="14"/>
                <w:color w:val="auto"/>
              </w:rPr>
              <w:t>Nine Months Ended</w:t>
            </w:r>
          </w:p>
        </w:tc>
      </w:tr>
      <w:tr>
        <w:trPr>
          <w:trHeight w:val="188"/>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September 30, 2018</w:t>
            </w: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w w:val="97"/>
              </w:rPr>
              <w:t>September 30, 2018</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Other operating and administrative expenses</w:t>
            </w:r>
          </w:p>
        </w:tc>
        <w:tc>
          <w:tcPr>
            <w:tcW w:w="3780" w:type="dxa"/>
            <w:vAlign w:val="bottom"/>
          </w:tcPr>
          <w:p>
            <w:pPr>
              <w:jc w:val="right"/>
              <w:ind w:right="1319"/>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9"/>
              <w:spacing w:after="0"/>
              <w:rPr>
                <w:sz w:val="20"/>
                <w:szCs w:val="20"/>
                <w:color w:val="auto"/>
              </w:rPr>
            </w:pPr>
            <w:r>
              <w:rPr>
                <w:rFonts w:ascii="Arial" w:cs="Arial" w:eastAsia="Arial" w:hAnsi="Arial"/>
                <w:sz w:val="18"/>
                <w:szCs w:val="18"/>
                <w:color w:val="auto"/>
              </w:rPr>
              <w:t>29</w:t>
            </w:r>
          </w:p>
        </w:tc>
      </w:tr>
      <w:tr>
        <w:trPr>
          <w:trHeight w:val="270"/>
        </w:trPr>
        <w:tc>
          <w:tcPr>
            <w:tcW w:w="55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780" w:type="dxa"/>
            <w:vAlign w:val="bottom"/>
          </w:tcPr>
          <w:p>
            <w:pPr>
              <w:jc w:val="right"/>
              <w:ind w:right="1319"/>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34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9"/>
              <w:spacing w:after="0"/>
              <w:rPr>
                <w:sz w:val="20"/>
                <w:szCs w:val="20"/>
                <w:color w:val="auto"/>
              </w:rPr>
            </w:pPr>
            <w:r>
              <w:rPr>
                <w:rFonts w:ascii="Arial" w:cs="Arial" w:eastAsia="Arial" w:hAnsi="Arial"/>
                <w:sz w:val="18"/>
                <w:szCs w:val="18"/>
                <w:color w:val="auto"/>
              </w:rPr>
              <w:t>45</w:t>
            </w:r>
          </w:p>
        </w:tc>
      </w:tr>
      <w:tr>
        <w:trPr>
          <w:trHeight w:val="27"/>
        </w:trPr>
        <w:tc>
          <w:tcPr>
            <w:tcW w:w="55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unaudited pro forma information has been presented as if the Sky transaction occurred on January 1, 2017. This information is based on historical results of operations, adjusted for allocation of purchase price and other acquisition accounting adjustments, and is not necessarily indicative of what the results would have been had we operated the business since January 1, 2017. For pro forma purposes, 2018 earnings were adjusted to exclude the acquisition-related costs. No pro forma adjustments have been made for cost savings or synergies that have been or may be achieved by the combined businesses.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80" w:type="dxa"/>
            <w:vAlign w:val="bottom"/>
          </w:tcPr>
          <w:p>
            <w:pPr>
              <w:jc w:val="right"/>
              <w:ind w:right="176"/>
              <w:spacing w:after="0"/>
              <w:rPr>
                <w:sz w:val="20"/>
                <w:szCs w:val="20"/>
                <w:color w:val="auto"/>
              </w:rPr>
            </w:pPr>
            <w:r>
              <w:rPr>
                <w:rFonts w:ascii="Arial" w:cs="Arial" w:eastAsia="Arial" w:hAnsi="Arial"/>
                <w:sz w:val="14"/>
                <w:szCs w:val="14"/>
                <w:color w:val="auto"/>
                <w:w w:val="99"/>
              </w:rPr>
              <w:t>Three Months Ended</w:t>
            </w:r>
          </w:p>
        </w:tc>
        <w:tc>
          <w:tcPr>
            <w:tcW w:w="260" w:type="dxa"/>
            <w:vAlign w:val="bottom"/>
          </w:tcPr>
          <w:p>
            <w:pPr>
              <w:spacing w:after="0"/>
              <w:rPr>
                <w:sz w:val="14"/>
                <w:szCs w:val="14"/>
                <w:color w:val="auto"/>
              </w:rPr>
            </w:pPr>
          </w:p>
        </w:tc>
        <w:tc>
          <w:tcPr>
            <w:tcW w:w="1600" w:type="dxa"/>
            <w:vAlign w:val="bottom"/>
          </w:tcPr>
          <w:p>
            <w:pPr>
              <w:jc w:val="right"/>
              <w:ind w:right="256"/>
              <w:spacing w:after="0"/>
              <w:rPr>
                <w:sz w:val="20"/>
                <w:szCs w:val="20"/>
                <w:color w:val="auto"/>
              </w:rPr>
            </w:pPr>
            <w:r>
              <w:rPr>
                <w:rFonts w:ascii="Arial" w:cs="Arial" w:eastAsia="Arial" w:hAnsi="Arial"/>
                <w:sz w:val="14"/>
                <w:szCs w:val="14"/>
                <w:color w:val="auto"/>
              </w:rPr>
              <w:t>Nine Months Ended</w:t>
            </w:r>
          </w:p>
        </w:tc>
      </w:tr>
      <w:tr>
        <w:trPr>
          <w:trHeight w:val="188"/>
        </w:trPr>
        <w:tc>
          <w:tcPr>
            <w:tcW w:w="7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9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color w:val="auto"/>
                <w:w w:val="99"/>
              </w:rPr>
              <w:t>September 30, 2018</w:t>
            </w: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color w:val="auto"/>
                <w:w w:val="97"/>
              </w:rPr>
              <w:t>September 30, 2018</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Revenue</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26,824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81,239</w:t>
            </w:r>
          </w:p>
        </w:tc>
      </w:tr>
      <w:tr>
        <w:trPr>
          <w:trHeight w:val="270"/>
        </w:trPr>
        <w:tc>
          <w:tcPr>
            <w:tcW w:w="7000" w:type="dxa"/>
            <w:vAlign w:val="bottom"/>
          </w:tcPr>
          <w:p>
            <w:pPr>
              <w:ind w:left="40"/>
              <w:spacing w:after="0"/>
              <w:rPr>
                <w:sz w:val="20"/>
                <w:szCs w:val="20"/>
                <w:color w:val="auto"/>
              </w:rPr>
            </w:pPr>
            <w:r>
              <w:rPr>
                <w:rFonts w:ascii="Arial" w:cs="Arial" w:eastAsia="Arial" w:hAnsi="Arial"/>
                <w:sz w:val="18"/>
                <w:szCs w:val="18"/>
                <w:color w:val="auto"/>
              </w:rPr>
              <w:t>Net income attributable to Comcast Corporation</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3,448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9,388</w:t>
            </w:r>
          </w:p>
        </w:tc>
      </w:tr>
      <w:tr>
        <w:trPr>
          <w:trHeight w:val="270"/>
        </w:trPr>
        <w:tc>
          <w:tcPr>
            <w:tcW w:w="7000" w:type="dxa"/>
            <w:vAlign w:val="bottom"/>
          </w:tcPr>
          <w:p>
            <w:pPr>
              <w:ind w:left="40"/>
              <w:spacing w:after="0"/>
              <w:rPr>
                <w:sz w:val="20"/>
                <w:szCs w:val="20"/>
                <w:color w:val="auto"/>
              </w:rPr>
            </w:pPr>
            <w:r>
              <w:rPr>
                <w:rFonts w:ascii="Arial" w:cs="Arial" w:eastAsia="Arial" w:hAnsi="Arial"/>
                <w:sz w:val="18"/>
                <w:szCs w:val="18"/>
                <w:color w:val="auto"/>
              </w:rPr>
              <w:t>Basic earnings per common share attributable to Comcast Corporation shareholders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0.75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2.04</w:t>
            </w:r>
          </w:p>
        </w:tc>
      </w:tr>
      <w:tr>
        <w:trPr>
          <w:trHeight w:val="270"/>
        </w:trPr>
        <w:tc>
          <w:tcPr>
            <w:tcW w:w="7000" w:type="dxa"/>
            <w:vAlign w:val="bottom"/>
          </w:tcPr>
          <w:p>
            <w:pPr>
              <w:ind w:left="40"/>
              <w:spacing w:after="0"/>
              <w:rPr>
                <w:sz w:val="20"/>
                <w:szCs w:val="20"/>
                <w:color w:val="auto"/>
              </w:rPr>
            </w:pPr>
            <w:r>
              <w:rPr>
                <w:rFonts w:ascii="Arial" w:cs="Arial" w:eastAsia="Arial" w:hAnsi="Arial"/>
                <w:sz w:val="18"/>
                <w:szCs w:val="18"/>
                <w:color w:val="auto"/>
              </w:rPr>
              <w:t>Diluted earnings per common share attributable to Comcast Corporation shareholders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0.74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2.01</w:t>
            </w:r>
          </w:p>
        </w:tc>
      </w:tr>
      <w:tr>
        <w:trPr>
          <w:trHeight w:val="27"/>
        </w:trPr>
        <w:tc>
          <w:tcPr>
            <w:tcW w:w="7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Beijing Resort</w:t>
      </w:r>
    </w:p>
    <w:p>
      <w:pPr>
        <w:spacing w:after="0" w:line="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entered into an agreement with a consortium of Chinese state-owned companies to build and operate a Universal theme park and resort in Beijing, China (“Universal Beijing Resort”). We own a 30% interest in Universal Beijing Resort and the construction is being funded through a combination of debt financing and equity contributions from the investors in accordance with their equity interests. The debt financing, which is being provided by a syndicate of Chinese financial institutions, contains certain financial and operating covenants and a maximum borrowing limit of ¥26.6 billion RMB (approximately $4 billion). The debt financing is secured by the assets of Universal Beijing Resort and the equity interests of the investors. As of September 30, 2019, Universal Beijing Resort had $1 billion principal amount of term loans outstanding under the debt financing agreements.</w:t>
      </w:r>
    </w:p>
    <w:p>
      <w:pPr>
        <w:spacing w:after="0" w:line="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concluded that Universal Beijing Resort is a variable interest entity based on its governance structure, and we consolidate it because we have the power to direct activities that most significantly impact its economic performance. There are no liquidity arrangements, guarantees or other financial commitments between us and Universal Beijing Resort, and therefore our maximum risk of financial loss is our 30% interest. Universal Beijing Resort’s results of operations are reported in our Theme Parks segment. Our condensed consolidated statement of cash flows includes the costs of construction and related borrowings in the “construction of Universal Beijing Resort” and “proceeds from borrowings” captions, respectively, and equity contributions from our investing partner are included in other financing activities.</w:t>
      </w:r>
    </w:p>
    <w:p>
      <w:pPr>
        <w:spacing w:after="0" w:line="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2018, Universal Beijing Resort received initial equity investments through a combination of cash and noncash contributions from the investors. As of September 30, 2019, our condensed consolidated balance sheet included assets, primarily property and equipment, and liabilities, including the term loans, of Universal Beijing Resort totaling $2.4 billion and $1.7 billion, respectively.</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2016, the Financial Accounting Standards Board (“FASB”) updated the accounting guidance related to leases. The most significant change in the updated accounting guidance requires lessees to recognize lease assets and liabilities on the balance sheet for all operating leases with the exception of short-term leases. The standard also expands the disclosures regarding the amount, timing and uncertainty of cash flows arising from leases. For a lessee, the recognition, measurement and presentation of expenses and cash flows arising from a lease did not significantly change from previous guidance. We adopted the updated guidance on January 1, 2019 on a prospective basis and as a result, prior period amounts were not adjusted to reflect the impacts of the updated guidance. In addition, as permitted under the transition guidance within the new standard, prior scoping and classification conclusions were carried forward for leases existing as of the adoption date.</w:t>
      </w:r>
    </w:p>
    <w:p>
      <w:pPr>
        <w:spacing w:after="0" w:line="2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Upon adoption, we recorded $4.2 billion and $4.8 billion for operating lease assets and liabilities, respectively, which includes the impact of fair value adjustments, prepaid and deferred rent and lease incentives. The adoption of the updated accounting guidance did not significantly impact our recognition of finance leases, which were previously described as capital leases. As of the date of adoption, our liabilities for finance leases were $787 million, including $229 million of additional contracts determined to be leases in connection with the Sky transaction, which were recorded in long-term debt, and the related assets were recorded in property and equipment, net. Our finance leases were not considered material for further disclosure. The adoption of the new accounting guidance did not have a material impact on our consolidated results of operations or cash flows. See Note 12 for further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Costs</w:t>
      </w:r>
    </w:p>
    <w:p>
      <w:pPr>
        <w:spacing w:after="0" w:line="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2019, the FASB updated the accounting guidance related to film and television costs. The updated guidance aligns the accounting for production costs of episodic television series with those of films, allowing for costs to be capitalized in excess of amounts of revenue contracted for each episode. The updated guidance also updates certain presentation and disclosure requirements for capitalized film and television costs, and requires impairment testing to be performed at a group level for capitalized film and television costs when the content is predominantly monetized with other owned or licensed content. The updated guidance is effective for us as of January 1, 2020 and early adoption is permitted. We are currently in the process of determining the impact that the updated accounting guidance will have on our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Film and Television Costs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360" w:type="dxa"/>
            <w:vAlign w:val="bottom"/>
          </w:tcPr>
          <w:p>
            <w:pPr>
              <w:jc w:val="right"/>
              <w:ind w:right="333"/>
              <w:spacing w:after="0"/>
              <w:rPr>
                <w:sz w:val="20"/>
                <w:szCs w:val="20"/>
                <w:color w:val="auto"/>
              </w:rPr>
            </w:pPr>
            <w:r>
              <w:rPr>
                <w:rFonts w:ascii="Arial" w:cs="Arial" w:eastAsia="Arial" w:hAnsi="Arial"/>
                <w:sz w:val="14"/>
                <w:szCs w:val="14"/>
                <w:color w:val="auto"/>
              </w:rPr>
              <w:t>September 30,</w:t>
            </w:r>
          </w:p>
        </w:tc>
        <w:tc>
          <w:tcPr>
            <w:tcW w:w="360" w:type="dxa"/>
            <w:vAlign w:val="bottom"/>
          </w:tcPr>
          <w:p>
            <w:pPr>
              <w:spacing w:after="0"/>
              <w:rPr>
                <w:sz w:val="14"/>
                <w:szCs w:val="14"/>
                <w:color w:val="auto"/>
              </w:rPr>
            </w:pPr>
          </w:p>
        </w:tc>
        <w:tc>
          <w:tcPr>
            <w:tcW w:w="1260" w:type="dxa"/>
            <w:vAlign w:val="bottom"/>
          </w:tcPr>
          <w:p>
            <w:pPr>
              <w:jc w:val="right"/>
              <w:ind w:right="273"/>
              <w:spacing w:after="0"/>
              <w:rPr>
                <w:sz w:val="20"/>
                <w:szCs w:val="20"/>
                <w:color w:val="auto"/>
              </w:rPr>
            </w:pPr>
            <w:r>
              <w:rPr>
                <w:rFonts w:ascii="Arial" w:cs="Arial" w:eastAsia="Arial" w:hAnsi="Arial"/>
                <w:sz w:val="14"/>
                <w:szCs w:val="14"/>
                <w:color w:val="auto"/>
              </w:rPr>
              <w:t>December 31,</w:t>
            </w:r>
          </w:p>
        </w:tc>
      </w:tr>
      <w:tr>
        <w:trPr>
          <w:trHeight w:val="188"/>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0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2019</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2018</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Film Costs:</w:t>
            </w:r>
          </w:p>
        </w:tc>
        <w:tc>
          <w:tcPr>
            <w:tcW w:w="40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4440" w:type="dxa"/>
            <w:vAlign w:val="bottom"/>
          </w:tcPr>
          <w:p>
            <w:pPr>
              <w:ind w:left="380"/>
              <w:spacing w:after="0"/>
              <w:rPr>
                <w:sz w:val="20"/>
                <w:szCs w:val="20"/>
                <w:color w:val="auto"/>
              </w:rPr>
            </w:pPr>
            <w:r>
              <w:rPr>
                <w:rFonts w:ascii="Arial" w:cs="Arial" w:eastAsia="Arial" w:hAnsi="Arial"/>
                <w:sz w:val="18"/>
                <w:szCs w:val="18"/>
                <w:color w:val="auto"/>
              </w:rPr>
              <w:t>Released, less amortization</w:t>
            </w:r>
          </w:p>
        </w:tc>
        <w:tc>
          <w:tcPr>
            <w:tcW w:w="4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1,615</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1,600</w:t>
            </w:r>
          </w:p>
        </w:tc>
      </w:tr>
      <w:tr>
        <w:trPr>
          <w:trHeight w:val="270"/>
        </w:trPr>
        <w:tc>
          <w:tcPr>
            <w:tcW w:w="4440" w:type="dxa"/>
            <w:vAlign w:val="bottom"/>
          </w:tcPr>
          <w:p>
            <w:pPr>
              <w:ind w:left="380"/>
              <w:spacing w:after="0"/>
              <w:rPr>
                <w:sz w:val="20"/>
                <w:szCs w:val="20"/>
                <w:color w:val="auto"/>
              </w:rPr>
            </w:pPr>
            <w:r>
              <w:rPr>
                <w:rFonts w:ascii="Arial" w:cs="Arial" w:eastAsia="Arial" w:hAnsi="Arial"/>
                <w:sz w:val="18"/>
                <w:szCs w:val="18"/>
                <w:color w:val="auto"/>
              </w:rPr>
              <w:t>Completed, not released</w:t>
            </w:r>
          </w:p>
        </w:tc>
        <w:tc>
          <w:tcPr>
            <w:tcW w:w="4000" w:type="dxa"/>
            <w:vAlign w:val="bottom"/>
          </w:tcPr>
          <w:p>
            <w:pPr>
              <w:spacing w:after="0"/>
              <w:rPr>
                <w:sz w:val="23"/>
                <w:szCs w:val="23"/>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124</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144</w:t>
            </w:r>
          </w:p>
        </w:tc>
      </w:tr>
      <w:tr>
        <w:trPr>
          <w:trHeight w:val="270"/>
        </w:trPr>
        <w:tc>
          <w:tcPr>
            <w:tcW w:w="4440" w:type="dxa"/>
            <w:vAlign w:val="bottom"/>
          </w:tcPr>
          <w:p>
            <w:pPr>
              <w:ind w:left="380"/>
              <w:spacing w:after="0"/>
              <w:rPr>
                <w:sz w:val="20"/>
                <w:szCs w:val="20"/>
                <w:color w:val="auto"/>
              </w:rPr>
            </w:pPr>
            <w:r>
              <w:rPr>
                <w:rFonts w:ascii="Arial" w:cs="Arial" w:eastAsia="Arial" w:hAnsi="Arial"/>
                <w:sz w:val="18"/>
                <w:szCs w:val="18"/>
                <w:color w:val="auto"/>
              </w:rPr>
              <w:t>In production and in development</w:t>
            </w:r>
          </w:p>
        </w:tc>
        <w:tc>
          <w:tcPr>
            <w:tcW w:w="4000" w:type="dxa"/>
            <w:vAlign w:val="bottom"/>
          </w:tcPr>
          <w:p>
            <w:pPr>
              <w:spacing w:after="0"/>
              <w:rPr>
                <w:sz w:val="23"/>
                <w:szCs w:val="23"/>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1,282</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1,063</w:t>
            </w:r>
          </w:p>
        </w:tc>
      </w:tr>
      <w:tr>
        <w:trPr>
          <w:trHeight w:val="27"/>
        </w:trPr>
        <w:tc>
          <w:tcPr>
            <w:tcW w:w="444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3,021</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2,807</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Television Costs:</w:t>
            </w:r>
          </w:p>
        </w:tc>
        <w:tc>
          <w:tcPr>
            <w:tcW w:w="40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4440" w:type="dxa"/>
            <w:vAlign w:val="bottom"/>
          </w:tcPr>
          <w:p>
            <w:pPr>
              <w:ind w:left="380"/>
              <w:spacing w:after="0"/>
              <w:rPr>
                <w:sz w:val="20"/>
                <w:szCs w:val="20"/>
                <w:color w:val="auto"/>
              </w:rPr>
            </w:pPr>
            <w:r>
              <w:rPr>
                <w:rFonts w:ascii="Arial" w:cs="Arial" w:eastAsia="Arial" w:hAnsi="Arial"/>
                <w:sz w:val="18"/>
                <w:szCs w:val="18"/>
                <w:color w:val="auto"/>
              </w:rPr>
              <w:t>Released, less amortization</w:t>
            </w:r>
          </w:p>
        </w:tc>
        <w:tc>
          <w:tcPr>
            <w:tcW w:w="4000" w:type="dxa"/>
            <w:vAlign w:val="bottom"/>
          </w:tcPr>
          <w:p>
            <w:pPr>
              <w:spacing w:after="0"/>
              <w:rPr>
                <w:sz w:val="23"/>
                <w:szCs w:val="23"/>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2,514</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2,289</w:t>
            </w:r>
          </w:p>
        </w:tc>
      </w:tr>
      <w:tr>
        <w:trPr>
          <w:trHeight w:val="270"/>
        </w:trPr>
        <w:tc>
          <w:tcPr>
            <w:tcW w:w="4440" w:type="dxa"/>
            <w:vAlign w:val="bottom"/>
          </w:tcPr>
          <w:p>
            <w:pPr>
              <w:ind w:left="380"/>
              <w:spacing w:after="0"/>
              <w:rPr>
                <w:sz w:val="20"/>
                <w:szCs w:val="20"/>
                <w:color w:val="auto"/>
              </w:rPr>
            </w:pPr>
            <w:r>
              <w:rPr>
                <w:rFonts w:ascii="Arial" w:cs="Arial" w:eastAsia="Arial" w:hAnsi="Arial"/>
                <w:sz w:val="18"/>
                <w:szCs w:val="18"/>
                <w:color w:val="auto"/>
              </w:rPr>
              <w:t>In production and in development</w:t>
            </w:r>
          </w:p>
        </w:tc>
        <w:tc>
          <w:tcPr>
            <w:tcW w:w="4000" w:type="dxa"/>
            <w:vAlign w:val="bottom"/>
          </w:tcPr>
          <w:p>
            <w:pPr>
              <w:spacing w:after="0"/>
              <w:rPr>
                <w:sz w:val="23"/>
                <w:szCs w:val="23"/>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1,228</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953</w:t>
            </w:r>
          </w:p>
        </w:tc>
      </w:tr>
      <w:tr>
        <w:trPr>
          <w:trHeight w:val="27"/>
        </w:trPr>
        <w:tc>
          <w:tcPr>
            <w:tcW w:w="444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3,742</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3,242</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Programming rights, less amortization</w:t>
            </w:r>
          </w:p>
        </w:tc>
        <w:tc>
          <w:tcPr>
            <w:tcW w:w="4000" w:type="dxa"/>
            <w:vAlign w:val="bottom"/>
          </w:tcPr>
          <w:p>
            <w:pPr>
              <w:spacing w:after="0"/>
              <w:rPr>
                <w:sz w:val="23"/>
                <w:szCs w:val="23"/>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5,341</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5,534</w:t>
            </w:r>
          </w:p>
        </w:tc>
      </w:tr>
      <w:tr>
        <w:trPr>
          <w:trHeight w:val="27"/>
        </w:trPr>
        <w:tc>
          <w:tcPr>
            <w:tcW w:w="444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12,104</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11,583</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Less: Current portion of programming rights</w:t>
            </w:r>
          </w:p>
        </w:tc>
        <w:tc>
          <w:tcPr>
            <w:tcW w:w="4000" w:type="dxa"/>
            <w:vAlign w:val="bottom"/>
          </w:tcPr>
          <w:p>
            <w:pPr>
              <w:spacing w:after="0"/>
              <w:rPr>
                <w:sz w:val="23"/>
                <w:szCs w:val="23"/>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3,457</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3,746</w:t>
            </w:r>
          </w:p>
        </w:tc>
      </w:tr>
      <w:tr>
        <w:trPr>
          <w:trHeight w:val="27"/>
        </w:trPr>
        <w:tc>
          <w:tcPr>
            <w:tcW w:w="444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Film and television costs</w:t>
            </w:r>
          </w:p>
        </w:tc>
        <w:tc>
          <w:tcPr>
            <w:tcW w:w="40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93"/>
              <w:spacing w:after="0"/>
              <w:rPr>
                <w:sz w:val="20"/>
                <w:szCs w:val="20"/>
                <w:color w:val="auto"/>
              </w:rPr>
            </w:pPr>
            <w:r>
              <w:rPr>
                <w:rFonts w:ascii="Arial" w:cs="Arial" w:eastAsia="Arial" w:hAnsi="Arial"/>
                <w:sz w:val="18"/>
                <w:szCs w:val="18"/>
                <w:b w:val="1"/>
                <w:bCs w:val="1"/>
                <w:color w:val="auto"/>
              </w:rPr>
              <w:t>8,647</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b w:val="1"/>
                <w:bCs w:val="1"/>
                <w:color w:val="auto"/>
              </w:rPr>
              <w:t>7,837</w:t>
            </w:r>
          </w:p>
        </w:tc>
      </w:tr>
      <w:tr>
        <w:trPr>
          <w:trHeight w:val="34"/>
        </w:trPr>
        <w:tc>
          <w:tcPr>
            <w:tcW w:w="444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729"/>
        </w:trPr>
        <w:tc>
          <w:tcPr>
            <w:tcW w:w="4440" w:type="dxa"/>
            <w:vAlign w:val="bottom"/>
          </w:tcPr>
          <w:p>
            <w:pPr>
              <w:spacing w:after="0"/>
              <w:rPr>
                <w:sz w:val="24"/>
                <w:szCs w:val="24"/>
                <w:color w:val="auto"/>
              </w:rPr>
            </w:pPr>
          </w:p>
        </w:tc>
        <w:tc>
          <w:tcPr>
            <w:tcW w:w="4000" w:type="dxa"/>
            <w:vAlign w:val="bottom"/>
          </w:tcPr>
          <w:p>
            <w:pPr>
              <w:jc w:val="right"/>
              <w:ind w:right="2550"/>
              <w:spacing w:after="0"/>
              <w:rPr>
                <w:sz w:val="20"/>
                <w:szCs w:val="20"/>
                <w:color w:val="auto"/>
              </w:rPr>
            </w:pPr>
            <w:r>
              <w:rPr>
                <w:rFonts w:ascii="Arial" w:cs="Arial" w:eastAsia="Arial" w:hAnsi="Arial"/>
                <w:sz w:val="18"/>
                <w:szCs w:val="18"/>
                <w:color w:val="auto"/>
              </w:rPr>
              <w:t>14</w:t>
            </w: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Investments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and Other Income (Loss), Net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80" w:type="dxa"/>
            <w:vAlign w:val="bottom"/>
            <w:gridSpan w:val="2"/>
          </w:tcPr>
          <w:p>
            <w:pPr>
              <w:jc w:val="right"/>
              <w:ind w:right="416"/>
              <w:spacing w:after="0"/>
              <w:rPr>
                <w:sz w:val="20"/>
                <w:szCs w:val="20"/>
                <w:color w:val="auto"/>
              </w:rPr>
            </w:pPr>
            <w:r>
              <w:rPr>
                <w:rFonts w:ascii="Arial" w:cs="Arial" w:eastAsia="Arial" w:hAnsi="Arial"/>
                <w:sz w:val="14"/>
                <w:szCs w:val="14"/>
                <w:color w:val="auto"/>
              </w:rPr>
              <w:t>Three Months Ended</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60" w:type="dxa"/>
            <w:vAlign w:val="bottom"/>
            <w:gridSpan w:val="3"/>
          </w:tcPr>
          <w:p>
            <w:pPr>
              <w:jc w:val="right"/>
              <w:ind w:right="894"/>
              <w:spacing w:after="0"/>
              <w:rPr>
                <w:sz w:val="20"/>
                <w:szCs w:val="20"/>
                <w:color w:val="auto"/>
              </w:rPr>
            </w:pPr>
            <w:r>
              <w:rPr>
                <w:rFonts w:ascii="Arial" w:cs="Arial" w:eastAsia="Arial" w:hAnsi="Arial"/>
                <w:sz w:val="14"/>
                <w:szCs w:val="14"/>
                <w:color w:val="auto"/>
              </w:rPr>
              <w:t>Nine Months Ended</w:t>
            </w:r>
          </w:p>
        </w:tc>
      </w:tr>
      <w:tr>
        <w:trPr>
          <w:trHeight w:val="188"/>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2"/>
          </w:tcPr>
          <w:p>
            <w:pPr>
              <w:jc w:val="right"/>
              <w:ind w:right="616"/>
              <w:spacing w:after="0"/>
              <w:rPr>
                <w:sz w:val="20"/>
                <w:szCs w:val="20"/>
                <w:color w:val="auto"/>
              </w:rPr>
            </w:pPr>
            <w:r>
              <w:rPr>
                <w:rFonts w:ascii="Arial" w:cs="Arial" w:eastAsia="Arial" w:hAnsi="Arial"/>
                <w:sz w:val="14"/>
                <w:szCs w:val="14"/>
                <w:color w:val="auto"/>
              </w:rPr>
              <w:t>September 30</w:t>
            </w: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16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color w:val="auto"/>
              </w:rPr>
              <w:t>2019</w:t>
            </w: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2018</w:t>
            </w: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color w:val="auto"/>
              </w:rPr>
              <w:t>2019</w:t>
            </w: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2018</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Equity in net income (losses) of investees, net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8"/>
              <w:spacing w:after="0"/>
              <w:rPr>
                <w:sz w:val="20"/>
                <w:szCs w:val="20"/>
                <w:color w:val="auto"/>
              </w:rPr>
            </w:pPr>
            <w:r>
              <w:rPr>
                <w:rFonts w:ascii="Arial" w:cs="Arial" w:eastAsia="Arial" w:hAnsi="Arial"/>
                <w:sz w:val="18"/>
                <w:szCs w:val="18"/>
                <w:color w:val="auto"/>
              </w:rPr>
              <w:t>(355)</w:t>
            </w:r>
          </w:p>
        </w:tc>
        <w:tc>
          <w:tcPr>
            <w:tcW w:w="1120" w:type="dxa"/>
            <w:vAlign w:val="bottom"/>
          </w:tcPr>
          <w:p>
            <w:pPr>
              <w:jc w:val="right"/>
              <w:ind w:right="796"/>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(295)</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w w:val="94"/>
              </w:rPr>
              <w:t>Realized and unrealized gains (losses) on equity securities, net</w:t>
            </w:r>
          </w:p>
        </w:tc>
        <w:tc>
          <w:tcPr>
            <w:tcW w:w="360" w:type="dxa"/>
            <w:vAlign w:val="bottom"/>
          </w:tcPr>
          <w:p>
            <w:pPr>
              <w:spacing w:after="0"/>
              <w:rPr>
                <w:sz w:val="23"/>
                <w:szCs w:val="23"/>
                <w:color w:val="auto"/>
              </w:rPr>
            </w:pPr>
          </w:p>
        </w:tc>
        <w:tc>
          <w:tcPr>
            <w:tcW w:w="1260" w:type="dxa"/>
            <w:vAlign w:val="bottom"/>
          </w:tcPr>
          <w:p>
            <w:pPr>
              <w:jc w:val="right"/>
              <w:ind w:right="138"/>
              <w:spacing w:after="0"/>
              <w:rPr>
                <w:sz w:val="20"/>
                <w:szCs w:val="20"/>
                <w:color w:val="auto"/>
              </w:rPr>
            </w:pPr>
            <w:r>
              <w:rPr>
                <w:rFonts w:ascii="Arial" w:cs="Arial" w:eastAsia="Arial" w:hAnsi="Arial"/>
                <w:sz w:val="18"/>
                <w:szCs w:val="18"/>
                <w:color w:val="auto"/>
              </w:rPr>
              <w:t>174</w:t>
            </w:r>
          </w:p>
        </w:tc>
        <w:tc>
          <w:tcPr>
            <w:tcW w:w="112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23"/>
                <w:szCs w:val="23"/>
                <w:color w:val="auto"/>
              </w:rPr>
            </w:pPr>
          </w:p>
        </w:tc>
        <w:tc>
          <w:tcPr>
            <w:tcW w:w="1360" w:type="dxa"/>
            <w:vAlign w:val="bottom"/>
          </w:tcPr>
          <w:p>
            <w:pPr>
              <w:jc w:val="right"/>
              <w:ind w:right="115"/>
              <w:spacing w:after="0"/>
              <w:rPr>
                <w:sz w:val="20"/>
                <w:szCs w:val="20"/>
                <w:color w:val="auto"/>
              </w:rPr>
            </w:pPr>
            <w:r>
              <w:rPr>
                <w:rFonts w:ascii="Arial" w:cs="Arial" w:eastAsia="Arial" w:hAnsi="Arial"/>
                <w:sz w:val="18"/>
                <w:szCs w:val="18"/>
                <w:color w:val="auto"/>
              </w:rPr>
              <w:t>582</w:t>
            </w:r>
          </w:p>
        </w:tc>
        <w:tc>
          <w:tcPr>
            <w:tcW w:w="4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Other income (loss), net</w:t>
            </w:r>
          </w:p>
        </w:tc>
        <w:tc>
          <w:tcPr>
            <w:tcW w:w="360" w:type="dxa"/>
            <w:vAlign w:val="bottom"/>
          </w:tcPr>
          <w:p>
            <w:pPr>
              <w:spacing w:after="0"/>
              <w:rPr>
                <w:sz w:val="23"/>
                <w:szCs w:val="23"/>
                <w:color w:val="auto"/>
              </w:rPr>
            </w:pPr>
          </w:p>
        </w:tc>
        <w:tc>
          <w:tcPr>
            <w:tcW w:w="1260" w:type="dxa"/>
            <w:vAlign w:val="bottom"/>
          </w:tcPr>
          <w:p>
            <w:pPr>
              <w:jc w:val="right"/>
              <w:ind w:right="138"/>
              <w:spacing w:after="0"/>
              <w:rPr>
                <w:sz w:val="20"/>
                <w:szCs w:val="20"/>
                <w:color w:val="auto"/>
              </w:rPr>
            </w:pPr>
            <w:r>
              <w:rPr>
                <w:rFonts w:ascii="Arial" w:cs="Arial" w:eastAsia="Arial" w:hAnsi="Arial"/>
                <w:sz w:val="18"/>
                <w:szCs w:val="18"/>
                <w:color w:val="auto"/>
              </w:rPr>
              <w:t>71</w:t>
            </w:r>
          </w:p>
        </w:tc>
        <w:tc>
          <w:tcPr>
            <w:tcW w:w="1120" w:type="dxa"/>
            <w:vAlign w:val="bottom"/>
          </w:tcPr>
          <w:p>
            <w:pPr>
              <w:spacing w:after="0"/>
              <w:rPr>
                <w:sz w:val="23"/>
                <w:szCs w:val="23"/>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3"/>
                <w:szCs w:val="23"/>
                <w:color w:val="auto"/>
              </w:rPr>
            </w:pPr>
          </w:p>
        </w:tc>
        <w:tc>
          <w:tcPr>
            <w:tcW w:w="1360" w:type="dxa"/>
            <w:vAlign w:val="bottom"/>
          </w:tcPr>
          <w:p>
            <w:pPr>
              <w:jc w:val="right"/>
              <w:ind w:right="115"/>
              <w:spacing w:after="0"/>
              <w:rPr>
                <w:sz w:val="20"/>
                <w:szCs w:val="20"/>
                <w:color w:val="auto"/>
              </w:rPr>
            </w:pPr>
            <w:r>
              <w:rPr>
                <w:rFonts w:ascii="Arial" w:cs="Arial" w:eastAsia="Arial" w:hAnsi="Arial"/>
                <w:sz w:val="18"/>
                <w:szCs w:val="18"/>
                <w:color w:val="auto"/>
              </w:rPr>
              <w:t>224</w:t>
            </w:r>
          </w:p>
        </w:tc>
        <w:tc>
          <w:tcPr>
            <w:tcW w:w="440" w:type="dxa"/>
            <w:vAlign w:val="bottom"/>
          </w:tcPr>
          <w:p>
            <w:pPr>
              <w:spacing w:after="0"/>
              <w:rPr>
                <w:sz w:val="23"/>
                <w:szCs w:val="23"/>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198</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Investment and other income (loss), net</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78"/>
              <w:spacing w:after="0"/>
              <w:rPr>
                <w:sz w:val="20"/>
                <w:szCs w:val="20"/>
                <w:color w:val="auto"/>
              </w:rPr>
            </w:pPr>
            <w:r>
              <w:rPr>
                <w:rFonts w:ascii="Arial" w:cs="Arial" w:eastAsia="Arial" w:hAnsi="Arial"/>
                <w:sz w:val="18"/>
                <w:szCs w:val="18"/>
                <w:b w:val="1"/>
                <w:bCs w:val="1"/>
                <w:color w:val="auto"/>
              </w:rPr>
              <w:t>(110)</w:t>
            </w:r>
          </w:p>
        </w:tc>
        <w:tc>
          <w:tcPr>
            <w:tcW w:w="1120" w:type="dxa"/>
            <w:vAlign w:val="bottom"/>
          </w:tcPr>
          <w:p>
            <w:pPr>
              <w:jc w:val="right"/>
              <w:ind w:right="796"/>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b w:val="1"/>
                <w:bCs w:val="1"/>
                <w:color w:val="auto"/>
              </w:rPr>
              <w:t>(111)</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15"/>
              <w:spacing w:after="0"/>
              <w:rPr>
                <w:sz w:val="20"/>
                <w:szCs w:val="20"/>
                <w:color w:val="auto"/>
              </w:rPr>
            </w:pPr>
            <w:r>
              <w:rPr>
                <w:rFonts w:ascii="Arial" w:cs="Arial" w:eastAsia="Arial" w:hAnsi="Arial"/>
                <w:sz w:val="18"/>
                <w:szCs w:val="18"/>
                <w:b w:val="1"/>
                <w:bCs w:val="1"/>
                <w:color w:val="auto"/>
              </w:rPr>
              <w:t>511</w:t>
            </w:r>
          </w:p>
        </w:tc>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b w:val="1"/>
                <w:bCs w:val="1"/>
                <w:color w:val="auto"/>
              </w:rPr>
              <w:t>92</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751"/>
        </w:trPr>
        <w:tc>
          <w:tcPr>
            <w:tcW w:w="4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jc w:val="right"/>
              <w:ind w:right="355"/>
              <w:spacing w:after="0"/>
              <w:rPr>
                <w:sz w:val="20"/>
                <w:szCs w:val="20"/>
                <w:color w:val="auto"/>
              </w:rPr>
            </w:pPr>
            <w:r>
              <w:rPr>
                <w:rFonts w:ascii="Arial" w:cs="Arial" w:eastAsia="Arial" w:hAnsi="Arial"/>
                <w:sz w:val="14"/>
                <w:szCs w:val="14"/>
                <w:color w:val="auto"/>
                <w:w w:val="97"/>
              </w:rPr>
              <w:t>September 30,</w:t>
            </w:r>
          </w:p>
        </w:tc>
        <w:tc>
          <w:tcPr>
            <w:tcW w:w="440" w:type="dxa"/>
            <w:vAlign w:val="bottom"/>
          </w:tcPr>
          <w:p>
            <w:pPr>
              <w:spacing w:after="0"/>
              <w:rPr>
                <w:sz w:val="24"/>
                <w:szCs w:val="24"/>
                <w:color w:val="auto"/>
              </w:rPr>
            </w:pPr>
          </w:p>
        </w:tc>
        <w:tc>
          <w:tcPr>
            <w:tcW w:w="1160" w:type="dxa"/>
            <w:vAlign w:val="bottom"/>
          </w:tcPr>
          <w:p>
            <w:pPr>
              <w:jc w:val="right"/>
              <w:ind w:right="274"/>
              <w:spacing w:after="0"/>
              <w:rPr>
                <w:sz w:val="20"/>
                <w:szCs w:val="20"/>
                <w:color w:val="auto"/>
              </w:rPr>
            </w:pPr>
            <w:r>
              <w:rPr>
                <w:rFonts w:ascii="Arial" w:cs="Arial" w:eastAsia="Arial" w:hAnsi="Arial"/>
                <w:sz w:val="14"/>
                <w:szCs w:val="14"/>
                <w:color w:val="auto"/>
                <w:w w:val="88"/>
              </w:rPr>
              <w:t>December 31,</w:t>
            </w:r>
          </w:p>
        </w:tc>
      </w:tr>
      <w:tr>
        <w:trPr>
          <w:trHeight w:val="188"/>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color w:val="auto"/>
              </w:rPr>
              <w:t>2019</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2018</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Equity method</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5"/>
              <w:spacing w:after="0"/>
              <w:rPr>
                <w:sz w:val="20"/>
                <w:szCs w:val="20"/>
                <w:color w:val="auto"/>
              </w:rPr>
            </w:pPr>
            <w:r>
              <w:rPr>
                <w:rFonts w:ascii="Arial" w:cs="Arial" w:eastAsia="Arial" w:hAnsi="Arial"/>
                <w:sz w:val="18"/>
                <w:szCs w:val="18"/>
                <w:color w:val="auto"/>
              </w:rPr>
              <w:t>5,363</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4,035</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Marketable equity securities</w:t>
            </w: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jc w:val="right"/>
              <w:ind w:right="115"/>
              <w:spacing w:after="0"/>
              <w:rPr>
                <w:sz w:val="20"/>
                <w:szCs w:val="20"/>
                <w:color w:val="auto"/>
              </w:rPr>
            </w:pPr>
            <w:r>
              <w:rPr>
                <w:rFonts w:ascii="Arial" w:cs="Arial" w:eastAsia="Arial" w:hAnsi="Arial"/>
                <w:sz w:val="18"/>
                <w:szCs w:val="18"/>
                <w:color w:val="auto"/>
              </w:rPr>
              <w:t>862</w:t>
            </w:r>
          </w:p>
        </w:tc>
        <w:tc>
          <w:tcPr>
            <w:tcW w:w="440" w:type="dxa"/>
            <w:vAlign w:val="bottom"/>
          </w:tcPr>
          <w:p>
            <w:pPr>
              <w:spacing w:after="0"/>
              <w:rPr>
                <w:sz w:val="23"/>
                <w:szCs w:val="23"/>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341</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Nonmarketable equity securities</w:t>
            </w: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jc w:val="right"/>
              <w:ind w:right="115"/>
              <w:spacing w:after="0"/>
              <w:rPr>
                <w:sz w:val="20"/>
                <w:szCs w:val="20"/>
                <w:color w:val="auto"/>
              </w:rPr>
            </w:pPr>
            <w:r>
              <w:rPr>
                <w:rFonts w:ascii="Arial" w:cs="Arial" w:eastAsia="Arial" w:hAnsi="Arial"/>
                <w:sz w:val="18"/>
                <w:szCs w:val="18"/>
                <w:color w:val="auto"/>
              </w:rPr>
              <w:t>1,933</w:t>
            </w:r>
          </w:p>
        </w:tc>
        <w:tc>
          <w:tcPr>
            <w:tcW w:w="440" w:type="dxa"/>
            <w:vAlign w:val="bottom"/>
          </w:tcPr>
          <w:p>
            <w:pPr>
              <w:spacing w:after="0"/>
              <w:rPr>
                <w:sz w:val="23"/>
                <w:szCs w:val="23"/>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1,805</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jc w:val="right"/>
              <w:ind w:right="115"/>
              <w:spacing w:after="0"/>
              <w:rPr>
                <w:sz w:val="20"/>
                <w:szCs w:val="20"/>
                <w:color w:val="auto"/>
              </w:rPr>
            </w:pPr>
            <w:r>
              <w:rPr>
                <w:rFonts w:ascii="Arial" w:cs="Arial" w:eastAsia="Arial" w:hAnsi="Arial"/>
                <w:sz w:val="18"/>
                <w:szCs w:val="18"/>
                <w:color w:val="auto"/>
              </w:rPr>
              <w:t>1,841</w:t>
            </w:r>
          </w:p>
        </w:tc>
        <w:tc>
          <w:tcPr>
            <w:tcW w:w="440" w:type="dxa"/>
            <w:vAlign w:val="bottom"/>
          </w:tcPr>
          <w:p>
            <w:pPr>
              <w:spacing w:after="0"/>
              <w:rPr>
                <w:sz w:val="23"/>
                <w:szCs w:val="23"/>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1,796</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jc w:val="right"/>
              <w:ind w:right="115"/>
              <w:spacing w:after="0"/>
              <w:rPr>
                <w:sz w:val="20"/>
                <w:szCs w:val="20"/>
                <w:color w:val="auto"/>
              </w:rPr>
            </w:pPr>
            <w:r>
              <w:rPr>
                <w:rFonts w:ascii="Arial" w:cs="Arial" w:eastAsia="Arial" w:hAnsi="Arial"/>
                <w:sz w:val="18"/>
                <w:szCs w:val="18"/>
                <w:color w:val="auto"/>
              </w:rPr>
              <w:t>9,999</w:t>
            </w:r>
          </w:p>
        </w:tc>
        <w:tc>
          <w:tcPr>
            <w:tcW w:w="44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7,977</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Less: Current investments</w:t>
            </w: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jc w:val="right"/>
              <w:ind w:right="115"/>
              <w:spacing w:after="0"/>
              <w:rPr>
                <w:sz w:val="20"/>
                <w:szCs w:val="20"/>
                <w:color w:val="auto"/>
              </w:rPr>
            </w:pPr>
            <w:r>
              <w:rPr>
                <w:rFonts w:ascii="Arial" w:cs="Arial" w:eastAsia="Arial" w:hAnsi="Arial"/>
                <w:sz w:val="18"/>
                <w:szCs w:val="18"/>
                <w:color w:val="auto"/>
              </w:rPr>
              <w:t>1,710</w:t>
            </w:r>
          </w:p>
        </w:tc>
        <w:tc>
          <w:tcPr>
            <w:tcW w:w="440" w:type="dxa"/>
            <w:vAlign w:val="bottom"/>
          </w:tcPr>
          <w:p>
            <w:pPr>
              <w:spacing w:after="0"/>
              <w:rPr>
                <w:sz w:val="23"/>
                <w:szCs w:val="23"/>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94</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Less: Investment securing collateralized obligation</w:t>
            </w: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jc w:val="right"/>
              <w:ind w:right="115"/>
              <w:spacing w:after="0"/>
              <w:rPr>
                <w:sz w:val="20"/>
                <w:szCs w:val="20"/>
                <w:color w:val="auto"/>
              </w:rPr>
            </w:pPr>
            <w:r>
              <w:rPr>
                <w:rFonts w:ascii="Arial" w:cs="Arial" w:eastAsia="Arial" w:hAnsi="Arial"/>
                <w:sz w:val="18"/>
                <w:szCs w:val="18"/>
                <w:color w:val="auto"/>
              </w:rPr>
              <w:t>816</w:t>
            </w:r>
          </w:p>
        </w:tc>
        <w:tc>
          <w:tcPr>
            <w:tcW w:w="440" w:type="dxa"/>
            <w:vAlign w:val="bottom"/>
          </w:tcPr>
          <w:p>
            <w:pPr>
              <w:spacing w:after="0"/>
              <w:rPr>
                <w:sz w:val="23"/>
                <w:szCs w:val="23"/>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Noncurrent investments</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15"/>
              <w:spacing w:after="0"/>
              <w:rPr>
                <w:sz w:val="20"/>
                <w:szCs w:val="20"/>
                <w:color w:val="auto"/>
              </w:rPr>
            </w:pPr>
            <w:r>
              <w:rPr>
                <w:rFonts w:ascii="Arial" w:cs="Arial" w:eastAsia="Arial" w:hAnsi="Arial"/>
                <w:sz w:val="18"/>
                <w:szCs w:val="18"/>
                <w:b w:val="1"/>
                <w:bCs w:val="1"/>
                <w:color w:val="auto"/>
              </w:rPr>
              <w:t>7,473</w:t>
            </w:r>
          </w:p>
        </w:tc>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b w:val="1"/>
                <w:bCs w:val="1"/>
                <w:color w:val="auto"/>
              </w:rPr>
              <w:t>7,883</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Atairos</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Atairos follows investment company accounting and records its investments at their fair values each reporting period with the net gains or losses reflected in its statement of operations. We recognize our share of these gains and losses in equity in net income (losses) of investees, net. For the three and nine months ended September 30, 2019, we recognized losses of $262 million and income of $6 million, respectively. For the three and nine months ended September 30, 2018, we recognized income of $38 million and $224 million, respectively. For the nine months ended September 30, 2019 and 2018, we made cash capital contributions totaling $475 million and $133 million, respectively, to Atairos. As of September 30, 2019 and December 31, 2018, our investment was $3.2 billion and $2.7 billion, respectively.</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April 2018, we sold a controlling interest in our arena management-related businesses to Atairos and received as consideration additional equity interests in Atairos. In connection with the sale of the businesses, we recognized a pre-tax gain of $200 million in other operating gains.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Hulu and Collateralized Obligation</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2019, we entered into a series of agreements (the “Hulu Transaction”) with The Walt Disney Company and certain of its subsidiaries (“Disney”), whereby we relinquished our board seats and substantially all voting rights associated with our investment in Hulu, LLC (“Hulu”), and Disney assumed full operational control. We also acquired our proportionate share of the approximate 10% interest in Hulu previously held by AT&amp;T Inc. (“AT&amp;T”) for approximately $477 million, increasing our ownership interest to approximately 33% from approximately 30%.</w:t>
      </w:r>
    </w:p>
    <w:p>
      <w:pPr>
        <w:spacing w:after="0" w:line="1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Following the Hulu Transaction, future capital calls are limited to $1.5 billion in the aggregate each year, with any excess funding requirements funded with member loans. We have the right, but not the obligation, to fund our proportionate share of these capital calls, and if we elect not to fund our share of future equity capital calls, our ownership interest will be diluted, subject to an ownership floor of 21%. The Hulu Transaction agreements include put and call provisions regarding our ownership interest in Hulu, pursuant to which, as early as January 2024, we can require Disney to buy, and Disney can require us to sell our interest, in either case, for fair value at that future time subject to a minimum equity value of $27.5 billion for 100% of the equity of Hulu. The minimum total equity value and ownership floor guarantee minimum proceeds of approximately $5.8 billion upon exercise of the put or call.</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Hulu Transaction, we agreed to extend certain licenses of NBCUniversal content until late 2024. We can terminate most of our content license agreements with Hulu beginning in 2022, and beginning in 2020, we have the right to modify certain content licenses that are currently exclusive to Hulu, so that we can exhibit the content on our platforms in return for reducing the license fee.</w:t>
      </w:r>
    </w:p>
    <w:p>
      <w:pPr>
        <w:sectPr>
          <w:pgSz w:w="11900" w:h="16838" w:orient="portrait"/>
          <w:cols w:equalWidth="0" w:num="1">
            <w:col w:w="11420"/>
          </w:cols>
          <w:pgMar w:left="240" w:top="121"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1"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August 2019, we entered into a financing arrangement with a syndicate of banks whereby we received proceeds of $5.2 billion under a term loan facility due March 2024. The principal amount of the term loan is secured by the proceeds guaranteed by Disney under the put/call provisions related to our investment in Hulu. The proceeds from the put/call provisions are available only for the repayment of the term loan and are not available to us unless and until the bank lenders are fully paid under the term loan provisions. The bank lenders have no rights to proceeds from the put/call provisions in excess of amounts owed under the term loan. As a result of this transaction, we now present our investment in Hulu and the term loan separately in our condensed consolidated balance sheet in the captions “investment securing collateralized obligation” and “collateralized obligation”, respectively. The recorded value of our investment reflects our historical cost in applying the equity method, and as a result, is less than its fair value. As of September 30, 2019, our collateralized obligation had a carrying value of $5.2 billion and an estimated fair value of $5.2 billion. The estimated fair value was based on Level 2 inputs that use interest rates for debt with similar terms and remaining maturities.</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account for our investment using the equity method. For the three and nine months ended September 30, 2019, we recognized losses of $101 million and $351 million, respectively, in equity in net income (losses) of investees, net. For the three and nine months ended September 30, 2018, we recognized losses of $132 million and $370 million, respectively. For the nine months ended September 30, 2019 and 2018, we made cash capital contributions totaling $903 million, inclusive of the funding for the acquisition of the AT&amp;T interest, and $341 million, respectively, to Hulu. As of September 30, 2019 and December 31, 2018, our investment was $816 million and $248 million, respectively.</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2016, Time Warner Inc., which was acquired by AT&amp;T in 2018, acquired a 10% interest in Hulu, diluting our interest at that time from approximately 33% to approximately 30%. Given the contingent nature of put and call options related to that interest, we recorded a deferred gain as a result of the dilution. In the first quarter of 2019, the put and call options expired unexercised and we recognized the previously deferred gain of $159 million in other income (loss), net.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Weather Channel</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In March 2018, we sold our investment in The Weather Channel cable network and recognized a pretax gain of $64 million in other income (loss), net.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Snap</w:t>
      </w:r>
    </w:p>
    <w:p>
      <w:pPr>
        <w:spacing w:after="0" w:line="12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the three and nine months ended September 30, 2019, we recognized unrealized gains of $45 million and $303 million, respectively, in realized and unrealized gains (losses) on equity securities, net. For the three and nine months ended September 30, 2018, we recognized unrealized losses of $135 million and $180 million, respectively. As of September 30, 2019 and December 31, 2018, our investment was $465 million and $162 million, respectively.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Peloton</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2019, as a result of Peloton’s initial public offering, we recognized unrealized gains of $150 million related to our investment in realized and unrealized gains (losses) on equity securities, net. Following the initial public offering, we now present our investment in marketable equity securities, which was previously presented in non-marketable equity securities. As of September 30, 2019 and December 31, 2018, our investment was $260 million and $110 million, respectively.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AirTouch</w:t>
      </w:r>
    </w:p>
    <w:p>
      <w:pPr>
        <w:spacing w:after="0" w:line="7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hold two series of preferred stock of Verizon Americas, Inc., formerly known as AirTouch Communications, Inc. (“AirTouch”), a subsidiary of Verizon Communications Inc., which are redeemable in April 2020. As of both September 30, 2019 and December 31, 2018, our investment in AirTouch was $1.6 billion. We account for our investment in AirTouch as a held to maturity investment using the cost method. As of September 30, 2019, the estimated fair value of the AirTouch preferred stock and the estimated fair value of the associated liability related to the redeemable subsidiary preferred shares issued by one of our consolidated subsidiaries were each $1.7 billion. The estimated fair values were based on Level 2 inputs that use pricing models whose inputs are derived primarily from or corroborated by observable market data through correlation or other means for substantially the full term of the financial instrument.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Goodwill</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right="134"/>
              <w:spacing w:after="0"/>
              <w:rPr>
                <w:sz w:val="20"/>
                <w:szCs w:val="20"/>
                <w:color w:val="auto"/>
              </w:rPr>
            </w:pPr>
            <w:r>
              <w:rPr>
                <w:rFonts w:ascii="Arial" w:cs="Arial" w:eastAsia="Arial" w:hAnsi="Arial"/>
                <w:sz w:val="14"/>
                <w:szCs w:val="14"/>
                <w:color w:val="auto"/>
                <w:w w:val="97"/>
              </w:rPr>
              <w:t>NBCUniversal</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56"/>
        </w:trPr>
        <w:tc>
          <w:tcPr>
            <w:tcW w:w="2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jc w:val="right"/>
              <w:ind w:right="454"/>
              <w:spacing w:after="0" w:line="157" w:lineRule="exact"/>
              <w:rPr>
                <w:sz w:val="20"/>
                <w:szCs w:val="20"/>
                <w:color w:val="auto"/>
              </w:rPr>
            </w:pPr>
            <w:r>
              <w:rPr>
                <w:rFonts w:ascii="Arial" w:cs="Arial" w:eastAsia="Arial" w:hAnsi="Arial"/>
                <w:sz w:val="14"/>
                <w:szCs w:val="14"/>
                <w:color w:val="auto"/>
              </w:rPr>
              <w:t>Cable</w:t>
            </w:r>
          </w:p>
        </w:tc>
        <w:tc>
          <w:tcPr>
            <w:tcW w:w="140" w:type="dxa"/>
            <w:vAlign w:val="bottom"/>
          </w:tcPr>
          <w:p>
            <w:pPr>
              <w:spacing w:after="0"/>
              <w:rPr>
                <w:sz w:val="13"/>
                <w:szCs w:val="13"/>
                <w:color w:val="auto"/>
              </w:rPr>
            </w:pPr>
          </w:p>
        </w:tc>
        <w:tc>
          <w:tcPr>
            <w:tcW w:w="740" w:type="dxa"/>
            <w:vAlign w:val="bottom"/>
          </w:tcPr>
          <w:p>
            <w:pPr>
              <w:jc w:val="right"/>
              <w:ind w:right="174"/>
              <w:spacing w:after="0" w:line="157" w:lineRule="exact"/>
              <w:rPr>
                <w:sz w:val="20"/>
                <w:szCs w:val="20"/>
                <w:color w:val="auto"/>
              </w:rPr>
            </w:pPr>
            <w:r>
              <w:rPr>
                <w:rFonts w:ascii="Arial" w:cs="Arial" w:eastAsia="Arial" w:hAnsi="Arial"/>
                <w:sz w:val="14"/>
                <w:szCs w:val="14"/>
                <w:color w:val="auto"/>
              </w:rPr>
              <w:t>Cable</w:t>
            </w:r>
          </w:p>
        </w:tc>
        <w:tc>
          <w:tcPr>
            <w:tcW w:w="160" w:type="dxa"/>
            <w:vAlign w:val="bottom"/>
          </w:tcPr>
          <w:p>
            <w:pPr>
              <w:spacing w:after="0"/>
              <w:rPr>
                <w:sz w:val="13"/>
                <w:szCs w:val="13"/>
                <w:color w:val="auto"/>
              </w:rPr>
            </w:pPr>
          </w:p>
        </w:tc>
        <w:tc>
          <w:tcPr>
            <w:tcW w:w="760" w:type="dxa"/>
            <w:vAlign w:val="bottom"/>
          </w:tcPr>
          <w:p>
            <w:pPr>
              <w:jc w:val="right"/>
              <w:ind w:right="76"/>
              <w:spacing w:after="0" w:line="157" w:lineRule="exact"/>
              <w:rPr>
                <w:sz w:val="20"/>
                <w:szCs w:val="20"/>
                <w:color w:val="auto"/>
              </w:rPr>
            </w:pPr>
            <w:r>
              <w:rPr>
                <w:rFonts w:ascii="Arial" w:cs="Arial" w:eastAsia="Arial" w:hAnsi="Arial"/>
                <w:sz w:val="14"/>
                <w:szCs w:val="14"/>
                <w:color w:val="auto"/>
                <w:w w:val="91"/>
              </w:rPr>
              <w:t>Broadcast</w:t>
            </w:r>
          </w:p>
        </w:tc>
        <w:tc>
          <w:tcPr>
            <w:tcW w:w="140" w:type="dxa"/>
            <w:vAlign w:val="bottom"/>
          </w:tcPr>
          <w:p>
            <w:pPr>
              <w:spacing w:after="0"/>
              <w:rPr>
                <w:sz w:val="13"/>
                <w:szCs w:val="13"/>
                <w:color w:val="auto"/>
              </w:rPr>
            </w:pPr>
          </w:p>
        </w:tc>
        <w:tc>
          <w:tcPr>
            <w:tcW w:w="980" w:type="dxa"/>
            <w:vAlign w:val="bottom"/>
          </w:tcPr>
          <w:p>
            <w:pPr>
              <w:jc w:val="right"/>
              <w:ind w:right="254"/>
              <w:spacing w:after="0" w:line="157" w:lineRule="exact"/>
              <w:rPr>
                <w:sz w:val="20"/>
                <w:szCs w:val="20"/>
                <w:color w:val="auto"/>
              </w:rPr>
            </w:pPr>
            <w:r>
              <w:rPr>
                <w:rFonts w:ascii="Arial" w:cs="Arial" w:eastAsia="Arial" w:hAnsi="Arial"/>
                <w:sz w:val="14"/>
                <w:szCs w:val="14"/>
                <w:color w:val="auto"/>
              </w:rPr>
              <w:t>Filmed</w:t>
            </w:r>
          </w:p>
        </w:tc>
        <w:tc>
          <w:tcPr>
            <w:tcW w:w="180" w:type="dxa"/>
            <w:vAlign w:val="bottom"/>
          </w:tcPr>
          <w:p>
            <w:pPr>
              <w:spacing w:after="0"/>
              <w:rPr>
                <w:sz w:val="13"/>
                <w:szCs w:val="13"/>
                <w:color w:val="auto"/>
              </w:rPr>
            </w:pPr>
          </w:p>
        </w:tc>
        <w:tc>
          <w:tcPr>
            <w:tcW w:w="640" w:type="dxa"/>
            <w:vAlign w:val="bottom"/>
          </w:tcPr>
          <w:p>
            <w:pPr>
              <w:jc w:val="right"/>
              <w:ind w:right="114"/>
              <w:spacing w:after="0" w:line="157" w:lineRule="exact"/>
              <w:rPr>
                <w:sz w:val="20"/>
                <w:szCs w:val="20"/>
                <w:color w:val="auto"/>
              </w:rPr>
            </w:pPr>
            <w:r>
              <w:rPr>
                <w:rFonts w:ascii="Arial" w:cs="Arial" w:eastAsia="Arial" w:hAnsi="Arial"/>
                <w:sz w:val="14"/>
                <w:szCs w:val="14"/>
                <w:color w:val="auto"/>
                <w:w w:val="96"/>
              </w:rPr>
              <w:t>Theme</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Corporate</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88"/>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w w:val="95"/>
              </w:rPr>
              <w:t>Communications</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w w:val="95"/>
              </w:rPr>
              <w:t>Networks</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w w:val="91"/>
              </w:rPr>
              <w:t>Television</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w w:val="94"/>
              </w:rPr>
              <w:t>Entertainment</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Parks</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Sky</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and Other</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Total</w:t>
            </w: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Balance, December 31, 2018</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12,784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13,407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843</w:t>
            </w: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3,184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6,684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29,250</w:t>
            </w:r>
          </w:p>
        </w:tc>
        <w:tc>
          <w:tcPr>
            <w:tcW w:w="34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66,154</w:t>
            </w:r>
          </w:p>
        </w:tc>
      </w:tr>
      <w:tr>
        <w:trPr>
          <w:trHeight w:val="270"/>
        </w:trPr>
        <w:tc>
          <w:tcPr>
            <w:tcW w:w="296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880" w:type="dxa"/>
            <w:vAlign w:val="bottom"/>
          </w:tcPr>
          <w:p>
            <w:pPr>
              <w:spacing w:after="0"/>
              <w:rPr>
                <w:sz w:val="23"/>
                <w:szCs w:val="23"/>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23"/>
                <w:szCs w:val="23"/>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154</w:t>
            </w:r>
          </w:p>
        </w:tc>
      </w:tr>
      <w:tr>
        <w:trPr>
          <w:trHeight w:val="270"/>
        </w:trPr>
        <w:tc>
          <w:tcPr>
            <w:tcW w:w="2960" w:type="dxa"/>
            <w:vAlign w:val="bottom"/>
          </w:tcPr>
          <w:p>
            <w:pPr>
              <w:ind w:left="40"/>
              <w:spacing w:after="0"/>
              <w:rPr>
                <w:sz w:val="20"/>
                <w:szCs w:val="20"/>
                <w:color w:val="auto"/>
              </w:rPr>
            </w:pPr>
            <w:r>
              <w:rPr>
                <w:rFonts w:ascii="Arial" w:cs="Arial" w:eastAsia="Arial" w:hAnsi="Arial"/>
                <w:sz w:val="18"/>
                <w:szCs w:val="18"/>
                <w:color w:val="auto"/>
              </w:rPr>
              <w:t>Dispositions</w:t>
            </w:r>
          </w:p>
        </w:tc>
        <w:tc>
          <w:tcPr>
            <w:tcW w:w="880" w:type="dxa"/>
            <w:vAlign w:val="bottom"/>
          </w:tcPr>
          <w:p>
            <w:pPr>
              <w:spacing w:after="0"/>
              <w:rPr>
                <w:sz w:val="23"/>
                <w:szCs w:val="23"/>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0"/>
        </w:trPr>
        <w:tc>
          <w:tcPr>
            <w:tcW w:w="2960" w:type="dxa"/>
            <w:vAlign w:val="bottom"/>
          </w:tcPr>
          <w:p>
            <w:pPr>
              <w:ind w:left="40"/>
              <w:spacing w:after="0"/>
              <w:rPr>
                <w:sz w:val="20"/>
                <w:szCs w:val="20"/>
                <w:color w:val="auto"/>
              </w:rPr>
            </w:pPr>
            <w:r>
              <w:rPr>
                <w:rFonts w:ascii="Arial" w:cs="Arial" w:eastAsia="Arial" w:hAnsi="Arial"/>
                <w:sz w:val="18"/>
                <w:szCs w:val="18"/>
                <w:color w:val="auto"/>
              </w:rPr>
              <w:t>Adjustments</w:t>
            </w:r>
            <w:r>
              <w:rPr>
                <w:rFonts w:ascii="Arial" w:cs="Arial" w:eastAsia="Arial" w:hAnsi="Arial"/>
                <w:sz w:val="25"/>
                <w:szCs w:val="25"/>
                <w:color w:val="auto"/>
                <w:vertAlign w:val="superscript"/>
              </w:rPr>
              <w:t>(a)</w:t>
            </w:r>
          </w:p>
        </w:tc>
        <w:tc>
          <w:tcPr>
            <w:tcW w:w="880" w:type="dxa"/>
            <w:vAlign w:val="bottom"/>
          </w:tcPr>
          <w:p>
            <w:pPr>
              <w:spacing w:after="0"/>
              <w:rPr>
                <w:sz w:val="24"/>
                <w:szCs w:val="24"/>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2,166</w:t>
            </w:r>
          </w:p>
        </w:tc>
        <w:tc>
          <w:tcPr>
            <w:tcW w:w="140" w:type="dxa"/>
            <w:vAlign w:val="bottom"/>
          </w:tcPr>
          <w:p>
            <w:pPr>
              <w:spacing w:after="0"/>
              <w:rPr>
                <w:sz w:val="24"/>
                <w:szCs w:val="24"/>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490</w:t>
            </w:r>
          </w:p>
        </w:tc>
        <w:tc>
          <w:tcPr>
            <w:tcW w:w="160" w:type="dxa"/>
            <w:vAlign w:val="bottom"/>
          </w:tcPr>
          <w:p>
            <w:pPr>
              <w:spacing w:after="0"/>
              <w:rPr>
                <w:sz w:val="24"/>
                <w:szCs w:val="24"/>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24"/>
                <w:szCs w:val="24"/>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138</w:t>
            </w:r>
          </w:p>
        </w:tc>
        <w:tc>
          <w:tcPr>
            <w:tcW w:w="180" w:type="dxa"/>
            <w:vAlign w:val="bottom"/>
          </w:tcPr>
          <w:p>
            <w:pPr>
              <w:spacing w:after="0"/>
              <w:rPr>
                <w:sz w:val="24"/>
                <w:szCs w:val="24"/>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(1,555)</w:t>
            </w:r>
          </w:p>
        </w:tc>
        <w:tc>
          <w:tcPr>
            <w:tcW w:w="3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1,440</w:t>
            </w:r>
          </w:p>
        </w:tc>
      </w:tr>
      <w:tr>
        <w:trPr>
          <w:trHeight w:val="230"/>
        </w:trPr>
        <w:tc>
          <w:tcPr>
            <w:tcW w:w="296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8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0"/>
                <w:szCs w:val="20"/>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(757)</w:t>
            </w:r>
          </w:p>
        </w:tc>
        <w:tc>
          <w:tcPr>
            <w:tcW w:w="3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(823)</w:t>
            </w:r>
          </w:p>
        </w:tc>
      </w:tr>
      <w:tr>
        <w:trPr>
          <w:trHeight w:val="27"/>
        </w:trPr>
        <w:tc>
          <w:tcPr>
            <w:tcW w:w="2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2960" w:type="dxa"/>
            <w:vAlign w:val="bottom"/>
          </w:tcPr>
          <w:p>
            <w:pPr>
              <w:ind w:left="40"/>
              <w:spacing w:after="0"/>
              <w:rPr>
                <w:sz w:val="20"/>
                <w:szCs w:val="20"/>
                <w:color w:val="auto"/>
              </w:rPr>
            </w:pPr>
            <w:r>
              <w:rPr>
                <w:rFonts w:ascii="Arial" w:cs="Arial" w:eastAsia="Arial" w:hAnsi="Arial"/>
                <w:sz w:val="18"/>
                <w:szCs w:val="18"/>
                <w:b w:val="1"/>
                <w:bCs w:val="1"/>
                <w:color w:val="auto"/>
              </w:rPr>
              <w:t>Balance, September 30, 2019</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b w:val="1"/>
                <w:bCs w:val="1"/>
                <w:color w:val="auto"/>
              </w:rPr>
              <w:t>14,965</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ind w:right="14"/>
              <w:spacing w:after="0"/>
              <w:rPr>
                <w:sz w:val="20"/>
                <w:szCs w:val="20"/>
                <w:color w:val="auto"/>
              </w:rPr>
            </w:pPr>
            <w:r>
              <w:rPr>
                <w:rFonts w:ascii="Arial" w:cs="Arial" w:eastAsia="Arial" w:hAnsi="Arial"/>
                <w:sz w:val="18"/>
                <w:szCs w:val="18"/>
                <w:b w:val="1"/>
                <w:bCs w:val="1"/>
                <w:color w:val="auto"/>
              </w:rPr>
              <w:t>13,863</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6"/>
              <w:spacing w:after="0"/>
              <w:rPr>
                <w:sz w:val="20"/>
                <w:szCs w:val="20"/>
                <w:color w:val="auto"/>
              </w:rPr>
            </w:pPr>
            <w:r>
              <w:rPr>
                <w:rFonts w:ascii="Arial" w:cs="Arial" w:eastAsia="Arial" w:hAnsi="Arial"/>
                <w:sz w:val="18"/>
                <w:szCs w:val="18"/>
                <w:b w:val="1"/>
                <w:bCs w:val="1"/>
                <w:color w:val="auto"/>
              </w:rPr>
              <w:t>1,044</w:t>
            </w:r>
          </w:p>
        </w:tc>
        <w:tc>
          <w:tcPr>
            <w:tcW w:w="1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b w:val="1"/>
                <w:bCs w:val="1"/>
                <w:color w:val="auto"/>
              </w:rPr>
              <w:t>3,311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34"/>
              <w:spacing w:after="0"/>
              <w:rPr>
                <w:sz w:val="20"/>
                <w:szCs w:val="20"/>
                <w:color w:val="auto"/>
              </w:rPr>
            </w:pPr>
            <w:r>
              <w:rPr>
                <w:rFonts w:ascii="Arial" w:cs="Arial" w:eastAsia="Arial" w:hAnsi="Arial"/>
                <w:sz w:val="18"/>
                <w:szCs w:val="18"/>
                <w:b w:val="1"/>
                <w:bCs w:val="1"/>
                <w:color w:val="auto"/>
              </w:rPr>
              <w:t>6,790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26,936</w:t>
            </w:r>
          </w:p>
        </w:tc>
        <w:tc>
          <w:tcPr>
            <w:tcW w:w="340" w:type="dxa"/>
            <w:vAlign w:val="bottom"/>
          </w:tcPr>
          <w:p>
            <w:pPr>
              <w:jc w:val="right"/>
              <w:ind w:right="119"/>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b w:val="1"/>
                <w:bCs w:val="1"/>
                <w:color w:val="auto"/>
              </w:rPr>
              <w:t>66,913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69" w:lineRule="exact"/>
        <w:rPr>
          <w:sz w:val="20"/>
          <w:szCs w:val="20"/>
          <w:color w:val="auto"/>
        </w:rPr>
      </w:pPr>
    </w:p>
    <w:p>
      <w:pPr>
        <w:ind w:left="340" w:right="20" w:hanging="332"/>
        <w:spacing w:after="0" w:line="273"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Adjustments during the nine months ended September 30, 2019 primarily included 1) measurement period adjustments resulting from finalization of acquisition accounting for Sky and 2) the final assignment of goodwill resulting from the Sky transaction to our reporting units.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performed our annual impairment testing of goodwill and cable franchise rights and other indefinite-lived intangible assets as of July 1, 2019 and no impairment charge was required.</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Supplemental Financial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share-based compensation plans consist primarily of awards of RSUs and stock options to certain employees and directors as part of our approach to long-term incentive compensation. Additionally, through our employee stock purchase plans, employees are able to purchase shares of our common stock at a discount through payroll deductions.</w:t>
      </w:r>
    </w:p>
    <w:p>
      <w:pPr>
        <w:spacing w:after="0" w:line="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March 2019, we granted 12.4 million RSUs and 41.9 million stock options related to our annual management awards. The weighted-average fair values associated with these grants were $39.88 per RSU and $7.91 per stock option.</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40" w:type="dxa"/>
            <w:vAlign w:val="bottom"/>
          </w:tcPr>
          <w:p>
            <w:pPr>
              <w:spacing w:after="0"/>
              <w:rPr>
                <w:sz w:val="14"/>
                <w:szCs w:val="14"/>
                <w:color w:val="auto"/>
              </w:rPr>
            </w:pPr>
          </w:p>
        </w:tc>
      </w:tr>
      <w:tr>
        <w:trPr>
          <w:trHeight w:val="188"/>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color w:val="auto"/>
              </w:rPr>
              <w:t>September 30</w:t>
            </w:r>
          </w:p>
        </w:tc>
        <w:tc>
          <w:tcPr>
            <w:tcW w:w="10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color w:val="auto"/>
              </w:rPr>
              <w:t>2019</w:t>
            </w:r>
          </w:p>
        </w:tc>
        <w:tc>
          <w:tcPr>
            <w:tcW w:w="7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2018</w:t>
            </w:r>
          </w:p>
        </w:tc>
        <w:tc>
          <w:tcPr>
            <w:tcW w:w="5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color w:val="auto"/>
              </w:rPr>
              <w:t>2019</w:t>
            </w:r>
          </w:p>
        </w:tc>
        <w:tc>
          <w:tcPr>
            <w:tcW w:w="6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2018</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Restricted share units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8"/>
              <w:spacing w:after="0"/>
              <w:rPr>
                <w:sz w:val="20"/>
                <w:szCs w:val="20"/>
                <w:color w:val="auto"/>
              </w:rPr>
            </w:pPr>
            <w:r>
              <w:rPr>
                <w:rFonts w:ascii="Arial" w:cs="Arial" w:eastAsia="Arial" w:hAnsi="Arial"/>
                <w:sz w:val="18"/>
                <w:szCs w:val="18"/>
                <w:color w:val="auto"/>
              </w:rPr>
              <w:t>143</w:t>
            </w:r>
          </w:p>
        </w:tc>
        <w:tc>
          <w:tcPr>
            <w:tcW w:w="7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94</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8"/>
              <w:spacing w:after="0"/>
              <w:rPr>
                <w:sz w:val="20"/>
                <w:szCs w:val="20"/>
                <w:color w:val="auto"/>
              </w:rPr>
            </w:pPr>
            <w:r>
              <w:rPr>
                <w:rFonts w:ascii="Arial" w:cs="Arial" w:eastAsia="Arial" w:hAnsi="Arial"/>
                <w:sz w:val="18"/>
                <w:szCs w:val="18"/>
                <w:color w:val="auto"/>
              </w:rPr>
              <w:t>437</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279</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360" w:type="dxa"/>
            <w:vAlign w:val="bottom"/>
          </w:tcPr>
          <w:p>
            <w:pPr>
              <w:spacing w:after="0"/>
              <w:rPr>
                <w:sz w:val="23"/>
                <w:szCs w:val="23"/>
                <w:color w:val="auto"/>
              </w:rPr>
            </w:pPr>
          </w:p>
        </w:tc>
        <w:tc>
          <w:tcPr>
            <w:tcW w:w="1220" w:type="dxa"/>
            <w:vAlign w:val="bottom"/>
          </w:tcPr>
          <w:p>
            <w:pPr>
              <w:jc w:val="right"/>
              <w:ind w:right="98"/>
              <w:spacing w:after="0"/>
              <w:rPr>
                <w:sz w:val="20"/>
                <w:szCs w:val="20"/>
                <w:color w:val="auto"/>
              </w:rPr>
            </w:pPr>
            <w:r>
              <w:rPr>
                <w:rFonts w:ascii="Arial" w:cs="Arial" w:eastAsia="Arial" w:hAnsi="Arial"/>
                <w:sz w:val="18"/>
                <w:szCs w:val="18"/>
                <w:color w:val="auto"/>
              </w:rPr>
              <w:t>57</w:t>
            </w:r>
          </w:p>
        </w:tc>
        <w:tc>
          <w:tcPr>
            <w:tcW w:w="720" w:type="dxa"/>
            <w:vAlign w:val="bottom"/>
          </w:tcPr>
          <w:p>
            <w:pPr>
              <w:spacing w:after="0"/>
              <w:rPr>
                <w:sz w:val="23"/>
                <w:szCs w:val="23"/>
                <w:color w:val="auto"/>
              </w:rPr>
            </w:pP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50</w:t>
            </w:r>
          </w:p>
        </w:tc>
        <w:tc>
          <w:tcPr>
            <w:tcW w:w="500" w:type="dxa"/>
            <w:vAlign w:val="bottom"/>
          </w:tcPr>
          <w:p>
            <w:pPr>
              <w:spacing w:after="0"/>
              <w:rPr>
                <w:sz w:val="23"/>
                <w:szCs w:val="23"/>
                <w:color w:val="auto"/>
              </w:rPr>
            </w:pPr>
          </w:p>
        </w:tc>
        <w:tc>
          <w:tcPr>
            <w:tcW w:w="1180" w:type="dxa"/>
            <w:vAlign w:val="bottom"/>
          </w:tcPr>
          <w:p>
            <w:pPr>
              <w:jc w:val="right"/>
              <w:ind w:right="98"/>
              <w:spacing w:after="0"/>
              <w:rPr>
                <w:sz w:val="20"/>
                <w:szCs w:val="20"/>
                <w:color w:val="auto"/>
              </w:rPr>
            </w:pPr>
            <w:r>
              <w:rPr>
                <w:rFonts w:ascii="Arial" w:cs="Arial" w:eastAsia="Arial" w:hAnsi="Arial"/>
                <w:sz w:val="18"/>
                <w:szCs w:val="18"/>
                <w:color w:val="auto"/>
              </w:rPr>
              <w:t>176</w:t>
            </w:r>
          </w:p>
        </w:tc>
        <w:tc>
          <w:tcPr>
            <w:tcW w:w="68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155</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Employee stock purchase plans</w:t>
            </w:r>
          </w:p>
        </w:tc>
        <w:tc>
          <w:tcPr>
            <w:tcW w:w="360" w:type="dxa"/>
            <w:vAlign w:val="bottom"/>
          </w:tcPr>
          <w:p>
            <w:pPr>
              <w:spacing w:after="0"/>
              <w:rPr>
                <w:sz w:val="23"/>
                <w:szCs w:val="23"/>
                <w:color w:val="auto"/>
              </w:rPr>
            </w:pPr>
          </w:p>
        </w:tc>
        <w:tc>
          <w:tcPr>
            <w:tcW w:w="1220" w:type="dxa"/>
            <w:vAlign w:val="bottom"/>
          </w:tcPr>
          <w:p>
            <w:pPr>
              <w:jc w:val="right"/>
              <w:ind w:right="98"/>
              <w:spacing w:after="0"/>
              <w:rPr>
                <w:sz w:val="20"/>
                <w:szCs w:val="20"/>
                <w:color w:val="auto"/>
              </w:rPr>
            </w:pPr>
            <w:r>
              <w:rPr>
                <w:rFonts w:ascii="Arial" w:cs="Arial" w:eastAsia="Arial" w:hAnsi="Arial"/>
                <w:sz w:val="18"/>
                <w:szCs w:val="18"/>
                <w:color w:val="auto"/>
              </w:rPr>
              <w:t>8</w:t>
            </w:r>
          </w:p>
        </w:tc>
        <w:tc>
          <w:tcPr>
            <w:tcW w:w="720" w:type="dxa"/>
            <w:vAlign w:val="bottom"/>
          </w:tcPr>
          <w:p>
            <w:pPr>
              <w:spacing w:after="0"/>
              <w:rPr>
                <w:sz w:val="23"/>
                <w:szCs w:val="23"/>
                <w:color w:val="auto"/>
              </w:rPr>
            </w:pP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23"/>
                <w:szCs w:val="23"/>
                <w:color w:val="auto"/>
              </w:rPr>
            </w:pPr>
          </w:p>
        </w:tc>
        <w:tc>
          <w:tcPr>
            <w:tcW w:w="1180" w:type="dxa"/>
            <w:vAlign w:val="bottom"/>
          </w:tcPr>
          <w:p>
            <w:pPr>
              <w:jc w:val="right"/>
              <w:ind w:right="98"/>
              <w:spacing w:after="0"/>
              <w:rPr>
                <w:sz w:val="20"/>
                <w:szCs w:val="20"/>
                <w:color w:val="auto"/>
              </w:rPr>
            </w:pPr>
            <w:r>
              <w:rPr>
                <w:rFonts w:ascii="Arial" w:cs="Arial" w:eastAsia="Arial" w:hAnsi="Arial"/>
                <w:sz w:val="18"/>
                <w:szCs w:val="18"/>
                <w:color w:val="auto"/>
              </w:rPr>
              <w:t>23</w:t>
            </w:r>
          </w:p>
        </w:tc>
        <w:tc>
          <w:tcPr>
            <w:tcW w:w="68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24</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98"/>
              <w:spacing w:after="0"/>
              <w:rPr>
                <w:sz w:val="20"/>
                <w:szCs w:val="20"/>
                <w:color w:val="auto"/>
              </w:rPr>
            </w:pPr>
            <w:r>
              <w:rPr>
                <w:rFonts w:ascii="Arial" w:cs="Arial" w:eastAsia="Arial" w:hAnsi="Arial"/>
                <w:sz w:val="18"/>
                <w:szCs w:val="18"/>
                <w:b w:val="1"/>
                <w:bCs w:val="1"/>
                <w:color w:val="auto"/>
              </w:rPr>
              <w:t>208</w:t>
            </w:r>
          </w:p>
        </w:tc>
        <w:tc>
          <w:tcPr>
            <w:tcW w:w="72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94"/>
              <w:spacing w:after="0"/>
              <w:rPr>
                <w:sz w:val="20"/>
                <w:szCs w:val="20"/>
                <w:color w:val="auto"/>
              </w:rPr>
            </w:pPr>
            <w:r>
              <w:rPr>
                <w:rFonts w:ascii="Arial" w:cs="Arial" w:eastAsia="Arial" w:hAnsi="Arial"/>
                <w:sz w:val="18"/>
                <w:szCs w:val="18"/>
                <w:b w:val="1"/>
                <w:bCs w:val="1"/>
                <w:color w:val="auto"/>
              </w:rPr>
              <w:t>151</w:t>
            </w:r>
          </w:p>
        </w:tc>
        <w:tc>
          <w:tcPr>
            <w:tcW w:w="5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98"/>
              <w:spacing w:after="0"/>
              <w:rPr>
                <w:sz w:val="20"/>
                <w:szCs w:val="20"/>
                <w:color w:val="auto"/>
              </w:rPr>
            </w:pPr>
            <w:r>
              <w:rPr>
                <w:rFonts w:ascii="Arial" w:cs="Arial" w:eastAsia="Arial" w:hAnsi="Arial"/>
                <w:sz w:val="18"/>
                <w:szCs w:val="18"/>
                <w:b w:val="1"/>
                <w:bCs w:val="1"/>
                <w:color w:val="auto"/>
              </w:rPr>
              <w:t>636</w:t>
            </w:r>
          </w:p>
        </w:tc>
        <w:tc>
          <w:tcPr>
            <w:tcW w:w="6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b w:val="1"/>
                <w:bCs w:val="1"/>
                <w:color w:val="auto"/>
              </w:rPr>
              <w:t>458</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2019, we had unrecognized pretax compensation expense of $1.2 billion and $529 million related to nonvested RSUs and nonvested stock options, respectively.</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Cash Payments for Interest and Income Taxes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w w:val="99"/>
              </w:rPr>
              <w:t>Nine Months Ended</w:t>
            </w:r>
          </w:p>
        </w:tc>
        <w:tc>
          <w:tcPr>
            <w:tcW w:w="940" w:type="dxa"/>
            <w:vAlign w:val="bottom"/>
          </w:tcPr>
          <w:p>
            <w:pPr>
              <w:spacing w:after="0"/>
              <w:rPr>
                <w:sz w:val="14"/>
                <w:szCs w:val="14"/>
                <w:color w:val="auto"/>
              </w:rPr>
            </w:pPr>
          </w:p>
        </w:tc>
      </w:tr>
      <w:tr>
        <w:trPr>
          <w:trHeight w:val="188"/>
        </w:trPr>
        <w:tc>
          <w:tcPr>
            <w:tcW w:w="82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6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rPr>
              <w:t>2018</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Interest</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99"/>
              <w:spacing w:after="0"/>
              <w:rPr>
                <w:sz w:val="20"/>
                <w:szCs w:val="20"/>
                <w:color w:val="auto"/>
              </w:rPr>
            </w:pPr>
            <w:r>
              <w:rPr>
                <w:rFonts w:ascii="Arial" w:cs="Arial" w:eastAsia="Arial" w:hAnsi="Arial"/>
                <w:sz w:val="18"/>
                <w:szCs w:val="18"/>
                <w:color w:val="auto"/>
                <w:w w:val="93"/>
              </w:rPr>
              <w:t>3,167</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2,240</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99"/>
              <w:spacing w:after="0"/>
              <w:rPr>
                <w:sz w:val="20"/>
                <w:szCs w:val="20"/>
                <w:color w:val="auto"/>
              </w:rPr>
            </w:pPr>
            <w:r>
              <w:rPr>
                <w:rFonts w:ascii="Arial" w:cs="Arial" w:eastAsia="Arial" w:hAnsi="Arial"/>
                <w:sz w:val="18"/>
                <w:szCs w:val="18"/>
                <w:color w:val="auto"/>
                <w:w w:val="93"/>
              </w:rPr>
              <w:t>2,490</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1,533</w:t>
            </w:r>
          </w:p>
        </w:tc>
      </w:tr>
      <w:tr>
        <w:trPr>
          <w:trHeight w:val="27"/>
        </w:trPr>
        <w:tc>
          <w:tcPr>
            <w:tcW w:w="8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Activities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2019:</w:t>
      </w:r>
    </w:p>
    <w:p>
      <w:pPr>
        <w:spacing w:after="0" w:line="7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acquired $2.0 billion of property and equipment and intangible assets that were accrued but unpaid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recorded a liability of $955 million for a quarterly cash dividend of $0.21 per common share to be paid in October 2019</w:t>
      </w:r>
    </w:p>
    <w:p>
      <w:pPr>
        <w:sectPr>
          <w:pgSz w:w="11900" w:h="16838" w:orient="portrait"/>
          <w:cols w:equalWidth="0" w:num="1">
            <w:col w:w="11420"/>
          </w:cols>
          <w:pgMar w:left="240" w:top="121"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in the condensed consolidated balance sheet to the total of the amounts reported in our condensed consolidated statement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center"/>
              <w:ind w:right="256"/>
              <w:spacing w:after="0"/>
              <w:rPr>
                <w:sz w:val="20"/>
                <w:szCs w:val="20"/>
                <w:color w:val="auto"/>
              </w:rPr>
            </w:pPr>
            <w:r>
              <w:rPr>
                <w:rFonts w:ascii="Arial" w:cs="Arial" w:eastAsia="Arial" w:hAnsi="Arial"/>
                <w:sz w:val="14"/>
                <w:szCs w:val="14"/>
                <w:color w:val="auto"/>
                <w:w w:val="91"/>
              </w:rPr>
              <w:t>September 30,</w:t>
            </w:r>
          </w:p>
        </w:tc>
        <w:tc>
          <w:tcPr>
            <w:tcW w:w="340" w:type="dxa"/>
            <w:vAlign w:val="bottom"/>
          </w:tcPr>
          <w:p>
            <w:pPr>
              <w:spacing w:after="0"/>
              <w:rPr>
                <w:sz w:val="14"/>
                <w:szCs w:val="14"/>
                <w:color w:val="auto"/>
              </w:rPr>
            </w:pPr>
          </w:p>
        </w:tc>
        <w:tc>
          <w:tcPr>
            <w:tcW w:w="1260" w:type="dxa"/>
            <w:vAlign w:val="bottom"/>
          </w:tcPr>
          <w:p>
            <w:pPr>
              <w:jc w:val="center"/>
              <w:ind w:right="176"/>
              <w:spacing w:after="0"/>
              <w:rPr>
                <w:sz w:val="20"/>
                <w:szCs w:val="20"/>
                <w:color w:val="auto"/>
              </w:rPr>
            </w:pPr>
            <w:r>
              <w:rPr>
                <w:rFonts w:ascii="Arial" w:cs="Arial" w:eastAsia="Arial" w:hAnsi="Arial"/>
                <w:sz w:val="14"/>
                <w:szCs w:val="14"/>
                <w:color w:val="auto"/>
                <w:w w:val="90"/>
              </w:rPr>
              <w:t>December 31,</w:t>
            </w:r>
          </w:p>
        </w:tc>
      </w:tr>
      <w:tr>
        <w:trPr>
          <w:trHeight w:val="188"/>
        </w:trPr>
        <w:tc>
          <w:tcPr>
            <w:tcW w:w="8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color w:val="auto"/>
                <w:w w:val="89"/>
              </w:rPr>
              <w:t>2019</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color w:val="auto"/>
                <w:w w:val="89"/>
              </w:rPr>
              <w:t>2018</w:t>
            </w: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6"/>
              <w:spacing w:after="0"/>
              <w:rPr>
                <w:sz w:val="20"/>
                <w:szCs w:val="20"/>
                <w:color w:val="auto"/>
              </w:rPr>
            </w:pPr>
            <w:r>
              <w:rPr>
                <w:rFonts w:ascii="Arial" w:cs="Arial" w:eastAsia="Arial" w:hAnsi="Arial"/>
                <w:sz w:val="18"/>
                <w:szCs w:val="18"/>
                <w:color w:val="auto"/>
              </w:rPr>
              <w:t>3,507</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3,814</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Restricted cash included in other current assets</w:t>
            </w:r>
          </w:p>
        </w:tc>
        <w:tc>
          <w:tcPr>
            <w:tcW w:w="380" w:type="dxa"/>
            <w:vAlign w:val="bottom"/>
          </w:tcPr>
          <w:p>
            <w:pPr>
              <w:spacing w:after="0"/>
              <w:rPr>
                <w:sz w:val="23"/>
                <w:szCs w:val="23"/>
                <w:color w:val="auto"/>
              </w:rPr>
            </w:pPr>
          </w:p>
        </w:tc>
        <w:tc>
          <w:tcPr>
            <w:tcW w:w="1380" w:type="dxa"/>
            <w:vAlign w:val="bottom"/>
          </w:tcPr>
          <w:p>
            <w:pPr>
              <w:jc w:val="right"/>
              <w:ind w:right="116"/>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46</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Restricted cash included in other noncurrent assets, net</w:t>
            </w:r>
          </w:p>
        </w:tc>
        <w:tc>
          <w:tcPr>
            <w:tcW w:w="380" w:type="dxa"/>
            <w:vAlign w:val="bottom"/>
          </w:tcPr>
          <w:p>
            <w:pPr>
              <w:spacing w:after="0"/>
              <w:rPr>
                <w:sz w:val="23"/>
                <w:szCs w:val="23"/>
                <w:color w:val="auto"/>
              </w:rPr>
            </w:pPr>
          </w:p>
        </w:tc>
        <w:tc>
          <w:tcPr>
            <w:tcW w:w="1380" w:type="dxa"/>
            <w:vAlign w:val="bottom"/>
          </w:tcPr>
          <w:p>
            <w:pPr>
              <w:jc w:val="right"/>
              <w:ind w:right="116"/>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49</w:t>
            </w:r>
          </w:p>
        </w:tc>
      </w:tr>
      <w:tr>
        <w:trPr>
          <w:trHeight w:val="27"/>
        </w:trPr>
        <w:tc>
          <w:tcPr>
            <w:tcW w:w="8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116"/>
              <w:spacing w:after="0"/>
              <w:rPr>
                <w:sz w:val="20"/>
                <w:szCs w:val="20"/>
                <w:color w:val="auto"/>
              </w:rPr>
            </w:pPr>
            <w:r>
              <w:rPr>
                <w:rFonts w:ascii="Arial" w:cs="Arial" w:eastAsia="Arial" w:hAnsi="Arial"/>
                <w:sz w:val="18"/>
                <w:szCs w:val="18"/>
                <w:b w:val="1"/>
                <w:bCs w:val="1"/>
                <w:color w:val="auto"/>
              </w:rPr>
              <w:t>3,602</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6"/>
              <w:spacing w:after="0"/>
              <w:rPr>
                <w:sz w:val="20"/>
                <w:szCs w:val="20"/>
                <w:color w:val="auto"/>
              </w:rPr>
            </w:pPr>
            <w:r>
              <w:rPr>
                <w:rFonts w:ascii="Arial" w:cs="Arial" w:eastAsia="Arial" w:hAnsi="Arial"/>
                <w:sz w:val="18"/>
                <w:szCs w:val="18"/>
                <w:b w:val="1"/>
                <w:bCs w:val="1"/>
                <w:color w:val="auto"/>
              </w:rPr>
              <w:t>3,909</w:t>
            </w:r>
          </w:p>
        </w:tc>
      </w:tr>
      <w:tr>
        <w:trPr>
          <w:trHeight w:val="34"/>
        </w:trPr>
        <w:tc>
          <w:tcPr>
            <w:tcW w:w="8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621"/>
        </w:trPr>
        <w:tc>
          <w:tcPr>
            <w:tcW w:w="8060" w:type="dxa"/>
            <w:vAlign w:val="bottom"/>
          </w:tcPr>
          <w:p>
            <w:pPr>
              <w:ind w:left="3540"/>
              <w:spacing w:after="0"/>
              <w:rPr>
                <w:sz w:val="20"/>
                <w:szCs w:val="20"/>
                <w:color w:val="auto"/>
              </w:rPr>
            </w:pPr>
            <w:r>
              <w:rPr>
                <w:rFonts w:ascii="Arial" w:cs="Arial" w:eastAsia="Arial" w:hAnsi="Arial"/>
                <w:sz w:val="18"/>
                <w:szCs w:val="18"/>
                <w:b w:val="1"/>
                <w:bCs w:val="1"/>
                <w:color w:val="auto"/>
              </w:rPr>
              <w:t>Accumulated Other Comprehensive Income (Loss)</w:t>
            </w: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46"/>
        </w:trPr>
        <w:tc>
          <w:tcPr>
            <w:tcW w:w="8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jc w:val="center"/>
              <w:ind w:right="256"/>
              <w:spacing w:after="0"/>
              <w:rPr>
                <w:sz w:val="20"/>
                <w:szCs w:val="20"/>
                <w:color w:val="auto"/>
              </w:rPr>
            </w:pPr>
            <w:r>
              <w:rPr>
                <w:rFonts w:ascii="Arial" w:cs="Arial" w:eastAsia="Arial" w:hAnsi="Arial"/>
                <w:sz w:val="14"/>
                <w:szCs w:val="14"/>
                <w:color w:val="auto"/>
                <w:w w:val="91"/>
              </w:rPr>
              <w:t>September 30,</w:t>
            </w:r>
          </w:p>
        </w:tc>
        <w:tc>
          <w:tcPr>
            <w:tcW w:w="340" w:type="dxa"/>
            <w:vAlign w:val="bottom"/>
          </w:tcPr>
          <w:p>
            <w:pPr>
              <w:spacing w:after="0"/>
              <w:rPr>
                <w:sz w:val="24"/>
                <w:szCs w:val="24"/>
                <w:color w:val="auto"/>
              </w:rPr>
            </w:pPr>
          </w:p>
        </w:tc>
        <w:tc>
          <w:tcPr>
            <w:tcW w:w="1260" w:type="dxa"/>
            <w:vAlign w:val="bottom"/>
          </w:tcPr>
          <w:p>
            <w:pPr>
              <w:jc w:val="center"/>
              <w:ind w:right="156"/>
              <w:spacing w:after="0"/>
              <w:rPr>
                <w:sz w:val="20"/>
                <w:szCs w:val="20"/>
                <w:color w:val="auto"/>
              </w:rPr>
            </w:pPr>
            <w:r>
              <w:rPr>
                <w:rFonts w:ascii="Arial" w:cs="Arial" w:eastAsia="Arial" w:hAnsi="Arial"/>
                <w:sz w:val="14"/>
                <w:szCs w:val="14"/>
                <w:color w:val="auto"/>
                <w:w w:val="89"/>
              </w:rPr>
              <w:t>September 30,</w:t>
            </w:r>
          </w:p>
        </w:tc>
      </w:tr>
      <w:tr>
        <w:trPr>
          <w:trHeight w:val="188"/>
        </w:trPr>
        <w:tc>
          <w:tcPr>
            <w:tcW w:w="8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color w:val="auto"/>
                <w:w w:val="89"/>
              </w:rPr>
              <w:t>2019</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color w:val="auto"/>
                <w:w w:val="89"/>
              </w:rPr>
              <w:t>2018</w:t>
            </w: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Unrealized gains (losses) on marketable securities</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6"/>
              <w:spacing w:after="0"/>
              <w:rPr>
                <w:sz w:val="20"/>
                <w:szCs w:val="20"/>
                <w:color w:val="auto"/>
              </w:rPr>
            </w:pPr>
            <w:r>
              <w:rPr>
                <w:rFonts w:ascii="Arial" w:cs="Arial" w:eastAsia="Arial" w:hAnsi="Arial"/>
                <w:sz w:val="18"/>
                <w:szCs w:val="18"/>
                <w:color w:val="auto"/>
              </w:rPr>
              <w:t>7</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w:t>
            </w:r>
          </w:p>
        </w:tc>
        <w:tc>
          <w:tcPr>
            <w:tcW w:w="380" w:type="dxa"/>
            <w:vAlign w:val="bottom"/>
          </w:tcPr>
          <w:p>
            <w:pPr>
              <w:spacing w:after="0"/>
              <w:rPr>
                <w:sz w:val="23"/>
                <w:szCs w:val="23"/>
                <w:color w:val="auto"/>
              </w:rPr>
            </w:pPr>
          </w:p>
        </w:tc>
        <w:tc>
          <w:tcPr>
            <w:tcW w:w="1380" w:type="dxa"/>
            <w:vAlign w:val="bottom"/>
          </w:tcPr>
          <w:p>
            <w:pPr>
              <w:jc w:val="right"/>
              <w:ind w:right="116"/>
              <w:spacing w:after="0"/>
              <w:rPr>
                <w:sz w:val="20"/>
                <w:szCs w:val="20"/>
                <w:color w:val="auto"/>
              </w:rPr>
            </w:pPr>
            <w:r>
              <w:rPr>
                <w:rFonts w:ascii="Arial" w:cs="Arial" w:eastAsia="Arial" w:hAnsi="Arial"/>
                <w:sz w:val="18"/>
                <w:szCs w:val="18"/>
                <w:color w:val="auto"/>
              </w:rPr>
              <w:t>162</w:t>
            </w:r>
          </w:p>
        </w:tc>
        <w:tc>
          <w:tcPr>
            <w:tcW w:w="34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28</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Unrecognized gains (losses) on employee benefit obligations</w:t>
            </w:r>
          </w:p>
        </w:tc>
        <w:tc>
          <w:tcPr>
            <w:tcW w:w="380" w:type="dxa"/>
            <w:vAlign w:val="bottom"/>
          </w:tcPr>
          <w:p>
            <w:pPr>
              <w:spacing w:after="0"/>
              <w:rPr>
                <w:sz w:val="23"/>
                <w:szCs w:val="23"/>
                <w:color w:val="auto"/>
              </w:rPr>
            </w:pPr>
          </w:p>
        </w:tc>
        <w:tc>
          <w:tcPr>
            <w:tcW w:w="1380" w:type="dxa"/>
            <w:vAlign w:val="bottom"/>
          </w:tcPr>
          <w:p>
            <w:pPr>
              <w:jc w:val="right"/>
              <w:ind w:right="116"/>
              <w:spacing w:after="0"/>
              <w:rPr>
                <w:sz w:val="20"/>
                <w:szCs w:val="20"/>
                <w:color w:val="auto"/>
              </w:rPr>
            </w:pPr>
            <w:r>
              <w:rPr>
                <w:rFonts w:ascii="Arial" w:cs="Arial" w:eastAsia="Arial" w:hAnsi="Arial"/>
                <w:sz w:val="18"/>
                <w:szCs w:val="18"/>
                <w:color w:val="auto"/>
              </w:rPr>
              <w:t>301</w:t>
            </w:r>
          </w:p>
        </w:tc>
        <w:tc>
          <w:tcPr>
            <w:tcW w:w="34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294</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Cumulative translation adjustments</w:t>
            </w:r>
          </w:p>
        </w:tc>
        <w:tc>
          <w:tcPr>
            <w:tcW w:w="380" w:type="dxa"/>
            <w:vAlign w:val="bottom"/>
          </w:tcPr>
          <w:p>
            <w:pPr>
              <w:spacing w:after="0"/>
              <w:rPr>
                <w:sz w:val="23"/>
                <w:szCs w:val="23"/>
                <w:color w:val="auto"/>
              </w:rPr>
            </w:pPr>
          </w:p>
        </w:tc>
        <w:tc>
          <w:tcPr>
            <w:tcW w:w="1380" w:type="dxa"/>
            <w:vAlign w:val="bottom"/>
          </w:tcPr>
          <w:p>
            <w:pPr>
              <w:jc w:val="right"/>
              <w:ind w:right="56"/>
              <w:spacing w:after="0"/>
              <w:rPr>
                <w:sz w:val="20"/>
                <w:szCs w:val="20"/>
                <w:color w:val="auto"/>
              </w:rPr>
            </w:pPr>
            <w:r>
              <w:rPr>
                <w:rFonts w:ascii="Arial" w:cs="Arial" w:eastAsia="Arial" w:hAnsi="Arial"/>
                <w:sz w:val="18"/>
                <w:szCs w:val="18"/>
                <w:color w:val="auto"/>
              </w:rPr>
              <w:t>(1,629)</w:t>
            </w:r>
          </w:p>
        </w:tc>
        <w:tc>
          <w:tcPr>
            <w:tcW w:w="34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50</w:t>
            </w:r>
          </w:p>
        </w:tc>
      </w:tr>
      <w:tr>
        <w:trPr>
          <w:trHeight w:val="27"/>
        </w:trPr>
        <w:tc>
          <w:tcPr>
            <w:tcW w:w="8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income (loss), net of deferred taxes</w:t>
            </w: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56"/>
              <w:spacing w:after="0"/>
              <w:rPr>
                <w:sz w:val="20"/>
                <w:szCs w:val="20"/>
                <w:color w:val="auto"/>
              </w:rPr>
            </w:pPr>
            <w:r>
              <w:rPr>
                <w:rFonts w:ascii="Arial" w:cs="Arial" w:eastAsia="Arial" w:hAnsi="Arial"/>
                <w:sz w:val="18"/>
                <w:szCs w:val="18"/>
                <w:b w:val="1"/>
                <w:bCs w:val="1"/>
                <w:color w:val="auto"/>
              </w:rPr>
              <w:t>(1,159)</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6"/>
              <w:spacing w:after="0"/>
              <w:rPr>
                <w:sz w:val="20"/>
                <w:szCs w:val="20"/>
                <w:color w:val="auto"/>
              </w:rPr>
            </w:pPr>
            <w:r>
              <w:rPr>
                <w:rFonts w:ascii="Arial" w:cs="Arial" w:eastAsia="Arial" w:hAnsi="Arial"/>
                <w:sz w:val="18"/>
                <w:szCs w:val="18"/>
                <w:b w:val="1"/>
                <w:bCs w:val="1"/>
                <w:color w:val="auto"/>
              </w:rPr>
              <w:t>374</w:t>
            </w:r>
          </w:p>
        </w:tc>
      </w:tr>
      <w:tr>
        <w:trPr>
          <w:trHeight w:val="34"/>
        </w:trPr>
        <w:tc>
          <w:tcPr>
            <w:tcW w:w="8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7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leases consist primarily of real estate, vehicles and other equipment. We determine if an arrangement is a lease at inception. Lease assets and liabilities are recognized upon commencement of the lease based on the present value of the future minimum lease payments over the lease term. The lease term includes options to extend the lease when it is reasonably certain that we will exercise that option. We generally utilize our incremental borrowing rate based on information available at the commencement of the lease in determining the present value of future payments. The lease asset also includes any lease payments made and initial direct costs incurred and excludes lease incentives. Lease assets and liabilities are not recorded for leases with an initial term of one year or less. Lease expense for operating leases recorded in the balance sheet is included in operating costs and expenses and is based on the future minimum lease payments recognized on a straight-line basis over the term of the lease plus any variable lease costs. Operating lease expenses, inclusive of short-term and variable lease expenses, recognized in our condensed consolidated statement of income for the three and nine months ended September 30, 2019 were $268 million and $806 million, respectively. These amounts do not include lease costs associated with production activities or other amounts capitalized in our condensed consolidated balance sheet, which are not material.</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operating lease assets and liabilities recorded in our condensed consolidated balance sheet.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60" w:type="dxa"/>
            <w:vAlign w:val="bottom"/>
          </w:tcPr>
          <w:p>
            <w:pPr>
              <w:spacing w:after="0"/>
              <w:rPr>
                <w:sz w:val="20"/>
                <w:szCs w:val="20"/>
                <w:color w:val="auto"/>
              </w:rPr>
            </w:pPr>
          </w:p>
        </w:tc>
        <w:tc>
          <w:tcPr>
            <w:tcW w:w="6240" w:type="dxa"/>
            <w:vAlign w:val="bottom"/>
          </w:tcPr>
          <w:p>
            <w:pPr>
              <w:jc w:val="right"/>
              <w:ind w:right="2370"/>
              <w:spacing w:after="0"/>
              <w:rPr>
                <w:sz w:val="20"/>
                <w:szCs w:val="20"/>
                <w:color w:val="auto"/>
              </w:rPr>
            </w:pPr>
            <w:r>
              <w:rPr>
                <w:rFonts w:ascii="Arial" w:cs="Arial" w:eastAsia="Arial" w:hAnsi="Arial"/>
                <w:sz w:val="18"/>
                <w:szCs w:val="18"/>
                <w:b w:val="1"/>
                <w:bCs w:val="1"/>
                <w:color w:val="auto"/>
              </w:rPr>
              <w:t>Condensed Consolidated Balance Sheet</w:t>
            </w:r>
          </w:p>
        </w:tc>
        <w:tc>
          <w:tcPr>
            <w:tcW w:w="1520" w:type="dxa"/>
            <w:vAlign w:val="bottom"/>
          </w:tcPr>
          <w:p>
            <w:pPr>
              <w:spacing w:after="0"/>
              <w:rPr>
                <w:sz w:val="20"/>
                <w:szCs w:val="20"/>
                <w:color w:val="auto"/>
              </w:rPr>
            </w:pPr>
          </w:p>
        </w:tc>
      </w:tr>
      <w:tr>
        <w:trPr>
          <w:trHeight w:val="265"/>
        </w:trPr>
        <w:tc>
          <w:tcPr>
            <w:tcW w:w="3660" w:type="dxa"/>
            <w:vAlign w:val="bottom"/>
          </w:tcPr>
          <w:p>
            <w:pPr>
              <w:spacing w:after="0"/>
              <w:rPr>
                <w:sz w:val="23"/>
                <w:szCs w:val="23"/>
                <w:color w:val="auto"/>
              </w:rPr>
            </w:pPr>
          </w:p>
        </w:tc>
        <w:tc>
          <w:tcPr>
            <w:tcW w:w="6240" w:type="dxa"/>
            <w:vAlign w:val="bottom"/>
          </w:tcPr>
          <w:p>
            <w:pPr>
              <w:spacing w:after="0"/>
              <w:rPr>
                <w:sz w:val="23"/>
                <w:szCs w:val="23"/>
                <w:color w:val="auto"/>
              </w:rPr>
            </w:pPr>
          </w:p>
        </w:tc>
        <w:tc>
          <w:tcPr>
            <w:tcW w:w="1520" w:type="dxa"/>
            <w:vAlign w:val="bottom"/>
          </w:tcPr>
          <w:p>
            <w:pPr>
              <w:jc w:val="right"/>
              <w:ind w:right="437"/>
              <w:spacing w:after="0"/>
              <w:rPr>
                <w:sz w:val="20"/>
                <w:szCs w:val="20"/>
                <w:color w:val="auto"/>
              </w:rPr>
            </w:pPr>
            <w:r>
              <w:rPr>
                <w:rFonts w:ascii="Arial" w:cs="Arial" w:eastAsia="Arial" w:hAnsi="Arial"/>
                <w:sz w:val="14"/>
                <w:szCs w:val="14"/>
                <w:color w:val="auto"/>
              </w:rPr>
              <w:t>September 30,</w:t>
            </w:r>
          </w:p>
        </w:tc>
      </w:tr>
      <w:tr>
        <w:trPr>
          <w:trHeight w:val="188"/>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6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color w:val="auto"/>
              </w:rPr>
              <w:t>2019</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62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7"/>
              <w:spacing w:after="0"/>
              <w:rPr>
                <w:sz w:val="20"/>
                <w:szCs w:val="20"/>
                <w:color w:val="auto"/>
              </w:rPr>
            </w:pPr>
            <w:r>
              <w:rPr>
                <w:rFonts w:ascii="Arial" w:cs="Arial" w:eastAsia="Arial" w:hAnsi="Arial"/>
                <w:sz w:val="18"/>
                <w:szCs w:val="18"/>
                <w:color w:val="auto"/>
              </w:rPr>
              <w:t>4,011</w:t>
            </w:r>
          </w:p>
        </w:tc>
      </w:tr>
      <w:tr>
        <w:trPr>
          <w:trHeight w:val="270"/>
        </w:trPr>
        <w:tc>
          <w:tcPr>
            <w:tcW w:w="3660" w:type="dxa"/>
            <w:vAlign w:val="bottom"/>
          </w:tcPr>
          <w:p>
            <w:pPr>
              <w:ind w:left="40"/>
              <w:spacing w:after="0"/>
              <w:rPr>
                <w:sz w:val="20"/>
                <w:szCs w:val="20"/>
                <w:color w:val="auto"/>
              </w:rPr>
            </w:pPr>
            <w:r>
              <w:rPr>
                <w:rFonts w:ascii="Arial" w:cs="Arial" w:eastAsia="Arial" w:hAnsi="Arial"/>
                <w:sz w:val="18"/>
                <w:szCs w:val="18"/>
                <w:color w:val="auto"/>
                <w:w w:val="99"/>
              </w:rPr>
              <w:t>Accrued expenses and other current liabilities</w:t>
            </w:r>
          </w:p>
        </w:tc>
        <w:tc>
          <w:tcPr>
            <w:tcW w:w="62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7"/>
              <w:spacing w:after="0"/>
              <w:rPr>
                <w:sz w:val="20"/>
                <w:szCs w:val="20"/>
                <w:color w:val="auto"/>
              </w:rPr>
            </w:pPr>
            <w:r>
              <w:rPr>
                <w:rFonts w:ascii="Arial" w:cs="Arial" w:eastAsia="Arial" w:hAnsi="Arial"/>
                <w:sz w:val="18"/>
                <w:szCs w:val="18"/>
                <w:color w:val="auto"/>
              </w:rPr>
              <w:t>696</w:t>
            </w:r>
          </w:p>
        </w:tc>
      </w:tr>
      <w:tr>
        <w:trPr>
          <w:trHeight w:val="270"/>
        </w:trPr>
        <w:tc>
          <w:tcPr>
            <w:tcW w:w="36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62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7"/>
              <w:spacing w:after="0"/>
              <w:rPr>
                <w:sz w:val="20"/>
                <w:szCs w:val="20"/>
                <w:color w:val="auto"/>
              </w:rPr>
            </w:pPr>
            <w:r>
              <w:rPr>
                <w:rFonts w:ascii="Arial" w:cs="Arial" w:eastAsia="Arial" w:hAnsi="Arial"/>
                <w:sz w:val="18"/>
                <w:szCs w:val="18"/>
                <w:color w:val="auto"/>
              </w:rPr>
              <w:t>3,863</w:t>
            </w:r>
          </w:p>
        </w:tc>
      </w:tr>
      <w:tr>
        <w:trPr>
          <w:trHeight w:val="27"/>
        </w:trPr>
        <w:tc>
          <w:tcPr>
            <w:tcW w:w="3660" w:type="dxa"/>
            <w:vAlign w:val="bottom"/>
            <w:tcBorders>
              <w:bottom w:val="single" w:sz="8" w:color="auto"/>
            </w:tcBorders>
          </w:tcPr>
          <w:p>
            <w:pPr>
              <w:spacing w:after="0"/>
              <w:rPr>
                <w:sz w:val="2"/>
                <w:szCs w:val="2"/>
                <w:color w:val="auto"/>
              </w:rPr>
            </w:pPr>
          </w:p>
        </w:tc>
        <w:tc>
          <w:tcPr>
            <w:tcW w:w="6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682"/>
        </w:trPr>
        <w:tc>
          <w:tcPr>
            <w:tcW w:w="3660" w:type="dxa"/>
            <w:vAlign w:val="bottom"/>
          </w:tcPr>
          <w:p>
            <w:pPr>
              <w:spacing w:after="0"/>
              <w:rPr>
                <w:sz w:val="24"/>
                <w:szCs w:val="24"/>
                <w:color w:val="auto"/>
              </w:rPr>
            </w:pPr>
          </w:p>
        </w:tc>
        <w:tc>
          <w:tcPr>
            <w:tcW w:w="6240" w:type="dxa"/>
            <w:vAlign w:val="bottom"/>
          </w:tcPr>
          <w:p>
            <w:pPr>
              <w:jc w:val="right"/>
              <w:ind w:right="4010"/>
              <w:spacing w:after="0"/>
              <w:rPr>
                <w:sz w:val="20"/>
                <w:szCs w:val="20"/>
                <w:color w:val="auto"/>
              </w:rPr>
            </w:pPr>
            <w:r>
              <w:rPr>
                <w:rFonts w:ascii="Arial" w:cs="Arial" w:eastAsia="Arial" w:hAnsi="Arial"/>
                <w:sz w:val="18"/>
                <w:szCs w:val="18"/>
                <w:color w:val="auto"/>
              </w:rPr>
              <w:t>18</w:t>
            </w:r>
          </w:p>
        </w:tc>
        <w:tc>
          <w:tcPr>
            <w:tcW w:w="15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our future minimum rental commitments for operating leases as of September 30, 2019 applying the new accounting guidance.</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520" w:type="dxa"/>
            <w:vAlign w:val="bottom"/>
          </w:tcPr>
          <w:p>
            <w:pPr>
              <w:jc w:val="right"/>
              <w:ind w:right="433"/>
              <w:spacing w:after="0"/>
              <w:rPr>
                <w:sz w:val="20"/>
                <w:szCs w:val="20"/>
                <w:color w:val="auto"/>
              </w:rPr>
            </w:pPr>
            <w:r>
              <w:rPr>
                <w:rFonts w:ascii="Arial" w:cs="Arial" w:eastAsia="Arial" w:hAnsi="Arial"/>
                <w:sz w:val="14"/>
                <w:szCs w:val="14"/>
                <w:color w:val="auto"/>
              </w:rPr>
              <w:t>September 30,</w:t>
            </w:r>
          </w:p>
        </w:tc>
      </w:tr>
      <w:tr>
        <w:trPr>
          <w:trHeight w:val="188"/>
        </w:trPr>
        <w:tc>
          <w:tcPr>
            <w:tcW w:w="6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7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color w:val="auto"/>
              </w:rPr>
              <w:t>2019</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Remaining three months of 2019</w:t>
            </w:r>
          </w:p>
        </w:tc>
        <w:tc>
          <w:tcPr>
            <w:tcW w:w="3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182</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2020</w:t>
            </w:r>
          </w:p>
        </w:tc>
        <w:tc>
          <w:tcPr>
            <w:tcW w:w="370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880</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2021</w:t>
            </w:r>
          </w:p>
        </w:tc>
        <w:tc>
          <w:tcPr>
            <w:tcW w:w="370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763</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2022</w:t>
            </w:r>
          </w:p>
        </w:tc>
        <w:tc>
          <w:tcPr>
            <w:tcW w:w="370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633</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2023</w:t>
            </w:r>
          </w:p>
        </w:tc>
        <w:tc>
          <w:tcPr>
            <w:tcW w:w="370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530</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70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2,606</w:t>
            </w:r>
          </w:p>
        </w:tc>
      </w:tr>
      <w:tr>
        <w:trPr>
          <w:trHeight w:val="27"/>
        </w:trPr>
        <w:tc>
          <w:tcPr>
            <w:tcW w:w="620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color w:val="auto"/>
              </w:rPr>
              <w:t>Total future minimum lease payments</w:t>
            </w:r>
          </w:p>
        </w:tc>
        <w:tc>
          <w:tcPr>
            <w:tcW w:w="3700" w:type="dxa"/>
            <w:vAlign w:val="bottom"/>
          </w:tcPr>
          <w:p>
            <w:pPr>
              <w:spacing w:after="0"/>
              <w:rPr>
                <w:sz w:val="20"/>
                <w:szCs w:val="20"/>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5,594</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370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1,035</w:t>
            </w:r>
          </w:p>
        </w:tc>
      </w:tr>
      <w:tr>
        <w:trPr>
          <w:trHeight w:val="27"/>
        </w:trPr>
        <w:tc>
          <w:tcPr>
            <w:tcW w:w="620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Total liability</w:t>
            </w:r>
          </w:p>
        </w:tc>
        <w:tc>
          <w:tcPr>
            <w:tcW w:w="37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13"/>
              <w:spacing w:after="0"/>
              <w:rPr>
                <w:sz w:val="20"/>
                <w:szCs w:val="20"/>
                <w:color w:val="auto"/>
              </w:rPr>
            </w:pPr>
            <w:r>
              <w:rPr>
                <w:rFonts w:ascii="Arial" w:cs="Arial" w:eastAsia="Arial" w:hAnsi="Arial"/>
                <w:sz w:val="18"/>
                <w:szCs w:val="18"/>
                <w:b w:val="1"/>
                <w:bCs w:val="1"/>
                <w:color w:val="auto"/>
              </w:rPr>
              <w:t>4,559</w:t>
            </w:r>
          </w:p>
        </w:tc>
      </w:tr>
      <w:tr>
        <w:trPr>
          <w:trHeight w:val="34"/>
        </w:trPr>
        <w:tc>
          <w:tcPr>
            <w:tcW w:w="620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weighted average remaining lease term for operating leases and the weighted average discount rate used to calculate our operating lease liabilities as of September 30, 2019 were 10 years and 3.78%,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2019, cash payments for operating leases recorded in the condensed consolidated balance sheet were $700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Leases that have not yet commenced and lease assets and liabilities associated with leases entered into during the period were not material.</w:t>
      </w:r>
    </w:p>
    <w:p>
      <w:pPr>
        <w:spacing w:after="0" w:line="18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tables below summarize our future minimum rental commitments for operating leases as of December 31, 2018 and rent expense for operating leases for the three and nine months ended September 30, 2018 using the accounting guidance in effect at that time. These amounts have been updated to include $804 million of future cash payments related to additional contracts determined to be operating leases in connection with the Sky transaction.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jc w:val="center"/>
              <w:ind w:right="137"/>
              <w:spacing w:after="0"/>
              <w:rPr>
                <w:sz w:val="20"/>
                <w:szCs w:val="20"/>
                <w:color w:val="auto"/>
              </w:rPr>
            </w:pPr>
            <w:r>
              <w:rPr>
                <w:rFonts w:ascii="Arial" w:cs="Arial" w:eastAsia="Arial" w:hAnsi="Arial"/>
                <w:sz w:val="14"/>
                <w:szCs w:val="14"/>
                <w:color w:val="auto"/>
                <w:w w:val="90"/>
              </w:rPr>
              <w:t>December 31,</w:t>
            </w:r>
          </w:p>
        </w:tc>
      </w:tr>
      <w:tr>
        <w:trPr>
          <w:trHeight w:val="188"/>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5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color w:val="auto"/>
                <w:w w:val="89"/>
              </w:rPr>
              <w:t>2018</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2019</w:t>
            </w:r>
          </w:p>
        </w:tc>
        <w:tc>
          <w:tcPr>
            <w:tcW w:w="35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891</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2020</w:t>
            </w:r>
          </w:p>
        </w:tc>
        <w:tc>
          <w:tcPr>
            <w:tcW w:w="35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824</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2021</w:t>
            </w:r>
          </w:p>
        </w:tc>
        <w:tc>
          <w:tcPr>
            <w:tcW w:w="35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722</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2022</w:t>
            </w:r>
          </w:p>
        </w:tc>
        <w:tc>
          <w:tcPr>
            <w:tcW w:w="35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592</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2023</w:t>
            </w:r>
          </w:p>
        </w:tc>
        <w:tc>
          <w:tcPr>
            <w:tcW w:w="35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513</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5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2,608</w:t>
            </w:r>
          </w:p>
        </w:tc>
      </w:tr>
      <w:tr>
        <w:trPr>
          <w:trHeight w:val="27"/>
        </w:trPr>
        <w:tc>
          <w:tcPr>
            <w:tcW w:w="458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339"/>
        </w:trPr>
        <w:tc>
          <w:tcPr>
            <w:tcW w:w="45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520" w:type="dxa"/>
            <w:vAlign w:val="bottom"/>
          </w:tcPr>
          <w:p>
            <w:pPr>
              <w:jc w:val="center"/>
              <w:ind w:right="142"/>
              <w:spacing w:after="0"/>
              <w:rPr>
                <w:sz w:val="20"/>
                <w:szCs w:val="20"/>
                <w:color w:val="auto"/>
              </w:rPr>
            </w:pPr>
            <w:r>
              <w:rPr>
                <w:rFonts w:ascii="Arial" w:cs="Arial" w:eastAsia="Arial" w:hAnsi="Arial"/>
                <w:sz w:val="14"/>
                <w:szCs w:val="14"/>
                <w:color w:val="auto"/>
                <w:w w:val="93"/>
              </w:rPr>
              <w:t>Three Months Ended</w:t>
            </w:r>
          </w:p>
        </w:tc>
        <w:tc>
          <w:tcPr>
            <w:tcW w:w="320" w:type="dxa"/>
            <w:vAlign w:val="bottom"/>
          </w:tcPr>
          <w:p>
            <w:pPr>
              <w:spacing w:after="0"/>
              <w:rPr>
                <w:sz w:val="24"/>
                <w:szCs w:val="24"/>
                <w:color w:val="auto"/>
              </w:rPr>
            </w:pPr>
          </w:p>
        </w:tc>
        <w:tc>
          <w:tcPr>
            <w:tcW w:w="1420" w:type="dxa"/>
            <w:vAlign w:val="bottom"/>
          </w:tcPr>
          <w:p>
            <w:pPr>
              <w:jc w:val="center"/>
              <w:ind w:right="97"/>
              <w:spacing w:after="0"/>
              <w:rPr>
                <w:sz w:val="20"/>
                <w:szCs w:val="20"/>
                <w:color w:val="auto"/>
              </w:rPr>
            </w:pPr>
            <w:r>
              <w:rPr>
                <w:rFonts w:ascii="Arial" w:cs="Arial" w:eastAsia="Arial" w:hAnsi="Arial"/>
                <w:sz w:val="14"/>
                <w:szCs w:val="14"/>
                <w:color w:val="auto"/>
                <w:w w:val="94"/>
              </w:rPr>
              <w:t>Nine Months Ended</w:t>
            </w:r>
          </w:p>
        </w:tc>
      </w:tr>
      <w:tr>
        <w:trPr>
          <w:trHeight w:val="188"/>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5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color w:val="auto"/>
                <w:w w:val="91"/>
              </w:rPr>
              <w:t>September 30, 2018</w:t>
            </w: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color w:val="auto"/>
                <w:w w:val="91"/>
              </w:rPr>
              <w:t>September 30, 2018</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Rental expense</w:t>
            </w:r>
          </w:p>
        </w:tc>
        <w:tc>
          <w:tcPr>
            <w:tcW w:w="35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2"/>
              <w:spacing w:after="0"/>
              <w:rPr>
                <w:sz w:val="20"/>
                <w:szCs w:val="20"/>
                <w:color w:val="auto"/>
              </w:rPr>
            </w:pPr>
            <w:r>
              <w:rPr>
                <w:rFonts w:ascii="Arial" w:cs="Arial" w:eastAsia="Arial" w:hAnsi="Arial"/>
                <w:sz w:val="18"/>
                <w:szCs w:val="18"/>
                <w:color w:val="auto"/>
              </w:rPr>
              <w:t>178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548</w:t>
            </w:r>
          </w:p>
        </w:tc>
      </w:tr>
      <w:tr>
        <w:trPr>
          <w:trHeight w:val="27"/>
        </w:trPr>
        <w:tc>
          <w:tcPr>
            <w:tcW w:w="458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Subsidiary Preferred Stock</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2019, the fair value of the NBCUniversal Enterprise redeemable subsidiary preferred stock was $743 million. The estimated fair value is based on Level 2 inputs that use pricing models whose inputs are derived primarily from or corroborated by observable market data through correlation or other means for substantially the full term of the financial instrument.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defendant in several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 In addition, we are subject to other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time-consuming and injure our reputation.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Condensed Consolidating Financial Information</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Comcast (“Comcast Parent”), Comcast Cable Communications, LLC (“CCCL Parent”) and NBCUniversal (“NBCUniversal Media Parent”) have fully and unconditionally guaranteed each other’s debt. See Note 5 for additional information on the cross-guarantee structure.</w:t>
      </w:r>
    </w:p>
    <w:p>
      <w:pPr>
        <w:spacing w:after="0" w:line="54"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3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For the Three Months Ended September 30, 2019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73"/>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3"/>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10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3"/>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3"/>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color w:val="auto"/>
                <w:w w:val="95"/>
              </w:rPr>
              <w:t>Corporation</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26,827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26,827</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Management fee revenue</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326</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319</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(645)</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326</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319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26,827</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(645)</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26,827</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8,316</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8,316</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Other operating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administrative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209</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319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7,977</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(645)</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8,090</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Advertising, marketing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promotion</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1,901</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1,901</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2,110</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2,124</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1,055</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1,056</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224</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319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21,359</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(645)</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21,487</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5,468</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5,340</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(873)</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(1,167)</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rPr>
              <w:t>Investment and other income</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(loss), net</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3,776</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3,729</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3,620</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1,632</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1,390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(14,257)</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w w:val="91"/>
              </w:rPr>
              <w:t>Income (loss) before income taxes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3,005</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3,726</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3,573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1,262</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6,754</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(14,257)</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4,063</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212</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(989)</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(775)</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3,217</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3,724</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3,583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1,256</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5,765</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(14,257)</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3,288</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rPr>
              <w:t>Less: Net income (loss)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attributable to noncontrolling</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interests and redeemable</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71</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1"/>
              </w:rPr>
              <w:t>Net income (loss) attributable to</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3,217</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3,724</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3,583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1,256</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b w:val="1"/>
                <w:bCs w:val="1"/>
                <w:color w:val="auto"/>
              </w:rPr>
              <w:t>5,694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(14,257)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b w:val="1"/>
                <w:bCs w:val="1"/>
                <w:color w:val="auto"/>
              </w:rPr>
              <w:t>3,217</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5"/>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8"/>
              </w:rPr>
              <w:t>Comprehensive income (loss)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attributable to Comcast</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2,120</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3,722</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3,584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1,244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b w:val="1"/>
                <w:bCs w:val="1"/>
                <w:color w:val="auto"/>
              </w:rPr>
              <w:t>4,397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(12,947)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b w:val="1"/>
                <w:bCs w:val="1"/>
                <w:color w:val="auto"/>
              </w:rPr>
              <w:t>2,120</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621"/>
        </w:trPr>
        <w:tc>
          <w:tcPr>
            <w:tcW w:w="2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492"/>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3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For the Three Months Ended September 30, 2018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73"/>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10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22,135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22,135</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Management fee revenue</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299</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(593)</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299</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22,135</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22,135</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6,711</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6,711</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Other operating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administrative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208</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6,305</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6,444</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Advertising, marketing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promotion</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1,667</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1,667</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2,038</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579</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580</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Other operating gains</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221</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17,147</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17,299</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4,988</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4,836</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(600)</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(830)</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rPr>
              <w:t>Investment and other income</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(loss), net</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3,299</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3,380</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3,007</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1,576</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1,065</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(12,438)</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w w:val="91"/>
              </w:rPr>
              <w:t>Income (loss) before income taxes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2,777</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3,377</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2,959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1,233</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5,987</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(12,438)</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3,895</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(1,115)</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(999)</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2,886</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3,376</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2,969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1,231</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4,872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(12,438)</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2,896</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rPr>
              <w:t>Less: Net income (loss)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attributable to noncontrolling</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interests and redeemable</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1"/>
              </w:rPr>
              <w:t>Net income (loss) attributable to</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2,886</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3,376</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2,969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1,231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4,862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(12,438)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2,886</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5"/>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8"/>
              </w:rPr>
              <w:t>Comprehensive income (loss)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attributable to Comcast</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2,799</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3,349</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2,974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1,112</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4,663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(12,098)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2,799</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3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For the Nine Months Ended September 30, 2019</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73"/>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3"/>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10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3"/>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3"/>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color w:val="auto"/>
                <w:w w:val="95"/>
              </w:rPr>
              <w:t>Corporation</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80,544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80,544</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Management fee revenue</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940</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921</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(1,861)</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940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921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80,544</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(1,861)</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80,544</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25,140</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25,140</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Other operating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administrative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575</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921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726</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23,715</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(1,861)</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24,076</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Advertising, marketing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promotion</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5,674</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5,674</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6,517</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6,561</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3,211</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3,215</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623</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921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726</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64,257</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(1,861)</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64,666</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317</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(726)</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16,287</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15,878</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(2,646)</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(377)</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(279)</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(3,454)</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rPr>
              <w:t>Investment and other income</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(loss), net</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11,683</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11,602</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10,310</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5,731</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5,287</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(44,102)</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511</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w w:val="91"/>
              </w:rPr>
              <w:t>Income (loss) before income taxes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9,354</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11,593</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10,167</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4,628</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21,295</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(44,102)</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12,935</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541</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(3,357)</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(2,812)</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9,895</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11,584</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10,197</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4,611</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17,938</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(44,102)</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10,123</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rPr>
              <w:t>Less: Net income (loss)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attributable to noncontrolling</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interests and redeemable</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228</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228</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1"/>
              </w:rPr>
              <w:t>Net income (loss) attributable to</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9,895</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11,584</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10,197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4,611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b w:val="1"/>
                <w:bCs w:val="1"/>
                <w:color w:val="auto"/>
              </w:rPr>
              <w:t>17,710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(44,102)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b w:val="1"/>
                <w:bCs w:val="1"/>
                <w:color w:val="auto"/>
              </w:rPr>
              <w:t>9,895</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5"/>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8"/>
              </w:rPr>
              <w:t>Comprehensive income (loss)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attributable to Comcast</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9,104</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11,600</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10,201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4,640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b w:val="1"/>
                <w:bCs w:val="1"/>
                <w:color w:val="auto"/>
              </w:rPr>
              <w:t>16,857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(43,298)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b w:val="1"/>
                <w:bCs w:val="1"/>
                <w:color w:val="auto"/>
              </w:rPr>
              <w:t>9,104</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513"/>
        </w:trPr>
        <w:tc>
          <w:tcPr>
            <w:tcW w:w="2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492"/>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31"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For the Nine Months Ended September 30, 2018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73"/>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10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66,661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66,661</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Management fee revenue</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889</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873</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(1,762)</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889</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873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66,661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(1,762)</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66,661</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20,440</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20,440</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Other operating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administrative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626</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873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772</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18,814</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(1,762)</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19,323</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Advertising, marketing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promotion</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4,924</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4,924</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6,036</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6,070</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1,746</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1,750</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Other operating gains</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(341)</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664</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873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772</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51,619</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(1,762)</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52,166</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225</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(772)</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15,042</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14,495</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(1,739)</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(332)</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(2,413)</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rPr>
              <w:t>Investment and other income</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(loss), net</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10,416</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10,279</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8,832</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5,107</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3,977</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(38,519)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92</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w w:val="91"/>
              </w:rPr>
              <w:t>Income (loss) before income taxes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8,902</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10,270</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8,689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4,003</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18,829</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(38,519)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12,174</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318</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(3,229)</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(2,894)</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9,220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10,270</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8,718</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3,991</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15,600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(38,519)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9,280</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rPr>
              <w:t>Less: Net income (loss)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attributable to noncontrolling</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interests and redeemable</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60</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1"/>
              </w:rPr>
              <w:t>Net income (loss) attributable to</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9,220</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10,270</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8,718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3,991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15,540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(38,519)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9,220</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5"/>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8"/>
              </w:rPr>
              <w:t>Comprehensive income (loss)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attributable to Comcast</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9,139</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10,245</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8,723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3,877</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15,357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(38,202)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9,139</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3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For the Nine Months Ended September 30, 2019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33"/>
              <w:spacing w:after="0"/>
              <w:rPr>
                <w:sz w:val="20"/>
                <w:szCs w:val="20"/>
                <w:color w:val="auto"/>
              </w:rPr>
            </w:pPr>
            <w:r>
              <w:rPr>
                <w:rFonts w:ascii="Arial" w:cs="Arial" w:eastAsia="Arial" w:hAnsi="Arial"/>
                <w:sz w:val="14"/>
                <w:szCs w:val="14"/>
                <w:color w:val="auto"/>
                <w:w w:val="99"/>
              </w:rPr>
              <w:t>Elimination</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4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85"/>
              </w:rPr>
              <w:t>and</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291"/>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1000" w:type="dxa"/>
            <w:vAlign w:val="bottom"/>
          </w:tcPr>
          <w:p>
            <w:pPr>
              <w:jc w:val="right"/>
              <w:ind w:right="271"/>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960" w:type="dxa"/>
            <w:vAlign w:val="bottom"/>
          </w:tcPr>
          <w:p>
            <w:pPr>
              <w:jc w:val="right"/>
              <w:ind w:right="331"/>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1"/>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4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94"/>
              </w:rPr>
              <w:t>Consolidation</w:t>
            </w:r>
          </w:p>
        </w:tc>
        <w:tc>
          <w:tcPr>
            <w:tcW w:w="22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3"/>
              </w:rPr>
              <w:t>Adjustments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24"/>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(1,522)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293</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(910)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21,818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19,462</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Net transactions with affiliates</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10,333</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(293)</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217</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2,883</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(13,140)</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(6,846)</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(6,866)</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w w:val="97"/>
              </w:rPr>
              <w:t>Cash paid for intangible assets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(1,684)</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(1,686)</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4"/>
              </w:rPr>
              <w:t>Acquisitions and construction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real estate properties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Construction of Universal</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Beijing Resort</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(736)</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(736)</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Acquisitions, net of cash</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acquired</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Proceeds from sales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w w:val="99"/>
              </w:rPr>
              <w:t>businesses and investments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208</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(1,605)</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(1,697)</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86</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10,251</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(293)</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217</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2,816</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(23,903)</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(10,912)</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6"/>
              </w:rPr>
              <w:t>Proceeds from (repayments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short-term borrowings, net</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(1,288)</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(1,288)</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516</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516</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Proceeds from collateralized</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obligation</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5,175</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5,175</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2"/>
              </w:rPr>
              <w:t>Repurchases and repayments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(5,513)</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(2,008)</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(2,454)</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(9,975)</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7"/>
              </w:rPr>
              <w:t>Repurchases of common stock</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w w:val="90"/>
              </w:rPr>
              <w:t>under repurchase program and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employee plans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(432)</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(2,778)</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(2,778)</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Distributions to noncontrolling</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rPr>
              <w:t>interests and dividends for</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rPr>
              <w:t>redeemable subsidiary</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preferred stock</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236</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191</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(8,728)</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(2,048)</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1,950</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(8,826)</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2600" w:type="dxa"/>
            <w:vAlign w:val="bottom"/>
          </w:tcPr>
          <w:p>
            <w:pPr>
              <w:ind w:left="40"/>
              <w:spacing w:after="0"/>
              <w:rPr>
                <w:sz w:val="20"/>
                <w:szCs w:val="20"/>
                <w:color w:val="auto"/>
              </w:rPr>
            </w:pPr>
            <w:r>
              <w:rPr>
                <w:rFonts w:ascii="Arial" w:cs="Arial" w:eastAsia="Arial" w:hAnsi="Arial"/>
                <w:sz w:val="18"/>
                <w:szCs w:val="18"/>
                <w:color w:val="auto"/>
              </w:rPr>
              <w:t>Impact of foreign currency on</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2600" w:type="dxa"/>
            <w:vAlign w:val="bottom"/>
          </w:tcPr>
          <w:p>
            <w:pPr>
              <w:ind w:left="200"/>
              <w:spacing w:after="0"/>
              <w:rPr>
                <w:sz w:val="20"/>
                <w:szCs w:val="20"/>
                <w:color w:val="auto"/>
              </w:rPr>
            </w:pPr>
            <w:r>
              <w:rPr>
                <w:rFonts w:ascii="Arial" w:cs="Arial" w:eastAsia="Arial" w:hAnsi="Arial"/>
                <w:sz w:val="18"/>
                <w:szCs w:val="18"/>
                <w:color w:val="auto"/>
              </w:rPr>
              <w:t>cash, cash equivalents and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56"/>
        </w:trPr>
        <w:tc>
          <w:tcPr>
            <w:tcW w:w="2600" w:type="dxa"/>
            <w:vAlign w:val="bottom"/>
          </w:tcPr>
          <w:p>
            <w:pPr>
              <w:ind w:left="40"/>
              <w:spacing w:after="0"/>
              <w:rPr>
                <w:sz w:val="20"/>
                <w:szCs w:val="20"/>
                <w:color w:val="auto"/>
              </w:rPr>
            </w:pPr>
            <w:r>
              <w:rPr>
                <w:rFonts w:ascii="Arial" w:cs="Arial" w:eastAsia="Arial" w:hAnsi="Arial"/>
                <w:sz w:val="18"/>
                <w:szCs w:val="18"/>
                <w:color w:val="auto"/>
                <w:w w:val="94"/>
              </w:rPr>
              <w:t>Increase (decrease) in cash, cash</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w w:val="95"/>
              </w:rPr>
              <w:t>equivalents and restricted cash</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56"/>
        </w:trPr>
        <w:tc>
          <w:tcPr>
            <w:tcW w:w="2600" w:type="dxa"/>
            <w:vAlign w:val="bottom"/>
          </w:tcPr>
          <w:p>
            <w:pPr>
              <w:ind w:left="40"/>
              <w:spacing w:after="0"/>
              <w:rPr>
                <w:sz w:val="20"/>
                <w:szCs w:val="20"/>
                <w:color w:val="auto"/>
              </w:rPr>
            </w:pPr>
            <w:r>
              <w:rPr>
                <w:rFonts w:ascii="Arial" w:cs="Arial" w:eastAsia="Arial" w:hAnsi="Arial"/>
                <w:sz w:val="18"/>
                <w:szCs w:val="18"/>
                <w:color w:val="auto"/>
              </w:rPr>
              <w:t>Cash, cash equivalents and</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200"/>
              <w:spacing w:after="0"/>
              <w:rPr>
                <w:sz w:val="20"/>
                <w:szCs w:val="20"/>
                <w:color w:val="auto"/>
              </w:rPr>
            </w:pPr>
            <w:r>
              <w:rPr>
                <w:rFonts w:ascii="Arial" w:cs="Arial" w:eastAsia="Arial" w:hAnsi="Arial"/>
                <w:sz w:val="18"/>
                <w:szCs w:val="18"/>
                <w:color w:val="auto"/>
              </w:rPr>
              <w:t>restricted cash, beginning of</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period</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416</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3,493</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3,909</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w w:val="94"/>
              </w:rPr>
              <w:t>restricted cash, end of period</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274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3,328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ind w:left="8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3,602</w:t>
            </w:r>
          </w:p>
        </w:tc>
      </w:tr>
      <w:tr>
        <w:trPr>
          <w:trHeight w:val="34"/>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33"/>
              <w:spacing w:after="0"/>
              <w:rPr>
                <w:sz w:val="20"/>
                <w:szCs w:val="20"/>
                <w:color w:val="auto"/>
              </w:rPr>
            </w:pPr>
            <w:r>
              <w:rPr>
                <w:rFonts w:ascii="Arial" w:cs="Arial" w:eastAsia="Arial" w:hAnsi="Arial"/>
                <w:sz w:val="14"/>
                <w:szCs w:val="14"/>
                <w:color w:val="auto"/>
                <w:w w:val="99"/>
              </w:rPr>
              <w:t>Elimination</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4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85"/>
              </w:rPr>
              <w:t>and</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291"/>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1000" w:type="dxa"/>
            <w:vAlign w:val="bottom"/>
          </w:tcPr>
          <w:p>
            <w:pPr>
              <w:jc w:val="right"/>
              <w:ind w:right="271"/>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960" w:type="dxa"/>
            <w:vAlign w:val="bottom"/>
          </w:tcPr>
          <w:p>
            <w:pPr>
              <w:jc w:val="right"/>
              <w:ind w:right="331"/>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1"/>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4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94"/>
              </w:rPr>
              <w:t>Consolidation</w:t>
            </w:r>
          </w:p>
        </w:tc>
        <w:tc>
          <w:tcPr>
            <w:tcW w:w="22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3"/>
              </w:rPr>
              <w:t>Adjustments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24"/>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(1,461)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137</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(1,047)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21,084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18,507</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Net transactions with affiliates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(1,087)</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(586)</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206</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667</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(6,592)</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(6,607)</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w w:val="97"/>
              </w:rPr>
              <w:t>Cash paid for intangible assets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(1,372)</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(1,375)</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4"/>
              </w:rPr>
              <w:t>Acquisitions and construction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real estate properties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Construction of Universal</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Beijing Resort</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(257)</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Acquisitions, net of cash</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acquired</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Proceeds from sales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127</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(672)</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(840)</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449</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579</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(1,317)</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206</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817</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(8,159)</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(8,590)</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6"/>
              </w:rPr>
              <w:t>Proceeds from (repayments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short-term borrowings, net</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2,117</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792</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2,909</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9,386</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464</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9,850</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2"/>
              </w:rPr>
              <w:t>Repurchases and repayments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(2,502)</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(4,405)</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7"/>
              </w:rPr>
              <w:t>Repurchases of common stock</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w w:val="90"/>
              </w:rPr>
              <w:t>under repurchase program and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employee plans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(4,282)</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(4,282)</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(2,487)</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(2,487)</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Distributions to noncontrolling</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rPr>
              <w:t>interests and dividends for</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rPr>
              <w:t>redeemable subsidiary</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preferred stock</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2,778</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(1,641)</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1,134</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2600" w:type="dxa"/>
            <w:vAlign w:val="bottom"/>
          </w:tcPr>
          <w:p>
            <w:pPr>
              <w:ind w:left="40"/>
              <w:spacing w:after="0"/>
              <w:rPr>
                <w:sz w:val="20"/>
                <w:szCs w:val="20"/>
                <w:color w:val="auto"/>
              </w:rPr>
            </w:pPr>
            <w:r>
              <w:rPr>
                <w:rFonts w:ascii="Arial" w:cs="Arial" w:eastAsia="Arial" w:hAnsi="Arial"/>
                <w:sz w:val="18"/>
                <w:szCs w:val="18"/>
                <w:color w:val="auto"/>
                <w:w w:val="94"/>
              </w:rPr>
              <w:t>Increase (decrease) in cash, cash</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w w:val="95"/>
              </w:rPr>
              <w:t>equivalents and restricted cash</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11,284</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11,051</w:t>
            </w:r>
          </w:p>
        </w:tc>
      </w:tr>
      <w:tr>
        <w:trPr>
          <w:trHeight w:val="256"/>
        </w:trPr>
        <w:tc>
          <w:tcPr>
            <w:tcW w:w="2600" w:type="dxa"/>
            <w:vAlign w:val="bottom"/>
          </w:tcPr>
          <w:p>
            <w:pPr>
              <w:ind w:left="40"/>
              <w:spacing w:after="0"/>
              <w:rPr>
                <w:sz w:val="20"/>
                <w:szCs w:val="20"/>
                <w:color w:val="auto"/>
              </w:rPr>
            </w:pPr>
            <w:r>
              <w:rPr>
                <w:rFonts w:ascii="Arial" w:cs="Arial" w:eastAsia="Arial" w:hAnsi="Arial"/>
                <w:sz w:val="18"/>
                <w:szCs w:val="18"/>
                <w:color w:val="auto"/>
              </w:rPr>
              <w:t>Cash, cash equivalents and</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200"/>
              <w:spacing w:after="0"/>
              <w:rPr>
                <w:sz w:val="20"/>
                <w:szCs w:val="20"/>
                <w:color w:val="auto"/>
              </w:rPr>
            </w:pPr>
            <w:r>
              <w:rPr>
                <w:rFonts w:ascii="Arial" w:cs="Arial" w:eastAsia="Arial" w:hAnsi="Arial"/>
                <w:sz w:val="18"/>
                <w:szCs w:val="18"/>
                <w:color w:val="auto"/>
              </w:rPr>
              <w:t>restricted cash, beginning of</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period</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496</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3,075</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3,571</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w w:val="94"/>
              </w:rPr>
              <w:t>restricted cash, end of period</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263</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14,359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ind w:left="8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14,622</w:t>
            </w:r>
          </w:p>
        </w:tc>
      </w:tr>
      <w:tr>
        <w:trPr>
          <w:trHeight w:val="34"/>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72"/>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2"/>
              </w:rPr>
              <w:t>Non-</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Comcast</w:t>
            </w:r>
          </w:p>
        </w:tc>
        <w:tc>
          <w:tcPr>
            <w:tcW w:w="280" w:type="dxa"/>
            <w:vAlign w:val="bottom"/>
          </w:tcPr>
          <w:p>
            <w:pPr>
              <w:spacing w:after="0"/>
              <w:rPr>
                <w:sz w:val="12"/>
                <w:szCs w:val="12"/>
                <w:color w:val="auto"/>
              </w:rPr>
            </w:pPr>
          </w:p>
        </w:tc>
        <w:tc>
          <w:tcPr>
            <w:tcW w:w="98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Comcast</w:t>
            </w:r>
          </w:p>
        </w:tc>
        <w:tc>
          <w:tcPr>
            <w:tcW w:w="320" w:type="dxa"/>
            <w:vAlign w:val="bottom"/>
          </w:tcPr>
          <w:p>
            <w:pPr>
              <w:spacing w:after="0"/>
              <w:rPr>
                <w:sz w:val="12"/>
                <w:szCs w:val="12"/>
                <w:color w:val="auto"/>
              </w:rPr>
            </w:pPr>
          </w:p>
        </w:tc>
        <w:tc>
          <w:tcPr>
            <w:tcW w:w="940" w:type="dxa"/>
            <w:vAlign w:val="bottom"/>
          </w:tcPr>
          <w:p>
            <w:pPr>
              <w:jc w:val="right"/>
              <w:ind w:right="311"/>
              <w:spacing w:after="0" w:line="149" w:lineRule="exact"/>
              <w:rPr>
                <w:sz w:val="20"/>
                <w:szCs w:val="20"/>
                <w:color w:val="auto"/>
              </w:rPr>
            </w:pPr>
            <w:r>
              <w:rPr>
                <w:rFonts w:ascii="Arial" w:cs="Arial" w:eastAsia="Arial" w:hAnsi="Arial"/>
                <w:sz w:val="14"/>
                <w:szCs w:val="14"/>
                <w:color w:val="auto"/>
              </w:rPr>
              <w:t>CCCL</w:t>
            </w:r>
          </w:p>
        </w:tc>
        <w:tc>
          <w:tcPr>
            <w:tcW w:w="200" w:type="dxa"/>
            <w:vAlign w:val="bottom"/>
          </w:tcPr>
          <w:p>
            <w:pPr>
              <w:spacing w:after="0"/>
              <w:rPr>
                <w:sz w:val="12"/>
                <w:szCs w:val="12"/>
                <w:color w:val="auto"/>
              </w:rPr>
            </w:pPr>
          </w:p>
        </w:tc>
        <w:tc>
          <w:tcPr>
            <w:tcW w:w="1060" w:type="dxa"/>
            <w:vAlign w:val="bottom"/>
          </w:tcPr>
          <w:p>
            <w:pPr>
              <w:jc w:val="right"/>
              <w:ind w:right="71"/>
              <w:spacing w:after="0" w:line="149" w:lineRule="exact"/>
              <w:rPr>
                <w:sz w:val="20"/>
                <w:szCs w:val="20"/>
                <w:color w:val="auto"/>
              </w:rPr>
            </w:pPr>
            <w:r>
              <w:rPr>
                <w:rFonts w:ascii="Arial" w:cs="Arial" w:eastAsia="Arial" w:hAnsi="Arial"/>
                <w:sz w:val="14"/>
                <w:szCs w:val="14"/>
                <w:color w:val="auto"/>
              </w:rPr>
              <w:t>NBCUniversal</w:t>
            </w:r>
          </w:p>
        </w:tc>
        <w:tc>
          <w:tcPr>
            <w:tcW w:w="2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5"/>
              </w:rPr>
              <w:t>Guarantor</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Holdings</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w w:val="98"/>
              </w:rPr>
              <w:t>Media Parent</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color w:val="auto"/>
                <w:w w:val="94"/>
              </w:rPr>
              <w:t>Subsidiaries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3,507</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10,684</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10,684</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Programming rights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3,457</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3,457</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4,502</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4,675</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297</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21,876</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22,323</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8,647</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8,647</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275</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1,039</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5,988</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7,473</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w w:val="94"/>
              </w:rPr>
              <w:t>Investment securing collateralized</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obligation</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816</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816</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w w:val="98"/>
              </w:rPr>
              <w:t>Investments in and amounts due</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200"/>
              <w:spacing w:after="0"/>
              <w:rPr>
                <w:sz w:val="20"/>
                <w:szCs w:val="20"/>
                <w:color w:val="auto"/>
              </w:rPr>
            </w:pPr>
            <w:r>
              <w:rPr>
                <w:rFonts w:ascii="Arial" w:cs="Arial" w:eastAsia="Arial" w:hAnsi="Arial"/>
                <w:sz w:val="18"/>
                <w:szCs w:val="18"/>
                <w:color w:val="auto"/>
              </w:rPr>
              <w:t>from subsidiaries eliminated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upon consolidation</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158,369</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149,186</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132,753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54,857</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98,744</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(593,909)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664</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46,126</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46,790</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Franchise rights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59,365</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59,365</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66,913</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66,913</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35,156</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35,164</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1,025</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8,014</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(417)</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8,883</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160,469</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149,386</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132,912</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56,288</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351,645</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(594,326)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256,374</w:t>
            </w:r>
          </w:p>
        </w:tc>
      </w:tr>
      <w:tr>
        <w:trPr>
          <w:trHeight w:val="34"/>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w w:val="98"/>
              </w:rPr>
              <w:t>Accounts payable and accrued</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340"/>
              <w:spacing w:after="0"/>
              <w:rPr>
                <w:sz w:val="20"/>
                <w:szCs w:val="20"/>
                <w:color w:val="auto"/>
              </w:rPr>
            </w:pPr>
            <w:r>
              <w:rPr>
                <w:rFonts w:ascii="Arial" w:cs="Arial" w:eastAsia="Arial" w:hAnsi="Arial"/>
                <w:sz w:val="18"/>
                <w:szCs w:val="18"/>
                <w:color w:val="auto"/>
              </w:rPr>
              <w:t>expenses related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to trade creditors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10,198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10,198</w:t>
            </w: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rPr>
              <w:t>Accrued participations and</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residuals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1,615</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1,615</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2,944</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2,944</w:t>
            </w: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rPr>
              <w:t>Accrued expenses and other</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2,421</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415</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6,857</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10,193</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w w:val="92"/>
              </w:rPr>
              <w:t>Current portion of long-term debt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1,032</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1,039</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2,421</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422</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22,646</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25,989</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rPr>
              <w:t>Long-term debt, less current</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portion</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76,654</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2,100</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5,751</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15,190</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99,847</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Collateralized obligation</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5,165</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5,165</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344</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28,142</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(562)</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27,992</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3,250</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1,555</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11,903</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16,853</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rPr>
              <w:t>Redeemable noncontrolling</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200"/>
              <w:spacing w:after="0"/>
              <w:rPr>
                <w:sz w:val="20"/>
                <w:szCs w:val="20"/>
                <w:color w:val="auto"/>
              </w:rPr>
            </w:pPr>
            <w:r>
              <w:rPr>
                <w:rFonts w:ascii="Arial" w:cs="Arial" w:eastAsia="Arial" w:hAnsi="Arial"/>
                <w:sz w:val="18"/>
                <w:szCs w:val="18"/>
                <w:color w:val="auto"/>
              </w:rPr>
              <w:t>interests and redeemable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1,368</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1,368</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Equity:</w:t>
            </w: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54</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Other shareholders’ equity</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78,090</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148,646</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130,556</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48,492</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266,215</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(593,909)</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78,090</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2620" w:type="dxa"/>
            <w:vAlign w:val="bottom"/>
          </w:tcPr>
          <w:p>
            <w:pPr>
              <w:ind w:left="40"/>
              <w:spacing w:after="0"/>
              <w:rPr>
                <w:sz w:val="20"/>
                <w:szCs w:val="20"/>
                <w:color w:val="auto"/>
              </w:rPr>
            </w:pPr>
            <w:r>
              <w:rPr>
                <w:rFonts w:ascii="Arial" w:cs="Arial" w:eastAsia="Arial" w:hAnsi="Arial"/>
                <w:sz w:val="18"/>
                <w:szCs w:val="18"/>
                <w:color w:val="auto"/>
              </w:rPr>
              <w:t>Total Comcast Corporation</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78,144</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148,646</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130,556</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48,492</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266,215</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(593,909)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78,144</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1,016</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1,016</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78,144</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148,646</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130,556</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48,492</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267,231</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(593,909)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79,160</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160,469</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149,386</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132,912</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56,288</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351,645</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(594,326)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256,374</w:t>
            </w:r>
          </w:p>
        </w:tc>
      </w:tr>
      <w:tr>
        <w:trPr>
          <w:trHeight w:val="34"/>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72"/>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2"/>
              </w:rPr>
              <w:t>Non-</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Comcast</w:t>
            </w:r>
          </w:p>
        </w:tc>
        <w:tc>
          <w:tcPr>
            <w:tcW w:w="280" w:type="dxa"/>
            <w:vAlign w:val="bottom"/>
          </w:tcPr>
          <w:p>
            <w:pPr>
              <w:spacing w:after="0"/>
              <w:rPr>
                <w:sz w:val="12"/>
                <w:szCs w:val="12"/>
                <w:color w:val="auto"/>
              </w:rPr>
            </w:pPr>
          </w:p>
        </w:tc>
        <w:tc>
          <w:tcPr>
            <w:tcW w:w="98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Comcast</w:t>
            </w:r>
          </w:p>
        </w:tc>
        <w:tc>
          <w:tcPr>
            <w:tcW w:w="320" w:type="dxa"/>
            <w:vAlign w:val="bottom"/>
          </w:tcPr>
          <w:p>
            <w:pPr>
              <w:spacing w:after="0"/>
              <w:rPr>
                <w:sz w:val="12"/>
                <w:szCs w:val="12"/>
                <w:color w:val="auto"/>
              </w:rPr>
            </w:pPr>
          </w:p>
        </w:tc>
        <w:tc>
          <w:tcPr>
            <w:tcW w:w="940" w:type="dxa"/>
            <w:vAlign w:val="bottom"/>
          </w:tcPr>
          <w:p>
            <w:pPr>
              <w:jc w:val="right"/>
              <w:ind w:right="311"/>
              <w:spacing w:after="0" w:line="149" w:lineRule="exact"/>
              <w:rPr>
                <w:sz w:val="20"/>
                <w:szCs w:val="20"/>
                <w:color w:val="auto"/>
              </w:rPr>
            </w:pPr>
            <w:r>
              <w:rPr>
                <w:rFonts w:ascii="Arial" w:cs="Arial" w:eastAsia="Arial" w:hAnsi="Arial"/>
                <w:sz w:val="14"/>
                <w:szCs w:val="14"/>
                <w:color w:val="auto"/>
              </w:rPr>
              <w:t>CCCL</w:t>
            </w:r>
          </w:p>
        </w:tc>
        <w:tc>
          <w:tcPr>
            <w:tcW w:w="200" w:type="dxa"/>
            <w:vAlign w:val="bottom"/>
          </w:tcPr>
          <w:p>
            <w:pPr>
              <w:spacing w:after="0"/>
              <w:rPr>
                <w:sz w:val="12"/>
                <w:szCs w:val="12"/>
                <w:color w:val="auto"/>
              </w:rPr>
            </w:pPr>
          </w:p>
        </w:tc>
        <w:tc>
          <w:tcPr>
            <w:tcW w:w="1060" w:type="dxa"/>
            <w:vAlign w:val="bottom"/>
          </w:tcPr>
          <w:p>
            <w:pPr>
              <w:jc w:val="right"/>
              <w:ind w:right="71"/>
              <w:spacing w:after="0" w:line="149" w:lineRule="exact"/>
              <w:rPr>
                <w:sz w:val="20"/>
                <w:szCs w:val="20"/>
                <w:color w:val="auto"/>
              </w:rPr>
            </w:pPr>
            <w:r>
              <w:rPr>
                <w:rFonts w:ascii="Arial" w:cs="Arial" w:eastAsia="Arial" w:hAnsi="Arial"/>
                <w:sz w:val="14"/>
                <w:szCs w:val="14"/>
                <w:color w:val="auto"/>
              </w:rPr>
              <w:t>NBCUniversal</w:t>
            </w:r>
          </w:p>
        </w:tc>
        <w:tc>
          <w:tcPr>
            <w:tcW w:w="2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5"/>
              </w:rPr>
              <w:t>Guarantor</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Holdings</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w w:val="98"/>
              </w:rPr>
              <w:t>Media Parent</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color w:val="auto"/>
                <w:w w:val="94"/>
              </w:rPr>
              <w:t>Subsidiaries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3,398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3,814</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11,104</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11,104</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Programming rights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3,746</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3,746</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3,070</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3,184</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444</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21,318</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21,848</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7,837</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7,837</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790</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6,669</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7,883</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w w:val="98"/>
              </w:rPr>
              <w:t>Investments in and amounts due</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200"/>
              <w:spacing w:after="0"/>
              <w:rPr>
                <w:sz w:val="20"/>
                <w:szCs w:val="20"/>
                <w:color w:val="auto"/>
              </w:rPr>
            </w:pPr>
            <w:r>
              <w:rPr>
                <w:rFonts w:ascii="Arial" w:cs="Arial" w:eastAsia="Arial" w:hAnsi="Arial"/>
                <w:sz w:val="18"/>
                <w:szCs w:val="18"/>
                <w:color w:val="auto"/>
              </w:rPr>
              <w:t>from subsidiaries eliminated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upon consolidation</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157,264</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147,028</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130,214</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53,853</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97,872</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(586,231)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670</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43,767</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44,437</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Franchise rights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59,365</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59,365</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66,154</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66,154</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38,347</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38,358</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1,057</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4,910</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(458)</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5,802</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159,338</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147,267</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130,357</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55,172</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346,239</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(586,689)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251,684</w:t>
            </w:r>
          </w:p>
        </w:tc>
      </w:tr>
      <w:tr>
        <w:trPr>
          <w:trHeight w:val="34"/>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w w:val="98"/>
              </w:rPr>
              <w:t>Accounts payable and accrued</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340"/>
              <w:spacing w:after="0"/>
              <w:rPr>
                <w:sz w:val="20"/>
                <w:szCs w:val="20"/>
                <w:color w:val="auto"/>
              </w:rPr>
            </w:pPr>
            <w:r>
              <w:rPr>
                <w:rFonts w:ascii="Arial" w:cs="Arial" w:eastAsia="Arial" w:hAnsi="Arial"/>
                <w:sz w:val="18"/>
                <w:szCs w:val="18"/>
                <w:color w:val="auto"/>
              </w:rPr>
              <w:t>expenses related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to trade creditors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8,492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8,494</w:t>
            </w: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rPr>
              <w:t>Accrued participations and</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residuals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1,808</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1,808</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2,182</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2,182</w:t>
            </w: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rPr>
              <w:t>Accrued expenses and other</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2,357</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360</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7,572</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10,721</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w w:val="92"/>
              </w:rPr>
              <w:t>Current portion of long-term debt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699</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3,695</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4,398</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3,058</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360</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286</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23,749</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27,603</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rPr>
              <w:t>Long-term debt, less current</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portion</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81,661</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2,100</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7,748</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15,690</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107,345</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314</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27,734</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(524)</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27,589</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3,006</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1,201</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11,056</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15,329</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rPr>
              <w:t>Redeemable noncontrolling</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200"/>
              <w:spacing w:after="0"/>
              <w:rPr>
                <w:sz w:val="20"/>
                <w:szCs w:val="20"/>
                <w:color w:val="auto"/>
              </w:rPr>
            </w:pPr>
            <w:r>
              <w:rPr>
                <w:rFonts w:ascii="Arial" w:cs="Arial" w:eastAsia="Arial" w:hAnsi="Arial"/>
                <w:sz w:val="18"/>
                <w:szCs w:val="18"/>
                <w:color w:val="auto"/>
              </w:rPr>
              <w:t>interests and redeemable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1,316</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1,316</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Equity:</w:t>
            </w: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54</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Other shareholders’ equity</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71,559</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146,657</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127,897</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45,872</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265,805</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(586,231)</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71,559</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2620" w:type="dxa"/>
            <w:vAlign w:val="bottom"/>
          </w:tcPr>
          <w:p>
            <w:pPr>
              <w:ind w:left="40"/>
              <w:spacing w:after="0"/>
              <w:rPr>
                <w:sz w:val="20"/>
                <w:szCs w:val="20"/>
                <w:color w:val="auto"/>
              </w:rPr>
            </w:pPr>
            <w:r>
              <w:rPr>
                <w:rFonts w:ascii="Arial" w:cs="Arial" w:eastAsia="Arial" w:hAnsi="Arial"/>
                <w:sz w:val="18"/>
                <w:szCs w:val="18"/>
                <w:color w:val="auto"/>
              </w:rPr>
              <w:t>Total Comcast Corporation</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71,613</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146,657</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127,897</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45,872</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265,805</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(586,231)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71,613</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889</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889</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71,613</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146,657</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127,897</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45,872</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266,694</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(586,231)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72,502</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159,338</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147,267</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130,357</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55,172</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346,239</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(586,689)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251,684</w:t>
            </w:r>
          </w:p>
        </w:tc>
      </w:tr>
      <w:tr>
        <w:trPr>
          <w:trHeight w:val="34"/>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940"/>
        <w:spacing w:after="0" w:line="274"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global media and technology company with three primary businesses: Comcast Cable, NBCUniversal, and Sky. We present our operations for (1) Comcast Cable in one reportable business segment, referred to as Cable Communications; (2) NBCUniversal in four reportable business segments: Cable Networks, Broadcast Television, Filmed Entertainment and Theme Parks (collectively, the “NBCUniversal segments”); and (3) Sky in one reportable business segment.</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9, 2018, in connection with our offer to acquire the share capital of Sky, we acquired a controlling interest in Sky through a series of purchases of Sky shares at our offer price of £17.28 per share. In the fourth quarter of 2018, we acquired the remaining Sky shares and now own 100% of Sky’s equity interests. Total cash consideration was £30.2 billion (approximately $39.4 billion using the exchange rates on the purchase dates). We financed the acquisition through a combination of new fixed and floating rate notes, issuance of term loans and cash on hand.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Comcast Cable is one of the nation’s largest providers of high-speed internet, video, voice, wireless, and security and automation services (“cable services”) to residential customers under the Xfinity brand; we also provide these and other services to business customers and sell advertising. As of September 30, 2019, our cable systems had 31.2 million total customer relationships, including 28.8 million residential and 2.4 million business customer relationships, and passed approximately 59 million homes and businesses. Our Cable Communications segment generates revenue primarily from residential and business customers that subscribe to our cable services, which we market individually and as bundled services, and from the sale of advertising.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Segments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and owns and operates theme parks worldwide</w:t>
      </w:r>
      <w:r>
        <w:rPr>
          <w:rFonts w:ascii="Arial" w:cs="Arial" w:eastAsia="Arial" w:hAnsi="Arial"/>
          <w:sz w:val="18"/>
          <w:szCs w:val="18"/>
          <w:i w:val="1"/>
          <w:iCs w:val="1"/>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Networks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Cable Networks segment consists primarily of a diversified portfolio of cable television networks. Our cable networks are comprised of our national cable networks that provide a variety of entertainment, news and information, and sports content; our regional sports and news networks; our international cable networks; our cable television studio production operations; and our various digital properties. Our Cable Networks segment generates revenue primarily from the distribution of our cable network programming to traditional and virtual multichannel video providers; from the sale of advertising on our cable networks and digital properties; from the licensing of our owned programming, including programming from our cable television studio production operations, to cable and broadcast networks and subscription video on demand services; and from the sale of our owned programming on standard-definition digital video discs and Blu-ray discs (together, “DVDs”) and through digital distribution services such as iTunes.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Television</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Broadcast Television segment consists primarily of the NBC and Telemundo broadcast networks, our NBC and Telemundo owned local broadcast television stations, the NBC Universo national cable network, our broadcast television studio production operations, and our various digital properties. Our Broadcast Television segment generates revenue primarily from the sale of advertising on our broadcast networks, owned local broadcast television stations and digital properties; from the licensing of our owned programming by our broadcast television studio production operations to various distribution platforms, including to cable and broadcast networks as well as to subscription video on demand services; from the fees received under retransmission consent agreements and associated fees received from NBC-affiliated local broadcast television stations; and from the sale of our owned programming on DVDs and through digital distribution services.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Filmed Entertainment</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Filmed Entertainment segment primarily produces, acquires, markets and distributes filmed entertainment worldwide. Our films are produced primarily under the Universal Pictures, Illumination, DreamWorks Animation and Focus Features names. Our Filmed Entertainment segment generates revenue primarily from the worldwide distribution of our produced and acquired films for exhibition in movie theaters, from the licensing of produced and acquired films through various distribution platforms, and from the sale of produced and acquired films on DVDs and through digital distribution services. Our Filmed Entertainment segment also generates revenue from Fandango, a movie ticketing and entertainment business, the sale of consumer products, the production and licensing of live stage plays, and the distribution of filmed entertainment produced by third parties.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75"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w:t>
      </w:r>
    </w:p>
    <w:p>
      <w:pPr>
        <w:spacing w:after="0" w:line="16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Theme Parks segment consists primarily of our Universal theme parks in Orlando, Florida; Hollywood, California; and Osaka, Japan. In addition, we are developing a theme park in Beijing, China along with a consortium of Chinese state-owned companies, and an additional theme park in Orlando, Florida. Our Theme Parks segment generates revenue primarily from ticket sales and guest spending at our Universal theme parks.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Segment</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Sky segment consists of the operations of Sky, one of Europe’s leading entertainment companies, which primarily includes a direct-to-consumer business, providing video, high-speed internet, voice and wireless phone services, and a content business, operating entertainment networks, the Sky News broadcast network and Sky Sports networks. As of September 30, 2019, Sky had 23.9 million retail customer relationships.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 We are also pursuing other business initiatives, such as the development of Peacock, NBCUniversal’s direct-to-consumer streaming service.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results of operations of our reportable business segments are affected by competition, as all of our businesses operate in intensely competitive, consumer-driven and rapidly changing environments and compete with a growing number of companies that provide a broad range of communications products and services and entertainment, news and information content to consumers. Technological changes are further intensifying and complicating the competitive landscape and challenging existing business models. In particular, consumers are increasingly turning to online sources for viewing and purchasing content, which has and likely will continue to reduce the number of our video customers and subscribers to our cable networks even as it makes our high-speed internet services more valuable to consumers. In addition, the increasing number of entertainment choices available has intensified audience fragmentation, which has and likely will continue to adversely affect the audience ratings of NBCUniversal’s cable networks and broadcast television programming and Sky’s owned television channels.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additional information on the competition our businesses face, see our 2018 Annual Report on Form 10-K and refer to Item 1: Business and Item 1A: Risk Factors. Within the Business section, refer to the “Competition” discussion, and within the Risk Factors section, refer to the risk factors entitled “Our businesses currently face a wide range of competition, and our businesses and results of operations could be adversely affected if we do not compete effectively” and “Changes in consumer behavior driven by online distribution platforms for viewing content could adversely affect our businesses and challenge existing business models.”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Each of our businesses is subject to seasonal and cyclical variations. In our Cable Communications segment, our results are impacted by the seasonal nature of residential customers receiving our cable services in college and vacation markets. This generally results in fewer net customer relationship additions in the second quarter of each year. In our Sky segment, our results are impacted by the seasonal nature of residential customers receiving direct-to-home (“DTH”) and over the top (“OTT”) video services, including the start of the new soccer seasons and the Christmas holiday. This generally results in greater net customer relationship additions and higher subscriber acquisition costs in the fourth quarter of each year due to higher marketing expenses.</w:t>
      </w:r>
    </w:p>
    <w:p>
      <w:pPr>
        <w:spacing w:after="0" w:line="10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Revenue in our Cable Communications, Cable Networks, Broadcast Television and Sky segments is subject to cyclical advertising patterns and changes in viewership levels. Advertising revenue in the U.S. is generally higher in the second and fourth quarters of each year, due in part to increases in consumer advertising in the spring and in the period leading up to and including the holiday season. Advertising revenue in the U.S. is also cyclical, with a benefit in even-numbered years due to advertising related to candidates running for political office and issue-oriented advertising. Revenue in our Cable Networks and Broadcast Television segments fluctuates depending on the timing of when our programming is aired, which typically results in higher advertising revenue in the second and fourth quarters of each year. The results of Sky’s advertising business are subject to cyclical advertising patterns and changes in viewership levels. This includes seasonally higher audience levels in winter months and increased competition during major sporting events where public service broadcasters lease the rights, such as the Olympic Games and the FIFA World Cup</w:t>
      </w:r>
      <w:r>
        <w:rPr>
          <w:rFonts w:ascii="Arial" w:cs="Arial" w:eastAsia="Arial" w:hAnsi="Arial"/>
          <w:sz w:val="16"/>
          <w:szCs w:val="16"/>
          <w:i w:val="1"/>
          <w:iCs w:val="1"/>
          <w:color w:val="auto"/>
        </w:rPr>
        <w:t>™</w:t>
      </w:r>
      <w:r>
        <w:rPr>
          <w:rFonts w:ascii="Arial" w:cs="Arial" w:eastAsia="Arial" w:hAnsi="Arial"/>
          <w:sz w:val="16"/>
          <w:szCs w:val="16"/>
          <w:color w:val="auto"/>
        </w:rPr>
        <w:t>. The results for Sky’s content business are also subject to fluctuations as a result of changes in timing, nature and quantity of original programming distributed to other markets.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revenue and operating costs and expenses (comprised of total costs and expenses, excluding depreciation and amortization expense and other operating gains) are cyclical as a result of our periodic broadcasts of major sporting events, such as the Olympic Games, which affect our Cable Networks and Broadcast Television segments, and the Super Bowl, which affects our Broadcast Television segment. In particular, our advertising revenue increases due to increased demand for advertising time and our distribution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75"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increases in the period of these broadcasts. Our operating costs and expenses also increase as a result of our production costs for these broadcasts and the amortization of the related rights fees.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in our Filmed Entertainment segment fluctuates due to the timing, nature and number of films released in movie theaters, on DVDs, and through various other distribution platforms. Release dates are determined by several factors, including competition and the timing of vacation and holiday periods. As a result, revenue tends to be seasonal, with increases experienced each year during the summer months and around the holiday season. Content licensing revenue in our Cable Networks, Broadcast Television and Filmed Entertainment segments also fluctuates due to the timing of when our content is made available to licensees.</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in our Theme Parks segment fluctuates with changes in theme park attendance that result from the seasonal nature of vacation travel and weather variations, local entertainment offerings and the opening of new attractions, as well as with changes in currency exchange rates. Our theme parks generally experience peak attendance during the spring holiday period, the summer months when schools are closed and the holiday season.</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Exclusive tier one sports rights, such as local European and UEFA Champions League soccer, Formula 1, and English cricket, play a key role within Sky’s wider content strategy. In Europe broadcasting rights for tier one sports are usually tendered through a competitive auction process, with the winning bidder or bidders acquiring rights over a three to five-year period. This creates some level of cyclicality for Sky, although the staggered timing of tier one sports rights auctions usually gives Sky time to react to any material changes in the competitive dynamics of the prevailing market.</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3"/>
          </w:tcPr>
          <w:p>
            <w:pPr>
              <w:jc w:val="right"/>
              <w:ind w:right="771"/>
              <w:spacing w:after="0"/>
              <w:rPr>
                <w:sz w:val="20"/>
                <w:szCs w:val="20"/>
                <w:color w:val="auto"/>
              </w:rPr>
            </w:pPr>
            <w:r>
              <w:rPr>
                <w:rFonts w:ascii="Arial" w:cs="Arial" w:eastAsia="Arial" w:hAnsi="Arial"/>
                <w:sz w:val="14"/>
                <w:szCs w:val="14"/>
                <w:color w:val="auto"/>
              </w:rPr>
              <w:t>Three Months Ended</w:t>
            </w:r>
          </w:p>
        </w:tc>
        <w:tc>
          <w:tcPr>
            <w:tcW w:w="1320" w:type="dxa"/>
            <w:vAlign w:val="bottom"/>
          </w:tcPr>
          <w:p>
            <w:pPr>
              <w:jc w:val="center"/>
              <w:ind w:right="73"/>
              <w:spacing w:after="0"/>
              <w:rPr>
                <w:sz w:val="20"/>
                <w:szCs w:val="20"/>
                <w:color w:val="auto"/>
              </w:rPr>
            </w:pPr>
            <w:r>
              <w:rPr>
                <w:rFonts w:ascii="Arial" w:cs="Arial" w:eastAsia="Arial" w:hAnsi="Arial"/>
                <w:sz w:val="14"/>
                <w:szCs w:val="14"/>
                <w:color w:val="auto"/>
                <w:w w:val="90"/>
              </w:rPr>
              <w:t>Increase/</w:t>
            </w:r>
          </w:p>
        </w:tc>
        <w:tc>
          <w:tcPr>
            <w:tcW w:w="340" w:type="dxa"/>
            <w:vAlign w:val="bottom"/>
          </w:tcPr>
          <w:p>
            <w:pPr>
              <w:spacing w:after="0"/>
              <w:rPr>
                <w:sz w:val="14"/>
                <w:szCs w:val="14"/>
                <w:color w:val="auto"/>
              </w:rPr>
            </w:pPr>
          </w:p>
        </w:tc>
        <w:tc>
          <w:tcPr>
            <w:tcW w:w="2500" w:type="dxa"/>
            <w:vAlign w:val="bottom"/>
            <w:gridSpan w:val="3"/>
          </w:tcPr>
          <w:p>
            <w:pPr>
              <w:jc w:val="right"/>
              <w:ind w:right="811"/>
              <w:spacing w:after="0"/>
              <w:rPr>
                <w:sz w:val="20"/>
                <w:szCs w:val="20"/>
                <w:color w:val="auto"/>
              </w:rPr>
            </w:pPr>
            <w:r>
              <w:rPr>
                <w:rFonts w:ascii="Arial" w:cs="Arial" w:eastAsia="Arial" w:hAnsi="Arial"/>
                <w:sz w:val="14"/>
                <w:szCs w:val="14"/>
                <w:color w:val="auto"/>
              </w:rPr>
              <w:t>Nine Months Ended</w:t>
            </w:r>
          </w:p>
        </w:tc>
        <w:tc>
          <w:tcPr>
            <w:tcW w:w="1260" w:type="dxa"/>
            <w:vAlign w:val="bottom"/>
          </w:tcPr>
          <w:p>
            <w:pPr>
              <w:jc w:val="center"/>
              <w:ind w:right="13"/>
              <w:spacing w:after="0"/>
              <w:rPr>
                <w:sz w:val="20"/>
                <w:szCs w:val="20"/>
                <w:color w:val="auto"/>
              </w:rPr>
            </w:pPr>
            <w:r>
              <w:rPr>
                <w:rFonts w:ascii="Arial" w:cs="Arial" w:eastAsia="Arial" w:hAnsi="Arial"/>
                <w:sz w:val="14"/>
                <w:szCs w:val="14"/>
                <w:color w:val="auto"/>
                <w:w w:val="90"/>
              </w:rPr>
              <w:t>Increase/</w:t>
            </w:r>
          </w:p>
        </w:tc>
      </w:tr>
      <w:tr>
        <w:trPr>
          <w:trHeight w:val="188"/>
        </w:trPr>
        <w:tc>
          <w:tcPr>
            <w:tcW w:w="3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89"/>
              </w:rPr>
              <w:t>(Decrease)</w:t>
            </w: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89"/>
              </w:rPr>
              <w:t>(Decrease)</w:t>
            </w:r>
          </w:p>
        </w:tc>
      </w:tr>
      <w:tr>
        <w:trPr>
          <w:trHeight w:val="264"/>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2019</w:t>
            </w: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color w:val="auto"/>
              </w:rPr>
              <w:t>2018</w:t>
            </w:r>
          </w:p>
        </w:tc>
        <w:tc>
          <w:tcPr>
            <w:tcW w:w="13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96"/>
              </w:rPr>
              <w:t>%</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color w:val="auto"/>
              </w:rPr>
              <w:t>2019</w:t>
            </w:r>
          </w:p>
        </w:tc>
        <w:tc>
          <w:tcPr>
            <w:tcW w:w="4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rPr>
              <w:t>2018</w:t>
            </w:r>
          </w:p>
        </w:tc>
        <w:tc>
          <w:tcPr>
            <w:tcW w:w="12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color w:val="auto"/>
                <w:w w:val="96"/>
              </w:rPr>
              <w:t>%</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26,827</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22,135</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21.2 %</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80,544</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66,661</w:t>
            </w:r>
          </w:p>
        </w:tc>
        <w:tc>
          <w:tcPr>
            <w:tcW w:w="1260" w:type="dxa"/>
            <w:vAlign w:val="bottom"/>
          </w:tcPr>
          <w:p>
            <w:pPr>
              <w:jc w:val="right"/>
              <w:spacing w:after="0"/>
              <w:rPr>
                <w:sz w:val="20"/>
                <w:szCs w:val="20"/>
                <w:color w:val="auto"/>
              </w:rPr>
            </w:pPr>
            <w:r>
              <w:rPr>
                <w:rFonts w:ascii="Arial" w:cs="Arial" w:eastAsia="Arial" w:hAnsi="Arial"/>
                <w:sz w:val="18"/>
                <w:szCs w:val="18"/>
                <w:color w:val="auto"/>
              </w:rPr>
              <w:t>20.8 %</w:t>
            </w:r>
          </w:p>
        </w:tc>
      </w:tr>
      <w:tr>
        <w:trPr>
          <w:trHeight w:val="270"/>
        </w:trPr>
        <w:tc>
          <w:tcPr>
            <w:tcW w:w="32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320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28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8,316</w:t>
            </w:r>
          </w:p>
        </w:tc>
        <w:tc>
          <w:tcPr>
            <w:tcW w:w="460" w:type="dxa"/>
            <w:vAlign w:val="bottom"/>
          </w:tcPr>
          <w:p>
            <w:pPr>
              <w:spacing w:after="0"/>
              <w:rPr>
                <w:sz w:val="23"/>
                <w:szCs w:val="23"/>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6,711</w:t>
            </w:r>
          </w:p>
        </w:tc>
        <w:tc>
          <w:tcPr>
            <w:tcW w:w="1320" w:type="dxa"/>
            <w:vAlign w:val="bottom"/>
          </w:tcPr>
          <w:p>
            <w:pPr>
              <w:jc w:val="right"/>
              <w:ind w:right="233"/>
              <w:spacing w:after="0"/>
              <w:rPr>
                <w:sz w:val="20"/>
                <w:szCs w:val="20"/>
                <w:color w:val="auto"/>
              </w:rPr>
            </w:pPr>
            <w:r>
              <w:rPr>
                <w:rFonts w:ascii="Arial" w:cs="Arial" w:eastAsia="Arial" w:hAnsi="Arial"/>
                <w:sz w:val="18"/>
                <w:szCs w:val="18"/>
                <w:color w:val="auto"/>
              </w:rPr>
              <w:t>23.9</w:t>
            </w:r>
          </w:p>
        </w:tc>
        <w:tc>
          <w:tcPr>
            <w:tcW w:w="34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25,140</w:t>
            </w:r>
          </w:p>
        </w:tc>
        <w:tc>
          <w:tcPr>
            <w:tcW w:w="480" w:type="dxa"/>
            <w:vAlign w:val="bottom"/>
          </w:tcPr>
          <w:p>
            <w:pPr>
              <w:spacing w:after="0"/>
              <w:rPr>
                <w:sz w:val="23"/>
                <w:szCs w:val="23"/>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20,440</w:t>
            </w:r>
          </w:p>
        </w:tc>
        <w:tc>
          <w:tcPr>
            <w:tcW w:w="1260" w:type="dxa"/>
            <w:vAlign w:val="bottom"/>
          </w:tcPr>
          <w:p>
            <w:pPr>
              <w:jc w:val="right"/>
              <w:ind w:right="173"/>
              <w:spacing w:after="0"/>
              <w:rPr>
                <w:sz w:val="20"/>
                <w:szCs w:val="20"/>
                <w:color w:val="auto"/>
              </w:rPr>
            </w:pPr>
            <w:r>
              <w:rPr>
                <w:rFonts w:ascii="Arial" w:cs="Arial" w:eastAsia="Arial" w:hAnsi="Arial"/>
                <w:sz w:val="18"/>
                <w:szCs w:val="18"/>
                <w:color w:val="auto"/>
              </w:rPr>
              <w:t>23.0</w:t>
            </w:r>
          </w:p>
        </w:tc>
      </w:tr>
      <w:tr>
        <w:trPr>
          <w:trHeight w:val="270"/>
        </w:trPr>
        <w:tc>
          <w:tcPr>
            <w:tcW w:w="320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28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8,090</w:t>
            </w:r>
          </w:p>
        </w:tc>
        <w:tc>
          <w:tcPr>
            <w:tcW w:w="460" w:type="dxa"/>
            <w:vAlign w:val="bottom"/>
          </w:tcPr>
          <w:p>
            <w:pPr>
              <w:spacing w:after="0"/>
              <w:rPr>
                <w:sz w:val="23"/>
                <w:szCs w:val="23"/>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6,444</w:t>
            </w:r>
          </w:p>
        </w:tc>
        <w:tc>
          <w:tcPr>
            <w:tcW w:w="1320" w:type="dxa"/>
            <w:vAlign w:val="bottom"/>
          </w:tcPr>
          <w:p>
            <w:pPr>
              <w:jc w:val="right"/>
              <w:ind w:right="233"/>
              <w:spacing w:after="0"/>
              <w:rPr>
                <w:sz w:val="20"/>
                <w:szCs w:val="20"/>
                <w:color w:val="auto"/>
              </w:rPr>
            </w:pPr>
            <w:r>
              <w:rPr>
                <w:rFonts w:ascii="Arial" w:cs="Arial" w:eastAsia="Arial" w:hAnsi="Arial"/>
                <w:sz w:val="18"/>
                <w:szCs w:val="18"/>
                <w:color w:val="auto"/>
              </w:rPr>
              <w:t>25.5</w:t>
            </w:r>
          </w:p>
        </w:tc>
        <w:tc>
          <w:tcPr>
            <w:tcW w:w="34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24,076</w:t>
            </w:r>
          </w:p>
        </w:tc>
        <w:tc>
          <w:tcPr>
            <w:tcW w:w="480" w:type="dxa"/>
            <w:vAlign w:val="bottom"/>
          </w:tcPr>
          <w:p>
            <w:pPr>
              <w:spacing w:after="0"/>
              <w:rPr>
                <w:sz w:val="23"/>
                <w:szCs w:val="23"/>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19,323</w:t>
            </w:r>
          </w:p>
        </w:tc>
        <w:tc>
          <w:tcPr>
            <w:tcW w:w="1260" w:type="dxa"/>
            <w:vAlign w:val="bottom"/>
          </w:tcPr>
          <w:p>
            <w:pPr>
              <w:jc w:val="right"/>
              <w:ind w:right="173"/>
              <w:spacing w:after="0"/>
              <w:rPr>
                <w:sz w:val="20"/>
                <w:szCs w:val="20"/>
                <w:color w:val="auto"/>
              </w:rPr>
            </w:pPr>
            <w:r>
              <w:rPr>
                <w:rFonts w:ascii="Arial" w:cs="Arial" w:eastAsia="Arial" w:hAnsi="Arial"/>
                <w:sz w:val="18"/>
                <w:szCs w:val="18"/>
                <w:color w:val="auto"/>
              </w:rPr>
              <w:t>24.6</w:t>
            </w:r>
          </w:p>
        </w:tc>
      </w:tr>
      <w:tr>
        <w:trPr>
          <w:trHeight w:val="270"/>
        </w:trPr>
        <w:tc>
          <w:tcPr>
            <w:tcW w:w="3200" w:type="dxa"/>
            <w:vAlign w:val="bottom"/>
          </w:tcPr>
          <w:p>
            <w:pPr>
              <w:ind w:left="380"/>
              <w:spacing w:after="0"/>
              <w:rPr>
                <w:sz w:val="20"/>
                <w:szCs w:val="20"/>
                <w:color w:val="auto"/>
              </w:rPr>
            </w:pPr>
            <w:r>
              <w:rPr>
                <w:rFonts w:ascii="Arial" w:cs="Arial" w:eastAsia="Arial" w:hAnsi="Arial"/>
                <w:sz w:val="18"/>
                <w:szCs w:val="18"/>
                <w:color w:val="auto"/>
                <w:w w:val="93"/>
              </w:rPr>
              <w:t>Advertising, marketing and promotion</w:t>
            </w:r>
          </w:p>
        </w:tc>
        <w:tc>
          <w:tcPr>
            <w:tcW w:w="28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1,901</w:t>
            </w:r>
          </w:p>
        </w:tc>
        <w:tc>
          <w:tcPr>
            <w:tcW w:w="460" w:type="dxa"/>
            <w:vAlign w:val="bottom"/>
          </w:tcPr>
          <w:p>
            <w:pPr>
              <w:spacing w:after="0"/>
              <w:rPr>
                <w:sz w:val="23"/>
                <w:szCs w:val="23"/>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1,667</w:t>
            </w:r>
          </w:p>
        </w:tc>
        <w:tc>
          <w:tcPr>
            <w:tcW w:w="1320" w:type="dxa"/>
            <w:vAlign w:val="bottom"/>
          </w:tcPr>
          <w:p>
            <w:pPr>
              <w:jc w:val="right"/>
              <w:ind w:right="233"/>
              <w:spacing w:after="0"/>
              <w:rPr>
                <w:sz w:val="20"/>
                <w:szCs w:val="20"/>
                <w:color w:val="auto"/>
              </w:rPr>
            </w:pPr>
            <w:r>
              <w:rPr>
                <w:rFonts w:ascii="Arial" w:cs="Arial" w:eastAsia="Arial" w:hAnsi="Arial"/>
                <w:sz w:val="18"/>
                <w:szCs w:val="18"/>
                <w:color w:val="auto"/>
              </w:rPr>
              <w:t>14.1</w:t>
            </w:r>
          </w:p>
        </w:tc>
        <w:tc>
          <w:tcPr>
            <w:tcW w:w="34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5,674</w:t>
            </w:r>
          </w:p>
        </w:tc>
        <w:tc>
          <w:tcPr>
            <w:tcW w:w="480" w:type="dxa"/>
            <w:vAlign w:val="bottom"/>
          </w:tcPr>
          <w:p>
            <w:pPr>
              <w:spacing w:after="0"/>
              <w:rPr>
                <w:sz w:val="23"/>
                <w:szCs w:val="23"/>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4,924</w:t>
            </w:r>
          </w:p>
        </w:tc>
        <w:tc>
          <w:tcPr>
            <w:tcW w:w="1260" w:type="dxa"/>
            <w:vAlign w:val="bottom"/>
          </w:tcPr>
          <w:p>
            <w:pPr>
              <w:jc w:val="right"/>
              <w:ind w:right="173"/>
              <w:spacing w:after="0"/>
              <w:rPr>
                <w:sz w:val="20"/>
                <w:szCs w:val="20"/>
                <w:color w:val="auto"/>
              </w:rPr>
            </w:pPr>
            <w:r>
              <w:rPr>
                <w:rFonts w:ascii="Arial" w:cs="Arial" w:eastAsia="Arial" w:hAnsi="Arial"/>
                <w:sz w:val="18"/>
                <w:szCs w:val="18"/>
                <w:color w:val="auto"/>
              </w:rPr>
              <w:t>15.2</w:t>
            </w:r>
          </w:p>
        </w:tc>
      </w:tr>
      <w:tr>
        <w:trPr>
          <w:trHeight w:val="270"/>
        </w:trPr>
        <w:tc>
          <w:tcPr>
            <w:tcW w:w="320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2,124</w:t>
            </w:r>
          </w:p>
        </w:tc>
        <w:tc>
          <w:tcPr>
            <w:tcW w:w="460" w:type="dxa"/>
            <w:vAlign w:val="bottom"/>
          </w:tcPr>
          <w:p>
            <w:pPr>
              <w:spacing w:after="0"/>
              <w:rPr>
                <w:sz w:val="23"/>
                <w:szCs w:val="23"/>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2,038</w:t>
            </w:r>
          </w:p>
        </w:tc>
        <w:tc>
          <w:tcPr>
            <w:tcW w:w="1320" w:type="dxa"/>
            <w:vAlign w:val="bottom"/>
          </w:tcPr>
          <w:p>
            <w:pPr>
              <w:jc w:val="right"/>
              <w:ind w:right="233"/>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6,561</w:t>
            </w:r>
          </w:p>
        </w:tc>
        <w:tc>
          <w:tcPr>
            <w:tcW w:w="480" w:type="dxa"/>
            <w:vAlign w:val="bottom"/>
          </w:tcPr>
          <w:p>
            <w:pPr>
              <w:spacing w:after="0"/>
              <w:rPr>
                <w:sz w:val="23"/>
                <w:szCs w:val="23"/>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6,070</w:t>
            </w:r>
          </w:p>
        </w:tc>
        <w:tc>
          <w:tcPr>
            <w:tcW w:w="1260" w:type="dxa"/>
            <w:vAlign w:val="bottom"/>
          </w:tcPr>
          <w:p>
            <w:pPr>
              <w:jc w:val="right"/>
              <w:ind w:right="173"/>
              <w:spacing w:after="0"/>
              <w:rPr>
                <w:sz w:val="20"/>
                <w:szCs w:val="20"/>
                <w:color w:val="auto"/>
              </w:rPr>
            </w:pPr>
            <w:r>
              <w:rPr>
                <w:rFonts w:ascii="Arial" w:cs="Arial" w:eastAsia="Arial" w:hAnsi="Arial"/>
                <w:sz w:val="18"/>
                <w:szCs w:val="18"/>
                <w:color w:val="auto"/>
              </w:rPr>
              <w:t>8.1</w:t>
            </w:r>
          </w:p>
        </w:tc>
      </w:tr>
      <w:tr>
        <w:trPr>
          <w:trHeight w:val="270"/>
        </w:trPr>
        <w:tc>
          <w:tcPr>
            <w:tcW w:w="320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1,056</w:t>
            </w:r>
          </w:p>
        </w:tc>
        <w:tc>
          <w:tcPr>
            <w:tcW w:w="460" w:type="dxa"/>
            <w:vAlign w:val="bottom"/>
          </w:tcPr>
          <w:p>
            <w:pPr>
              <w:spacing w:after="0"/>
              <w:rPr>
                <w:sz w:val="23"/>
                <w:szCs w:val="23"/>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580</w:t>
            </w:r>
          </w:p>
        </w:tc>
        <w:tc>
          <w:tcPr>
            <w:tcW w:w="1320" w:type="dxa"/>
            <w:vAlign w:val="bottom"/>
          </w:tcPr>
          <w:p>
            <w:pPr>
              <w:jc w:val="right"/>
              <w:ind w:right="233"/>
              <w:spacing w:after="0"/>
              <w:rPr>
                <w:sz w:val="20"/>
                <w:szCs w:val="20"/>
                <w:color w:val="auto"/>
              </w:rPr>
            </w:pPr>
            <w:r>
              <w:rPr>
                <w:rFonts w:ascii="Arial" w:cs="Arial" w:eastAsia="Arial" w:hAnsi="Arial"/>
                <w:sz w:val="18"/>
                <w:szCs w:val="18"/>
                <w:color w:val="auto"/>
              </w:rPr>
              <w:t>81.5</w:t>
            </w:r>
          </w:p>
        </w:tc>
        <w:tc>
          <w:tcPr>
            <w:tcW w:w="34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3,215</w:t>
            </w:r>
          </w:p>
        </w:tc>
        <w:tc>
          <w:tcPr>
            <w:tcW w:w="480" w:type="dxa"/>
            <w:vAlign w:val="bottom"/>
          </w:tcPr>
          <w:p>
            <w:pPr>
              <w:spacing w:after="0"/>
              <w:rPr>
                <w:sz w:val="23"/>
                <w:szCs w:val="23"/>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1,750</w:t>
            </w:r>
          </w:p>
        </w:tc>
        <w:tc>
          <w:tcPr>
            <w:tcW w:w="1260" w:type="dxa"/>
            <w:vAlign w:val="bottom"/>
          </w:tcPr>
          <w:p>
            <w:pPr>
              <w:jc w:val="right"/>
              <w:ind w:right="173"/>
              <w:spacing w:after="0"/>
              <w:rPr>
                <w:sz w:val="20"/>
                <w:szCs w:val="20"/>
                <w:color w:val="auto"/>
              </w:rPr>
            </w:pPr>
            <w:r>
              <w:rPr>
                <w:rFonts w:ascii="Arial" w:cs="Arial" w:eastAsia="Arial" w:hAnsi="Arial"/>
                <w:sz w:val="18"/>
                <w:szCs w:val="18"/>
                <w:color w:val="auto"/>
              </w:rPr>
              <w:t>83.6</w:t>
            </w:r>
          </w:p>
        </w:tc>
      </w:tr>
      <w:tr>
        <w:trPr>
          <w:trHeight w:val="270"/>
        </w:trPr>
        <w:tc>
          <w:tcPr>
            <w:tcW w:w="3200" w:type="dxa"/>
            <w:vAlign w:val="bottom"/>
          </w:tcPr>
          <w:p>
            <w:pPr>
              <w:ind w:left="380"/>
              <w:spacing w:after="0"/>
              <w:rPr>
                <w:sz w:val="20"/>
                <w:szCs w:val="20"/>
                <w:color w:val="auto"/>
              </w:rPr>
            </w:pPr>
            <w:r>
              <w:rPr>
                <w:rFonts w:ascii="Arial" w:cs="Arial" w:eastAsia="Arial" w:hAnsi="Arial"/>
                <w:sz w:val="18"/>
                <w:szCs w:val="18"/>
                <w:color w:val="auto"/>
              </w:rPr>
              <w:t>Other operating gains</w:t>
            </w:r>
          </w:p>
        </w:tc>
        <w:tc>
          <w:tcPr>
            <w:tcW w:w="28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(141)</w:t>
            </w:r>
          </w:p>
        </w:tc>
        <w:tc>
          <w:tcPr>
            <w:tcW w:w="1320" w:type="dxa"/>
            <w:vAlign w:val="bottom"/>
          </w:tcPr>
          <w:p>
            <w:pPr>
              <w:jc w:val="right"/>
              <w:ind w:right="233"/>
              <w:spacing w:after="0"/>
              <w:rPr>
                <w:sz w:val="20"/>
                <w:szCs w:val="20"/>
                <w:color w:val="auto"/>
              </w:rPr>
            </w:pPr>
            <w:r>
              <w:rPr>
                <w:rFonts w:ascii="Arial" w:cs="Arial" w:eastAsia="Arial" w:hAnsi="Arial"/>
                <w:sz w:val="18"/>
                <w:szCs w:val="18"/>
                <w:color w:val="auto"/>
              </w:rPr>
              <w:t>NM</w:t>
            </w:r>
          </w:p>
        </w:tc>
        <w:tc>
          <w:tcPr>
            <w:tcW w:w="34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(341)</w:t>
            </w:r>
          </w:p>
        </w:tc>
        <w:tc>
          <w:tcPr>
            <w:tcW w:w="1260" w:type="dxa"/>
            <w:vAlign w:val="bottom"/>
          </w:tcPr>
          <w:p>
            <w:pPr>
              <w:jc w:val="right"/>
              <w:ind w:right="173"/>
              <w:spacing w:after="0"/>
              <w:rPr>
                <w:sz w:val="20"/>
                <w:szCs w:val="20"/>
                <w:color w:val="auto"/>
              </w:rPr>
            </w:pPr>
            <w:r>
              <w:rPr>
                <w:rFonts w:ascii="Arial" w:cs="Arial" w:eastAsia="Arial" w:hAnsi="Arial"/>
                <w:sz w:val="18"/>
                <w:szCs w:val="18"/>
                <w:color w:val="auto"/>
              </w:rPr>
              <w:t>NM</w:t>
            </w:r>
          </w:p>
        </w:tc>
      </w:tr>
      <w:tr>
        <w:trPr>
          <w:trHeight w:val="27"/>
        </w:trPr>
        <w:tc>
          <w:tcPr>
            <w:tcW w:w="3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Pr>
          <w:p>
            <w:pPr>
              <w:spacing w:after="0"/>
              <w:rPr>
                <w:sz w:val="20"/>
                <w:szCs w:val="20"/>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5,340</w:t>
            </w:r>
          </w:p>
        </w:tc>
        <w:tc>
          <w:tcPr>
            <w:tcW w:w="460" w:type="dxa"/>
            <w:vAlign w:val="bottom"/>
          </w:tcPr>
          <w:p>
            <w:pPr>
              <w:spacing w:after="0"/>
              <w:rPr>
                <w:sz w:val="20"/>
                <w:szCs w:val="20"/>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4,836</w:t>
            </w:r>
          </w:p>
        </w:tc>
        <w:tc>
          <w:tcPr>
            <w:tcW w:w="1320" w:type="dxa"/>
            <w:vAlign w:val="bottom"/>
          </w:tcPr>
          <w:p>
            <w:pPr>
              <w:jc w:val="right"/>
              <w:ind w:right="233"/>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0"/>
                <w:szCs w:val="20"/>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15,878</w:t>
            </w:r>
          </w:p>
        </w:tc>
        <w:tc>
          <w:tcPr>
            <w:tcW w:w="480" w:type="dxa"/>
            <w:vAlign w:val="bottom"/>
          </w:tcPr>
          <w:p>
            <w:pPr>
              <w:spacing w:after="0"/>
              <w:rPr>
                <w:sz w:val="20"/>
                <w:szCs w:val="20"/>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14,495</w:t>
            </w:r>
          </w:p>
        </w:tc>
        <w:tc>
          <w:tcPr>
            <w:tcW w:w="1260" w:type="dxa"/>
            <w:vAlign w:val="bottom"/>
          </w:tcPr>
          <w:p>
            <w:pPr>
              <w:jc w:val="right"/>
              <w:ind w:right="173"/>
              <w:spacing w:after="0"/>
              <w:rPr>
                <w:sz w:val="20"/>
                <w:szCs w:val="20"/>
                <w:color w:val="auto"/>
              </w:rPr>
            </w:pPr>
            <w:r>
              <w:rPr>
                <w:rFonts w:ascii="Arial" w:cs="Arial" w:eastAsia="Arial" w:hAnsi="Arial"/>
                <w:sz w:val="18"/>
                <w:szCs w:val="18"/>
                <w:color w:val="auto"/>
              </w:rPr>
              <w:t>9.5</w:t>
            </w:r>
          </w:p>
        </w:tc>
      </w:tr>
      <w:tr>
        <w:trPr>
          <w:trHeight w:val="270"/>
        </w:trPr>
        <w:tc>
          <w:tcPr>
            <w:tcW w:w="32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(1,167)</w:t>
            </w:r>
          </w:p>
        </w:tc>
        <w:tc>
          <w:tcPr>
            <w:tcW w:w="460" w:type="dxa"/>
            <w:vAlign w:val="bottom"/>
          </w:tcPr>
          <w:p>
            <w:pPr>
              <w:spacing w:after="0"/>
              <w:rPr>
                <w:sz w:val="23"/>
                <w:szCs w:val="23"/>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(830)</w:t>
            </w:r>
          </w:p>
        </w:tc>
        <w:tc>
          <w:tcPr>
            <w:tcW w:w="1320" w:type="dxa"/>
            <w:vAlign w:val="bottom"/>
          </w:tcPr>
          <w:p>
            <w:pPr>
              <w:jc w:val="right"/>
              <w:ind w:right="233"/>
              <w:spacing w:after="0"/>
              <w:rPr>
                <w:sz w:val="20"/>
                <w:szCs w:val="20"/>
                <w:color w:val="auto"/>
              </w:rPr>
            </w:pPr>
            <w:r>
              <w:rPr>
                <w:rFonts w:ascii="Arial" w:cs="Arial" w:eastAsia="Arial" w:hAnsi="Arial"/>
                <w:sz w:val="18"/>
                <w:szCs w:val="18"/>
                <w:color w:val="auto"/>
              </w:rPr>
              <w:t>40.6</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(3,454)</w:t>
            </w:r>
          </w:p>
        </w:tc>
        <w:tc>
          <w:tcPr>
            <w:tcW w:w="480" w:type="dxa"/>
            <w:vAlign w:val="bottom"/>
          </w:tcPr>
          <w:p>
            <w:pPr>
              <w:spacing w:after="0"/>
              <w:rPr>
                <w:sz w:val="23"/>
                <w:szCs w:val="23"/>
                <w:color w:val="auto"/>
              </w:rPr>
            </w:pP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(2,413)</w:t>
            </w:r>
          </w:p>
        </w:tc>
        <w:tc>
          <w:tcPr>
            <w:tcW w:w="1260" w:type="dxa"/>
            <w:vAlign w:val="bottom"/>
          </w:tcPr>
          <w:p>
            <w:pPr>
              <w:jc w:val="right"/>
              <w:ind w:right="173"/>
              <w:spacing w:after="0"/>
              <w:rPr>
                <w:sz w:val="20"/>
                <w:szCs w:val="20"/>
                <w:color w:val="auto"/>
              </w:rPr>
            </w:pPr>
            <w:r>
              <w:rPr>
                <w:rFonts w:ascii="Arial" w:cs="Arial" w:eastAsia="Arial" w:hAnsi="Arial"/>
                <w:sz w:val="18"/>
                <w:szCs w:val="18"/>
                <w:color w:val="auto"/>
              </w:rPr>
              <w:t>43.1</w:t>
            </w:r>
          </w:p>
        </w:tc>
      </w:tr>
      <w:tr>
        <w:trPr>
          <w:trHeight w:val="270"/>
        </w:trPr>
        <w:tc>
          <w:tcPr>
            <w:tcW w:w="3200" w:type="dxa"/>
            <w:vAlign w:val="bottom"/>
          </w:tcPr>
          <w:p>
            <w:pPr>
              <w:ind w:left="40"/>
              <w:spacing w:after="0"/>
              <w:rPr>
                <w:sz w:val="20"/>
                <w:szCs w:val="20"/>
                <w:color w:val="auto"/>
              </w:rPr>
            </w:pPr>
            <w:r>
              <w:rPr>
                <w:rFonts w:ascii="Arial" w:cs="Arial" w:eastAsia="Arial" w:hAnsi="Arial"/>
                <w:sz w:val="18"/>
                <w:szCs w:val="18"/>
                <w:color w:val="auto"/>
                <w:w w:val="99"/>
              </w:rPr>
              <w:t>Investment and other income (loss), net</w:t>
            </w:r>
          </w:p>
        </w:tc>
        <w:tc>
          <w:tcPr>
            <w:tcW w:w="28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(110)</w:t>
            </w:r>
          </w:p>
        </w:tc>
        <w:tc>
          <w:tcPr>
            <w:tcW w:w="460" w:type="dxa"/>
            <w:vAlign w:val="bottom"/>
          </w:tcPr>
          <w:p>
            <w:pPr>
              <w:spacing w:after="0"/>
              <w:rPr>
                <w:sz w:val="23"/>
                <w:szCs w:val="23"/>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(111)</w:t>
            </w:r>
          </w:p>
        </w:tc>
        <w:tc>
          <w:tcPr>
            <w:tcW w:w="1320" w:type="dxa"/>
            <w:vAlign w:val="bottom"/>
          </w:tcPr>
          <w:p>
            <w:pPr>
              <w:jc w:val="right"/>
              <w:ind w:right="173"/>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511</w:t>
            </w:r>
          </w:p>
        </w:tc>
        <w:tc>
          <w:tcPr>
            <w:tcW w:w="480" w:type="dxa"/>
            <w:vAlign w:val="bottom"/>
          </w:tcPr>
          <w:p>
            <w:pPr>
              <w:spacing w:after="0"/>
              <w:rPr>
                <w:sz w:val="23"/>
                <w:szCs w:val="23"/>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92</w:t>
            </w:r>
          </w:p>
        </w:tc>
        <w:tc>
          <w:tcPr>
            <w:tcW w:w="1260" w:type="dxa"/>
            <w:vAlign w:val="bottom"/>
          </w:tcPr>
          <w:p>
            <w:pPr>
              <w:jc w:val="right"/>
              <w:ind w:right="173"/>
              <w:spacing w:after="0"/>
              <w:rPr>
                <w:sz w:val="20"/>
                <w:szCs w:val="20"/>
                <w:color w:val="auto"/>
              </w:rPr>
            </w:pPr>
            <w:r>
              <w:rPr>
                <w:rFonts w:ascii="Arial" w:cs="Arial" w:eastAsia="Arial" w:hAnsi="Arial"/>
                <w:sz w:val="18"/>
                <w:szCs w:val="18"/>
                <w:color w:val="auto"/>
              </w:rPr>
              <w:t>NM</w:t>
            </w:r>
          </w:p>
        </w:tc>
      </w:tr>
      <w:tr>
        <w:trPr>
          <w:trHeight w:val="27"/>
        </w:trPr>
        <w:tc>
          <w:tcPr>
            <w:tcW w:w="3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20"/>
                <w:szCs w:val="20"/>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4,063</w:t>
            </w:r>
          </w:p>
        </w:tc>
        <w:tc>
          <w:tcPr>
            <w:tcW w:w="460" w:type="dxa"/>
            <w:vAlign w:val="bottom"/>
          </w:tcPr>
          <w:p>
            <w:pPr>
              <w:spacing w:after="0"/>
              <w:rPr>
                <w:sz w:val="20"/>
                <w:szCs w:val="20"/>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3,895</w:t>
            </w:r>
          </w:p>
        </w:tc>
        <w:tc>
          <w:tcPr>
            <w:tcW w:w="1320" w:type="dxa"/>
            <w:vAlign w:val="bottom"/>
          </w:tcPr>
          <w:p>
            <w:pPr>
              <w:jc w:val="right"/>
              <w:ind w:right="233"/>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0"/>
                <w:szCs w:val="20"/>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12,935</w:t>
            </w:r>
          </w:p>
        </w:tc>
        <w:tc>
          <w:tcPr>
            <w:tcW w:w="480" w:type="dxa"/>
            <w:vAlign w:val="bottom"/>
          </w:tcPr>
          <w:p>
            <w:pPr>
              <w:spacing w:after="0"/>
              <w:rPr>
                <w:sz w:val="20"/>
                <w:szCs w:val="20"/>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12,174</w:t>
            </w:r>
          </w:p>
        </w:tc>
        <w:tc>
          <w:tcPr>
            <w:tcW w:w="1260" w:type="dxa"/>
            <w:vAlign w:val="bottom"/>
          </w:tcPr>
          <w:p>
            <w:pPr>
              <w:jc w:val="right"/>
              <w:ind w:right="173"/>
              <w:spacing w:after="0"/>
              <w:rPr>
                <w:sz w:val="20"/>
                <w:szCs w:val="20"/>
                <w:color w:val="auto"/>
              </w:rPr>
            </w:pPr>
            <w:r>
              <w:rPr>
                <w:rFonts w:ascii="Arial" w:cs="Arial" w:eastAsia="Arial" w:hAnsi="Arial"/>
                <w:sz w:val="18"/>
                <w:szCs w:val="18"/>
                <w:color w:val="auto"/>
              </w:rPr>
              <w:t>6.2</w:t>
            </w:r>
          </w:p>
        </w:tc>
      </w:tr>
      <w:tr>
        <w:trPr>
          <w:trHeight w:val="270"/>
        </w:trPr>
        <w:tc>
          <w:tcPr>
            <w:tcW w:w="32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(775)</w:t>
            </w:r>
          </w:p>
        </w:tc>
        <w:tc>
          <w:tcPr>
            <w:tcW w:w="460" w:type="dxa"/>
            <w:vAlign w:val="bottom"/>
          </w:tcPr>
          <w:p>
            <w:pPr>
              <w:spacing w:after="0"/>
              <w:rPr>
                <w:sz w:val="23"/>
                <w:szCs w:val="23"/>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(999)</w:t>
            </w:r>
          </w:p>
        </w:tc>
        <w:tc>
          <w:tcPr>
            <w:tcW w:w="1320" w:type="dxa"/>
            <w:vAlign w:val="bottom"/>
          </w:tcPr>
          <w:p>
            <w:pPr>
              <w:jc w:val="right"/>
              <w:ind w:right="173"/>
              <w:spacing w:after="0"/>
              <w:rPr>
                <w:sz w:val="20"/>
                <w:szCs w:val="20"/>
                <w:color w:val="auto"/>
              </w:rPr>
            </w:pPr>
            <w:r>
              <w:rPr>
                <w:rFonts w:ascii="Arial" w:cs="Arial" w:eastAsia="Arial" w:hAnsi="Arial"/>
                <w:sz w:val="18"/>
                <w:szCs w:val="18"/>
                <w:color w:val="auto"/>
              </w:rPr>
              <w:t>(22.5)</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(2,812)</w:t>
            </w:r>
          </w:p>
        </w:tc>
        <w:tc>
          <w:tcPr>
            <w:tcW w:w="480" w:type="dxa"/>
            <w:vAlign w:val="bottom"/>
          </w:tcPr>
          <w:p>
            <w:pPr>
              <w:spacing w:after="0"/>
              <w:rPr>
                <w:sz w:val="23"/>
                <w:szCs w:val="23"/>
                <w:color w:val="auto"/>
              </w:rPr>
            </w:pP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(2,894)</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(2.8)</w:t>
            </w:r>
          </w:p>
        </w:tc>
      </w:tr>
      <w:tr>
        <w:trPr>
          <w:trHeight w:val="27"/>
        </w:trPr>
        <w:tc>
          <w:tcPr>
            <w:tcW w:w="3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0"/>
                <w:szCs w:val="20"/>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3,288</w:t>
            </w:r>
          </w:p>
        </w:tc>
        <w:tc>
          <w:tcPr>
            <w:tcW w:w="460" w:type="dxa"/>
            <w:vAlign w:val="bottom"/>
          </w:tcPr>
          <w:p>
            <w:pPr>
              <w:spacing w:after="0"/>
              <w:rPr>
                <w:sz w:val="20"/>
                <w:szCs w:val="20"/>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2,896</w:t>
            </w:r>
          </w:p>
        </w:tc>
        <w:tc>
          <w:tcPr>
            <w:tcW w:w="1320" w:type="dxa"/>
            <w:vAlign w:val="bottom"/>
          </w:tcPr>
          <w:p>
            <w:pPr>
              <w:jc w:val="right"/>
              <w:ind w:right="233"/>
              <w:spacing w:after="0"/>
              <w:rPr>
                <w:sz w:val="20"/>
                <w:szCs w:val="20"/>
                <w:color w:val="auto"/>
              </w:rPr>
            </w:pPr>
            <w:r>
              <w:rPr>
                <w:rFonts w:ascii="Arial" w:cs="Arial" w:eastAsia="Arial" w:hAnsi="Arial"/>
                <w:sz w:val="18"/>
                <w:szCs w:val="18"/>
                <w:color w:val="auto"/>
              </w:rPr>
              <w:t>13.6</w:t>
            </w:r>
          </w:p>
        </w:tc>
        <w:tc>
          <w:tcPr>
            <w:tcW w:w="340" w:type="dxa"/>
            <w:vAlign w:val="bottom"/>
          </w:tcPr>
          <w:p>
            <w:pPr>
              <w:spacing w:after="0"/>
              <w:rPr>
                <w:sz w:val="20"/>
                <w:szCs w:val="20"/>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10,123</w:t>
            </w:r>
          </w:p>
        </w:tc>
        <w:tc>
          <w:tcPr>
            <w:tcW w:w="480" w:type="dxa"/>
            <w:vAlign w:val="bottom"/>
          </w:tcPr>
          <w:p>
            <w:pPr>
              <w:spacing w:after="0"/>
              <w:rPr>
                <w:sz w:val="20"/>
                <w:szCs w:val="20"/>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9,280</w:t>
            </w:r>
          </w:p>
        </w:tc>
        <w:tc>
          <w:tcPr>
            <w:tcW w:w="1260" w:type="dxa"/>
            <w:vAlign w:val="bottom"/>
          </w:tcPr>
          <w:p>
            <w:pPr>
              <w:jc w:val="right"/>
              <w:ind w:right="173"/>
              <w:spacing w:after="0"/>
              <w:rPr>
                <w:sz w:val="20"/>
                <w:szCs w:val="20"/>
                <w:color w:val="auto"/>
              </w:rPr>
            </w:pPr>
            <w:r>
              <w:rPr>
                <w:rFonts w:ascii="Arial" w:cs="Arial" w:eastAsia="Arial" w:hAnsi="Arial"/>
                <w:sz w:val="18"/>
                <w:szCs w:val="18"/>
                <w:color w:val="auto"/>
              </w:rPr>
              <w:t>9.1</w:t>
            </w:r>
          </w:p>
        </w:tc>
      </w:tr>
      <w:tr>
        <w:trPr>
          <w:trHeight w:val="256"/>
        </w:trPr>
        <w:tc>
          <w:tcPr>
            <w:tcW w:w="3200" w:type="dxa"/>
            <w:vAlign w:val="bottom"/>
          </w:tcPr>
          <w:p>
            <w:pPr>
              <w:ind w:left="40"/>
              <w:spacing w:after="0"/>
              <w:rPr>
                <w:sz w:val="20"/>
                <w:szCs w:val="20"/>
                <w:color w:val="auto"/>
              </w:rPr>
            </w:pPr>
            <w:r>
              <w:rPr>
                <w:rFonts w:ascii="Arial" w:cs="Arial" w:eastAsia="Arial" w:hAnsi="Arial"/>
                <w:sz w:val="18"/>
                <w:szCs w:val="18"/>
                <w:color w:val="auto"/>
              </w:rPr>
              <w:t>Less: Net income attributable to</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16"/>
        </w:trPr>
        <w:tc>
          <w:tcPr>
            <w:tcW w:w="3200" w:type="dxa"/>
            <w:vAlign w:val="bottom"/>
          </w:tcPr>
          <w:p>
            <w:pPr>
              <w:ind w:left="200"/>
              <w:spacing w:after="0"/>
              <w:rPr>
                <w:sz w:val="20"/>
                <w:szCs w:val="20"/>
                <w:color w:val="auto"/>
              </w:rPr>
            </w:pPr>
            <w:r>
              <w:rPr>
                <w:rFonts w:ascii="Arial" w:cs="Arial" w:eastAsia="Arial" w:hAnsi="Arial"/>
                <w:sz w:val="18"/>
                <w:szCs w:val="18"/>
                <w:color w:val="auto"/>
                <w:w w:val="93"/>
              </w:rPr>
              <w:t>noncontrolling interests and redeemable</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280" w:type="dxa"/>
            <w:vAlign w:val="bottom"/>
          </w:tcPr>
          <w:p>
            <w:pPr>
              <w:spacing w:after="0"/>
              <w:rPr>
                <w:sz w:val="20"/>
                <w:szCs w:val="20"/>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71</w:t>
            </w:r>
          </w:p>
        </w:tc>
        <w:tc>
          <w:tcPr>
            <w:tcW w:w="460" w:type="dxa"/>
            <w:vAlign w:val="bottom"/>
          </w:tcPr>
          <w:p>
            <w:pPr>
              <w:spacing w:after="0"/>
              <w:rPr>
                <w:sz w:val="20"/>
                <w:szCs w:val="20"/>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10</w:t>
            </w:r>
          </w:p>
        </w:tc>
        <w:tc>
          <w:tcPr>
            <w:tcW w:w="1320" w:type="dxa"/>
            <w:vAlign w:val="bottom"/>
          </w:tcPr>
          <w:p>
            <w:pPr>
              <w:jc w:val="right"/>
              <w:ind w:right="233"/>
              <w:spacing w:after="0"/>
              <w:rPr>
                <w:sz w:val="20"/>
                <w:szCs w:val="20"/>
                <w:color w:val="auto"/>
              </w:rPr>
            </w:pPr>
            <w:r>
              <w:rPr>
                <w:rFonts w:ascii="Arial" w:cs="Arial" w:eastAsia="Arial" w:hAnsi="Arial"/>
                <w:sz w:val="18"/>
                <w:szCs w:val="18"/>
                <w:color w:val="auto"/>
              </w:rPr>
              <w:t>NM</w:t>
            </w:r>
          </w:p>
        </w:tc>
        <w:tc>
          <w:tcPr>
            <w:tcW w:w="340" w:type="dxa"/>
            <w:vAlign w:val="bottom"/>
          </w:tcPr>
          <w:p>
            <w:pPr>
              <w:spacing w:after="0"/>
              <w:rPr>
                <w:sz w:val="20"/>
                <w:szCs w:val="20"/>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228</w:t>
            </w:r>
          </w:p>
        </w:tc>
        <w:tc>
          <w:tcPr>
            <w:tcW w:w="480" w:type="dxa"/>
            <w:vAlign w:val="bottom"/>
          </w:tcPr>
          <w:p>
            <w:pPr>
              <w:spacing w:after="0"/>
              <w:rPr>
                <w:sz w:val="20"/>
                <w:szCs w:val="20"/>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60</w:t>
            </w:r>
          </w:p>
        </w:tc>
        <w:tc>
          <w:tcPr>
            <w:tcW w:w="1260" w:type="dxa"/>
            <w:vAlign w:val="bottom"/>
          </w:tcPr>
          <w:p>
            <w:pPr>
              <w:jc w:val="right"/>
              <w:ind w:right="173"/>
              <w:spacing w:after="0"/>
              <w:rPr>
                <w:sz w:val="20"/>
                <w:szCs w:val="20"/>
                <w:color w:val="auto"/>
              </w:rPr>
            </w:pPr>
            <w:r>
              <w:rPr>
                <w:rFonts w:ascii="Arial" w:cs="Arial" w:eastAsia="Arial" w:hAnsi="Arial"/>
                <w:sz w:val="18"/>
                <w:szCs w:val="18"/>
                <w:color w:val="auto"/>
              </w:rPr>
              <w:t>NM</w:t>
            </w:r>
          </w:p>
        </w:tc>
      </w:tr>
      <w:tr>
        <w:trPr>
          <w:trHeight w:val="27"/>
        </w:trPr>
        <w:tc>
          <w:tcPr>
            <w:tcW w:w="3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320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73"/>
              <w:spacing w:after="0"/>
              <w:rPr>
                <w:sz w:val="20"/>
                <w:szCs w:val="20"/>
                <w:color w:val="auto"/>
              </w:rPr>
            </w:pPr>
            <w:r>
              <w:rPr>
                <w:rFonts w:ascii="Arial" w:cs="Arial" w:eastAsia="Arial" w:hAnsi="Arial"/>
                <w:sz w:val="18"/>
                <w:szCs w:val="18"/>
                <w:b w:val="1"/>
                <w:bCs w:val="1"/>
                <w:color w:val="auto"/>
              </w:rPr>
              <w:t>3,217</w:t>
            </w:r>
          </w:p>
        </w:tc>
        <w:tc>
          <w:tcPr>
            <w:tcW w:w="4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231"/>
              <w:spacing w:after="0"/>
              <w:rPr>
                <w:sz w:val="20"/>
                <w:szCs w:val="20"/>
                <w:color w:val="auto"/>
              </w:rPr>
            </w:pPr>
            <w:r>
              <w:rPr>
                <w:rFonts w:ascii="Arial" w:cs="Arial" w:eastAsia="Arial" w:hAnsi="Arial"/>
                <w:sz w:val="18"/>
                <w:szCs w:val="18"/>
                <w:b w:val="1"/>
                <w:bCs w:val="1"/>
                <w:color w:val="auto"/>
              </w:rPr>
              <w:t>2,886</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11.5 %</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3"/>
              <w:spacing w:after="0"/>
              <w:rPr>
                <w:sz w:val="20"/>
                <w:szCs w:val="20"/>
                <w:color w:val="auto"/>
              </w:rPr>
            </w:pPr>
            <w:r>
              <w:rPr>
                <w:rFonts w:ascii="Arial" w:cs="Arial" w:eastAsia="Arial" w:hAnsi="Arial"/>
                <w:sz w:val="18"/>
                <w:szCs w:val="18"/>
                <w:b w:val="1"/>
                <w:bCs w:val="1"/>
                <w:color w:val="auto"/>
              </w:rPr>
              <w:t>9,895</w:t>
            </w:r>
          </w:p>
        </w:tc>
        <w:tc>
          <w:tcPr>
            <w:tcW w:w="4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231"/>
              <w:spacing w:after="0"/>
              <w:rPr>
                <w:sz w:val="20"/>
                <w:szCs w:val="20"/>
                <w:color w:val="auto"/>
              </w:rPr>
            </w:pPr>
            <w:r>
              <w:rPr>
                <w:rFonts w:ascii="Arial" w:cs="Arial" w:eastAsia="Arial" w:hAnsi="Arial"/>
                <w:sz w:val="18"/>
                <w:szCs w:val="18"/>
                <w:b w:val="1"/>
                <w:bCs w:val="1"/>
                <w:color w:val="auto"/>
              </w:rPr>
              <w:t>9,220</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7.3 %</w:t>
            </w:r>
          </w:p>
        </w:tc>
      </w:tr>
      <w:tr>
        <w:trPr>
          <w:trHeight w:val="34"/>
        </w:trPr>
        <w:tc>
          <w:tcPr>
            <w:tcW w:w="3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5"/>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Basic earnings per common share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6"/>
        </w:trPr>
        <w:tc>
          <w:tcPr>
            <w:tcW w:w="3200" w:type="dxa"/>
            <w:vAlign w:val="bottom"/>
          </w:tcPr>
          <w:p>
            <w:pPr>
              <w:ind w:left="200"/>
              <w:spacing w:after="0"/>
              <w:rPr>
                <w:sz w:val="20"/>
                <w:szCs w:val="20"/>
                <w:color w:val="auto"/>
              </w:rPr>
            </w:pPr>
            <w:r>
              <w:rPr>
                <w:rFonts w:ascii="Arial" w:cs="Arial" w:eastAsia="Arial" w:hAnsi="Arial"/>
                <w:sz w:val="18"/>
                <w:szCs w:val="18"/>
                <w:b w:val="1"/>
                <w:bCs w:val="1"/>
                <w:color w:val="auto"/>
                <w:w w:val="96"/>
              </w:rPr>
              <w:t>attributable to Comcast Corporation</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3200" w:type="dxa"/>
            <w:vAlign w:val="bottom"/>
          </w:tcPr>
          <w:p>
            <w:pPr>
              <w:ind w:left="200"/>
              <w:spacing w:after="0"/>
              <w:rPr>
                <w:sz w:val="20"/>
                <w:szCs w:val="20"/>
                <w:color w:val="auto"/>
              </w:rPr>
            </w:pPr>
            <w:r>
              <w:rPr>
                <w:rFonts w:ascii="Arial" w:cs="Arial" w:eastAsia="Arial" w:hAnsi="Arial"/>
                <w:sz w:val="18"/>
                <w:szCs w:val="18"/>
                <w:b w:val="1"/>
                <w:bCs w:val="1"/>
                <w:color w:val="auto"/>
              </w:rPr>
              <w:t>shareholders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73"/>
              <w:spacing w:after="0"/>
              <w:rPr>
                <w:sz w:val="20"/>
                <w:szCs w:val="20"/>
                <w:color w:val="auto"/>
              </w:rPr>
            </w:pPr>
            <w:r>
              <w:rPr>
                <w:rFonts w:ascii="Arial" w:cs="Arial" w:eastAsia="Arial" w:hAnsi="Arial"/>
                <w:sz w:val="18"/>
                <w:szCs w:val="18"/>
                <w:b w:val="1"/>
                <w:bCs w:val="1"/>
                <w:color w:val="auto"/>
              </w:rPr>
              <w:t>0.71</w:t>
            </w:r>
          </w:p>
        </w:tc>
        <w:tc>
          <w:tcPr>
            <w:tcW w:w="4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231"/>
              <w:spacing w:after="0"/>
              <w:rPr>
                <w:sz w:val="20"/>
                <w:szCs w:val="20"/>
                <w:color w:val="auto"/>
              </w:rPr>
            </w:pPr>
            <w:r>
              <w:rPr>
                <w:rFonts w:ascii="Arial" w:cs="Arial" w:eastAsia="Arial" w:hAnsi="Arial"/>
                <w:sz w:val="18"/>
                <w:szCs w:val="18"/>
                <w:b w:val="1"/>
                <w:bCs w:val="1"/>
                <w:color w:val="auto"/>
              </w:rPr>
              <w:t>0.63</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12.7 %</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3"/>
              <w:spacing w:after="0"/>
              <w:rPr>
                <w:sz w:val="20"/>
                <w:szCs w:val="20"/>
                <w:color w:val="auto"/>
              </w:rPr>
            </w:pPr>
            <w:r>
              <w:rPr>
                <w:rFonts w:ascii="Arial" w:cs="Arial" w:eastAsia="Arial" w:hAnsi="Arial"/>
                <w:sz w:val="18"/>
                <w:szCs w:val="18"/>
                <w:b w:val="1"/>
                <w:bCs w:val="1"/>
                <w:color w:val="auto"/>
              </w:rPr>
              <w:t>2.18</w:t>
            </w:r>
          </w:p>
        </w:tc>
        <w:tc>
          <w:tcPr>
            <w:tcW w:w="4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231"/>
              <w:spacing w:after="0"/>
              <w:rPr>
                <w:sz w:val="20"/>
                <w:szCs w:val="20"/>
                <w:color w:val="auto"/>
              </w:rPr>
            </w:pPr>
            <w:r>
              <w:rPr>
                <w:rFonts w:ascii="Arial" w:cs="Arial" w:eastAsia="Arial" w:hAnsi="Arial"/>
                <w:sz w:val="18"/>
                <w:szCs w:val="18"/>
                <w:b w:val="1"/>
                <w:bCs w:val="1"/>
                <w:color w:val="auto"/>
              </w:rPr>
              <w:t>2.00</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9.0 %</w:t>
            </w:r>
          </w:p>
        </w:tc>
      </w:tr>
      <w:tr>
        <w:trPr>
          <w:trHeight w:val="252"/>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common share</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16"/>
        </w:trPr>
        <w:tc>
          <w:tcPr>
            <w:tcW w:w="3200" w:type="dxa"/>
            <w:vAlign w:val="bottom"/>
          </w:tcPr>
          <w:p>
            <w:pPr>
              <w:ind w:left="200"/>
              <w:spacing w:after="0"/>
              <w:rPr>
                <w:sz w:val="20"/>
                <w:szCs w:val="20"/>
                <w:color w:val="auto"/>
              </w:rPr>
            </w:pPr>
            <w:r>
              <w:rPr>
                <w:rFonts w:ascii="Arial" w:cs="Arial" w:eastAsia="Arial" w:hAnsi="Arial"/>
                <w:sz w:val="18"/>
                <w:szCs w:val="18"/>
                <w:b w:val="1"/>
                <w:bCs w:val="1"/>
                <w:color w:val="auto"/>
                <w:w w:val="96"/>
              </w:rPr>
              <w:t>attributable to Comcast Corporation</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3200" w:type="dxa"/>
            <w:vAlign w:val="bottom"/>
          </w:tcPr>
          <w:p>
            <w:pPr>
              <w:ind w:left="200"/>
              <w:spacing w:after="0"/>
              <w:rPr>
                <w:sz w:val="20"/>
                <w:szCs w:val="20"/>
                <w:color w:val="auto"/>
              </w:rPr>
            </w:pPr>
            <w:r>
              <w:rPr>
                <w:rFonts w:ascii="Arial" w:cs="Arial" w:eastAsia="Arial" w:hAnsi="Arial"/>
                <w:sz w:val="18"/>
                <w:szCs w:val="18"/>
                <w:b w:val="1"/>
                <w:bCs w:val="1"/>
                <w:color w:val="auto"/>
              </w:rPr>
              <w:t>shareholders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73"/>
              <w:spacing w:after="0"/>
              <w:rPr>
                <w:sz w:val="20"/>
                <w:szCs w:val="20"/>
                <w:color w:val="auto"/>
              </w:rPr>
            </w:pPr>
            <w:r>
              <w:rPr>
                <w:rFonts w:ascii="Arial" w:cs="Arial" w:eastAsia="Arial" w:hAnsi="Arial"/>
                <w:sz w:val="18"/>
                <w:szCs w:val="18"/>
                <w:b w:val="1"/>
                <w:bCs w:val="1"/>
                <w:color w:val="auto"/>
              </w:rPr>
              <w:t>0.70</w:t>
            </w:r>
          </w:p>
        </w:tc>
        <w:tc>
          <w:tcPr>
            <w:tcW w:w="4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231"/>
              <w:spacing w:after="0"/>
              <w:rPr>
                <w:sz w:val="20"/>
                <w:szCs w:val="20"/>
                <w:color w:val="auto"/>
              </w:rPr>
            </w:pPr>
            <w:r>
              <w:rPr>
                <w:rFonts w:ascii="Arial" w:cs="Arial" w:eastAsia="Arial" w:hAnsi="Arial"/>
                <w:sz w:val="18"/>
                <w:szCs w:val="18"/>
                <w:b w:val="1"/>
                <w:bCs w:val="1"/>
                <w:color w:val="auto"/>
              </w:rPr>
              <w:t>0.62</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12.9 %</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3"/>
              <w:spacing w:after="0"/>
              <w:rPr>
                <w:sz w:val="20"/>
                <w:szCs w:val="20"/>
                <w:color w:val="auto"/>
              </w:rPr>
            </w:pPr>
            <w:r>
              <w:rPr>
                <w:rFonts w:ascii="Arial" w:cs="Arial" w:eastAsia="Arial" w:hAnsi="Arial"/>
                <w:sz w:val="18"/>
                <w:szCs w:val="18"/>
                <w:b w:val="1"/>
                <w:bCs w:val="1"/>
                <w:color w:val="auto"/>
              </w:rPr>
              <w:t>2.15</w:t>
            </w:r>
          </w:p>
        </w:tc>
        <w:tc>
          <w:tcPr>
            <w:tcW w:w="4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231"/>
              <w:spacing w:after="0"/>
              <w:rPr>
                <w:sz w:val="20"/>
                <w:szCs w:val="20"/>
                <w:color w:val="auto"/>
              </w:rPr>
            </w:pPr>
            <w:r>
              <w:rPr>
                <w:rFonts w:ascii="Arial" w:cs="Arial" w:eastAsia="Arial" w:hAnsi="Arial"/>
                <w:sz w:val="18"/>
                <w:szCs w:val="18"/>
                <w:b w:val="1"/>
                <w:bCs w:val="1"/>
                <w:color w:val="auto"/>
              </w:rPr>
              <w:t>1.98</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8.6 %</w:t>
            </w:r>
          </w:p>
        </w:tc>
      </w:tr>
      <w:tr>
        <w:trPr>
          <w:trHeight w:val="34"/>
        </w:trPr>
        <w:tc>
          <w:tcPr>
            <w:tcW w:w="3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76"/>
        </w:trPr>
        <w:tc>
          <w:tcPr>
            <w:tcW w:w="3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335"/>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5"/>
                <w:szCs w:val="25"/>
                <w:color w:val="auto"/>
                <w:vertAlign w:val="superscript"/>
              </w:rPr>
              <w:t>(a)</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73"/>
              <w:spacing w:after="0"/>
              <w:rPr>
                <w:sz w:val="20"/>
                <w:szCs w:val="20"/>
                <w:color w:val="auto"/>
              </w:rPr>
            </w:pPr>
            <w:r>
              <w:rPr>
                <w:rFonts w:ascii="Arial" w:cs="Arial" w:eastAsia="Arial" w:hAnsi="Arial"/>
                <w:sz w:val="18"/>
                <w:szCs w:val="18"/>
                <w:b w:val="1"/>
                <w:bCs w:val="1"/>
                <w:color w:val="auto"/>
              </w:rPr>
              <w:t>8,553</w:t>
            </w:r>
          </w:p>
        </w:tc>
        <w:tc>
          <w:tcPr>
            <w:tcW w:w="4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231"/>
              <w:spacing w:after="0"/>
              <w:rPr>
                <w:sz w:val="20"/>
                <w:szCs w:val="20"/>
                <w:color w:val="auto"/>
              </w:rPr>
            </w:pPr>
            <w:r>
              <w:rPr>
                <w:rFonts w:ascii="Arial" w:cs="Arial" w:eastAsia="Arial" w:hAnsi="Arial"/>
                <w:sz w:val="18"/>
                <w:szCs w:val="18"/>
                <w:b w:val="1"/>
                <w:bCs w:val="1"/>
                <w:color w:val="auto"/>
              </w:rPr>
              <w:t>7,313</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17.0 %</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3"/>
              <w:spacing w:after="0"/>
              <w:rPr>
                <w:sz w:val="20"/>
                <w:szCs w:val="20"/>
                <w:color w:val="auto"/>
              </w:rPr>
            </w:pPr>
            <w:r>
              <w:rPr>
                <w:rFonts w:ascii="Arial" w:cs="Arial" w:eastAsia="Arial" w:hAnsi="Arial"/>
                <w:sz w:val="18"/>
                <w:szCs w:val="18"/>
                <w:b w:val="1"/>
                <w:bCs w:val="1"/>
                <w:color w:val="auto"/>
              </w:rPr>
              <w:t>25,822</w:t>
            </w:r>
          </w:p>
        </w:tc>
        <w:tc>
          <w:tcPr>
            <w:tcW w:w="4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231"/>
              <w:spacing w:after="0"/>
              <w:rPr>
                <w:sz w:val="20"/>
                <w:szCs w:val="20"/>
                <w:color w:val="auto"/>
              </w:rPr>
            </w:pPr>
            <w:r>
              <w:rPr>
                <w:rFonts w:ascii="Arial" w:cs="Arial" w:eastAsia="Arial" w:hAnsi="Arial"/>
                <w:sz w:val="18"/>
                <w:szCs w:val="18"/>
                <w:b w:val="1"/>
                <w:bCs w:val="1"/>
                <w:color w:val="auto"/>
              </w:rPr>
              <w:t>21,974</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17.5 %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123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 Percentage changes that are considered not meaningful are denoted with NM.</w:t>
      </w:r>
    </w:p>
    <w:p>
      <w:pPr>
        <w:spacing w:after="0" w:line="73" w:lineRule="exact"/>
        <w:rPr>
          <w:sz w:val="20"/>
          <w:szCs w:val="20"/>
          <w:color w:val="auto"/>
        </w:rPr>
      </w:pPr>
    </w:p>
    <w:p>
      <w:pPr>
        <w:ind w:left="260" w:hanging="252"/>
        <w:spacing w:after="0" w:line="273" w:lineRule="auto"/>
        <w:tabs>
          <w:tab w:leader="none" w:pos="2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Adjusted EBITDA is a non-GAAP financial measure. Refer to the “Non-GAAP Financial Measures” section on page 44 for additional information, including our definition and our use of Adjusted EBITDA, and for a reconciliation from net income attributable to Comcast Corporation to Adjusted EBITDA.</w:t>
      </w:r>
    </w:p>
    <w:p>
      <w:pPr>
        <w:sectPr>
          <w:pgSz w:w="11900" w:h="16838" w:orient="portrait"/>
          <w:cols w:equalWidth="0" w:num="1">
            <w:col w:w="11420"/>
          </w:cols>
          <w:pgMar w:left="240" w:top="175" w:right="239"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75"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comparability of our consolidated results of operations was impacted by the Sky transaction in the fourth quarter of 2018. Sky’s results of operations are included in our condensed consolidated financial statements following the October 9, 2018 acquisition date.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Consolidated revenue increased for the three and nine months ended September 30, 2019 primarily due to the acquisition of Sky. Our Cable Communications and Theme Parks segments accounted for the remaining increase in consolidated revenue for the three and nine months ended September 30, 2019, which was partially offset by decreases in revenue in our Broadcast Television, Filmed Entertainment and Cable Networks segments. Consolidated revenue for the nine months ended September 30, 2018 included revenue associated with our broadcasts of the 2018 PyeongChang Olympics and the 2018 Super Bowl in February 2018.</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for our segments is discussed separately below under the heading “Segment Operating Results.” Revenue for our business development initiatives and other businesses is discussed separately below under the heading “Corporate and Other Results of Operations.”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Costs and Expenses</w:t>
      </w:r>
    </w:p>
    <w:p>
      <w:pPr>
        <w:spacing w:after="0" w:line="11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Consolidated operating costs and expenses increased for the three and nine months ended September 30, 2019 primarily due to the acquisition of Sky. Our Cable Communications and Theme Parks segments accounted for the remaining increase in consolidated operating costs and expenses for the three and nine months ended September 30, 2019, which was partially offset by decreases in operating costs and expenses in our Broadcast Television, Filmed Entertainment and Cable Networks segments. Consolidated operating costs and expenses for the nine months ended September 30, 2018 included costs associated with our broadcasts of the 2018 PyeongChang Olympics and the 2018 Super Bowl in February 2018.</w:t>
      </w:r>
    </w:p>
    <w:p>
      <w:pPr>
        <w:spacing w:after="0" w:line="1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costs and expenses for our segments are discussed separately below under the heading “Segment Operating Results.” Operating costs and expenses for our corporate operations, businesses development initiatives and other businesses are discussed separately below under the heading “Corporate and Other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Depreciation and Amortization Expense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3"/>
          </w:tcPr>
          <w:p>
            <w:pPr>
              <w:jc w:val="right"/>
              <w:ind w:right="753"/>
              <w:spacing w:after="0"/>
              <w:rPr>
                <w:sz w:val="20"/>
                <w:szCs w:val="20"/>
                <w:color w:val="auto"/>
              </w:rPr>
            </w:pPr>
            <w:r>
              <w:rPr>
                <w:rFonts w:ascii="Arial" w:cs="Arial" w:eastAsia="Arial" w:hAnsi="Arial"/>
                <w:sz w:val="14"/>
                <w:szCs w:val="14"/>
                <w:color w:val="auto"/>
              </w:rPr>
              <w:t>Three Months Ended</w:t>
            </w:r>
          </w:p>
        </w:tc>
        <w:tc>
          <w:tcPr>
            <w:tcW w:w="1340" w:type="dxa"/>
            <w:vAlign w:val="bottom"/>
          </w:tcPr>
          <w:p>
            <w:pPr>
              <w:jc w:val="center"/>
              <w:ind w:right="57"/>
              <w:spacing w:after="0"/>
              <w:rPr>
                <w:sz w:val="20"/>
                <w:szCs w:val="20"/>
                <w:color w:val="auto"/>
              </w:rPr>
            </w:pPr>
            <w:r>
              <w:rPr>
                <w:rFonts w:ascii="Arial" w:cs="Arial" w:eastAsia="Arial" w:hAnsi="Arial"/>
                <w:sz w:val="14"/>
                <w:szCs w:val="14"/>
                <w:color w:val="auto"/>
                <w:w w:val="90"/>
              </w:rPr>
              <w:t>Increase/</w:t>
            </w:r>
          </w:p>
        </w:tc>
        <w:tc>
          <w:tcPr>
            <w:tcW w:w="340" w:type="dxa"/>
            <w:vAlign w:val="bottom"/>
          </w:tcPr>
          <w:p>
            <w:pPr>
              <w:spacing w:after="0"/>
              <w:rPr>
                <w:sz w:val="14"/>
                <w:szCs w:val="14"/>
                <w:color w:val="auto"/>
              </w:rPr>
            </w:pPr>
          </w:p>
        </w:tc>
        <w:tc>
          <w:tcPr>
            <w:tcW w:w="2460" w:type="dxa"/>
            <w:vAlign w:val="bottom"/>
            <w:gridSpan w:val="3"/>
          </w:tcPr>
          <w:p>
            <w:pPr>
              <w:jc w:val="right"/>
              <w:ind w:right="793"/>
              <w:spacing w:after="0"/>
              <w:rPr>
                <w:sz w:val="20"/>
                <w:szCs w:val="20"/>
                <w:color w:val="auto"/>
              </w:rPr>
            </w:pPr>
            <w:r>
              <w:rPr>
                <w:rFonts w:ascii="Arial" w:cs="Arial" w:eastAsia="Arial" w:hAnsi="Arial"/>
                <w:sz w:val="14"/>
                <w:szCs w:val="14"/>
                <w:color w:val="auto"/>
              </w:rPr>
              <w:t>Nine Months Ended</w:t>
            </w: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Increase/</w:t>
            </w:r>
          </w:p>
        </w:tc>
      </w:tr>
      <w:tr>
        <w:trPr>
          <w:trHeight w:val="188"/>
        </w:trPr>
        <w:tc>
          <w:tcPr>
            <w:tcW w:w="3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color w:val="auto"/>
                <w:w w:val="89"/>
              </w:rPr>
              <w:t>(Decrease)</w:t>
            </w: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(Decrease)</w:t>
            </w:r>
          </w:p>
        </w:tc>
      </w:tr>
      <w:tr>
        <w:trPr>
          <w:trHeight w:val="264"/>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color w:val="auto"/>
              </w:rPr>
              <w:t>2019</w:t>
            </w:r>
          </w:p>
        </w:tc>
        <w:tc>
          <w:tcPr>
            <w:tcW w:w="5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color w:val="auto"/>
              </w:rPr>
              <w:t>2018</w:t>
            </w:r>
          </w:p>
        </w:tc>
        <w:tc>
          <w:tcPr>
            <w:tcW w:w="13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color w:val="auto"/>
                <w:w w:val="96"/>
              </w:rPr>
              <w:t>%</w:t>
            </w: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color w:val="auto"/>
              </w:rPr>
              <w:t>2019</w:t>
            </w: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color w:val="auto"/>
              </w:rPr>
              <w:t>2018</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Cable Communications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1,967</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3"/>
              <w:spacing w:after="0"/>
              <w:rPr>
                <w:sz w:val="20"/>
                <w:szCs w:val="20"/>
                <w:color w:val="auto"/>
              </w:rPr>
            </w:pPr>
            <w:r>
              <w:rPr>
                <w:rFonts w:ascii="Arial" w:cs="Arial" w:eastAsia="Arial" w:hAnsi="Arial"/>
                <w:sz w:val="18"/>
                <w:szCs w:val="18"/>
                <w:color w:val="auto"/>
              </w:rPr>
              <w:t>2,077</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(5.3)%</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6,038</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3"/>
              <w:spacing w:after="0"/>
              <w:rPr>
                <w:sz w:val="20"/>
                <w:szCs w:val="20"/>
                <w:color w:val="auto"/>
              </w:rPr>
            </w:pPr>
            <w:r>
              <w:rPr>
                <w:rFonts w:ascii="Arial" w:cs="Arial" w:eastAsia="Arial" w:hAnsi="Arial"/>
                <w:sz w:val="18"/>
                <w:szCs w:val="18"/>
                <w:color w:val="auto"/>
              </w:rPr>
              <w:t>6,161</w:t>
            </w: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320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80" w:type="dxa"/>
            <w:vAlign w:val="bottom"/>
          </w:tcPr>
          <w:p>
            <w:pPr>
              <w:spacing w:after="0"/>
              <w:rPr>
                <w:sz w:val="23"/>
                <w:szCs w:val="23"/>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537</w:t>
            </w:r>
          </w:p>
        </w:tc>
        <w:tc>
          <w:tcPr>
            <w:tcW w:w="520" w:type="dxa"/>
            <w:vAlign w:val="bottom"/>
          </w:tcPr>
          <w:p>
            <w:pPr>
              <w:spacing w:after="0"/>
              <w:rPr>
                <w:sz w:val="23"/>
                <w:szCs w:val="23"/>
                <w:color w:val="auto"/>
              </w:rPr>
            </w:pPr>
          </w:p>
        </w:tc>
        <w:tc>
          <w:tcPr>
            <w:tcW w:w="1000" w:type="dxa"/>
            <w:vAlign w:val="bottom"/>
          </w:tcPr>
          <w:p>
            <w:pPr>
              <w:jc w:val="right"/>
              <w:ind w:right="213"/>
              <w:spacing w:after="0"/>
              <w:rPr>
                <w:sz w:val="20"/>
                <w:szCs w:val="20"/>
                <w:color w:val="auto"/>
              </w:rPr>
            </w:pPr>
            <w:r>
              <w:rPr>
                <w:rFonts w:ascii="Arial" w:cs="Arial" w:eastAsia="Arial" w:hAnsi="Arial"/>
                <w:sz w:val="18"/>
                <w:szCs w:val="18"/>
                <w:color w:val="auto"/>
              </w:rPr>
              <w:t>514</w:t>
            </w:r>
          </w:p>
        </w:tc>
        <w:tc>
          <w:tcPr>
            <w:tcW w:w="1340" w:type="dxa"/>
            <w:vAlign w:val="bottom"/>
          </w:tcPr>
          <w:p>
            <w:pPr>
              <w:jc w:val="right"/>
              <w:ind w:right="217"/>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3"/>
                <w:szCs w:val="23"/>
                <w:color w:val="auto"/>
              </w:rPr>
            </w:pP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1,579</w:t>
            </w:r>
          </w:p>
        </w:tc>
        <w:tc>
          <w:tcPr>
            <w:tcW w:w="500" w:type="dxa"/>
            <w:vAlign w:val="bottom"/>
          </w:tcPr>
          <w:p>
            <w:pPr>
              <w:spacing w:after="0"/>
              <w:rPr>
                <w:sz w:val="23"/>
                <w:szCs w:val="23"/>
                <w:color w:val="auto"/>
              </w:rPr>
            </w:pPr>
          </w:p>
        </w:tc>
        <w:tc>
          <w:tcPr>
            <w:tcW w:w="1000" w:type="dxa"/>
            <w:vAlign w:val="bottom"/>
          </w:tcPr>
          <w:p>
            <w:pPr>
              <w:jc w:val="right"/>
              <w:ind w:right="213"/>
              <w:spacing w:after="0"/>
              <w:rPr>
                <w:sz w:val="20"/>
                <w:szCs w:val="20"/>
                <w:color w:val="auto"/>
              </w:rPr>
            </w:pPr>
            <w:r>
              <w:rPr>
                <w:rFonts w:ascii="Arial" w:cs="Arial" w:eastAsia="Arial" w:hAnsi="Arial"/>
                <w:sz w:val="18"/>
                <w:szCs w:val="18"/>
                <w:color w:val="auto"/>
              </w:rPr>
              <w:t>1,577</w:t>
            </w: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w:t>
            </w:r>
          </w:p>
        </w:tc>
      </w:tr>
      <w:tr>
        <w:trPr>
          <w:trHeight w:val="270"/>
        </w:trPr>
        <w:tc>
          <w:tcPr>
            <w:tcW w:w="3200" w:type="dxa"/>
            <w:vAlign w:val="bottom"/>
          </w:tcPr>
          <w:p>
            <w:pPr>
              <w:ind w:left="40"/>
              <w:spacing w:after="0"/>
              <w:rPr>
                <w:sz w:val="20"/>
                <w:szCs w:val="20"/>
                <w:color w:val="auto"/>
              </w:rPr>
            </w:pPr>
            <w:r>
              <w:rPr>
                <w:rFonts w:ascii="Arial" w:cs="Arial" w:eastAsia="Arial" w:hAnsi="Arial"/>
                <w:sz w:val="18"/>
                <w:szCs w:val="18"/>
                <w:color w:val="auto"/>
              </w:rPr>
              <w:t>Sky</w:t>
            </w:r>
          </w:p>
        </w:tc>
        <w:tc>
          <w:tcPr>
            <w:tcW w:w="280" w:type="dxa"/>
            <w:vAlign w:val="bottom"/>
          </w:tcPr>
          <w:p>
            <w:pPr>
              <w:spacing w:after="0"/>
              <w:rPr>
                <w:sz w:val="23"/>
                <w:szCs w:val="23"/>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644</w:t>
            </w:r>
          </w:p>
        </w:tc>
        <w:tc>
          <w:tcPr>
            <w:tcW w:w="520" w:type="dxa"/>
            <w:vAlign w:val="bottom"/>
          </w:tcPr>
          <w:p>
            <w:pPr>
              <w:spacing w:after="0"/>
              <w:rPr>
                <w:sz w:val="23"/>
                <w:szCs w:val="23"/>
                <w:color w:val="auto"/>
              </w:rPr>
            </w:pPr>
          </w:p>
        </w:tc>
        <w:tc>
          <w:tcPr>
            <w:tcW w:w="100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17"/>
              <w:spacing w:after="0"/>
              <w:rPr>
                <w:sz w:val="20"/>
                <w:szCs w:val="20"/>
                <w:color w:val="auto"/>
              </w:rPr>
            </w:pPr>
            <w:r>
              <w:rPr>
                <w:rFonts w:ascii="Arial" w:cs="Arial" w:eastAsia="Arial" w:hAnsi="Arial"/>
                <w:sz w:val="18"/>
                <w:szCs w:val="18"/>
                <w:color w:val="auto"/>
              </w:rPr>
              <w:t>NM</w:t>
            </w:r>
          </w:p>
        </w:tc>
        <w:tc>
          <w:tcPr>
            <w:tcW w:w="340" w:type="dxa"/>
            <w:vAlign w:val="bottom"/>
          </w:tcPr>
          <w:p>
            <w:pPr>
              <w:spacing w:after="0"/>
              <w:rPr>
                <w:sz w:val="23"/>
                <w:szCs w:val="23"/>
                <w:color w:val="auto"/>
              </w:rPr>
            </w:pP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2,058</w:t>
            </w:r>
          </w:p>
        </w:tc>
        <w:tc>
          <w:tcPr>
            <w:tcW w:w="500" w:type="dxa"/>
            <w:vAlign w:val="bottom"/>
          </w:tcPr>
          <w:p>
            <w:pPr>
              <w:spacing w:after="0"/>
              <w:rPr>
                <w:sz w:val="23"/>
                <w:szCs w:val="23"/>
                <w:color w:val="auto"/>
              </w:rPr>
            </w:pPr>
          </w:p>
        </w:tc>
        <w:tc>
          <w:tcPr>
            <w:tcW w:w="100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NM</w:t>
            </w:r>
          </w:p>
        </w:tc>
      </w:tr>
      <w:tr>
        <w:trPr>
          <w:trHeight w:val="270"/>
        </w:trPr>
        <w:tc>
          <w:tcPr>
            <w:tcW w:w="320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280" w:type="dxa"/>
            <w:vAlign w:val="bottom"/>
          </w:tcPr>
          <w:p>
            <w:pPr>
              <w:spacing w:after="0"/>
              <w:rPr>
                <w:sz w:val="23"/>
                <w:szCs w:val="23"/>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23"/>
                <w:szCs w:val="23"/>
                <w:color w:val="auto"/>
              </w:rPr>
            </w:pPr>
          </w:p>
        </w:tc>
        <w:tc>
          <w:tcPr>
            <w:tcW w:w="1000" w:type="dxa"/>
            <w:vAlign w:val="bottom"/>
          </w:tcPr>
          <w:p>
            <w:pPr>
              <w:jc w:val="right"/>
              <w:ind w:right="213"/>
              <w:spacing w:after="0"/>
              <w:rPr>
                <w:sz w:val="20"/>
                <w:szCs w:val="20"/>
                <w:color w:val="auto"/>
              </w:rPr>
            </w:pPr>
            <w:r>
              <w:rPr>
                <w:rFonts w:ascii="Arial" w:cs="Arial" w:eastAsia="Arial" w:hAnsi="Arial"/>
                <w:sz w:val="18"/>
                <w:szCs w:val="18"/>
                <w:color w:val="auto"/>
              </w:rPr>
              <w:t>27</w:t>
            </w:r>
          </w:p>
        </w:tc>
        <w:tc>
          <w:tcPr>
            <w:tcW w:w="1340" w:type="dxa"/>
            <w:vAlign w:val="bottom"/>
          </w:tcPr>
          <w:p>
            <w:pPr>
              <w:jc w:val="right"/>
              <w:ind w:right="217"/>
              <w:spacing w:after="0"/>
              <w:rPr>
                <w:sz w:val="20"/>
                <w:szCs w:val="20"/>
                <w:color w:val="auto"/>
              </w:rPr>
            </w:pPr>
            <w:r>
              <w:rPr>
                <w:rFonts w:ascii="Arial" w:cs="Arial" w:eastAsia="Arial" w:hAnsi="Arial"/>
                <w:sz w:val="18"/>
                <w:szCs w:val="18"/>
                <w:color w:val="auto"/>
              </w:rPr>
              <w:t>18.6</w:t>
            </w:r>
          </w:p>
        </w:tc>
        <w:tc>
          <w:tcPr>
            <w:tcW w:w="340" w:type="dxa"/>
            <w:vAlign w:val="bottom"/>
          </w:tcPr>
          <w:p>
            <w:pPr>
              <w:spacing w:after="0"/>
              <w:rPr>
                <w:sz w:val="23"/>
                <w:szCs w:val="23"/>
                <w:color w:val="auto"/>
              </w:rPr>
            </w:pP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101</w:t>
            </w:r>
          </w:p>
        </w:tc>
        <w:tc>
          <w:tcPr>
            <w:tcW w:w="500" w:type="dxa"/>
            <w:vAlign w:val="bottom"/>
          </w:tcPr>
          <w:p>
            <w:pPr>
              <w:spacing w:after="0"/>
              <w:rPr>
                <w:sz w:val="23"/>
                <w:szCs w:val="23"/>
                <w:color w:val="auto"/>
              </w:rPr>
            </w:pPr>
          </w:p>
        </w:tc>
        <w:tc>
          <w:tcPr>
            <w:tcW w:w="1000" w:type="dxa"/>
            <w:vAlign w:val="bottom"/>
          </w:tcPr>
          <w:p>
            <w:pPr>
              <w:jc w:val="right"/>
              <w:ind w:right="213"/>
              <w:spacing w:after="0"/>
              <w:rPr>
                <w:sz w:val="20"/>
                <w:szCs w:val="20"/>
                <w:color w:val="auto"/>
              </w:rPr>
            </w:pPr>
            <w:r>
              <w:rPr>
                <w:rFonts w:ascii="Arial" w:cs="Arial" w:eastAsia="Arial" w:hAnsi="Arial"/>
                <w:sz w:val="18"/>
                <w:szCs w:val="18"/>
                <w:color w:val="auto"/>
              </w:rPr>
              <w:t>82</w:t>
            </w: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26.0</w:t>
            </w:r>
          </w:p>
        </w:tc>
      </w:tr>
      <w:tr>
        <w:trPr>
          <w:trHeight w:val="27"/>
        </w:trPr>
        <w:tc>
          <w:tcPr>
            <w:tcW w:w="3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37"/>
              <w:spacing w:after="0"/>
              <w:rPr>
                <w:sz w:val="20"/>
                <w:szCs w:val="20"/>
                <w:color w:val="auto"/>
              </w:rPr>
            </w:pPr>
            <w:r>
              <w:rPr>
                <w:rFonts w:ascii="Arial" w:cs="Arial" w:eastAsia="Arial" w:hAnsi="Arial"/>
                <w:sz w:val="18"/>
                <w:szCs w:val="18"/>
                <w:b w:val="1"/>
                <w:bCs w:val="1"/>
                <w:color w:val="auto"/>
              </w:rPr>
              <w:t>3,180</w:t>
            </w:r>
          </w:p>
        </w:tc>
        <w:tc>
          <w:tcPr>
            <w:tcW w:w="5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213"/>
              <w:spacing w:after="0"/>
              <w:rPr>
                <w:sz w:val="20"/>
                <w:szCs w:val="20"/>
                <w:color w:val="auto"/>
              </w:rPr>
            </w:pPr>
            <w:r>
              <w:rPr>
                <w:rFonts w:ascii="Arial" w:cs="Arial" w:eastAsia="Arial" w:hAnsi="Arial"/>
                <w:sz w:val="18"/>
                <w:szCs w:val="18"/>
                <w:b w:val="1"/>
                <w:bCs w:val="1"/>
                <w:color w:val="auto"/>
              </w:rPr>
              <w:t>2,618</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21.4 %</w:t>
            </w:r>
          </w:p>
        </w:tc>
        <w:tc>
          <w:tcPr>
            <w:tcW w:w="3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57"/>
              <w:spacing w:after="0"/>
              <w:rPr>
                <w:sz w:val="20"/>
                <w:szCs w:val="20"/>
                <w:color w:val="auto"/>
              </w:rPr>
            </w:pPr>
            <w:r>
              <w:rPr>
                <w:rFonts w:ascii="Arial" w:cs="Arial" w:eastAsia="Arial" w:hAnsi="Arial"/>
                <w:sz w:val="18"/>
                <w:szCs w:val="18"/>
                <w:b w:val="1"/>
                <w:bCs w:val="1"/>
                <w:color w:val="auto"/>
              </w:rPr>
              <w:t>9,776</w:t>
            </w:r>
          </w:p>
        </w:tc>
        <w:tc>
          <w:tcPr>
            <w:tcW w:w="50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213"/>
              <w:spacing w:after="0"/>
              <w:rPr>
                <w:sz w:val="20"/>
                <w:szCs w:val="20"/>
                <w:color w:val="auto"/>
              </w:rPr>
            </w:pPr>
            <w:r>
              <w:rPr>
                <w:rFonts w:ascii="Arial" w:cs="Arial" w:eastAsia="Arial" w:hAnsi="Arial"/>
                <w:sz w:val="18"/>
                <w:szCs w:val="18"/>
                <w:b w:val="1"/>
                <w:bCs w:val="1"/>
                <w:color w:val="auto"/>
              </w:rPr>
              <w:t>7,820</w:t>
            </w:r>
          </w:p>
        </w:tc>
        <w:tc>
          <w:tcPr>
            <w:tcW w:w="1280" w:type="dxa"/>
            <w:vAlign w:val="bottom"/>
          </w:tcPr>
          <w:p>
            <w:pPr>
              <w:jc w:val="right"/>
              <w:spacing w:after="0"/>
              <w:rPr>
                <w:sz w:val="20"/>
                <w:szCs w:val="20"/>
                <w:color w:val="auto"/>
              </w:rPr>
            </w:pPr>
            <w:r>
              <w:rPr>
                <w:rFonts w:ascii="Arial" w:cs="Arial" w:eastAsia="Arial" w:hAnsi="Arial"/>
                <w:sz w:val="18"/>
                <w:szCs w:val="18"/>
                <w:color w:val="auto"/>
              </w:rPr>
              <w:t>25.0 %</w:t>
            </w:r>
          </w:p>
        </w:tc>
      </w:tr>
      <w:tr>
        <w:trPr>
          <w:trHeight w:val="34"/>
        </w:trPr>
        <w:tc>
          <w:tcPr>
            <w:tcW w:w="3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depreciation and amortization expense increased for the three and nine months ended September 30, 2019 primarily due to depreciation and amortization expense related to Sky. During the first quarter of 2019, we recorded adjustments to the purchase price allocation of Sky, primarily related to intangible assets and property and equipment. This change resulted in an adjustment recorded in the first quarter of 2019 related to the fourth quarter of 2018 that increased depreciation and amortization expense by $53 million.</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Amortization expense from acquisition-related intangible assets, such as customer relationships, totaled $486 million and $1.5 billion for the three and nine months ended September 30, 2019, respectively. Amortization expense from acquisition-related intangible assets, such as customer relationships, totaled $198 million and $639 million for the three and nine months ended September 30, 2018, respectively. Amounts primarily relate to customer relationship intangible assets recorded in connection with the Sky transaction in the fourth quarter of 2018 and the NBCUniversal transaction in 2011 (see Note 6 to Comcast’s condensed consolidated financial statements for additional information on the Sky transaction).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Other Operating Gains</w:t>
      </w:r>
    </w:p>
    <w:p>
      <w:pPr>
        <w:spacing w:after="0" w:line="7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Consolidated other operating gains for the three and nine months ended September 30, 2018 included $141 million related to the sale of a business in our Filmed Entertainment segment. The nine months ended September 30, 2018 also included $200 million related to the sale of a controlling interest in our arena management-related businesses in Corporate and Other (see Note 9 to Comcast’s condensed consolidated financial statements).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75"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Interest Expense</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Consolidated interest expense increased for the three and nine months ended September 30, 2019 compared to the same periods in 2018 primarily due to increases in our debt outstanding associated with the financing of and debt assumed in connection with the Sky transaction in the fourth quarter of 2018, as well as a $56 million charge recorded in the third quarter of 2019 related to the early redemption of debt.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Investment and Other Income (Loss), Net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00" w:type="dxa"/>
            <w:vAlign w:val="bottom"/>
          </w:tcPr>
          <w:p>
            <w:pPr>
              <w:spacing w:after="0"/>
              <w:rPr>
                <w:sz w:val="14"/>
                <w:szCs w:val="14"/>
                <w:color w:val="auto"/>
              </w:rPr>
            </w:pPr>
          </w:p>
        </w:tc>
      </w:tr>
      <w:tr>
        <w:trPr>
          <w:trHeight w:val="188"/>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color w:val="auto"/>
              </w:rPr>
              <w:t>2019</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w w:val="89"/>
              </w:rPr>
              <w:t>2018</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color w:val="auto"/>
              </w:rPr>
              <w:t>2019</w:t>
            </w:r>
          </w:p>
        </w:tc>
        <w:tc>
          <w:tcPr>
            <w:tcW w:w="6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w w:val="89"/>
              </w:rPr>
              <w:t>2018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Equity in net income (losses) of investees, net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(355)</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(295)</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Realized and unrealized gains (losses) on equity securities, net</w:t>
            </w:r>
          </w:p>
        </w:tc>
        <w:tc>
          <w:tcPr>
            <w:tcW w:w="360" w:type="dxa"/>
            <w:vAlign w:val="bottom"/>
          </w:tcPr>
          <w:p>
            <w:pPr>
              <w:spacing w:after="0"/>
              <w:rPr>
                <w:sz w:val="23"/>
                <w:szCs w:val="23"/>
                <w:color w:val="auto"/>
              </w:rPr>
            </w:pPr>
          </w:p>
        </w:tc>
        <w:tc>
          <w:tcPr>
            <w:tcW w:w="1180" w:type="dxa"/>
            <w:vAlign w:val="bottom"/>
          </w:tcPr>
          <w:p>
            <w:pPr>
              <w:jc w:val="right"/>
              <w:ind w:right="78"/>
              <w:spacing w:after="0"/>
              <w:rPr>
                <w:sz w:val="20"/>
                <w:szCs w:val="20"/>
                <w:color w:val="auto"/>
              </w:rPr>
            </w:pPr>
            <w:r>
              <w:rPr>
                <w:rFonts w:ascii="Arial" w:cs="Arial" w:eastAsia="Arial" w:hAnsi="Arial"/>
                <w:sz w:val="18"/>
                <w:szCs w:val="18"/>
                <w:color w:val="auto"/>
              </w:rPr>
              <w:t>174</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420" w:type="dxa"/>
            <w:vAlign w:val="bottom"/>
          </w:tcPr>
          <w:p>
            <w:pPr>
              <w:spacing w:after="0"/>
              <w:rPr>
                <w:sz w:val="23"/>
                <w:szCs w:val="23"/>
                <w:color w:val="auto"/>
              </w:rPr>
            </w:pPr>
          </w:p>
        </w:tc>
        <w:tc>
          <w:tcPr>
            <w:tcW w:w="1160" w:type="dxa"/>
            <w:vAlign w:val="bottom"/>
          </w:tcPr>
          <w:p>
            <w:pPr>
              <w:jc w:val="right"/>
              <w:ind w:right="58"/>
              <w:spacing w:after="0"/>
              <w:rPr>
                <w:sz w:val="20"/>
                <w:szCs w:val="20"/>
                <w:color w:val="auto"/>
              </w:rPr>
            </w:pPr>
            <w:r>
              <w:rPr>
                <w:rFonts w:ascii="Arial" w:cs="Arial" w:eastAsia="Arial" w:hAnsi="Arial"/>
                <w:sz w:val="18"/>
                <w:szCs w:val="18"/>
                <w:color w:val="auto"/>
              </w:rPr>
              <w:t>582</w:t>
            </w:r>
          </w:p>
        </w:tc>
        <w:tc>
          <w:tcPr>
            <w:tcW w:w="6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(loss), net</w:t>
            </w:r>
          </w:p>
        </w:tc>
        <w:tc>
          <w:tcPr>
            <w:tcW w:w="360" w:type="dxa"/>
            <w:vAlign w:val="bottom"/>
          </w:tcPr>
          <w:p>
            <w:pPr>
              <w:spacing w:after="0"/>
              <w:rPr>
                <w:sz w:val="23"/>
                <w:szCs w:val="23"/>
                <w:color w:val="auto"/>
              </w:rPr>
            </w:pPr>
          </w:p>
        </w:tc>
        <w:tc>
          <w:tcPr>
            <w:tcW w:w="1180" w:type="dxa"/>
            <w:vAlign w:val="bottom"/>
          </w:tcPr>
          <w:p>
            <w:pPr>
              <w:jc w:val="right"/>
              <w:ind w:right="78"/>
              <w:spacing w:after="0"/>
              <w:rPr>
                <w:sz w:val="20"/>
                <w:szCs w:val="20"/>
                <w:color w:val="auto"/>
              </w:rPr>
            </w:pPr>
            <w:r>
              <w:rPr>
                <w:rFonts w:ascii="Arial" w:cs="Arial" w:eastAsia="Arial" w:hAnsi="Arial"/>
                <w:sz w:val="18"/>
                <w:szCs w:val="18"/>
                <w:color w:val="auto"/>
              </w:rPr>
              <w:t>71</w:t>
            </w:r>
          </w:p>
        </w:tc>
        <w:tc>
          <w:tcPr>
            <w:tcW w:w="660" w:type="dxa"/>
            <w:vAlign w:val="bottom"/>
          </w:tcPr>
          <w:p>
            <w:pPr>
              <w:spacing w:after="0"/>
              <w:rPr>
                <w:sz w:val="23"/>
                <w:szCs w:val="23"/>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3"/>
                <w:szCs w:val="23"/>
                <w:color w:val="auto"/>
              </w:rPr>
            </w:pPr>
          </w:p>
        </w:tc>
        <w:tc>
          <w:tcPr>
            <w:tcW w:w="1160" w:type="dxa"/>
            <w:vAlign w:val="bottom"/>
          </w:tcPr>
          <w:p>
            <w:pPr>
              <w:jc w:val="right"/>
              <w:ind w:right="58"/>
              <w:spacing w:after="0"/>
              <w:rPr>
                <w:sz w:val="20"/>
                <w:szCs w:val="20"/>
                <w:color w:val="auto"/>
              </w:rPr>
            </w:pPr>
            <w:r>
              <w:rPr>
                <w:rFonts w:ascii="Arial" w:cs="Arial" w:eastAsia="Arial" w:hAnsi="Arial"/>
                <w:sz w:val="18"/>
                <w:szCs w:val="18"/>
                <w:color w:val="auto"/>
              </w:rPr>
              <w:t>224</w:t>
            </w:r>
          </w:p>
        </w:tc>
        <w:tc>
          <w:tcPr>
            <w:tcW w:w="640" w:type="dxa"/>
            <w:vAlign w:val="bottom"/>
          </w:tcPr>
          <w:p>
            <w:pPr>
              <w:spacing w:after="0"/>
              <w:rPr>
                <w:sz w:val="23"/>
                <w:szCs w:val="23"/>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198</w:t>
            </w:r>
          </w:p>
        </w:tc>
      </w:tr>
      <w:tr>
        <w:trPr>
          <w:trHeight w:val="27"/>
        </w:trPr>
        <w:tc>
          <w:tcPr>
            <w:tcW w:w="5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8"/>
              <w:spacing w:after="0"/>
              <w:rPr>
                <w:sz w:val="20"/>
                <w:szCs w:val="20"/>
                <w:color w:val="auto"/>
              </w:rPr>
            </w:pPr>
            <w:r>
              <w:rPr>
                <w:rFonts w:ascii="Arial" w:cs="Arial" w:eastAsia="Arial" w:hAnsi="Arial"/>
                <w:sz w:val="18"/>
                <w:szCs w:val="18"/>
                <w:b w:val="1"/>
                <w:bCs w:val="1"/>
                <w:color w:val="auto"/>
              </w:rPr>
              <w:t>(110)</w:t>
            </w:r>
          </w:p>
        </w:tc>
        <w:tc>
          <w:tcPr>
            <w:tcW w:w="6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(111)</w:t>
            </w: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58"/>
              <w:spacing w:after="0"/>
              <w:rPr>
                <w:sz w:val="20"/>
                <w:szCs w:val="20"/>
                <w:color w:val="auto"/>
              </w:rPr>
            </w:pPr>
            <w:r>
              <w:rPr>
                <w:rFonts w:ascii="Arial" w:cs="Arial" w:eastAsia="Arial" w:hAnsi="Arial"/>
                <w:sz w:val="18"/>
                <w:szCs w:val="18"/>
                <w:b w:val="1"/>
                <w:bCs w:val="1"/>
                <w:color w:val="auto"/>
              </w:rPr>
              <w:t>511</w:t>
            </w:r>
          </w:p>
        </w:tc>
        <w:tc>
          <w:tcPr>
            <w:tcW w:w="64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b w:val="1"/>
                <w:bCs w:val="1"/>
                <w:color w:val="auto"/>
              </w:rPr>
              <w:t>92</w:t>
            </w:r>
          </w:p>
        </w:tc>
      </w:tr>
      <w:tr>
        <w:trPr>
          <w:trHeight w:val="34"/>
        </w:trPr>
        <w:tc>
          <w:tcPr>
            <w:tcW w:w="5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Net Income (Losses) of Investees, Net</w:t>
      </w:r>
    </w:p>
    <w:p>
      <w:pPr>
        <w:spacing w:after="0" w:line="12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changes in equity in net income (losses) of investees, net for the three and nine months ended September 30, 2019 compared to the same periods in 2018 were primarily related to our equity method investments in Atairos and Hulu. The income (losses) at Atairos were driven by fair value adjustments on its underlying investments. The losses at Hulu were primarily due to programming, advertising and marketing costs, and higher other administrative expenses. The equity in net income (losses) of Atairos and Hulu for the three and nine months ended September 30, 2019 and 2018 are presented in the table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w w:val="93"/>
              </w:rPr>
              <w:t>Three Months Ended</w:t>
            </w: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00" w:type="dxa"/>
            <w:vAlign w:val="bottom"/>
          </w:tcPr>
          <w:p>
            <w:pPr>
              <w:spacing w:after="0"/>
              <w:rPr>
                <w:sz w:val="14"/>
                <w:szCs w:val="14"/>
                <w:color w:val="auto"/>
              </w:rPr>
            </w:pPr>
          </w:p>
        </w:tc>
      </w:tr>
      <w:tr>
        <w:trPr>
          <w:trHeight w:val="188"/>
        </w:trPr>
        <w:tc>
          <w:tcPr>
            <w:tcW w:w="51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6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color w:val="auto"/>
                <w:w w:val="89"/>
              </w:rPr>
              <w:t>2018</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color w:val="auto"/>
              </w:rPr>
              <w:t>2019</w:t>
            </w:r>
          </w:p>
        </w:tc>
        <w:tc>
          <w:tcPr>
            <w:tcW w:w="6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w w:val="89"/>
              </w:rPr>
              <w:t>2018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Atairos</w:t>
            </w: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9"/>
              <w:spacing w:after="0"/>
              <w:rPr>
                <w:sz w:val="20"/>
                <w:szCs w:val="20"/>
                <w:color w:val="auto"/>
              </w:rPr>
            </w:pPr>
            <w:r>
              <w:rPr>
                <w:rFonts w:ascii="Arial" w:cs="Arial" w:eastAsia="Arial" w:hAnsi="Arial"/>
                <w:sz w:val="18"/>
                <w:szCs w:val="18"/>
                <w:color w:val="auto"/>
              </w:rPr>
              <w:t>(262)</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38</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61"/>
              <w:spacing w:after="0"/>
              <w:rPr>
                <w:sz w:val="20"/>
                <w:szCs w:val="20"/>
                <w:color w:val="auto"/>
              </w:rPr>
            </w:pPr>
            <w:r>
              <w:rPr>
                <w:rFonts w:ascii="Arial" w:cs="Arial" w:eastAsia="Arial" w:hAnsi="Arial"/>
                <w:sz w:val="18"/>
                <w:szCs w:val="18"/>
                <w:color w:val="auto"/>
              </w:rPr>
              <w:t>6</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224</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Hulu</w:t>
            </w: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9"/>
              <w:spacing w:after="0"/>
              <w:rPr>
                <w:sz w:val="20"/>
                <w:szCs w:val="20"/>
                <w:color w:val="auto"/>
              </w:rPr>
            </w:pPr>
            <w:r>
              <w:rPr>
                <w:rFonts w:ascii="Arial" w:cs="Arial" w:eastAsia="Arial" w:hAnsi="Arial"/>
                <w:sz w:val="18"/>
                <w:szCs w:val="18"/>
                <w:color w:val="auto"/>
              </w:rPr>
              <w:t>(101)</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(132)</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
              <w:spacing w:after="0"/>
              <w:rPr>
                <w:sz w:val="20"/>
                <w:szCs w:val="20"/>
                <w:color w:val="auto"/>
              </w:rPr>
            </w:pPr>
            <w:r>
              <w:rPr>
                <w:rFonts w:ascii="Arial" w:cs="Arial" w:eastAsia="Arial" w:hAnsi="Arial"/>
                <w:sz w:val="18"/>
                <w:szCs w:val="18"/>
                <w:color w:val="auto"/>
              </w:rPr>
              <w:t>(351)</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7"/>
        </w:trPr>
        <w:tc>
          <w:tcPr>
            <w:tcW w:w="5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Realized and Unrealized Gains (Losses) on Equity Securities, Net</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realized and unrealized gains (losses) on equity securities, net for the three and nine months ended September 30, 2019 were primarily due to unrealized gains of $45 million and $303 million, respectively, related to our investment in Snap, and a $150 million gain related to our investment in Peloton as a result of its initial public offering in the third quarter of 2019.</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(Loss), Net</w:t>
      </w:r>
    </w:p>
    <w:p>
      <w:pPr>
        <w:spacing w:after="0" w:line="12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income (loss), net included $219 million of gains recorded in the first and third quarters of 2019 related to the dilution of our Hulu ownership and $90 million of losses due to equity method investment impairments in the second and third quarters of 2019. Other income (loss), net included a $64 million gain related to the sale of our investment in the Weather Channel cable network in the first quarter of 2018. See Note 9 to Comcast’s condensed consolidated financial statements and Note 8 to NBCUniversal’s condensed consolidated financial statements for further information.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Income Tax Expense</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Income tax expense for the three and nine months ended September 30, 2019 and 2018 reflects an effective income tax rate that differs from the federal statutory rate primarily due to state and foreign income taxes and adjustments associated with uncertain tax positions. The decrease in income tax expense for the three and nine months ended September 30, 2019 compared to the same periods in 2018 was primarily due to state and federal tax law changes that were enacted in 2018 resulting in $148 million of higher income tax expense in the third quarter of 2018 and $125 million of benefits related to state income tax adjustments recognized in the third quarter of 2019, partially offset by higher taxable income from operations. We also recognized an income tax benefit of $128 million during the first quarter of 2018 related to the enactment of federal tax legislation in 2018.</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segment operating results are presented based on how we assess operating performance and internally report financial information. We use Adjusted EBITDA as the measure of profit or loss for our operating segments. See Note 2 to both Comcast’s and NBCUniversal’s condensed consolidated financial statements for our definition of Adjusted EBITDA and a reconciliation from the aggregate amount of Adjusted EBITDA for our reportable business segments to consolidated income before income taxes.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75"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in the first quarter of 2019, Comcast Cable’s wireless phone service and certain other Cable-related business development initiatives are now presented in the Cable Communications segment. Results were previously presented in Corporate and Other. Prior periods have been adjusted to reflect this presentation. To be consistent with our current management reporting presentation, certain 2018 operating results were reclassified related to certain NBCUniversal businesses now presented in the Sky segment.</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 Segment Results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2"/>
          </w:tcPr>
          <w:p>
            <w:pPr>
              <w:jc w:val="center"/>
              <w:ind w:left="513"/>
              <w:spacing w:after="0"/>
              <w:rPr>
                <w:sz w:val="20"/>
                <w:szCs w:val="20"/>
                <w:color w:val="auto"/>
              </w:rPr>
            </w:pPr>
            <w:r>
              <w:rPr>
                <w:rFonts w:ascii="Arial" w:cs="Arial" w:eastAsia="Arial" w:hAnsi="Arial"/>
                <w:sz w:val="14"/>
                <w:szCs w:val="14"/>
                <w:color w:val="auto"/>
                <w:w w:val="93"/>
              </w:rPr>
              <w:t>Three Months Ended</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0" w:type="dxa"/>
            <w:vAlign w:val="bottom"/>
          </w:tcPr>
          <w:p>
            <w:pPr>
              <w:jc w:val="center"/>
              <w:ind w:left="633"/>
              <w:spacing w:after="0"/>
              <w:rPr>
                <w:sz w:val="20"/>
                <w:szCs w:val="20"/>
                <w:color w:val="auto"/>
              </w:rPr>
            </w:pPr>
            <w:r>
              <w:rPr>
                <w:rFonts w:ascii="Arial" w:cs="Arial" w:eastAsia="Arial" w:hAnsi="Arial"/>
                <w:sz w:val="14"/>
                <w:szCs w:val="14"/>
                <w:color w:val="auto"/>
                <w:w w:val="90"/>
              </w:rPr>
              <w:t>Increase/</w:t>
            </w:r>
          </w:p>
        </w:tc>
        <w:tc>
          <w:tcPr>
            <w:tcW w:w="1100" w:type="dxa"/>
            <w:vAlign w:val="bottom"/>
          </w:tcPr>
          <w:p>
            <w:pPr>
              <w:spacing w:after="0"/>
              <w:rPr>
                <w:sz w:val="14"/>
                <w:szCs w:val="14"/>
                <w:color w:val="auto"/>
              </w:rPr>
            </w:pPr>
          </w:p>
        </w:tc>
      </w:tr>
      <w:tr>
        <w:trPr>
          <w:trHeight w:val="188"/>
        </w:trPr>
        <w:tc>
          <w:tcPr>
            <w:tcW w:w="4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center"/>
              <w:ind w:left="513"/>
              <w:spacing w:after="0"/>
              <w:rPr>
                <w:sz w:val="20"/>
                <w:szCs w:val="20"/>
                <w:color w:val="auto"/>
              </w:rPr>
            </w:pPr>
            <w:r>
              <w:rPr>
                <w:rFonts w:ascii="Arial" w:cs="Arial" w:eastAsia="Arial" w:hAnsi="Arial"/>
                <w:sz w:val="14"/>
                <w:szCs w:val="14"/>
                <w:color w:val="auto"/>
                <w:w w:val="88"/>
              </w:rPr>
              <w:t>September 30</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left="633"/>
              <w:spacing w:after="0"/>
              <w:rPr>
                <w:sz w:val="20"/>
                <w:szCs w:val="20"/>
                <w:color w:val="auto"/>
              </w:rPr>
            </w:pPr>
            <w:r>
              <w:rPr>
                <w:rFonts w:ascii="Arial" w:cs="Arial" w:eastAsia="Arial" w:hAnsi="Arial"/>
                <w:sz w:val="14"/>
                <w:szCs w:val="14"/>
                <w:color w:val="auto"/>
                <w:w w:val="92"/>
              </w:rPr>
              <w:t>(Decrease)</w:t>
            </w:r>
          </w:p>
        </w:tc>
        <w:tc>
          <w:tcPr>
            <w:tcW w:w="1100" w:type="dxa"/>
            <w:vAlign w:val="bottom"/>
            <w:tcBorders>
              <w:bottom w:val="single" w:sz="8" w:color="auto"/>
            </w:tcBorders>
          </w:tcPr>
          <w:p>
            <w:pPr>
              <w:spacing w:after="0"/>
              <w:rPr>
                <w:sz w:val="16"/>
                <w:szCs w:val="16"/>
                <w:color w:val="auto"/>
              </w:rPr>
            </w:pPr>
          </w:p>
        </w:tc>
      </w:tr>
      <w:tr>
        <w:trPr>
          <w:trHeight w:val="264"/>
        </w:trPr>
        <w:tc>
          <w:tcPr>
            <w:tcW w:w="4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color w:val="auto"/>
              </w:rPr>
              <w:t>2019</w:t>
            </w:r>
          </w:p>
        </w:tc>
        <w:tc>
          <w:tcPr>
            <w:tcW w:w="7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color w:val="auto"/>
                <w:w w:val="96"/>
              </w:rPr>
              <w:t>2018</w:t>
            </w:r>
          </w:p>
        </w:tc>
        <w:tc>
          <w:tcPr>
            <w:tcW w:w="5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1353"/>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color w:val="auto"/>
              </w:rPr>
              <w:t>%</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4740" w:type="dxa"/>
            <w:vAlign w:val="bottom"/>
          </w:tcPr>
          <w:p>
            <w:pPr>
              <w:ind w:left="720"/>
              <w:spacing w:after="0"/>
              <w:rPr>
                <w:sz w:val="20"/>
                <w:szCs w:val="20"/>
                <w:color w:val="auto"/>
              </w:rPr>
            </w:pPr>
            <w:r>
              <w:rPr>
                <w:rFonts w:ascii="Arial" w:cs="Arial" w:eastAsia="Arial" w:hAnsi="Arial"/>
                <w:sz w:val="18"/>
                <w:szCs w:val="18"/>
                <w:color w:val="auto"/>
              </w:rPr>
              <w:t>High-speed internet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4,721</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4,321</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400</w:t>
            </w:r>
          </w:p>
        </w:tc>
        <w:tc>
          <w:tcPr>
            <w:tcW w:w="1100" w:type="dxa"/>
            <w:vAlign w:val="bottom"/>
          </w:tcPr>
          <w:p>
            <w:pPr>
              <w:jc w:val="right"/>
              <w:spacing w:after="0"/>
              <w:rPr>
                <w:sz w:val="20"/>
                <w:szCs w:val="20"/>
                <w:color w:val="auto"/>
              </w:rPr>
            </w:pPr>
            <w:r>
              <w:rPr>
                <w:rFonts w:ascii="Arial" w:cs="Arial" w:eastAsia="Arial" w:hAnsi="Arial"/>
                <w:sz w:val="18"/>
                <w:szCs w:val="18"/>
                <w:color w:val="auto"/>
              </w:rPr>
              <w:t>9.3 %</w:t>
            </w:r>
          </w:p>
        </w:tc>
      </w:tr>
      <w:tr>
        <w:trPr>
          <w:trHeight w:val="270"/>
        </w:trPr>
        <w:tc>
          <w:tcPr>
            <w:tcW w:w="4740" w:type="dxa"/>
            <w:vAlign w:val="bottom"/>
          </w:tcPr>
          <w:p>
            <w:pPr>
              <w:ind w:left="720"/>
              <w:spacing w:after="0"/>
              <w:rPr>
                <w:sz w:val="20"/>
                <w:szCs w:val="20"/>
                <w:color w:val="auto"/>
              </w:rPr>
            </w:pPr>
            <w:r>
              <w:rPr>
                <w:rFonts w:ascii="Arial" w:cs="Arial" w:eastAsia="Arial" w:hAnsi="Arial"/>
                <w:sz w:val="18"/>
                <w:szCs w:val="18"/>
                <w:color w:val="auto"/>
              </w:rPr>
              <w:t>Video</w:t>
            </w:r>
          </w:p>
        </w:tc>
        <w:tc>
          <w:tcPr>
            <w:tcW w:w="340" w:type="dxa"/>
            <w:vAlign w:val="bottom"/>
          </w:tcPr>
          <w:p>
            <w:pPr>
              <w:spacing w:after="0"/>
              <w:rPr>
                <w:sz w:val="23"/>
                <w:szCs w:val="23"/>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5,541</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5,591</w:t>
            </w:r>
          </w:p>
        </w:tc>
        <w:tc>
          <w:tcPr>
            <w:tcW w:w="560" w:type="dxa"/>
            <w:vAlign w:val="bottom"/>
          </w:tcPr>
          <w:p>
            <w:pPr>
              <w:spacing w:after="0"/>
              <w:rPr>
                <w:sz w:val="23"/>
                <w:szCs w:val="23"/>
                <w:color w:val="auto"/>
              </w:rPr>
            </w:pPr>
          </w:p>
        </w:tc>
        <w:tc>
          <w:tcPr>
            <w:tcW w:w="1800" w:type="dxa"/>
            <w:vAlign w:val="bottom"/>
          </w:tcPr>
          <w:p>
            <w:pPr>
              <w:jc w:val="right"/>
              <w:ind w:right="693"/>
              <w:spacing w:after="0"/>
              <w:rPr>
                <w:sz w:val="20"/>
                <w:szCs w:val="20"/>
                <w:color w:val="auto"/>
              </w:rPr>
            </w:pPr>
            <w:r>
              <w:rPr>
                <w:rFonts w:ascii="Arial" w:cs="Arial" w:eastAsia="Arial" w:hAnsi="Arial"/>
                <w:sz w:val="18"/>
                <w:szCs w:val="18"/>
                <w:color w:val="auto"/>
              </w:rPr>
              <w:t>(50)</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(0.9)</w:t>
            </w:r>
          </w:p>
        </w:tc>
      </w:tr>
      <w:tr>
        <w:trPr>
          <w:trHeight w:val="270"/>
        </w:trPr>
        <w:tc>
          <w:tcPr>
            <w:tcW w:w="4740" w:type="dxa"/>
            <w:vAlign w:val="bottom"/>
          </w:tcPr>
          <w:p>
            <w:pPr>
              <w:ind w:left="720"/>
              <w:spacing w:after="0"/>
              <w:rPr>
                <w:sz w:val="20"/>
                <w:szCs w:val="20"/>
                <w:color w:val="auto"/>
              </w:rPr>
            </w:pPr>
            <w:r>
              <w:rPr>
                <w:rFonts w:ascii="Arial" w:cs="Arial" w:eastAsia="Arial" w:hAnsi="Arial"/>
                <w:sz w:val="18"/>
                <w:szCs w:val="18"/>
                <w:color w:val="auto"/>
              </w:rPr>
              <w:t>Voice</w:t>
            </w:r>
          </w:p>
        </w:tc>
        <w:tc>
          <w:tcPr>
            <w:tcW w:w="340" w:type="dxa"/>
            <w:vAlign w:val="bottom"/>
          </w:tcPr>
          <w:p>
            <w:pPr>
              <w:spacing w:after="0"/>
              <w:rPr>
                <w:sz w:val="23"/>
                <w:szCs w:val="23"/>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963</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982</w:t>
            </w:r>
          </w:p>
        </w:tc>
        <w:tc>
          <w:tcPr>
            <w:tcW w:w="560" w:type="dxa"/>
            <w:vAlign w:val="bottom"/>
          </w:tcPr>
          <w:p>
            <w:pPr>
              <w:spacing w:after="0"/>
              <w:rPr>
                <w:sz w:val="23"/>
                <w:szCs w:val="23"/>
                <w:color w:val="auto"/>
              </w:rPr>
            </w:pPr>
          </w:p>
        </w:tc>
        <w:tc>
          <w:tcPr>
            <w:tcW w:w="1800" w:type="dxa"/>
            <w:vAlign w:val="bottom"/>
          </w:tcPr>
          <w:p>
            <w:pPr>
              <w:jc w:val="right"/>
              <w:ind w:right="693"/>
              <w:spacing w:after="0"/>
              <w:rPr>
                <w:sz w:val="20"/>
                <w:szCs w:val="20"/>
                <w:color w:val="auto"/>
              </w:rPr>
            </w:pPr>
            <w:r>
              <w:rPr>
                <w:rFonts w:ascii="Arial" w:cs="Arial" w:eastAsia="Arial" w:hAnsi="Arial"/>
                <w:sz w:val="18"/>
                <w:szCs w:val="18"/>
                <w:color w:val="auto"/>
              </w:rPr>
              <w:t>(19)</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(1.9)</w:t>
            </w:r>
          </w:p>
        </w:tc>
      </w:tr>
      <w:tr>
        <w:trPr>
          <w:trHeight w:val="270"/>
        </w:trPr>
        <w:tc>
          <w:tcPr>
            <w:tcW w:w="4740" w:type="dxa"/>
            <w:vAlign w:val="bottom"/>
          </w:tcPr>
          <w:p>
            <w:pPr>
              <w:ind w:left="720"/>
              <w:spacing w:after="0"/>
              <w:rPr>
                <w:sz w:val="20"/>
                <w:szCs w:val="20"/>
                <w:color w:val="auto"/>
              </w:rPr>
            </w:pPr>
            <w:r>
              <w:rPr>
                <w:rFonts w:ascii="Arial" w:cs="Arial" w:eastAsia="Arial" w:hAnsi="Arial"/>
                <w:sz w:val="18"/>
                <w:szCs w:val="18"/>
                <w:color w:val="auto"/>
              </w:rPr>
              <w:t>Wireless</w:t>
            </w:r>
          </w:p>
        </w:tc>
        <w:tc>
          <w:tcPr>
            <w:tcW w:w="340" w:type="dxa"/>
            <w:vAlign w:val="bottom"/>
          </w:tcPr>
          <w:p>
            <w:pPr>
              <w:spacing w:after="0"/>
              <w:rPr>
                <w:sz w:val="23"/>
                <w:szCs w:val="23"/>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326</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236</w:t>
            </w:r>
          </w:p>
        </w:tc>
        <w:tc>
          <w:tcPr>
            <w:tcW w:w="560" w:type="dxa"/>
            <w:vAlign w:val="bottom"/>
          </w:tcPr>
          <w:p>
            <w:pPr>
              <w:spacing w:after="0"/>
              <w:rPr>
                <w:sz w:val="23"/>
                <w:szCs w:val="23"/>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90</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38.1</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Business services</w:t>
            </w:r>
          </w:p>
        </w:tc>
        <w:tc>
          <w:tcPr>
            <w:tcW w:w="340" w:type="dxa"/>
            <w:vAlign w:val="bottom"/>
          </w:tcPr>
          <w:p>
            <w:pPr>
              <w:spacing w:after="0"/>
              <w:rPr>
                <w:sz w:val="23"/>
                <w:szCs w:val="23"/>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1,971</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1,803</w:t>
            </w:r>
          </w:p>
        </w:tc>
        <w:tc>
          <w:tcPr>
            <w:tcW w:w="560" w:type="dxa"/>
            <w:vAlign w:val="bottom"/>
          </w:tcPr>
          <w:p>
            <w:pPr>
              <w:spacing w:after="0"/>
              <w:rPr>
                <w:sz w:val="23"/>
                <w:szCs w:val="23"/>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168</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9.3</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603</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684</w:t>
            </w:r>
          </w:p>
        </w:tc>
        <w:tc>
          <w:tcPr>
            <w:tcW w:w="560" w:type="dxa"/>
            <w:vAlign w:val="bottom"/>
          </w:tcPr>
          <w:p>
            <w:pPr>
              <w:spacing w:after="0"/>
              <w:rPr>
                <w:sz w:val="23"/>
                <w:szCs w:val="23"/>
                <w:color w:val="auto"/>
              </w:rPr>
            </w:pPr>
          </w:p>
        </w:tc>
        <w:tc>
          <w:tcPr>
            <w:tcW w:w="1800" w:type="dxa"/>
            <w:vAlign w:val="bottom"/>
          </w:tcPr>
          <w:p>
            <w:pPr>
              <w:jc w:val="right"/>
              <w:ind w:right="693"/>
              <w:spacing w:after="0"/>
              <w:rPr>
                <w:sz w:val="20"/>
                <w:szCs w:val="20"/>
                <w:color w:val="auto"/>
              </w:rPr>
            </w:pPr>
            <w:r>
              <w:rPr>
                <w:rFonts w:ascii="Arial" w:cs="Arial" w:eastAsia="Arial" w:hAnsi="Arial"/>
                <w:sz w:val="18"/>
                <w:szCs w:val="18"/>
                <w:color w:val="auto"/>
              </w:rPr>
              <w:t>(81)</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(11.9)</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459</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406</w:t>
            </w:r>
          </w:p>
        </w:tc>
        <w:tc>
          <w:tcPr>
            <w:tcW w:w="560" w:type="dxa"/>
            <w:vAlign w:val="bottom"/>
          </w:tcPr>
          <w:p>
            <w:pPr>
              <w:spacing w:after="0"/>
              <w:rPr>
                <w:sz w:val="23"/>
                <w:szCs w:val="23"/>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53</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13.4</w:t>
            </w:r>
          </w:p>
        </w:tc>
      </w:tr>
      <w:tr>
        <w:trPr>
          <w:trHeight w:val="27"/>
        </w:trPr>
        <w:tc>
          <w:tcPr>
            <w:tcW w:w="4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b w:val="1"/>
                <w:bCs w:val="1"/>
                <w:color w:val="auto"/>
              </w:rPr>
              <w:t>14,584</w:t>
            </w:r>
          </w:p>
        </w:tc>
        <w:tc>
          <w:tcPr>
            <w:tcW w:w="700" w:type="dxa"/>
            <w:vAlign w:val="bottom"/>
          </w:tcPr>
          <w:p>
            <w:pPr>
              <w:spacing w:after="0"/>
              <w:rPr>
                <w:sz w:val="20"/>
                <w:szCs w:val="20"/>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b w:val="1"/>
                <w:bCs w:val="1"/>
                <w:color w:val="auto"/>
              </w:rPr>
              <w:t>14,023</w:t>
            </w:r>
          </w:p>
        </w:tc>
        <w:tc>
          <w:tcPr>
            <w:tcW w:w="560" w:type="dxa"/>
            <w:vAlign w:val="bottom"/>
          </w:tcPr>
          <w:p>
            <w:pPr>
              <w:spacing w:after="0"/>
              <w:rPr>
                <w:sz w:val="20"/>
                <w:szCs w:val="20"/>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b w:val="1"/>
                <w:bCs w:val="1"/>
                <w:color w:val="auto"/>
              </w:rPr>
              <w:t>561</w:t>
            </w:r>
          </w:p>
        </w:tc>
        <w:tc>
          <w:tcPr>
            <w:tcW w:w="1100" w:type="dxa"/>
            <w:vAlign w:val="bottom"/>
          </w:tcPr>
          <w:p>
            <w:pPr>
              <w:jc w:val="right"/>
              <w:ind w:right="171"/>
              <w:spacing w:after="0"/>
              <w:rPr>
                <w:sz w:val="20"/>
                <w:szCs w:val="20"/>
                <w:color w:val="auto"/>
              </w:rPr>
            </w:pPr>
            <w:r>
              <w:rPr>
                <w:rFonts w:ascii="Arial" w:cs="Arial" w:eastAsia="Arial" w:hAnsi="Arial"/>
                <w:sz w:val="18"/>
                <w:szCs w:val="18"/>
                <w:b w:val="1"/>
                <w:bCs w:val="1"/>
                <w:color w:val="auto"/>
              </w:rPr>
              <w:t>4.0</w:t>
            </w: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Programming</w:t>
            </w:r>
          </w:p>
        </w:tc>
        <w:tc>
          <w:tcPr>
            <w:tcW w:w="340" w:type="dxa"/>
            <w:vAlign w:val="bottom"/>
          </w:tcPr>
          <w:p>
            <w:pPr>
              <w:spacing w:after="0"/>
              <w:rPr>
                <w:sz w:val="23"/>
                <w:szCs w:val="23"/>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3,315</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3,309</w:t>
            </w:r>
          </w:p>
        </w:tc>
        <w:tc>
          <w:tcPr>
            <w:tcW w:w="560" w:type="dxa"/>
            <w:vAlign w:val="bottom"/>
          </w:tcPr>
          <w:p>
            <w:pPr>
              <w:spacing w:after="0"/>
              <w:rPr>
                <w:sz w:val="23"/>
                <w:szCs w:val="23"/>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6</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0.2</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Technical and product support</w:t>
            </w:r>
          </w:p>
        </w:tc>
        <w:tc>
          <w:tcPr>
            <w:tcW w:w="340" w:type="dxa"/>
            <w:vAlign w:val="bottom"/>
          </w:tcPr>
          <w:p>
            <w:pPr>
              <w:spacing w:after="0"/>
              <w:rPr>
                <w:sz w:val="23"/>
                <w:szCs w:val="23"/>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2,066</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1,885</w:t>
            </w:r>
          </w:p>
        </w:tc>
        <w:tc>
          <w:tcPr>
            <w:tcW w:w="560" w:type="dxa"/>
            <w:vAlign w:val="bottom"/>
          </w:tcPr>
          <w:p>
            <w:pPr>
              <w:spacing w:after="0"/>
              <w:rPr>
                <w:sz w:val="23"/>
                <w:szCs w:val="23"/>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181</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9.6</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Customer service</w:t>
            </w:r>
          </w:p>
        </w:tc>
        <w:tc>
          <w:tcPr>
            <w:tcW w:w="340" w:type="dxa"/>
            <w:vAlign w:val="bottom"/>
          </w:tcPr>
          <w:p>
            <w:pPr>
              <w:spacing w:after="0"/>
              <w:rPr>
                <w:sz w:val="23"/>
                <w:szCs w:val="23"/>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628</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636</w:t>
            </w:r>
          </w:p>
        </w:tc>
        <w:tc>
          <w:tcPr>
            <w:tcW w:w="560" w:type="dxa"/>
            <w:vAlign w:val="bottom"/>
          </w:tcPr>
          <w:p>
            <w:pPr>
              <w:spacing w:after="0"/>
              <w:rPr>
                <w:sz w:val="23"/>
                <w:szCs w:val="23"/>
                <w:color w:val="auto"/>
              </w:rPr>
            </w:pPr>
          </w:p>
        </w:tc>
        <w:tc>
          <w:tcPr>
            <w:tcW w:w="1800" w:type="dxa"/>
            <w:vAlign w:val="bottom"/>
          </w:tcPr>
          <w:p>
            <w:pPr>
              <w:jc w:val="right"/>
              <w:ind w:right="693"/>
              <w:spacing w:after="0"/>
              <w:rPr>
                <w:sz w:val="20"/>
                <w:szCs w:val="20"/>
                <w:color w:val="auto"/>
              </w:rPr>
            </w:pPr>
            <w:r>
              <w:rPr>
                <w:rFonts w:ascii="Arial" w:cs="Arial" w:eastAsia="Arial" w:hAnsi="Arial"/>
                <w:sz w:val="18"/>
                <w:szCs w:val="18"/>
                <w:color w:val="auto"/>
              </w:rPr>
              <w:t>(8)</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(1.3)</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1,024</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1,007</w:t>
            </w:r>
          </w:p>
        </w:tc>
        <w:tc>
          <w:tcPr>
            <w:tcW w:w="560" w:type="dxa"/>
            <w:vAlign w:val="bottom"/>
          </w:tcPr>
          <w:p>
            <w:pPr>
              <w:spacing w:after="0"/>
              <w:rPr>
                <w:sz w:val="23"/>
                <w:szCs w:val="23"/>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17</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1.7</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Franchise and other regulatory fees</w:t>
            </w:r>
          </w:p>
        </w:tc>
        <w:tc>
          <w:tcPr>
            <w:tcW w:w="340" w:type="dxa"/>
            <w:vAlign w:val="bottom"/>
          </w:tcPr>
          <w:p>
            <w:pPr>
              <w:spacing w:after="0"/>
              <w:rPr>
                <w:sz w:val="23"/>
                <w:szCs w:val="23"/>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408</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393</w:t>
            </w:r>
          </w:p>
        </w:tc>
        <w:tc>
          <w:tcPr>
            <w:tcW w:w="560" w:type="dxa"/>
            <w:vAlign w:val="bottom"/>
          </w:tcPr>
          <w:p>
            <w:pPr>
              <w:spacing w:after="0"/>
              <w:rPr>
                <w:sz w:val="23"/>
                <w:szCs w:val="23"/>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15</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4.1</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1,342</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1,359</w:t>
            </w:r>
          </w:p>
        </w:tc>
        <w:tc>
          <w:tcPr>
            <w:tcW w:w="560" w:type="dxa"/>
            <w:vAlign w:val="bottom"/>
          </w:tcPr>
          <w:p>
            <w:pPr>
              <w:spacing w:after="0"/>
              <w:rPr>
                <w:sz w:val="23"/>
                <w:szCs w:val="23"/>
                <w:color w:val="auto"/>
              </w:rPr>
            </w:pPr>
          </w:p>
        </w:tc>
        <w:tc>
          <w:tcPr>
            <w:tcW w:w="1800" w:type="dxa"/>
            <w:vAlign w:val="bottom"/>
          </w:tcPr>
          <w:p>
            <w:pPr>
              <w:jc w:val="right"/>
              <w:ind w:right="693"/>
              <w:spacing w:after="0"/>
              <w:rPr>
                <w:sz w:val="20"/>
                <w:szCs w:val="20"/>
                <w:color w:val="auto"/>
              </w:rPr>
            </w:pPr>
            <w:r>
              <w:rPr>
                <w:rFonts w:ascii="Arial" w:cs="Arial" w:eastAsia="Arial" w:hAnsi="Arial"/>
                <w:sz w:val="18"/>
                <w:szCs w:val="18"/>
                <w:color w:val="auto"/>
              </w:rPr>
              <w:t>(17)</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(1.2)</w:t>
            </w:r>
          </w:p>
        </w:tc>
      </w:tr>
      <w:tr>
        <w:trPr>
          <w:trHeight w:val="27"/>
        </w:trPr>
        <w:tc>
          <w:tcPr>
            <w:tcW w:w="4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8,783</w:t>
            </w:r>
          </w:p>
        </w:tc>
        <w:tc>
          <w:tcPr>
            <w:tcW w:w="700" w:type="dxa"/>
            <w:vAlign w:val="bottom"/>
          </w:tcPr>
          <w:p>
            <w:pPr>
              <w:spacing w:after="0"/>
              <w:rPr>
                <w:sz w:val="20"/>
                <w:szCs w:val="20"/>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8,589</w:t>
            </w:r>
          </w:p>
        </w:tc>
        <w:tc>
          <w:tcPr>
            <w:tcW w:w="560" w:type="dxa"/>
            <w:vAlign w:val="bottom"/>
          </w:tcPr>
          <w:p>
            <w:pPr>
              <w:spacing w:after="0"/>
              <w:rPr>
                <w:sz w:val="20"/>
                <w:szCs w:val="20"/>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194</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2.3</w:t>
            </w:r>
          </w:p>
        </w:tc>
      </w:tr>
      <w:tr>
        <w:trPr>
          <w:trHeight w:val="27"/>
        </w:trPr>
        <w:tc>
          <w:tcPr>
            <w:tcW w:w="4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93"/>
              <w:spacing w:after="0"/>
              <w:rPr>
                <w:sz w:val="20"/>
                <w:szCs w:val="20"/>
                <w:color w:val="auto"/>
              </w:rPr>
            </w:pPr>
            <w:r>
              <w:rPr>
                <w:rFonts w:ascii="Arial" w:cs="Arial" w:eastAsia="Arial" w:hAnsi="Arial"/>
                <w:sz w:val="18"/>
                <w:szCs w:val="18"/>
                <w:b w:val="1"/>
                <w:bCs w:val="1"/>
                <w:color w:val="auto"/>
              </w:rPr>
              <w:t>5,801</w:t>
            </w:r>
          </w:p>
        </w:tc>
        <w:tc>
          <w:tcPr>
            <w:tcW w:w="7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1"/>
              <w:spacing w:after="0"/>
              <w:rPr>
                <w:sz w:val="20"/>
                <w:szCs w:val="20"/>
                <w:color w:val="auto"/>
              </w:rPr>
            </w:pPr>
            <w:r>
              <w:rPr>
                <w:rFonts w:ascii="Arial" w:cs="Arial" w:eastAsia="Arial" w:hAnsi="Arial"/>
                <w:sz w:val="18"/>
                <w:szCs w:val="18"/>
                <w:b w:val="1"/>
                <w:bCs w:val="1"/>
                <w:color w:val="auto"/>
              </w:rPr>
              <w:t>5,434</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800" w:type="dxa"/>
            <w:vAlign w:val="bottom"/>
          </w:tcPr>
          <w:p>
            <w:pPr>
              <w:jc w:val="right"/>
              <w:ind w:right="753"/>
              <w:spacing w:after="0"/>
              <w:rPr>
                <w:sz w:val="20"/>
                <w:szCs w:val="20"/>
                <w:color w:val="auto"/>
              </w:rPr>
            </w:pPr>
            <w:r>
              <w:rPr>
                <w:rFonts w:ascii="Arial" w:cs="Arial" w:eastAsia="Arial" w:hAnsi="Arial"/>
                <w:sz w:val="18"/>
                <w:szCs w:val="18"/>
                <w:b w:val="1"/>
                <w:bCs w:val="1"/>
                <w:color w:val="auto"/>
              </w:rPr>
              <w:t>367</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6.7 %</w:t>
            </w:r>
          </w:p>
        </w:tc>
      </w:tr>
      <w:tr>
        <w:trPr>
          <w:trHeight w:val="34"/>
        </w:trPr>
        <w:tc>
          <w:tcPr>
            <w:tcW w:w="4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46"/>
        </w:trPr>
        <w:tc>
          <w:tcPr>
            <w:tcW w:w="4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2"/>
          </w:tcPr>
          <w:p>
            <w:pPr>
              <w:jc w:val="center"/>
              <w:ind w:left="493"/>
              <w:spacing w:after="0"/>
              <w:rPr>
                <w:sz w:val="20"/>
                <w:szCs w:val="20"/>
                <w:color w:val="auto"/>
              </w:rPr>
            </w:pPr>
            <w:r>
              <w:rPr>
                <w:rFonts w:ascii="Arial" w:cs="Arial" w:eastAsia="Arial" w:hAnsi="Arial"/>
                <w:sz w:val="14"/>
                <w:szCs w:val="14"/>
                <w:color w:val="auto"/>
                <w:w w:val="94"/>
              </w:rPr>
              <w:t>Nine Months Ended</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0" w:type="dxa"/>
            <w:vAlign w:val="bottom"/>
          </w:tcPr>
          <w:p>
            <w:pPr>
              <w:jc w:val="center"/>
              <w:ind w:left="633"/>
              <w:spacing w:after="0"/>
              <w:rPr>
                <w:sz w:val="20"/>
                <w:szCs w:val="20"/>
                <w:color w:val="auto"/>
              </w:rPr>
            </w:pPr>
            <w:r>
              <w:rPr>
                <w:rFonts w:ascii="Arial" w:cs="Arial" w:eastAsia="Arial" w:hAnsi="Arial"/>
                <w:sz w:val="14"/>
                <w:szCs w:val="14"/>
                <w:color w:val="auto"/>
                <w:w w:val="90"/>
              </w:rPr>
              <w:t>Increase/</w:t>
            </w:r>
          </w:p>
        </w:tc>
        <w:tc>
          <w:tcPr>
            <w:tcW w:w="1100" w:type="dxa"/>
            <w:vAlign w:val="bottom"/>
          </w:tcPr>
          <w:p>
            <w:pPr>
              <w:spacing w:after="0"/>
              <w:rPr>
                <w:sz w:val="24"/>
                <w:szCs w:val="24"/>
                <w:color w:val="auto"/>
              </w:rPr>
            </w:pPr>
          </w:p>
        </w:tc>
      </w:tr>
      <w:tr>
        <w:trPr>
          <w:trHeight w:val="188"/>
        </w:trPr>
        <w:tc>
          <w:tcPr>
            <w:tcW w:w="4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center"/>
              <w:ind w:left="513"/>
              <w:spacing w:after="0"/>
              <w:rPr>
                <w:sz w:val="20"/>
                <w:szCs w:val="20"/>
                <w:color w:val="auto"/>
              </w:rPr>
            </w:pPr>
            <w:r>
              <w:rPr>
                <w:rFonts w:ascii="Arial" w:cs="Arial" w:eastAsia="Arial" w:hAnsi="Arial"/>
                <w:sz w:val="14"/>
                <w:szCs w:val="14"/>
                <w:color w:val="auto"/>
                <w:w w:val="88"/>
              </w:rPr>
              <w:t>September 30</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left="633"/>
              <w:spacing w:after="0"/>
              <w:rPr>
                <w:sz w:val="20"/>
                <w:szCs w:val="20"/>
                <w:color w:val="auto"/>
              </w:rPr>
            </w:pPr>
            <w:r>
              <w:rPr>
                <w:rFonts w:ascii="Arial" w:cs="Arial" w:eastAsia="Arial" w:hAnsi="Arial"/>
                <w:sz w:val="14"/>
                <w:szCs w:val="14"/>
                <w:color w:val="auto"/>
                <w:w w:val="92"/>
              </w:rPr>
              <w:t>(Decrease)</w:t>
            </w:r>
          </w:p>
        </w:tc>
        <w:tc>
          <w:tcPr>
            <w:tcW w:w="1100" w:type="dxa"/>
            <w:vAlign w:val="bottom"/>
            <w:tcBorders>
              <w:bottom w:val="single" w:sz="8" w:color="auto"/>
            </w:tcBorders>
          </w:tcPr>
          <w:p>
            <w:pPr>
              <w:spacing w:after="0"/>
              <w:rPr>
                <w:sz w:val="16"/>
                <w:szCs w:val="16"/>
                <w:color w:val="auto"/>
              </w:rPr>
            </w:pPr>
          </w:p>
        </w:tc>
      </w:tr>
      <w:tr>
        <w:trPr>
          <w:trHeight w:val="264"/>
        </w:trPr>
        <w:tc>
          <w:tcPr>
            <w:tcW w:w="4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color w:val="auto"/>
              </w:rPr>
              <w:t>2019</w:t>
            </w:r>
          </w:p>
        </w:tc>
        <w:tc>
          <w:tcPr>
            <w:tcW w:w="7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color w:val="auto"/>
                <w:w w:val="96"/>
              </w:rPr>
              <w:t>2018</w:t>
            </w:r>
          </w:p>
        </w:tc>
        <w:tc>
          <w:tcPr>
            <w:tcW w:w="5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1353"/>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color w:val="auto"/>
              </w:rPr>
              <w:t>%</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4740" w:type="dxa"/>
            <w:vAlign w:val="bottom"/>
          </w:tcPr>
          <w:p>
            <w:pPr>
              <w:ind w:left="720"/>
              <w:spacing w:after="0"/>
              <w:rPr>
                <w:sz w:val="20"/>
                <w:szCs w:val="20"/>
                <w:color w:val="auto"/>
              </w:rPr>
            </w:pPr>
            <w:r>
              <w:rPr>
                <w:rFonts w:ascii="Arial" w:cs="Arial" w:eastAsia="Arial" w:hAnsi="Arial"/>
                <w:sz w:val="18"/>
                <w:szCs w:val="18"/>
                <w:color w:val="auto"/>
              </w:rPr>
              <w:t>High-speed internet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13,961</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12,740</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1,221</w:t>
            </w:r>
          </w:p>
        </w:tc>
        <w:tc>
          <w:tcPr>
            <w:tcW w:w="1100" w:type="dxa"/>
            <w:vAlign w:val="bottom"/>
          </w:tcPr>
          <w:p>
            <w:pPr>
              <w:jc w:val="right"/>
              <w:spacing w:after="0"/>
              <w:rPr>
                <w:sz w:val="20"/>
                <w:szCs w:val="20"/>
                <w:color w:val="auto"/>
              </w:rPr>
            </w:pPr>
            <w:r>
              <w:rPr>
                <w:rFonts w:ascii="Arial" w:cs="Arial" w:eastAsia="Arial" w:hAnsi="Arial"/>
                <w:sz w:val="18"/>
                <w:szCs w:val="18"/>
                <w:color w:val="auto"/>
              </w:rPr>
              <w:t>9.6 %</w:t>
            </w:r>
          </w:p>
        </w:tc>
      </w:tr>
      <w:tr>
        <w:trPr>
          <w:trHeight w:val="270"/>
        </w:trPr>
        <w:tc>
          <w:tcPr>
            <w:tcW w:w="4740" w:type="dxa"/>
            <w:vAlign w:val="bottom"/>
          </w:tcPr>
          <w:p>
            <w:pPr>
              <w:ind w:left="720"/>
              <w:spacing w:after="0"/>
              <w:rPr>
                <w:sz w:val="20"/>
                <w:szCs w:val="20"/>
                <w:color w:val="auto"/>
              </w:rPr>
            </w:pPr>
            <w:r>
              <w:rPr>
                <w:rFonts w:ascii="Arial" w:cs="Arial" w:eastAsia="Arial" w:hAnsi="Arial"/>
                <w:sz w:val="18"/>
                <w:szCs w:val="18"/>
                <w:color w:val="auto"/>
              </w:rPr>
              <w:t>Video</w:t>
            </w:r>
          </w:p>
        </w:tc>
        <w:tc>
          <w:tcPr>
            <w:tcW w:w="340" w:type="dxa"/>
            <w:vAlign w:val="bottom"/>
          </w:tcPr>
          <w:p>
            <w:pPr>
              <w:spacing w:after="0"/>
              <w:rPr>
                <w:sz w:val="23"/>
                <w:szCs w:val="23"/>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16,763</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16,878</w:t>
            </w:r>
          </w:p>
        </w:tc>
        <w:tc>
          <w:tcPr>
            <w:tcW w:w="560" w:type="dxa"/>
            <w:vAlign w:val="bottom"/>
          </w:tcPr>
          <w:p>
            <w:pPr>
              <w:spacing w:after="0"/>
              <w:rPr>
                <w:sz w:val="23"/>
                <w:szCs w:val="23"/>
                <w:color w:val="auto"/>
              </w:rPr>
            </w:pPr>
          </w:p>
        </w:tc>
        <w:tc>
          <w:tcPr>
            <w:tcW w:w="1800" w:type="dxa"/>
            <w:vAlign w:val="bottom"/>
          </w:tcPr>
          <w:p>
            <w:pPr>
              <w:jc w:val="right"/>
              <w:ind w:right="693"/>
              <w:spacing w:after="0"/>
              <w:rPr>
                <w:sz w:val="20"/>
                <w:szCs w:val="20"/>
                <w:color w:val="auto"/>
              </w:rPr>
            </w:pPr>
            <w:r>
              <w:rPr>
                <w:rFonts w:ascii="Arial" w:cs="Arial" w:eastAsia="Arial" w:hAnsi="Arial"/>
                <w:sz w:val="18"/>
                <w:szCs w:val="18"/>
                <w:color w:val="auto"/>
              </w:rPr>
              <w:t>(115)</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(0.7)</w:t>
            </w:r>
          </w:p>
        </w:tc>
      </w:tr>
      <w:tr>
        <w:trPr>
          <w:trHeight w:val="270"/>
        </w:trPr>
        <w:tc>
          <w:tcPr>
            <w:tcW w:w="4740" w:type="dxa"/>
            <w:vAlign w:val="bottom"/>
          </w:tcPr>
          <w:p>
            <w:pPr>
              <w:ind w:left="720"/>
              <w:spacing w:after="0"/>
              <w:rPr>
                <w:sz w:val="20"/>
                <w:szCs w:val="20"/>
                <w:color w:val="auto"/>
              </w:rPr>
            </w:pPr>
            <w:r>
              <w:rPr>
                <w:rFonts w:ascii="Arial" w:cs="Arial" w:eastAsia="Arial" w:hAnsi="Arial"/>
                <w:sz w:val="18"/>
                <w:szCs w:val="18"/>
                <w:color w:val="auto"/>
              </w:rPr>
              <w:t>Voice</w:t>
            </w:r>
          </w:p>
        </w:tc>
        <w:tc>
          <w:tcPr>
            <w:tcW w:w="340" w:type="dxa"/>
            <w:vAlign w:val="bottom"/>
          </w:tcPr>
          <w:p>
            <w:pPr>
              <w:spacing w:after="0"/>
              <w:rPr>
                <w:sz w:val="23"/>
                <w:szCs w:val="23"/>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2,935</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2,982</w:t>
            </w:r>
          </w:p>
        </w:tc>
        <w:tc>
          <w:tcPr>
            <w:tcW w:w="560" w:type="dxa"/>
            <w:vAlign w:val="bottom"/>
          </w:tcPr>
          <w:p>
            <w:pPr>
              <w:spacing w:after="0"/>
              <w:rPr>
                <w:sz w:val="23"/>
                <w:szCs w:val="23"/>
                <w:color w:val="auto"/>
              </w:rPr>
            </w:pPr>
          </w:p>
        </w:tc>
        <w:tc>
          <w:tcPr>
            <w:tcW w:w="1800" w:type="dxa"/>
            <w:vAlign w:val="bottom"/>
          </w:tcPr>
          <w:p>
            <w:pPr>
              <w:jc w:val="right"/>
              <w:ind w:right="693"/>
              <w:spacing w:after="0"/>
              <w:rPr>
                <w:sz w:val="20"/>
                <w:szCs w:val="20"/>
                <w:color w:val="auto"/>
              </w:rPr>
            </w:pPr>
            <w:r>
              <w:rPr>
                <w:rFonts w:ascii="Arial" w:cs="Arial" w:eastAsia="Arial" w:hAnsi="Arial"/>
                <w:sz w:val="18"/>
                <w:szCs w:val="18"/>
                <w:color w:val="auto"/>
              </w:rPr>
              <w:t>(47)</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(1.6)</w:t>
            </w:r>
          </w:p>
        </w:tc>
      </w:tr>
      <w:tr>
        <w:trPr>
          <w:trHeight w:val="270"/>
        </w:trPr>
        <w:tc>
          <w:tcPr>
            <w:tcW w:w="4740" w:type="dxa"/>
            <w:vAlign w:val="bottom"/>
          </w:tcPr>
          <w:p>
            <w:pPr>
              <w:ind w:left="720"/>
              <w:spacing w:after="0"/>
              <w:rPr>
                <w:sz w:val="20"/>
                <w:szCs w:val="20"/>
                <w:color w:val="auto"/>
              </w:rPr>
            </w:pPr>
            <w:r>
              <w:rPr>
                <w:rFonts w:ascii="Arial" w:cs="Arial" w:eastAsia="Arial" w:hAnsi="Arial"/>
                <w:sz w:val="18"/>
                <w:szCs w:val="18"/>
                <w:color w:val="auto"/>
              </w:rPr>
              <w:t>Wireless</w:t>
            </w:r>
          </w:p>
        </w:tc>
        <w:tc>
          <w:tcPr>
            <w:tcW w:w="340" w:type="dxa"/>
            <w:vAlign w:val="bottom"/>
          </w:tcPr>
          <w:p>
            <w:pPr>
              <w:spacing w:after="0"/>
              <w:rPr>
                <w:sz w:val="23"/>
                <w:szCs w:val="23"/>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795</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623</w:t>
            </w:r>
          </w:p>
        </w:tc>
        <w:tc>
          <w:tcPr>
            <w:tcW w:w="560" w:type="dxa"/>
            <w:vAlign w:val="bottom"/>
          </w:tcPr>
          <w:p>
            <w:pPr>
              <w:spacing w:after="0"/>
              <w:rPr>
                <w:sz w:val="23"/>
                <w:szCs w:val="23"/>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172</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27.6</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Business services</w:t>
            </w:r>
          </w:p>
        </w:tc>
        <w:tc>
          <w:tcPr>
            <w:tcW w:w="340" w:type="dxa"/>
            <w:vAlign w:val="bottom"/>
          </w:tcPr>
          <w:p>
            <w:pPr>
              <w:spacing w:after="0"/>
              <w:rPr>
                <w:sz w:val="23"/>
                <w:szCs w:val="23"/>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5,795</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5,290</w:t>
            </w:r>
          </w:p>
        </w:tc>
        <w:tc>
          <w:tcPr>
            <w:tcW w:w="560" w:type="dxa"/>
            <w:vAlign w:val="bottom"/>
          </w:tcPr>
          <w:p>
            <w:pPr>
              <w:spacing w:after="0"/>
              <w:rPr>
                <w:sz w:val="23"/>
                <w:szCs w:val="23"/>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505</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9.5</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1,766</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1,932</w:t>
            </w:r>
          </w:p>
        </w:tc>
        <w:tc>
          <w:tcPr>
            <w:tcW w:w="560" w:type="dxa"/>
            <w:vAlign w:val="bottom"/>
          </w:tcPr>
          <w:p>
            <w:pPr>
              <w:spacing w:after="0"/>
              <w:rPr>
                <w:sz w:val="23"/>
                <w:szCs w:val="23"/>
                <w:color w:val="auto"/>
              </w:rPr>
            </w:pPr>
          </w:p>
        </w:tc>
        <w:tc>
          <w:tcPr>
            <w:tcW w:w="1800" w:type="dxa"/>
            <w:vAlign w:val="bottom"/>
          </w:tcPr>
          <w:p>
            <w:pPr>
              <w:jc w:val="right"/>
              <w:ind w:right="693"/>
              <w:spacing w:after="0"/>
              <w:rPr>
                <w:sz w:val="20"/>
                <w:szCs w:val="20"/>
                <w:color w:val="auto"/>
              </w:rPr>
            </w:pPr>
            <w:r>
              <w:rPr>
                <w:rFonts w:ascii="Arial" w:cs="Arial" w:eastAsia="Arial" w:hAnsi="Arial"/>
                <w:sz w:val="18"/>
                <w:szCs w:val="18"/>
                <w:color w:val="auto"/>
              </w:rPr>
              <w:t>(166)</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(8.6)</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1,299</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1,193</w:t>
            </w:r>
          </w:p>
        </w:tc>
        <w:tc>
          <w:tcPr>
            <w:tcW w:w="560" w:type="dxa"/>
            <w:vAlign w:val="bottom"/>
          </w:tcPr>
          <w:p>
            <w:pPr>
              <w:spacing w:after="0"/>
              <w:rPr>
                <w:sz w:val="23"/>
                <w:szCs w:val="23"/>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106</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8.8</w:t>
            </w:r>
          </w:p>
        </w:tc>
      </w:tr>
      <w:tr>
        <w:trPr>
          <w:trHeight w:val="27"/>
        </w:trPr>
        <w:tc>
          <w:tcPr>
            <w:tcW w:w="4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b w:val="1"/>
                <w:bCs w:val="1"/>
                <w:color w:val="auto"/>
              </w:rPr>
              <w:t>43,314</w:t>
            </w:r>
          </w:p>
        </w:tc>
        <w:tc>
          <w:tcPr>
            <w:tcW w:w="700" w:type="dxa"/>
            <w:vAlign w:val="bottom"/>
          </w:tcPr>
          <w:p>
            <w:pPr>
              <w:spacing w:after="0"/>
              <w:rPr>
                <w:sz w:val="20"/>
                <w:szCs w:val="20"/>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b w:val="1"/>
                <w:bCs w:val="1"/>
                <w:color w:val="auto"/>
              </w:rPr>
              <w:t>41,638</w:t>
            </w:r>
          </w:p>
        </w:tc>
        <w:tc>
          <w:tcPr>
            <w:tcW w:w="560" w:type="dxa"/>
            <w:vAlign w:val="bottom"/>
          </w:tcPr>
          <w:p>
            <w:pPr>
              <w:spacing w:after="0"/>
              <w:rPr>
                <w:sz w:val="20"/>
                <w:szCs w:val="20"/>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b w:val="1"/>
                <w:bCs w:val="1"/>
                <w:color w:val="auto"/>
              </w:rPr>
              <w:t>1,676</w:t>
            </w:r>
          </w:p>
        </w:tc>
        <w:tc>
          <w:tcPr>
            <w:tcW w:w="1100" w:type="dxa"/>
            <w:vAlign w:val="bottom"/>
          </w:tcPr>
          <w:p>
            <w:pPr>
              <w:jc w:val="right"/>
              <w:ind w:right="171"/>
              <w:spacing w:after="0"/>
              <w:rPr>
                <w:sz w:val="20"/>
                <w:szCs w:val="20"/>
                <w:color w:val="auto"/>
              </w:rPr>
            </w:pPr>
            <w:r>
              <w:rPr>
                <w:rFonts w:ascii="Arial" w:cs="Arial" w:eastAsia="Arial" w:hAnsi="Arial"/>
                <w:sz w:val="18"/>
                <w:szCs w:val="18"/>
                <w:b w:val="1"/>
                <w:bCs w:val="1"/>
                <w:color w:val="auto"/>
              </w:rPr>
              <w:t>4.0</w:t>
            </w: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Programming</w:t>
            </w:r>
          </w:p>
        </w:tc>
        <w:tc>
          <w:tcPr>
            <w:tcW w:w="340" w:type="dxa"/>
            <w:vAlign w:val="bottom"/>
          </w:tcPr>
          <w:p>
            <w:pPr>
              <w:spacing w:after="0"/>
              <w:rPr>
                <w:sz w:val="23"/>
                <w:szCs w:val="23"/>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10,106</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9,947</w:t>
            </w:r>
          </w:p>
        </w:tc>
        <w:tc>
          <w:tcPr>
            <w:tcW w:w="560" w:type="dxa"/>
            <w:vAlign w:val="bottom"/>
          </w:tcPr>
          <w:p>
            <w:pPr>
              <w:spacing w:after="0"/>
              <w:rPr>
                <w:sz w:val="23"/>
                <w:szCs w:val="23"/>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159</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1.6</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Technical and product support</w:t>
            </w:r>
          </w:p>
        </w:tc>
        <w:tc>
          <w:tcPr>
            <w:tcW w:w="340" w:type="dxa"/>
            <w:vAlign w:val="bottom"/>
          </w:tcPr>
          <w:p>
            <w:pPr>
              <w:spacing w:after="0"/>
              <w:rPr>
                <w:sz w:val="23"/>
                <w:szCs w:val="23"/>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5,844</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5,583</w:t>
            </w:r>
          </w:p>
        </w:tc>
        <w:tc>
          <w:tcPr>
            <w:tcW w:w="560" w:type="dxa"/>
            <w:vAlign w:val="bottom"/>
          </w:tcPr>
          <w:p>
            <w:pPr>
              <w:spacing w:after="0"/>
              <w:rPr>
                <w:sz w:val="23"/>
                <w:szCs w:val="23"/>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261</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4.7</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Customer service</w:t>
            </w:r>
          </w:p>
        </w:tc>
        <w:tc>
          <w:tcPr>
            <w:tcW w:w="340" w:type="dxa"/>
            <w:vAlign w:val="bottom"/>
          </w:tcPr>
          <w:p>
            <w:pPr>
              <w:spacing w:after="0"/>
              <w:rPr>
                <w:sz w:val="23"/>
                <w:szCs w:val="23"/>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1,877</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1,912</w:t>
            </w:r>
          </w:p>
        </w:tc>
        <w:tc>
          <w:tcPr>
            <w:tcW w:w="560" w:type="dxa"/>
            <w:vAlign w:val="bottom"/>
          </w:tcPr>
          <w:p>
            <w:pPr>
              <w:spacing w:after="0"/>
              <w:rPr>
                <w:sz w:val="23"/>
                <w:szCs w:val="23"/>
                <w:color w:val="auto"/>
              </w:rPr>
            </w:pPr>
          </w:p>
        </w:tc>
        <w:tc>
          <w:tcPr>
            <w:tcW w:w="1800" w:type="dxa"/>
            <w:vAlign w:val="bottom"/>
          </w:tcPr>
          <w:p>
            <w:pPr>
              <w:jc w:val="right"/>
              <w:ind w:right="693"/>
              <w:spacing w:after="0"/>
              <w:rPr>
                <w:sz w:val="20"/>
                <w:szCs w:val="20"/>
                <w:color w:val="auto"/>
              </w:rPr>
            </w:pPr>
            <w:r>
              <w:rPr>
                <w:rFonts w:ascii="Arial" w:cs="Arial" w:eastAsia="Arial" w:hAnsi="Arial"/>
                <w:sz w:val="18"/>
                <w:szCs w:val="18"/>
                <w:color w:val="auto"/>
              </w:rPr>
              <w:t>(35)</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(1.8)</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3,000</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2,966</w:t>
            </w:r>
          </w:p>
        </w:tc>
        <w:tc>
          <w:tcPr>
            <w:tcW w:w="560" w:type="dxa"/>
            <w:vAlign w:val="bottom"/>
          </w:tcPr>
          <w:p>
            <w:pPr>
              <w:spacing w:after="0"/>
              <w:rPr>
                <w:sz w:val="23"/>
                <w:szCs w:val="23"/>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34</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1.2</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Franchise and other regulatory fees</w:t>
            </w:r>
          </w:p>
        </w:tc>
        <w:tc>
          <w:tcPr>
            <w:tcW w:w="340" w:type="dxa"/>
            <w:vAlign w:val="bottom"/>
          </w:tcPr>
          <w:p>
            <w:pPr>
              <w:spacing w:after="0"/>
              <w:rPr>
                <w:sz w:val="23"/>
                <w:szCs w:val="23"/>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1,189</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1,188</w:t>
            </w:r>
          </w:p>
        </w:tc>
        <w:tc>
          <w:tcPr>
            <w:tcW w:w="560" w:type="dxa"/>
            <w:vAlign w:val="bottom"/>
          </w:tcPr>
          <w:p>
            <w:pPr>
              <w:spacing w:after="0"/>
              <w:rPr>
                <w:sz w:val="23"/>
                <w:szCs w:val="23"/>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1</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0.2</w:t>
            </w:r>
          </w:p>
        </w:tc>
      </w:tr>
      <w:tr>
        <w:trPr>
          <w:trHeight w:val="270"/>
        </w:trPr>
        <w:tc>
          <w:tcPr>
            <w:tcW w:w="474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3,915</w:t>
            </w:r>
          </w:p>
        </w:tc>
        <w:tc>
          <w:tcPr>
            <w:tcW w:w="700" w:type="dxa"/>
            <w:vAlign w:val="bottom"/>
          </w:tcPr>
          <w:p>
            <w:pPr>
              <w:spacing w:after="0"/>
              <w:rPr>
                <w:sz w:val="23"/>
                <w:szCs w:val="23"/>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3,942</w:t>
            </w:r>
          </w:p>
        </w:tc>
        <w:tc>
          <w:tcPr>
            <w:tcW w:w="560" w:type="dxa"/>
            <w:vAlign w:val="bottom"/>
          </w:tcPr>
          <w:p>
            <w:pPr>
              <w:spacing w:after="0"/>
              <w:rPr>
                <w:sz w:val="23"/>
                <w:szCs w:val="23"/>
                <w:color w:val="auto"/>
              </w:rPr>
            </w:pPr>
          </w:p>
        </w:tc>
        <w:tc>
          <w:tcPr>
            <w:tcW w:w="1800" w:type="dxa"/>
            <w:vAlign w:val="bottom"/>
          </w:tcPr>
          <w:p>
            <w:pPr>
              <w:jc w:val="right"/>
              <w:ind w:right="693"/>
              <w:spacing w:after="0"/>
              <w:rPr>
                <w:sz w:val="20"/>
                <w:szCs w:val="20"/>
                <w:color w:val="auto"/>
              </w:rPr>
            </w:pPr>
            <w:r>
              <w:rPr>
                <w:rFonts w:ascii="Arial" w:cs="Arial" w:eastAsia="Arial" w:hAnsi="Arial"/>
                <w:sz w:val="18"/>
                <w:szCs w:val="18"/>
                <w:color w:val="auto"/>
              </w:rPr>
              <w:t>(27)</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(0.7)</w:t>
            </w:r>
          </w:p>
        </w:tc>
      </w:tr>
      <w:tr>
        <w:trPr>
          <w:trHeight w:val="27"/>
        </w:trPr>
        <w:tc>
          <w:tcPr>
            <w:tcW w:w="4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25,931</w:t>
            </w:r>
          </w:p>
        </w:tc>
        <w:tc>
          <w:tcPr>
            <w:tcW w:w="700" w:type="dxa"/>
            <w:vAlign w:val="bottom"/>
          </w:tcPr>
          <w:p>
            <w:pPr>
              <w:spacing w:after="0"/>
              <w:rPr>
                <w:sz w:val="20"/>
                <w:szCs w:val="20"/>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25,538</w:t>
            </w:r>
          </w:p>
        </w:tc>
        <w:tc>
          <w:tcPr>
            <w:tcW w:w="560" w:type="dxa"/>
            <w:vAlign w:val="bottom"/>
          </w:tcPr>
          <w:p>
            <w:pPr>
              <w:spacing w:after="0"/>
              <w:rPr>
                <w:sz w:val="20"/>
                <w:szCs w:val="20"/>
                <w:color w:val="auto"/>
              </w:rPr>
            </w:pPr>
          </w:p>
        </w:tc>
        <w:tc>
          <w:tcPr>
            <w:tcW w:w="1800" w:type="dxa"/>
            <w:vAlign w:val="bottom"/>
          </w:tcPr>
          <w:p>
            <w:pPr>
              <w:jc w:val="right"/>
              <w:ind w:right="753"/>
              <w:spacing w:after="0"/>
              <w:rPr>
                <w:sz w:val="20"/>
                <w:szCs w:val="20"/>
                <w:color w:val="auto"/>
              </w:rPr>
            </w:pPr>
            <w:r>
              <w:rPr>
                <w:rFonts w:ascii="Arial" w:cs="Arial" w:eastAsia="Arial" w:hAnsi="Arial"/>
                <w:sz w:val="18"/>
                <w:szCs w:val="18"/>
                <w:color w:val="auto"/>
              </w:rPr>
              <w:t>393</w:t>
            </w: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1.5</w:t>
            </w:r>
          </w:p>
        </w:tc>
      </w:tr>
      <w:tr>
        <w:trPr>
          <w:trHeight w:val="27"/>
        </w:trPr>
        <w:tc>
          <w:tcPr>
            <w:tcW w:w="4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93"/>
              <w:spacing w:after="0"/>
              <w:rPr>
                <w:sz w:val="20"/>
                <w:szCs w:val="20"/>
                <w:color w:val="auto"/>
              </w:rPr>
            </w:pPr>
            <w:r>
              <w:rPr>
                <w:rFonts w:ascii="Arial" w:cs="Arial" w:eastAsia="Arial" w:hAnsi="Arial"/>
                <w:sz w:val="18"/>
                <w:szCs w:val="18"/>
                <w:b w:val="1"/>
                <w:bCs w:val="1"/>
                <w:color w:val="auto"/>
              </w:rPr>
              <w:t>17,383</w:t>
            </w:r>
          </w:p>
        </w:tc>
        <w:tc>
          <w:tcPr>
            <w:tcW w:w="7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1"/>
              <w:spacing w:after="0"/>
              <w:rPr>
                <w:sz w:val="20"/>
                <w:szCs w:val="20"/>
                <w:color w:val="auto"/>
              </w:rPr>
            </w:pPr>
            <w:r>
              <w:rPr>
                <w:rFonts w:ascii="Arial" w:cs="Arial" w:eastAsia="Arial" w:hAnsi="Arial"/>
                <w:sz w:val="18"/>
                <w:szCs w:val="18"/>
                <w:b w:val="1"/>
                <w:bCs w:val="1"/>
                <w:color w:val="auto"/>
              </w:rPr>
              <w:t>16,100</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800" w:type="dxa"/>
            <w:vAlign w:val="bottom"/>
          </w:tcPr>
          <w:p>
            <w:pPr>
              <w:jc w:val="right"/>
              <w:ind w:right="753"/>
              <w:spacing w:after="0"/>
              <w:rPr>
                <w:sz w:val="20"/>
                <w:szCs w:val="20"/>
                <w:color w:val="auto"/>
              </w:rPr>
            </w:pPr>
            <w:r>
              <w:rPr>
                <w:rFonts w:ascii="Arial" w:cs="Arial" w:eastAsia="Arial" w:hAnsi="Arial"/>
                <w:sz w:val="18"/>
                <w:szCs w:val="18"/>
                <w:b w:val="1"/>
                <w:bCs w:val="1"/>
                <w:color w:val="auto"/>
              </w:rPr>
              <w:t>1,283</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8.0 %</w:t>
            </w:r>
          </w:p>
        </w:tc>
      </w:tr>
      <w:tr>
        <w:trPr>
          <w:trHeight w:val="34"/>
        </w:trPr>
        <w:tc>
          <w:tcPr>
            <w:tcW w:w="4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75"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75"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 Metrics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2"/>
          </w:tcPr>
          <w:p>
            <w:pPr>
              <w:jc w:val="right"/>
              <w:ind w:right="673"/>
              <w:spacing w:after="0"/>
              <w:rPr>
                <w:sz w:val="20"/>
                <w:szCs w:val="20"/>
                <w:color w:val="auto"/>
              </w:rPr>
            </w:pPr>
            <w:r>
              <w:rPr>
                <w:rFonts w:ascii="Arial" w:cs="Arial" w:eastAsia="Arial" w:hAnsi="Arial"/>
                <w:sz w:val="14"/>
                <w:szCs w:val="14"/>
                <w:color w:val="auto"/>
              </w:rPr>
              <w:t>Net Additions</w:t>
            </w:r>
          </w:p>
        </w:tc>
        <w:tc>
          <w:tcPr>
            <w:tcW w:w="860" w:type="dxa"/>
            <w:vAlign w:val="bottom"/>
            <w:tcBorders>
              <w:bottom w:val="single" w:sz="8" w:color="auto"/>
            </w:tcBorders>
          </w:tcPr>
          <w:p>
            <w:pPr>
              <w:spacing w:after="0"/>
              <w:rPr>
                <w:sz w:val="16"/>
                <w:szCs w:val="16"/>
                <w:color w:val="auto"/>
              </w:rPr>
            </w:pPr>
          </w:p>
        </w:tc>
      </w:tr>
      <w:tr>
        <w:trPr>
          <w:trHeight w:val="156"/>
        </w:trPr>
        <w:tc>
          <w:tcPr>
            <w:tcW w:w="5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20" w:type="dxa"/>
            <w:vAlign w:val="bottom"/>
            <w:gridSpan w:val="2"/>
          </w:tcPr>
          <w:p>
            <w:pPr>
              <w:jc w:val="right"/>
              <w:ind w:right="492"/>
              <w:spacing w:after="0" w:line="157" w:lineRule="exact"/>
              <w:rPr>
                <w:sz w:val="20"/>
                <w:szCs w:val="20"/>
                <w:color w:val="auto"/>
              </w:rPr>
            </w:pPr>
            <w:r>
              <w:rPr>
                <w:rFonts w:ascii="Arial" w:cs="Arial" w:eastAsia="Arial" w:hAnsi="Arial"/>
                <w:sz w:val="14"/>
                <w:szCs w:val="14"/>
                <w:color w:val="auto"/>
              </w:rPr>
              <w:t>Three Months Ended</w:t>
            </w:r>
          </w:p>
        </w:tc>
        <w:tc>
          <w:tcPr>
            <w:tcW w:w="1860" w:type="dxa"/>
            <w:vAlign w:val="bottom"/>
            <w:gridSpan w:val="2"/>
          </w:tcPr>
          <w:p>
            <w:pPr>
              <w:jc w:val="right"/>
              <w:ind w:right="331"/>
              <w:spacing w:after="0" w:line="157" w:lineRule="exact"/>
              <w:rPr>
                <w:sz w:val="20"/>
                <w:szCs w:val="20"/>
                <w:color w:val="auto"/>
              </w:rPr>
            </w:pPr>
            <w:r>
              <w:rPr>
                <w:rFonts w:ascii="Arial" w:cs="Arial" w:eastAsia="Arial" w:hAnsi="Arial"/>
                <w:sz w:val="14"/>
                <w:szCs w:val="14"/>
                <w:color w:val="auto"/>
              </w:rPr>
              <w:t>Nine Months Ended</w:t>
            </w:r>
          </w:p>
        </w:tc>
      </w:tr>
      <w:tr>
        <w:trPr>
          <w:trHeight w:val="188"/>
        </w:trPr>
        <w:tc>
          <w:tcPr>
            <w:tcW w:w="5260" w:type="dxa"/>
            <w:vAlign w:val="bottom"/>
          </w:tcPr>
          <w:p>
            <w:pPr>
              <w:spacing w:after="0"/>
              <w:rPr>
                <w:sz w:val="16"/>
                <w:szCs w:val="16"/>
                <w:color w:val="auto"/>
              </w:rPr>
            </w:pPr>
          </w:p>
        </w:tc>
        <w:tc>
          <w:tcPr>
            <w:tcW w:w="2080" w:type="dxa"/>
            <w:vAlign w:val="bottom"/>
            <w:tcBorders>
              <w:bottom w:val="single" w:sz="8" w:color="auto"/>
            </w:tcBorders>
            <w:gridSpan w:val="2"/>
          </w:tcPr>
          <w:p>
            <w:pPr>
              <w:jc w:val="right"/>
              <w:ind w:right="531"/>
              <w:spacing w:after="0"/>
              <w:rPr>
                <w:sz w:val="20"/>
                <w:szCs w:val="20"/>
                <w:color w:val="auto"/>
              </w:rPr>
            </w:pPr>
            <w:r>
              <w:rPr>
                <w:rFonts w:ascii="Arial" w:cs="Arial" w:eastAsia="Arial" w:hAnsi="Arial"/>
                <w:sz w:val="14"/>
                <w:szCs w:val="14"/>
                <w:color w:val="auto"/>
              </w:rPr>
              <w:t>September 30</w:t>
            </w:r>
          </w:p>
        </w:tc>
        <w:tc>
          <w:tcPr>
            <w:tcW w:w="2220" w:type="dxa"/>
            <w:vAlign w:val="bottom"/>
            <w:tcBorders>
              <w:bottom w:val="single" w:sz="8" w:color="auto"/>
            </w:tcBorders>
            <w:gridSpan w:val="2"/>
          </w:tcPr>
          <w:p>
            <w:pPr>
              <w:jc w:val="right"/>
              <w:ind w:right="692"/>
              <w:spacing w:after="0"/>
              <w:rPr>
                <w:sz w:val="20"/>
                <w:szCs w:val="20"/>
                <w:color w:val="auto"/>
              </w:rPr>
            </w:pPr>
            <w:r>
              <w:rPr>
                <w:rFonts w:ascii="Arial" w:cs="Arial" w:eastAsia="Arial" w:hAnsi="Arial"/>
                <w:sz w:val="14"/>
                <w:szCs w:val="14"/>
                <w:color w:val="auto"/>
              </w:rPr>
              <w:t>September 30</w:t>
            </w:r>
          </w:p>
        </w:tc>
        <w:tc>
          <w:tcPr>
            <w:tcW w:w="1860" w:type="dxa"/>
            <w:vAlign w:val="bottom"/>
            <w:tcBorders>
              <w:bottom w:val="single" w:sz="8" w:color="auto"/>
            </w:tcBorders>
            <w:gridSpan w:val="2"/>
          </w:tcPr>
          <w:p>
            <w:pPr>
              <w:jc w:val="right"/>
              <w:ind w:right="511"/>
              <w:spacing w:after="0"/>
              <w:rPr>
                <w:sz w:val="20"/>
                <w:szCs w:val="20"/>
                <w:color w:val="auto"/>
              </w:rPr>
            </w:pPr>
            <w:r>
              <w:rPr>
                <w:rFonts w:ascii="Arial" w:cs="Arial" w:eastAsia="Arial" w:hAnsi="Arial"/>
                <w:sz w:val="14"/>
                <w:szCs w:val="14"/>
                <w:color w:val="auto"/>
              </w:rPr>
              <w:t>September 30</w:t>
            </w:r>
          </w:p>
        </w:tc>
      </w:tr>
      <w:tr>
        <w:trPr>
          <w:trHeight w:val="196"/>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1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rPr>
              <w:t>2019</w:t>
            </w: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2018</w:t>
            </w: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2019</w:t>
            </w: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2018</w:t>
            </w: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2019</w:t>
            </w: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2018</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Customer relationships</w:t>
            </w:r>
          </w:p>
        </w:tc>
        <w:tc>
          <w:tcPr>
            <w:tcW w:w="1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5260" w:type="dxa"/>
            <w:vAlign w:val="bottom"/>
          </w:tcPr>
          <w:p>
            <w:pPr>
              <w:ind w:left="200"/>
              <w:spacing w:after="0"/>
              <w:rPr>
                <w:sz w:val="20"/>
                <w:szCs w:val="20"/>
                <w:color w:val="auto"/>
              </w:rPr>
            </w:pPr>
            <w:r>
              <w:rPr>
                <w:rFonts w:ascii="Arial" w:cs="Arial" w:eastAsia="Arial" w:hAnsi="Arial"/>
                <w:sz w:val="18"/>
                <w:szCs w:val="18"/>
                <w:color w:val="auto"/>
              </w:rPr>
              <w:t>Residential customer relationships</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28,797</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27,869</w:t>
            </w:r>
          </w:p>
        </w:tc>
        <w:tc>
          <w:tcPr>
            <w:tcW w:w="1200" w:type="dxa"/>
            <w:vAlign w:val="bottom"/>
          </w:tcPr>
          <w:p>
            <w:pPr>
              <w:jc w:val="right"/>
              <w:ind w:right="193"/>
              <w:spacing w:after="0"/>
              <w:rPr>
                <w:sz w:val="20"/>
                <w:szCs w:val="20"/>
                <w:color w:val="auto"/>
              </w:rPr>
            </w:pPr>
            <w:r>
              <w:rPr>
                <w:rFonts w:ascii="Arial" w:cs="Arial" w:eastAsia="Arial" w:hAnsi="Arial"/>
                <w:sz w:val="18"/>
                <w:szCs w:val="18"/>
                <w:color w:val="auto"/>
              </w:rPr>
              <w:t>288</w:t>
            </w: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270</w:t>
            </w:r>
          </w:p>
        </w:tc>
        <w:tc>
          <w:tcPr>
            <w:tcW w:w="1000" w:type="dxa"/>
            <w:vAlign w:val="bottom"/>
          </w:tcPr>
          <w:p>
            <w:pPr>
              <w:jc w:val="right"/>
              <w:ind w:right="173"/>
              <w:spacing w:after="0"/>
              <w:rPr>
                <w:sz w:val="20"/>
                <w:szCs w:val="20"/>
                <w:color w:val="auto"/>
              </w:rPr>
            </w:pPr>
            <w:r>
              <w:rPr>
                <w:rFonts w:ascii="Arial" w:cs="Arial" w:eastAsia="Arial" w:hAnsi="Arial"/>
                <w:sz w:val="18"/>
                <w:szCs w:val="18"/>
                <w:color w:val="auto"/>
              </w:rPr>
              <w:t>688</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685</w:t>
            </w:r>
          </w:p>
        </w:tc>
      </w:tr>
      <w:tr>
        <w:trPr>
          <w:trHeight w:val="270"/>
        </w:trPr>
        <w:tc>
          <w:tcPr>
            <w:tcW w:w="5260" w:type="dxa"/>
            <w:vAlign w:val="bottom"/>
          </w:tcPr>
          <w:p>
            <w:pPr>
              <w:ind w:left="200"/>
              <w:spacing w:after="0"/>
              <w:rPr>
                <w:sz w:val="20"/>
                <w:szCs w:val="20"/>
                <w:color w:val="auto"/>
              </w:rPr>
            </w:pPr>
            <w:r>
              <w:rPr>
                <w:rFonts w:ascii="Arial" w:cs="Arial" w:eastAsia="Arial" w:hAnsi="Arial"/>
                <w:sz w:val="18"/>
                <w:szCs w:val="18"/>
                <w:color w:val="auto"/>
              </w:rPr>
              <w:t>Business services customer relationships</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2,377</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2,274</w:t>
            </w:r>
          </w:p>
        </w:tc>
        <w:tc>
          <w:tcPr>
            <w:tcW w:w="1200" w:type="dxa"/>
            <w:vAlign w:val="bottom"/>
          </w:tcPr>
          <w:p>
            <w:pPr>
              <w:jc w:val="right"/>
              <w:ind w:right="193"/>
              <w:spacing w:after="0"/>
              <w:rPr>
                <w:sz w:val="20"/>
                <w:szCs w:val="20"/>
                <w:color w:val="auto"/>
              </w:rPr>
            </w:pPr>
            <w:r>
              <w:rPr>
                <w:rFonts w:ascii="Arial" w:cs="Arial" w:eastAsia="Arial" w:hAnsi="Arial"/>
                <w:sz w:val="18"/>
                <w:szCs w:val="18"/>
                <w:color w:val="auto"/>
              </w:rPr>
              <w:t>21</w:t>
            </w: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30</w:t>
            </w:r>
          </w:p>
        </w:tc>
        <w:tc>
          <w:tcPr>
            <w:tcW w:w="1000" w:type="dxa"/>
            <w:vAlign w:val="bottom"/>
          </w:tcPr>
          <w:p>
            <w:pPr>
              <w:jc w:val="right"/>
              <w:ind w:right="173"/>
              <w:spacing w:after="0"/>
              <w:rPr>
                <w:sz w:val="20"/>
                <w:szCs w:val="20"/>
                <w:color w:val="auto"/>
              </w:rPr>
            </w:pPr>
            <w:r>
              <w:rPr>
                <w:rFonts w:ascii="Arial" w:cs="Arial" w:eastAsia="Arial" w:hAnsi="Arial"/>
                <w:sz w:val="18"/>
                <w:szCs w:val="18"/>
                <w:color w:val="auto"/>
              </w:rPr>
              <w:t>74</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94</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Total customer relationships</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31,173</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30,143</w:t>
            </w:r>
          </w:p>
        </w:tc>
        <w:tc>
          <w:tcPr>
            <w:tcW w:w="1200" w:type="dxa"/>
            <w:vAlign w:val="bottom"/>
          </w:tcPr>
          <w:p>
            <w:pPr>
              <w:jc w:val="right"/>
              <w:ind w:right="193"/>
              <w:spacing w:after="0"/>
              <w:rPr>
                <w:sz w:val="20"/>
                <w:szCs w:val="20"/>
                <w:color w:val="auto"/>
              </w:rPr>
            </w:pPr>
            <w:r>
              <w:rPr>
                <w:rFonts w:ascii="Arial" w:cs="Arial" w:eastAsia="Arial" w:hAnsi="Arial"/>
                <w:sz w:val="18"/>
                <w:szCs w:val="18"/>
                <w:color w:val="auto"/>
              </w:rPr>
              <w:t>309</w:t>
            </w: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299</w:t>
            </w:r>
          </w:p>
        </w:tc>
        <w:tc>
          <w:tcPr>
            <w:tcW w:w="1000" w:type="dxa"/>
            <w:vAlign w:val="bottom"/>
          </w:tcPr>
          <w:p>
            <w:pPr>
              <w:jc w:val="right"/>
              <w:ind w:right="173"/>
              <w:spacing w:after="0"/>
              <w:rPr>
                <w:sz w:val="20"/>
                <w:szCs w:val="20"/>
                <w:color w:val="auto"/>
              </w:rPr>
            </w:pPr>
            <w:r>
              <w:rPr>
                <w:rFonts w:ascii="Arial" w:cs="Arial" w:eastAsia="Arial" w:hAnsi="Arial"/>
                <w:sz w:val="18"/>
                <w:szCs w:val="18"/>
                <w:color w:val="auto"/>
              </w:rPr>
              <w:t>762</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779</w:t>
            </w:r>
          </w:p>
        </w:tc>
      </w:tr>
      <w:tr>
        <w:trPr>
          <w:trHeight w:val="27"/>
        </w:trPr>
        <w:tc>
          <w:tcPr>
            <w:tcW w:w="5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Residential customer relationships mix</w:t>
            </w:r>
          </w:p>
        </w:tc>
        <w:tc>
          <w:tcPr>
            <w:tcW w:w="1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0"/>
        </w:trPr>
        <w:tc>
          <w:tcPr>
            <w:tcW w:w="5260" w:type="dxa"/>
            <w:vAlign w:val="bottom"/>
          </w:tcPr>
          <w:p>
            <w:pPr>
              <w:ind w:left="200"/>
              <w:spacing w:after="0"/>
              <w:rPr>
                <w:sz w:val="20"/>
                <w:szCs w:val="20"/>
                <w:color w:val="auto"/>
              </w:rPr>
            </w:pPr>
            <w:r>
              <w:rPr>
                <w:rFonts w:ascii="Arial" w:cs="Arial" w:eastAsia="Arial" w:hAnsi="Arial"/>
                <w:sz w:val="18"/>
                <w:szCs w:val="18"/>
                <w:color w:val="auto"/>
              </w:rPr>
              <w:t>One product customers</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9,905</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8,864</w:t>
            </w:r>
          </w:p>
        </w:tc>
        <w:tc>
          <w:tcPr>
            <w:tcW w:w="1200" w:type="dxa"/>
            <w:vAlign w:val="bottom"/>
          </w:tcPr>
          <w:p>
            <w:pPr>
              <w:jc w:val="right"/>
              <w:ind w:right="193"/>
              <w:spacing w:after="0"/>
              <w:rPr>
                <w:sz w:val="20"/>
                <w:szCs w:val="20"/>
                <w:color w:val="auto"/>
              </w:rPr>
            </w:pPr>
            <w:r>
              <w:rPr>
                <w:rFonts w:ascii="Arial" w:cs="Arial" w:eastAsia="Arial" w:hAnsi="Arial"/>
                <w:sz w:val="18"/>
                <w:szCs w:val="18"/>
                <w:color w:val="auto"/>
              </w:rPr>
              <w:t>379</w:t>
            </w: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270</w:t>
            </w:r>
          </w:p>
        </w:tc>
        <w:tc>
          <w:tcPr>
            <w:tcW w:w="1000" w:type="dxa"/>
            <w:vAlign w:val="bottom"/>
          </w:tcPr>
          <w:p>
            <w:pPr>
              <w:jc w:val="right"/>
              <w:ind w:right="173"/>
              <w:spacing w:after="0"/>
              <w:rPr>
                <w:sz w:val="20"/>
                <w:szCs w:val="20"/>
                <w:color w:val="auto"/>
              </w:rPr>
            </w:pPr>
            <w:r>
              <w:rPr>
                <w:rFonts w:ascii="Arial" w:cs="Arial" w:eastAsia="Arial" w:hAnsi="Arial"/>
                <w:sz w:val="18"/>
                <w:szCs w:val="18"/>
                <w:color w:val="auto"/>
              </w:rPr>
              <w:t>890</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689</w:t>
            </w:r>
          </w:p>
        </w:tc>
      </w:tr>
      <w:tr>
        <w:trPr>
          <w:trHeight w:val="270"/>
        </w:trPr>
        <w:tc>
          <w:tcPr>
            <w:tcW w:w="5260" w:type="dxa"/>
            <w:vAlign w:val="bottom"/>
          </w:tcPr>
          <w:p>
            <w:pPr>
              <w:ind w:left="200"/>
              <w:spacing w:after="0"/>
              <w:rPr>
                <w:sz w:val="20"/>
                <w:szCs w:val="20"/>
                <w:color w:val="auto"/>
              </w:rPr>
            </w:pPr>
            <w:r>
              <w:rPr>
                <w:rFonts w:ascii="Arial" w:cs="Arial" w:eastAsia="Arial" w:hAnsi="Arial"/>
                <w:sz w:val="18"/>
                <w:szCs w:val="18"/>
                <w:color w:val="auto"/>
              </w:rPr>
              <w:t>Two product customers</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8,915</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8,958</w:t>
            </w: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(38)</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(22)</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(78)</w:t>
            </w: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5260" w:type="dxa"/>
            <w:vAlign w:val="bottom"/>
          </w:tcPr>
          <w:p>
            <w:pPr>
              <w:ind w:left="200"/>
              <w:spacing w:after="0"/>
              <w:rPr>
                <w:sz w:val="20"/>
                <w:szCs w:val="20"/>
                <w:color w:val="auto"/>
              </w:rPr>
            </w:pPr>
            <w:r>
              <w:rPr>
                <w:rFonts w:ascii="Arial" w:cs="Arial" w:eastAsia="Arial" w:hAnsi="Arial"/>
                <w:sz w:val="18"/>
                <w:szCs w:val="18"/>
                <w:color w:val="auto"/>
              </w:rPr>
              <w:t>Three or more product customers</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9,977</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10,047</w:t>
            </w: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(53)</w:t>
            </w: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22</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(125)</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55</w:t>
            </w:r>
          </w:p>
        </w:tc>
      </w:tr>
      <w:tr>
        <w:trPr>
          <w:trHeight w:val="27"/>
        </w:trPr>
        <w:tc>
          <w:tcPr>
            <w:tcW w:w="5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High-speed internet</w:t>
            </w:r>
          </w:p>
        </w:tc>
        <w:tc>
          <w:tcPr>
            <w:tcW w:w="1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0"/>
        </w:trPr>
        <w:tc>
          <w:tcPr>
            <w:tcW w:w="5260" w:type="dxa"/>
            <w:vAlign w:val="bottom"/>
          </w:tcPr>
          <w:p>
            <w:pPr>
              <w:ind w:left="200"/>
              <w:spacing w:after="0"/>
              <w:rPr>
                <w:sz w:val="20"/>
                <w:szCs w:val="20"/>
                <w:color w:val="auto"/>
              </w:rPr>
            </w:pPr>
            <w:r>
              <w:rPr>
                <w:rFonts w:ascii="Arial" w:cs="Arial" w:eastAsia="Arial" w:hAnsi="Arial"/>
                <w:sz w:val="18"/>
                <w:szCs w:val="18"/>
                <w:color w:val="auto"/>
              </w:rPr>
              <w:t>Residential customers</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25,990</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24,774</w:t>
            </w:r>
          </w:p>
        </w:tc>
        <w:tc>
          <w:tcPr>
            <w:tcW w:w="1200" w:type="dxa"/>
            <w:vAlign w:val="bottom"/>
          </w:tcPr>
          <w:p>
            <w:pPr>
              <w:jc w:val="right"/>
              <w:ind w:right="193"/>
              <w:spacing w:after="0"/>
              <w:rPr>
                <w:sz w:val="20"/>
                <w:szCs w:val="20"/>
                <w:color w:val="auto"/>
              </w:rPr>
            </w:pPr>
            <w:r>
              <w:rPr>
                <w:rFonts w:ascii="Arial" w:cs="Arial" w:eastAsia="Arial" w:hAnsi="Arial"/>
                <w:sz w:val="18"/>
                <w:szCs w:val="18"/>
                <w:color w:val="auto"/>
              </w:rPr>
              <w:t>359</w:t>
            </w: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334</w:t>
            </w:r>
          </w:p>
        </w:tc>
        <w:tc>
          <w:tcPr>
            <w:tcW w:w="1000" w:type="dxa"/>
            <w:vAlign w:val="bottom"/>
          </w:tcPr>
          <w:p>
            <w:pPr>
              <w:jc w:val="right"/>
              <w:ind w:right="173"/>
              <w:spacing w:after="0"/>
              <w:rPr>
                <w:sz w:val="20"/>
                <w:szCs w:val="20"/>
                <w:color w:val="auto"/>
              </w:rPr>
            </w:pPr>
            <w:r>
              <w:rPr>
                <w:rFonts w:ascii="Arial" w:cs="Arial" w:eastAsia="Arial" w:hAnsi="Arial"/>
                <w:sz w:val="18"/>
                <w:szCs w:val="18"/>
                <w:color w:val="auto"/>
              </w:rPr>
              <w:t>893</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910</w:t>
            </w:r>
          </w:p>
        </w:tc>
      </w:tr>
      <w:tr>
        <w:trPr>
          <w:trHeight w:val="270"/>
        </w:trPr>
        <w:tc>
          <w:tcPr>
            <w:tcW w:w="5260" w:type="dxa"/>
            <w:vAlign w:val="bottom"/>
          </w:tcPr>
          <w:p>
            <w:pPr>
              <w:ind w:left="200"/>
              <w:spacing w:after="0"/>
              <w:rPr>
                <w:sz w:val="20"/>
                <w:szCs w:val="20"/>
                <w:color w:val="auto"/>
              </w:rPr>
            </w:pPr>
            <w:r>
              <w:rPr>
                <w:rFonts w:ascii="Arial" w:cs="Arial" w:eastAsia="Arial" w:hAnsi="Arial"/>
                <w:sz w:val="18"/>
                <w:szCs w:val="18"/>
                <w:color w:val="auto"/>
              </w:rPr>
              <w:t>Business services customers</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2,197</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2,098</w:t>
            </w:r>
          </w:p>
        </w:tc>
        <w:tc>
          <w:tcPr>
            <w:tcW w:w="1200" w:type="dxa"/>
            <w:vAlign w:val="bottom"/>
          </w:tcPr>
          <w:p>
            <w:pPr>
              <w:jc w:val="right"/>
              <w:ind w:right="193"/>
              <w:spacing w:after="0"/>
              <w:rPr>
                <w:sz w:val="20"/>
                <w:szCs w:val="20"/>
                <w:color w:val="auto"/>
              </w:rPr>
            </w:pPr>
            <w:r>
              <w:rPr>
                <w:rFonts w:ascii="Arial" w:cs="Arial" w:eastAsia="Arial" w:hAnsi="Arial"/>
                <w:sz w:val="18"/>
                <w:szCs w:val="18"/>
                <w:color w:val="auto"/>
              </w:rPr>
              <w:t>20</w:t>
            </w: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29</w:t>
            </w:r>
          </w:p>
        </w:tc>
        <w:tc>
          <w:tcPr>
            <w:tcW w:w="1000" w:type="dxa"/>
            <w:vAlign w:val="bottom"/>
          </w:tcPr>
          <w:p>
            <w:pPr>
              <w:jc w:val="right"/>
              <w:ind w:right="173"/>
              <w:spacing w:after="0"/>
              <w:rPr>
                <w:sz w:val="20"/>
                <w:szCs w:val="20"/>
                <w:color w:val="auto"/>
              </w:rPr>
            </w:pPr>
            <w:r>
              <w:rPr>
                <w:rFonts w:ascii="Arial" w:cs="Arial" w:eastAsia="Arial" w:hAnsi="Arial"/>
                <w:sz w:val="18"/>
                <w:szCs w:val="18"/>
                <w:color w:val="auto"/>
              </w:rPr>
              <w:t>71</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92</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Total high-speed internet customers</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28,186</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26,871</w:t>
            </w:r>
          </w:p>
        </w:tc>
        <w:tc>
          <w:tcPr>
            <w:tcW w:w="1200" w:type="dxa"/>
            <w:vAlign w:val="bottom"/>
          </w:tcPr>
          <w:p>
            <w:pPr>
              <w:jc w:val="right"/>
              <w:ind w:right="193"/>
              <w:spacing w:after="0"/>
              <w:rPr>
                <w:sz w:val="20"/>
                <w:szCs w:val="20"/>
                <w:color w:val="auto"/>
              </w:rPr>
            </w:pPr>
            <w:r>
              <w:rPr>
                <w:rFonts w:ascii="Arial" w:cs="Arial" w:eastAsia="Arial" w:hAnsi="Arial"/>
                <w:sz w:val="18"/>
                <w:szCs w:val="18"/>
                <w:color w:val="auto"/>
              </w:rPr>
              <w:t>379</w:t>
            </w: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363</w:t>
            </w:r>
          </w:p>
        </w:tc>
        <w:tc>
          <w:tcPr>
            <w:tcW w:w="1000" w:type="dxa"/>
            <w:vAlign w:val="bottom"/>
          </w:tcPr>
          <w:p>
            <w:pPr>
              <w:jc w:val="right"/>
              <w:ind w:right="173"/>
              <w:spacing w:after="0"/>
              <w:rPr>
                <w:sz w:val="20"/>
                <w:szCs w:val="20"/>
                <w:color w:val="auto"/>
              </w:rPr>
            </w:pPr>
            <w:r>
              <w:rPr>
                <w:rFonts w:ascii="Arial" w:cs="Arial" w:eastAsia="Arial" w:hAnsi="Arial"/>
                <w:sz w:val="18"/>
                <w:szCs w:val="18"/>
                <w:color w:val="auto"/>
              </w:rPr>
              <w:t>964</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1,002</w:t>
            </w:r>
          </w:p>
        </w:tc>
      </w:tr>
      <w:tr>
        <w:trPr>
          <w:trHeight w:val="27"/>
        </w:trPr>
        <w:tc>
          <w:tcPr>
            <w:tcW w:w="5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Video</w:t>
            </w:r>
          </w:p>
        </w:tc>
        <w:tc>
          <w:tcPr>
            <w:tcW w:w="1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0"/>
        </w:trPr>
        <w:tc>
          <w:tcPr>
            <w:tcW w:w="5260" w:type="dxa"/>
            <w:vAlign w:val="bottom"/>
          </w:tcPr>
          <w:p>
            <w:pPr>
              <w:ind w:left="200"/>
              <w:spacing w:after="0"/>
              <w:rPr>
                <w:sz w:val="20"/>
                <w:szCs w:val="20"/>
                <w:color w:val="auto"/>
              </w:rPr>
            </w:pPr>
            <w:r>
              <w:rPr>
                <w:rFonts w:ascii="Arial" w:cs="Arial" w:eastAsia="Arial" w:hAnsi="Arial"/>
                <w:sz w:val="18"/>
                <w:szCs w:val="18"/>
                <w:color w:val="auto"/>
              </w:rPr>
              <w:t>Residential customers</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20,421</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20,978</w:t>
            </w: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(222)</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(95)</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(539)</w:t>
            </w:r>
          </w:p>
        </w:tc>
        <w:tc>
          <w:tcPr>
            <w:tcW w:w="86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70"/>
        </w:trPr>
        <w:tc>
          <w:tcPr>
            <w:tcW w:w="5260" w:type="dxa"/>
            <w:vAlign w:val="bottom"/>
          </w:tcPr>
          <w:p>
            <w:pPr>
              <w:ind w:left="200"/>
              <w:spacing w:after="0"/>
              <w:rPr>
                <w:sz w:val="20"/>
                <w:szCs w:val="20"/>
                <w:color w:val="auto"/>
              </w:rPr>
            </w:pPr>
            <w:r>
              <w:rPr>
                <w:rFonts w:ascii="Arial" w:cs="Arial" w:eastAsia="Arial" w:hAnsi="Arial"/>
                <w:sz w:val="18"/>
                <w:szCs w:val="18"/>
                <w:color w:val="auto"/>
              </w:rPr>
              <w:t>Business services customers</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983</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1,037</w:t>
            </w: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(16)</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(11)</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(45)</w:t>
            </w: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Total video customers</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21,403</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22,015</w:t>
            </w: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(238)</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(106)</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(583)</w:t>
            </w:r>
          </w:p>
        </w:tc>
        <w:tc>
          <w:tcPr>
            <w:tcW w:w="860" w:type="dxa"/>
            <w:vAlign w:val="bottom"/>
          </w:tcPr>
          <w:p>
            <w:pPr>
              <w:jc w:val="right"/>
              <w:spacing w:after="0"/>
              <w:rPr>
                <w:sz w:val="20"/>
                <w:szCs w:val="20"/>
                <w:color w:val="auto"/>
              </w:rPr>
            </w:pPr>
            <w:r>
              <w:rPr>
                <w:rFonts w:ascii="Arial" w:cs="Arial" w:eastAsia="Arial" w:hAnsi="Arial"/>
                <w:sz w:val="18"/>
                <w:szCs w:val="18"/>
                <w:color w:val="auto"/>
              </w:rPr>
              <w:t>(342)</w:t>
            </w:r>
          </w:p>
        </w:tc>
      </w:tr>
      <w:tr>
        <w:trPr>
          <w:trHeight w:val="27"/>
        </w:trPr>
        <w:tc>
          <w:tcPr>
            <w:tcW w:w="5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Voice</w:t>
            </w:r>
          </w:p>
        </w:tc>
        <w:tc>
          <w:tcPr>
            <w:tcW w:w="1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0"/>
        </w:trPr>
        <w:tc>
          <w:tcPr>
            <w:tcW w:w="5260" w:type="dxa"/>
            <w:vAlign w:val="bottom"/>
          </w:tcPr>
          <w:p>
            <w:pPr>
              <w:ind w:left="200"/>
              <w:spacing w:after="0"/>
              <w:rPr>
                <w:sz w:val="20"/>
                <w:szCs w:val="20"/>
                <w:color w:val="auto"/>
              </w:rPr>
            </w:pPr>
            <w:r>
              <w:rPr>
                <w:rFonts w:ascii="Arial" w:cs="Arial" w:eastAsia="Arial" w:hAnsi="Arial"/>
                <w:sz w:val="18"/>
                <w:szCs w:val="18"/>
                <w:color w:val="auto"/>
              </w:rPr>
              <w:t>Residential customers</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9,945</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10,164</w:t>
            </w: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(63)</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(49)</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(208)</w:t>
            </w:r>
          </w:p>
        </w:tc>
        <w:tc>
          <w:tcPr>
            <w:tcW w:w="86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70"/>
        </w:trPr>
        <w:tc>
          <w:tcPr>
            <w:tcW w:w="5260" w:type="dxa"/>
            <w:vAlign w:val="bottom"/>
          </w:tcPr>
          <w:p>
            <w:pPr>
              <w:ind w:left="200"/>
              <w:spacing w:after="0"/>
              <w:rPr>
                <w:sz w:val="20"/>
                <w:szCs w:val="20"/>
                <w:color w:val="auto"/>
              </w:rPr>
            </w:pPr>
            <w:r>
              <w:rPr>
                <w:rFonts w:ascii="Arial" w:cs="Arial" w:eastAsia="Arial" w:hAnsi="Arial"/>
                <w:sz w:val="18"/>
                <w:szCs w:val="18"/>
                <w:color w:val="auto"/>
              </w:rPr>
              <w:t>Business services customers</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1,334</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1,283</w:t>
            </w:r>
          </w:p>
        </w:tc>
        <w:tc>
          <w:tcPr>
            <w:tcW w:w="1200" w:type="dxa"/>
            <w:vAlign w:val="bottom"/>
          </w:tcPr>
          <w:p>
            <w:pPr>
              <w:jc w:val="right"/>
              <w:ind w:right="193"/>
              <w:spacing w:after="0"/>
              <w:rPr>
                <w:sz w:val="20"/>
                <w:szCs w:val="20"/>
                <w:color w:val="auto"/>
              </w:rPr>
            </w:pPr>
            <w:r>
              <w:rPr>
                <w:rFonts w:ascii="Arial" w:cs="Arial" w:eastAsia="Arial" w:hAnsi="Arial"/>
                <w:sz w:val="18"/>
                <w:szCs w:val="18"/>
                <w:color w:val="auto"/>
              </w:rPr>
              <w:t>10</w:t>
            </w: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13</w:t>
            </w:r>
          </w:p>
        </w:tc>
        <w:tc>
          <w:tcPr>
            <w:tcW w:w="1000" w:type="dxa"/>
            <w:vAlign w:val="bottom"/>
          </w:tcPr>
          <w:p>
            <w:pPr>
              <w:jc w:val="right"/>
              <w:ind w:right="173"/>
              <w:spacing w:after="0"/>
              <w:rPr>
                <w:sz w:val="20"/>
                <w:szCs w:val="20"/>
                <w:color w:val="auto"/>
              </w:rPr>
            </w:pPr>
            <w:r>
              <w:rPr>
                <w:rFonts w:ascii="Arial" w:cs="Arial" w:eastAsia="Arial" w:hAnsi="Arial"/>
                <w:sz w:val="18"/>
                <w:szCs w:val="18"/>
                <w:color w:val="auto"/>
              </w:rPr>
              <w:t>37</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46</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Total voice customers</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11,278</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11,447</w:t>
            </w: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(53)</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(35)</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(171)</w:t>
            </w:r>
          </w:p>
        </w:tc>
        <w:tc>
          <w:tcPr>
            <w:tcW w:w="8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5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Security and automation</w:t>
            </w:r>
          </w:p>
        </w:tc>
        <w:tc>
          <w:tcPr>
            <w:tcW w:w="1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Security and automation customers</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1,365</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1,277</w:t>
            </w:r>
          </w:p>
        </w:tc>
        <w:tc>
          <w:tcPr>
            <w:tcW w:w="1200" w:type="dxa"/>
            <w:vAlign w:val="bottom"/>
          </w:tcPr>
          <w:p>
            <w:pPr>
              <w:jc w:val="right"/>
              <w:ind w:right="193"/>
              <w:spacing w:after="0"/>
              <w:rPr>
                <w:sz w:val="20"/>
                <w:szCs w:val="20"/>
                <w:color w:val="auto"/>
              </w:rPr>
            </w:pPr>
            <w:r>
              <w:rPr>
                <w:rFonts w:ascii="Arial" w:cs="Arial" w:eastAsia="Arial" w:hAnsi="Arial"/>
                <w:sz w:val="18"/>
                <w:szCs w:val="18"/>
                <w:color w:val="auto"/>
              </w:rPr>
              <w:t>8</w:t>
            </w: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42</w:t>
            </w:r>
          </w:p>
        </w:tc>
        <w:tc>
          <w:tcPr>
            <w:tcW w:w="1000" w:type="dxa"/>
            <w:vAlign w:val="bottom"/>
          </w:tcPr>
          <w:p>
            <w:pPr>
              <w:jc w:val="right"/>
              <w:ind w:right="173"/>
              <w:spacing w:after="0"/>
              <w:rPr>
                <w:sz w:val="20"/>
                <w:szCs w:val="20"/>
                <w:color w:val="auto"/>
              </w:rPr>
            </w:pPr>
            <w:r>
              <w:rPr>
                <w:rFonts w:ascii="Arial" w:cs="Arial" w:eastAsia="Arial" w:hAnsi="Arial"/>
                <w:sz w:val="18"/>
                <w:szCs w:val="18"/>
                <w:color w:val="auto"/>
              </w:rPr>
              <w:t>48</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147</w:t>
            </w:r>
          </w:p>
        </w:tc>
      </w:tr>
      <w:tr>
        <w:trPr>
          <w:trHeight w:val="27"/>
        </w:trPr>
        <w:tc>
          <w:tcPr>
            <w:tcW w:w="5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Wireless</w:t>
            </w:r>
          </w:p>
        </w:tc>
        <w:tc>
          <w:tcPr>
            <w:tcW w:w="1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Wireless lines</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1,791</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1,009</w:t>
            </w:r>
          </w:p>
        </w:tc>
        <w:tc>
          <w:tcPr>
            <w:tcW w:w="1200" w:type="dxa"/>
            <w:vAlign w:val="bottom"/>
          </w:tcPr>
          <w:p>
            <w:pPr>
              <w:jc w:val="right"/>
              <w:ind w:right="193"/>
              <w:spacing w:after="0"/>
              <w:rPr>
                <w:sz w:val="20"/>
                <w:szCs w:val="20"/>
                <w:color w:val="auto"/>
              </w:rPr>
            </w:pPr>
            <w:r>
              <w:rPr>
                <w:rFonts w:ascii="Arial" w:cs="Arial" w:eastAsia="Arial" w:hAnsi="Arial"/>
                <w:sz w:val="18"/>
                <w:szCs w:val="18"/>
                <w:color w:val="auto"/>
              </w:rPr>
              <w:t>204</w:t>
            </w: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228</w:t>
            </w:r>
          </w:p>
        </w:tc>
        <w:tc>
          <w:tcPr>
            <w:tcW w:w="1000" w:type="dxa"/>
            <w:vAlign w:val="bottom"/>
          </w:tcPr>
          <w:p>
            <w:pPr>
              <w:jc w:val="right"/>
              <w:ind w:right="173"/>
              <w:spacing w:after="0"/>
              <w:rPr>
                <w:sz w:val="20"/>
                <w:szCs w:val="20"/>
                <w:color w:val="auto"/>
              </w:rPr>
            </w:pPr>
            <w:r>
              <w:rPr>
                <w:rFonts w:ascii="Arial" w:cs="Arial" w:eastAsia="Arial" w:hAnsi="Arial"/>
                <w:sz w:val="18"/>
                <w:szCs w:val="18"/>
                <w:color w:val="auto"/>
              </w:rPr>
              <w:t>555</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6"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Customer metrics are presented based on actual amounts. Minor differences may exist due to rounding. Customer relationships represent the number of residential and business customers that subscribe to at least one of our cable services. One product, two product, and three or more product customers represent residential customers that subscribe to one, two, or three or more of our cable services, respectively. For multiple dwelling units (“MDUs”), including buildings located on college campuses, whose residents have the ability to receive additional cable services, such as additional programming choices or our high-definition video (“HD”) or digital video recorder (“DVR”) advanced services, we count and report customers based on the number of potential billable relationships within each MDU. For MDUs whose residents are not able to receive additional cable services, the MDU is counted as a single customer. Residential high-speed internet and video customers as of September 30, 2019 included prepaid customers totaling approximately 184,000 and 6,000, respectively. Wireless lines represent the number of activated eligible wireless devices on customers’ accounts. Individual customer relationships may have multiple wireless lines.</w:t>
      </w:r>
    </w:p>
    <w:p>
      <w:pPr>
        <w:spacing w:after="0" w:line="20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Average monthly total revenue per customer relationship for the three and nine months ended September 30, 2019 was $156.72 and $156.29, respectively. Average monthly total revenue per customer relationship for the three and nine months ended September 30, 2018 was $155.84 and $155.49, respectively. This metric is impacted by rate adjustments and changes in the types and levels of services received by our residential and business services customers, as well as changes in advertising revenue. While revenue from our high-speed internet, video, voice and wireless services is also impacted by changes in the allocation of revenue among services sold in a bundle, the allocation does not impact average monthly total revenue per customer relationship.</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Average monthly Adjusted EBITDA per customer relationship for the three and nine months ended September 30, 2019 was $62.34 and $62.72, respectively. Average monthly Adjusted EBITDA per customer relationship for the three and nine months ended September 30, 2018 was $60.39 and $60.13, respectively. Each of our cable services has a different contribution to operating margin. We use average monthly Adjusted EBITDA per customer relationship to evaluate the profitability of our customer base across our service offerings. We believe this metric is useful particularly as we continue to focus on growing our higher-margin businesses, including residential high-speed internet and business services.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75"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High-speed internet revenue increased 9.3% and 9.6% for the three and nine months ended September 30, 2019, respectively, compared to the same periods in 2018. Increases in the number of residential customers receiving our high-speed internet services accounted for increases in revenue of 4.9% and 5.0% for the three and nine months ended September 30, 2019, respectively. The remaining increases in revenue for the three and nine months ended September 30, 2019 were primarily due to increases in average rates.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Video revenue was flat for the three and nine months ended September 30, 2019 compared to the same periods in 2018 primarily due to declines in the number of residential video customers, partially offset by increases in average rates.</w:t>
      </w:r>
    </w:p>
    <w:p>
      <w:pPr>
        <w:spacing w:after="0" w:line="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experienced, and expect that we will continue to experience, declines in the number of residential video customers due to competitive pressures, and we expect that our video revenue will continue to decline as a result of the competitive environment and shifting video consumption patterns. We believe our X1 platform helps us compete more effectively against this competition, and have also continued to employ sales and marketing programs, such as promotions, bundled service offerings and service offerings targeted at specific market segments.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Voice</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Voice revenue decreased 1.9% and 1.6% for the three and nine months ended September 30, 2019, respectively, compared to the same periods in 2018 primarily due to declines in the number of residential voice customers. We expect that the number of residential voice customers and voice revenue will continue to decline.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Wireless</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Wireless revenue increased 38.1% and 27.6% for the three and nine months ended September 30, 2019, respectively, compared to the same periods in 2018 primarily due to increases in the number of customer lines. For the nine months ended September 30, 2019, while the number of customer lines increased, the sales of handsets declined due to customers electing to bring their own device.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Services</w:t>
      </w:r>
    </w:p>
    <w:p>
      <w:pPr>
        <w:spacing w:after="0" w:line="12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Business services revenue increased 9.3% and 9.5% for the three and nine months ended September 30, 2019, respectively, compared to the same periods in 2018. The increases were primarily due to increases in the number of customers receiving our services and increases in average rates.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2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Advertising revenue decreased 11.9% and 8.6% for the three and nine months ended September 30, 2019, respectively, compared to the same periods in 2018 primarily due to decreases in political advertising revenue. Excluding the impact of political advertising revenue, advertising revenue increased 1.2% for the three months ended September 30, 2019 and decreased 1.1% for the nine months ended September 30, 2019, compared to the same periods in 2018.</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nine months ended September 30, 2019, 8% and 6% of our Cable Communications segment advertising revenue was generated from our NBCUniversal segments, respectively. For both the three and nine months ended September 30, 2018, 4% of our Cable Communications segment advertising revenue was generated from our NBCUniversal segments. These amounts are eliminated in our condensed consolidated financial statements but are included in the amounts presented above.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revenue increased 13.4% and 8.8% for the three and nine months ended September 30, 2019, respectively, compared to the same periods in 2018 primarily due to increases from the timing of revenue from the licensing of our technology platforms to other multichannel video providers and from our security and automation services.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Operating Costs and Expenses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Programming expenses were flat for the three months ended September 30, 2019 compared to the same period in 2018 primarily due to increases in retransmission consent and sports programming fees, offset by declines in the number of video subscribers. Programming expenses increased for the nine months ended September 30, 2019 compared to the same period in 2018 primarily due to increases in retransmission consent and sports programming fees, partially offset by declines in the number of video subscribers. We anticipate that our programming expenses will continue to increase, which may be at rates higher than those experienced recently, due to the timing of contract renewals in the future.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75"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Technical and product support expenses increased for the three and nine months ended September 30, 2019 compared to the same periods in 2018. The increases were primarily due to expenses related to the continued development, deployment and support of our products and services, expenses related to the continued growth in business services and increased costs associated with our wireless phone service. The increases in wireless phone service costs were primarily due to increases in the number of lines. For the nine months ended September 30, 2019, while customer lines increased, the costs of handsets sold decreased due to customers electing to bring their own device, which partially offset an increase in variable network fees.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Customer service expenses decreased for the three and nine months ended September 30, 2019 compared to the same periods in 2018 primarily due to lower personnel costs.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Advertising, marketing and promotion expenses increased for the three and nine months ended September 30, 2019 compared to the same periods in 2018 primarily due to increases in spending associated with attracting new customers. The increase for the nine months ended September 30, 2019 was partially offset by the absence of advertising expenses associated with the 2018 PyeongChang Olympics.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Franchise and other regulatory fees increased for the three months ended September 30, 2019 compared to the same period in 2018 primarily due to an increase in the related rates of these fees, partially offset by a decrease in the revenue to which the fees apply. Franchise and other regulatory fees were flat for the nine months ended September 30, 2019 compared to the same period in 2018.</w:t>
      </w:r>
    </w:p>
    <w:p>
      <w:pPr>
        <w:spacing w:after="0" w:line="127" w:lineRule="exact"/>
        <w:rPr>
          <w:sz w:val="20"/>
          <w:szCs w:val="20"/>
          <w:color w:val="auto"/>
        </w:rPr>
      </w:pPr>
    </w:p>
    <w:p>
      <w:pPr>
        <w:ind w:right="1240"/>
        <w:spacing w:after="0" w:line="367" w:lineRule="auto"/>
        <w:rPr>
          <w:sz w:val="20"/>
          <w:szCs w:val="20"/>
          <w:color w:val="auto"/>
        </w:rPr>
      </w:pPr>
      <w:r>
        <w:rPr>
          <w:rFonts w:ascii="Arial" w:cs="Arial" w:eastAsia="Arial" w:hAnsi="Arial"/>
          <w:sz w:val="18"/>
          <w:szCs w:val="18"/>
          <w:color w:val="auto"/>
        </w:rPr>
        <w:t xml:space="preserve">Other operating costs and expenses were flat for the three and nine months ended September 30, 2019 compared to the same periods in 2018. </w:t>
      </w:r>
      <w:r>
        <w:rPr>
          <w:rFonts w:ascii="Arial" w:cs="Arial" w:eastAsia="Arial" w:hAnsi="Arial"/>
          <w:sz w:val="18"/>
          <w:szCs w:val="18"/>
          <w:b w:val="1"/>
          <w:bCs w:val="1"/>
          <w:color w:val="auto"/>
        </w:rPr>
        <w:t>Cable Communications Segment – Operating Margin</w:t>
      </w:r>
    </w:p>
    <w:p>
      <w:pPr>
        <w:spacing w:after="0" w:line="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Cable Communications segment operating margin is Adjusted EBITDA as a percentage of revenue. The most significant operating costs and expenses for our Cable Communications segment are the programming expenses we incur to provide content to our video customers.</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Cable Communications segment operating margin for the three and nine months ended September 30, 2019 was 39.8% and 40.1%, respectively. Our Cable Communications segment operating margin for the three and nine months ended September 30, 2018 was 38.8% and 38.7%, respectively. We continue to focus on growing our higher-margin businesses, particularly residential high-speed internet and business services, and on improving losses related to our wireless phone service and overall operating cost management. Losses from our wireless phone service were $94 million and $285 million for the three and nine months ended September 30, 2019, respectively, compared to losses of $178 million and $552 million for the three and nine months ended September 30, 2018,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Segments Results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tcPr>
          <w:p>
            <w:pPr>
              <w:jc w:val="right"/>
              <w:ind w:right="134"/>
              <w:spacing w:after="0"/>
              <w:rPr>
                <w:sz w:val="20"/>
                <w:szCs w:val="20"/>
                <w:color w:val="auto"/>
              </w:rPr>
            </w:pPr>
            <w:r>
              <w:rPr>
                <w:rFonts w:ascii="Arial" w:cs="Arial" w:eastAsia="Arial" w:hAnsi="Arial"/>
                <w:sz w:val="14"/>
                <w:szCs w:val="14"/>
                <w:color w:val="auto"/>
              </w:rPr>
              <w:t>Increase/</w:t>
            </w:r>
          </w:p>
        </w:tc>
        <w:tc>
          <w:tcPr>
            <w:tcW w:w="1060" w:type="dxa"/>
            <w:vAlign w:val="bottom"/>
          </w:tcPr>
          <w:p>
            <w:pPr>
              <w:spacing w:after="0"/>
              <w:rPr>
                <w:sz w:val="14"/>
                <w:szCs w:val="1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color w:val="auto"/>
              </w:rPr>
              <w:t>September 30</w:t>
            </w:r>
          </w:p>
        </w:tc>
        <w:tc>
          <w:tcPr>
            <w:tcW w:w="10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(Decrease)</w:t>
            </w:r>
          </w:p>
        </w:tc>
        <w:tc>
          <w:tcPr>
            <w:tcW w:w="106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2019</w:t>
            </w:r>
          </w:p>
        </w:tc>
        <w:tc>
          <w:tcPr>
            <w:tcW w:w="6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w w:val="96"/>
              </w:rPr>
              <w:t>2018</w:t>
            </w:r>
          </w:p>
        </w:tc>
        <w:tc>
          <w:tcPr>
            <w:tcW w:w="5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2,771</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2,850</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(79)</w:t>
            </w: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34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2,230</w:t>
            </w:r>
          </w:p>
        </w:tc>
        <w:tc>
          <w:tcPr>
            <w:tcW w:w="68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2,452</w:t>
            </w:r>
          </w:p>
        </w:tc>
        <w:tc>
          <w:tcPr>
            <w:tcW w:w="52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(222)</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(9.1)</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34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1,706</w:t>
            </w:r>
          </w:p>
        </w:tc>
        <w:tc>
          <w:tcPr>
            <w:tcW w:w="68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1,819</w:t>
            </w:r>
          </w:p>
        </w:tc>
        <w:tc>
          <w:tcPr>
            <w:tcW w:w="52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(113)</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(6.2)</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34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1,631</w:t>
            </w:r>
          </w:p>
        </w:tc>
        <w:tc>
          <w:tcPr>
            <w:tcW w:w="68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1,528</w:t>
            </w:r>
          </w:p>
        </w:tc>
        <w:tc>
          <w:tcPr>
            <w:tcW w:w="52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103</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6.8</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Headquarters, other and eliminations</w:t>
            </w:r>
          </w:p>
        </w:tc>
        <w:tc>
          <w:tcPr>
            <w:tcW w:w="34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(43)</w:t>
            </w:r>
          </w:p>
        </w:tc>
        <w:tc>
          <w:tcPr>
            <w:tcW w:w="68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(53)</w:t>
            </w:r>
          </w:p>
        </w:tc>
        <w:tc>
          <w:tcPr>
            <w:tcW w:w="52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10</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NM</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113"/>
              <w:spacing w:after="0"/>
              <w:rPr>
                <w:sz w:val="20"/>
                <w:szCs w:val="20"/>
                <w:color w:val="auto"/>
              </w:rPr>
            </w:pPr>
            <w:r>
              <w:rPr>
                <w:rFonts w:ascii="Arial" w:cs="Arial" w:eastAsia="Arial" w:hAnsi="Arial"/>
                <w:sz w:val="18"/>
                <w:szCs w:val="18"/>
                <w:b w:val="1"/>
                <w:bCs w:val="1"/>
                <w:color w:val="auto"/>
              </w:rPr>
              <w:t>8,295</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1"/>
              <w:spacing w:after="0"/>
              <w:rPr>
                <w:sz w:val="20"/>
                <w:szCs w:val="20"/>
                <w:color w:val="auto"/>
              </w:rPr>
            </w:pPr>
            <w:r>
              <w:rPr>
                <w:rFonts w:ascii="Arial" w:cs="Arial" w:eastAsia="Arial" w:hAnsi="Arial"/>
                <w:sz w:val="18"/>
                <w:szCs w:val="18"/>
                <w:b w:val="1"/>
                <w:bCs w:val="1"/>
                <w:color w:val="auto"/>
              </w:rPr>
              <w:t>8,596</w:t>
            </w:r>
          </w:p>
        </w:tc>
        <w:tc>
          <w:tcPr>
            <w:tcW w:w="5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34"/>
              <w:spacing w:after="0"/>
              <w:rPr>
                <w:sz w:val="20"/>
                <w:szCs w:val="20"/>
                <w:color w:val="auto"/>
              </w:rPr>
            </w:pPr>
            <w:r>
              <w:rPr>
                <w:rFonts w:ascii="Arial" w:cs="Arial" w:eastAsia="Arial" w:hAnsi="Arial"/>
                <w:sz w:val="18"/>
                <w:szCs w:val="18"/>
                <w:b w:val="1"/>
                <w:bCs w:val="1"/>
                <w:color w:val="auto"/>
              </w:rPr>
              <w:t>(301)</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955</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959</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(4)</w:t>
            </w:r>
          </w:p>
        </w:tc>
        <w:tc>
          <w:tcPr>
            <w:tcW w:w="10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34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338</w:t>
            </w:r>
          </w:p>
        </w:tc>
        <w:tc>
          <w:tcPr>
            <w:tcW w:w="68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321</w:t>
            </w:r>
          </w:p>
        </w:tc>
        <w:tc>
          <w:tcPr>
            <w:tcW w:w="52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17</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5.1</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34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195</w:t>
            </w:r>
          </w:p>
        </w:tc>
        <w:tc>
          <w:tcPr>
            <w:tcW w:w="68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214</w:t>
            </w:r>
          </w:p>
        </w:tc>
        <w:tc>
          <w:tcPr>
            <w:tcW w:w="52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(19)</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(8.7)</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34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731</w:t>
            </w:r>
          </w:p>
        </w:tc>
        <w:tc>
          <w:tcPr>
            <w:tcW w:w="68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725</w:t>
            </w:r>
          </w:p>
        </w:tc>
        <w:tc>
          <w:tcPr>
            <w:tcW w:w="52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6</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0.9</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Headquarters, other and eliminations</w:t>
            </w:r>
          </w:p>
        </w:tc>
        <w:tc>
          <w:tcPr>
            <w:tcW w:w="34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(128)</w:t>
            </w:r>
          </w:p>
        </w:tc>
        <w:tc>
          <w:tcPr>
            <w:tcW w:w="68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(162)</w:t>
            </w:r>
          </w:p>
        </w:tc>
        <w:tc>
          <w:tcPr>
            <w:tcW w:w="52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34</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NM</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113"/>
              <w:spacing w:after="0"/>
              <w:rPr>
                <w:sz w:val="20"/>
                <w:szCs w:val="20"/>
                <w:color w:val="auto"/>
              </w:rPr>
            </w:pPr>
            <w:r>
              <w:rPr>
                <w:rFonts w:ascii="Arial" w:cs="Arial" w:eastAsia="Arial" w:hAnsi="Arial"/>
                <w:sz w:val="18"/>
                <w:szCs w:val="18"/>
                <w:b w:val="1"/>
                <w:bCs w:val="1"/>
                <w:color w:val="auto"/>
              </w:rPr>
              <w:t>2,091</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1"/>
              <w:spacing w:after="0"/>
              <w:rPr>
                <w:sz w:val="20"/>
                <w:szCs w:val="20"/>
                <w:color w:val="auto"/>
              </w:rPr>
            </w:pPr>
            <w:r>
              <w:rPr>
                <w:rFonts w:ascii="Arial" w:cs="Arial" w:eastAsia="Arial" w:hAnsi="Arial"/>
                <w:sz w:val="18"/>
                <w:szCs w:val="18"/>
                <w:b w:val="1"/>
                <w:bCs w:val="1"/>
                <w:color w:val="auto"/>
              </w:rPr>
              <w:t>2,057</w:t>
            </w:r>
          </w:p>
        </w:tc>
        <w:tc>
          <w:tcPr>
            <w:tcW w:w="5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34</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1.6 %</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513"/>
        </w:trPr>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ind w:right="613"/>
              <w:spacing w:after="0"/>
              <w:rPr>
                <w:sz w:val="20"/>
                <w:szCs w:val="20"/>
                <w:color w:val="auto"/>
              </w:rPr>
            </w:pPr>
            <w:r>
              <w:rPr>
                <w:rFonts w:ascii="Arial" w:cs="Arial" w:eastAsia="Arial" w:hAnsi="Arial"/>
                <w:sz w:val="18"/>
                <w:szCs w:val="18"/>
                <w:color w:val="auto"/>
              </w:rPr>
              <w:t>36</w:t>
            </w: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75"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tcPr>
          <w:p>
            <w:pPr>
              <w:jc w:val="right"/>
              <w:ind w:right="134"/>
              <w:spacing w:after="0"/>
              <w:rPr>
                <w:sz w:val="20"/>
                <w:szCs w:val="20"/>
                <w:color w:val="auto"/>
              </w:rPr>
            </w:pPr>
            <w:r>
              <w:rPr>
                <w:rFonts w:ascii="Arial" w:cs="Arial" w:eastAsia="Arial" w:hAnsi="Arial"/>
                <w:sz w:val="14"/>
                <w:szCs w:val="14"/>
                <w:color w:val="auto"/>
              </w:rPr>
              <w:t>Increase/</w:t>
            </w:r>
          </w:p>
        </w:tc>
        <w:tc>
          <w:tcPr>
            <w:tcW w:w="1060" w:type="dxa"/>
            <w:vAlign w:val="bottom"/>
          </w:tcPr>
          <w:p>
            <w:pPr>
              <w:spacing w:after="0"/>
              <w:rPr>
                <w:sz w:val="14"/>
                <w:szCs w:val="1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10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(Decrease)</w:t>
            </w:r>
          </w:p>
        </w:tc>
        <w:tc>
          <w:tcPr>
            <w:tcW w:w="106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2019</w:t>
            </w:r>
          </w:p>
        </w:tc>
        <w:tc>
          <w:tcPr>
            <w:tcW w:w="6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rPr>
              <w:t>2018</w:t>
            </w:r>
          </w:p>
        </w:tc>
        <w:tc>
          <w:tcPr>
            <w:tcW w:w="5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8,586</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8,881</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(295)</w:t>
            </w: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34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7,099</w:t>
            </w:r>
          </w:p>
        </w:tc>
        <w:tc>
          <w:tcPr>
            <w:tcW w:w="660" w:type="dxa"/>
            <w:vAlign w:val="bottom"/>
          </w:tcPr>
          <w:p>
            <w:pPr>
              <w:spacing w:after="0"/>
              <w:rPr>
                <w:sz w:val="23"/>
                <w:szCs w:val="23"/>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8,340</w:t>
            </w:r>
          </w:p>
        </w:tc>
        <w:tc>
          <w:tcPr>
            <w:tcW w:w="52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(1,241)</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(14.9)</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34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4,931</w:t>
            </w:r>
          </w:p>
        </w:tc>
        <w:tc>
          <w:tcPr>
            <w:tcW w:w="660" w:type="dxa"/>
            <w:vAlign w:val="bottom"/>
          </w:tcPr>
          <w:p>
            <w:pPr>
              <w:spacing w:after="0"/>
              <w:rPr>
                <w:sz w:val="23"/>
                <w:szCs w:val="23"/>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5,176</w:t>
            </w:r>
          </w:p>
        </w:tc>
        <w:tc>
          <w:tcPr>
            <w:tcW w:w="52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(245)</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(4.7)</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34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4,371</w:t>
            </w:r>
          </w:p>
        </w:tc>
        <w:tc>
          <w:tcPr>
            <w:tcW w:w="660" w:type="dxa"/>
            <w:vAlign w:val="bottom"/>
          </w:tcPr>
          <w:p>
            <w:pPr>
              <w:spacing w:after="0"/>
              <w:rPr>
                <w:sz w:val="23"/>
                <w:szCs w:val="23"/>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4,170</w:t>
            </w:r>
          </w:p>
        </w:tc>
        <w:tc>
          <w:tcPr>
            <w:tcW w:w="52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201</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4.8</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Headquarters, other and eliminations</w:t>
            </w:r>
          </w:p>
        </w:tc>
        <w:tc>
          <w:tcPr>
            <w:tcW w:w="34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(173)</w:t>
            </w:r>
          </w:p>
        </w:tc>
        <w:tc>
          <w:tcPr>
            <w:tcW w:w="660" w:type="dxa"/>
            <w:vAlign w:val="bottom"/>
          </w:tcPr>
          <w:p>
            <w:pPr>
              <w:spacing w:after="0"/>
              <w:rPr>
                <w:sz w:val="23"/>
                <w:szCs w:val="23"/>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(201)</w:t>
            </w:r>
          </w:p>
        </w:tc>
        <w:tc>
          <w:tcPr>
            <w:tcW w:w="52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28</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NM</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114"/>
              <w:spacing w:after="0"/>
              <w:rPr>
                <w:sz w:val="20"/>
                <w:szCs w:val="20"/>
                <w:color w:val="auto"/>
              </w:rPr>
            </w:pPr>
            <w:r>
              <w:rPr>
                <w:rFonts w:ascii="Arial" w:cs="Arial" w:eastAsia="Arial" w:hAnsi="Arial"/>
                <w:sz w:val="18"/>
                <w:szCs w:val="18"/>
                <w:b w:val="1"/>
                <w:bCs w:val="1"/>
                <w:color w:val="auto"/>
              </w:rPr>
              <w:t>24,814</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31"/>
              <w:spacing w:after="0"/>
              <w:rPr>
                <w:sz w:val="20"/>
                <w:szCs w:val="20"/>
                <w:color w:val="auto"/>
              </w:rPr>
            </w:pPr>
            <w:r>
              <w:rPr>
                <w:rFonts w:ascii="Arial" w:cs="Arial" w:eastAsia="Arial" w:hAnsi="Arial"/>
                <w:sz w:val="18"/>
                <w:szCs w:val="18"/>
                <w:b w:val="1"/>
                <w:bCs w:val="1"/>
                <w:color w:val="auto"/>
              </w:rPr>
              <w:t>26,366</w:t>
            </w:r>
          </w:p>
        </w:tc>
        <w:tc>
          <w:tcPr>
            <w:tcW w:w="5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34"/>
              <w:spacing w:after="0"/>
              <w:rPr>
                <w:sz w:val="20"/>
                <w:szCs w:val="20"/>
                <w:color w:val="auto"/>
              </w:rPr>
            </w:pPr>
            <w:r>
              <w:rPr>
                <w:rFonts w:ascii="Arial" w:cs="Arial" w:eastAsia="Arial" w:hAnsi="Arial"/>
                <w:sz w:val="18"/>
                <w:szCs w:val="18"/>
                <w:b w:val="1"/>
                <w:bCs w:val="1"/>
                <w:color w:val="auto"/>
              </w:rPr>
              <w:t>(1,552)</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(5.9)%</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3,418</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3,389</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29</w:t>
            </w:r>
          </w:p>
        </w:tc>
        <w:tc>
          <w:tcPr>
            <w:tcW w:w="1060" w:type="dxa"/>
            <w:vAlign w:val="bottom"/>
          </w:tcPr>
          <w:p>
            <w:pPr>
              <w:jc w:val="right"/>
              <w:spacing w:after="0"/>
              <w:rPr>
                <w:sz w:val="20"/>
                <w:szCs w:val="20"/>
                <w:color w:val="auto"/>
              </w:rPr>
            </w:pPr>
            <w:r>
              <w:rPr>
                <w:rFonts w:ascii="Arial" w:cs="Arial" w:eastAsia="Arial" w:hAnsi="Arial"/>
                <w:sz w:val="18"/>
                <w:szCs w:val="18"/>
                <w:color w:val="auto"/>
              </w:rPr>
              <w:t>0.9 %</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34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1,259</w:t>
            </w:r>
          </w:p>
        </w:tc>
        <w:tc>
          <w:tcPr>
            <w:tcW w:w="660" w:type="dxa"/>
            <w:vAlign w:val="bottom"/>
          </w:tcPr>
          <w:p>
            <w:pPr>
              <w:spacing w:after="0"/>
              <w:rPr>
                <w:sz w:val="23"/>
                <w:szCs w:val="23"/>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1,245</w:t>
            </w:r>
          </w:p>
        </w:tc>
        <w:tc>
          <w:tcPr>
            <w:tcW w:w="52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14</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1.1</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34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742</w:t>
            </w:r>
          </w:p>
        </w:tc>
        <w:tc>
          <w:tcPr>
            <w:tcW w:w="660" w:type="dxa"/>
            <w:vAlign w:val="bottom"/>
          </w:tcPr>
          <w:p>
            <w:pPr>
              <w:spacing w:after="0"/>
              <w:rPr>
                <w:sz w:val="23"/>
                <w:szCs w:val="23"/>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555</w:t>
            </w:r>
          </w:p>
        </w:tc>
        <w:tc>
          <w:tcPr>
            <w:tcW w:w="52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187</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33.7</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34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1,819</w:t>
            </w:r>
          </w:p>
        </w:tc>
        <w:tc>
          <w:tcPr>
            <w:tcW w:w="660" w:type="dxa"/>
            <w:vAlign w:val="bottom"/>
          </w:tcPr>
          <w:p>
            <w:pPr>
              <w:spacing w:after="0"/>
              <w:rPr>
                <w:sz w:val="23"/>
                <w:szCs w:val="23"/>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1,789</w:t>
            </w:r>
          </w:p>
        </w:tc>
        <w:tc>
          <w:tcPr>
            <w:tcW w:w="52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30</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1.7</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Headquarters, other and eliminations</w:t>
            </w:r>
          </w:p>
        </w:tc>
        <w:tc>
          <w:tcPr>
            <w:tcW w:w="34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(486)</w:t>
            </w:r>
          </w:p>
        </w:tc>
        <w:tc>
          <w:tcPr>
            <w:tcW w:w="660" w:type="dxa"/>
            <w:vAlign w:val="bottom"/>
          </w:tcPr>
          <w:p>
            <w:pPr>
              <w:spacing w:after="0"/>
              <w:rPr>
                <w:sz w:val="23"/>
                <w:szCs w:val="23"/>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(500)</w:t>
            </w:r>
          </w:p>
        </w:tc>
        <w:tc>
          <w:tcPr>
            <w:tcW w:w="52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14</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NM</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114"/>
              <w:spacing w:after="0"/>
              <w:rPr>
                <w:sz w:val="20"/>
                <w:szCs w:val="20"/>
                <w:color w:val="auto"/>
              </w:rPr>
            </w:pPr>
            <w:r>
              <w:rPr>
                <w:rFonts w:ascii="Arial" w:cs="Arial" w:eastAsia="Arial" w:hAnsi="Arial"/>
                <w:sz w:val="18"/>
                <w:szCs w:val="18"/>
                <w:b w:val="1"/>
                <w:bCs w:val="1"/>
                <w:color w:val="auto"/>
              </w:rPr>
              <w:t>6,752</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31"/>
              <w:spacing w:after="0"/>
              <w:rPr>
                <w:sz w:val="20"/>
                <w:szCs w:val="20"/>
                <w:color w:val="auto"/>
              </w:rPr>
            </w:pPr>
            <w:r>
              <w:rPr>
                <w:rFonts w:ascii="Arial" w:cs="Arial" w:eastAsia="Arial" w:hAnsi="Arial"/>
                <w:sz w:val="18"/>
                <w:szCs w:val="18"/>
                <w:b w:val="1"/>
                <w:bCs w:val="1"/>
                <w:color w:val="auto"/>
              </w:rPr>
              <w:t>6,478</w:t>
            </w:r>
          </w:p>
        </w:tc>
        <w:tc>
          <w:tcPr>
            <w:tcW w:w="5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274</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4.2 %</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Networks Segment Results of Operations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2"/>
          </w:tcPr>
          <w:p>
            <w:pPr>
              <w:jc w:val="center"/>
              <w:ind w:left="514"/>
              <w:spacing w:after="0"/>
              <w:rPr>
                <w:sz w:val="20"/>
                <w:szCs w:val="20"/>
                <w:color w:val="auto"/>
              </w:rPr>
            </w:pPr>
            <w:r>
              <w:rPr>
                <w:rFonts w:ascii="Arial" w:cs="Arial" w:eastAsia="Arial" w:hAnsi="Arial"/>
                <w:sz w:val="14"/>
                <w:szCs w:val="14"/>
                <w:color w:val="auto"/>
                <w:w w:val="91"/>
              </w:rPr>
              <w:t>Three Months Ended</w:t>
            </w: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60" w:type="dxa"/>
            <w:vAlign w:val="bottom"/>
          </w:tcPr>
          <w:p>
            <w:pPr>
              <w:jc w:val="center"/>
              <w:ind w:left="574"/>
              <w:spacing w:after="0"/>
              <w:rPr>
                <w:sz w:val="20"/>
                <w:szCs w:val="20"/>
                <w:color w:val="auto"/>
              </w:rPr>
            </w:pPr>
            <w:r>
              <w:rPr>
                <w:rFonts w:ascii="Arial" w:cs="Arial" w:eastAsia="Arial" w:hAnsi="Arial"/>
                <w:sz w:val="14"/>
                <w:szCs w:val="14"/>
                <w:color w:val="auto"/>
                <w:w w:val="90"/>
              </w:rPr>
              <w:t>Increase/</w:t>
            </w:r>
          </w:p>
        </w:tc>
        <w:tc>
          <w:tcPr>
            <w:tcW w:w="1040" w:type="dxa"/>
            <w:vAlign w:val="bottom"/>
          </w:tcPr>
          <w:p>
            <w:pPr>
              <w:spacing w:after="0"/>
              <w:rPr>
                <w:sz w:val="14"/>
                <w:szCs w:val="1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left="514"/>
              <w:spacing w:after="0"/>
              <w:rPr>
                <w:sz w:val="20"/>
                <w:szCs w:val="20"/>
                <w:color w:val="auto"/>
              </w:rPr>
            </w:pPr>
            <w:r>
              <w:rPr>
                <w:rFonts w:ascii="Arial" w:cs="Arial" w:eastAsia="Arial" w:hAnsi="Arial"/>
                <w:sz w:val="14"/>
                <w:szCs w:val="14"/>
                <w:color w:val="auto"/>
                <w:w w:val="90"/>
              </w:rPr>
              <w:t>September 30</w:t>
            </w: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left="574"/>
              <w:spacing w:after="0"/>
              <w:rPr>
                <w:sz w:val="20"/>
                <w:szCs w:val="20"/>
                <w:color w:val="auto"/>
              </w:rPr>
            </w:pPr>
            <w:r>
              <w:rPr>
                <w:rFonts w:ascii="Arial" w:cs="Arial" w:eastAsia="Arial" w:hAnsi="Arial"/>
                <w:sz w:val="14"/>
                <w:szCs w:val="14"/>
                <w:color w:val="auto"/>
                <w:w w:val="92"/>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2019</w:t>
            </w:r>
          </w:p>
        </w:tc>
        <w:tc>
          <w:tcPr>
            <w:tcW w:w="7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color w:val="auto"/>
                <w:w w:val="96"/>
              </w:rPr>
              <w:t>2018</w:t>
            </w:r>
          </w:p>
        </w:tc>
        <w:tc>
          <w:tcPr>
            <w:tcW w:w="5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214"/>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Distribution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1,681</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1,655</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614"/>
              <w:spacing w:after="0"/>
              <w:rPr>
                <w:sz w:val="20"/>
                <w:szCs w:val="20"/>
                <w:color w:val="auto"/>
              </w:rPr>
            </w:pPr>
            <w:r>
              <w:rPr>
                <w:rFonts w:ascii="Arial" w:cs="Arial" w:eastAsia="Arial" w:hAnsi="Arial"/>
                <w:sz w:val="18"/>
                <w:szCs w:val="18"/>
                <w:color w:val="auto"/>
              </w:rPr>
              <w:t>26</w:t>
            </w:r>
          </w:p>
        </w:tc>
        <w:tc>
          <w:tcPr>
            <w:tcW w:w="104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809</w:t>
            </w:r>
          </w:p>
        </w:tc>
        <w:tc>
          <w:tcPr>
            <w:tcW w:w="700" w:type="dxa"/>
            <w:vAlign w:val="bottom"/>
          </w:tcPr>
          <w:p>
            <w:pPr>
              <w:spacing w:after="0"/>
              <w:rPr>
                <w:sz w:val="23"/>
                <w:szCs w:val="23"/>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812</w:t>
            </w:r>
          </w:p>
        </w:tc>
        <w:tc>
          <w:tcPr>
            <w:tcW w:w="540" w:type="dxa"/>
            <w:vAlign w:val="bottom"/>
          </w:tcPr>
          <w:p>
            <w:pPr>
              <w:spacing w:after="0"/>
              <w:rPr>
                <w:sz w:val="23"/>
                <w:szCs w:val="23"/>
                <w:color w:val="auto"/>
              </w:rPr>
            </w:pPr>
          </w:p>
        </w:tc>
        <w:tc>
          <w:tcPr>
            <w:tcW w:w="1660" w:type="dxa"/>
            <w:vAlign w:val="bottom"/>
          </w:tcPr>
          <w:p>
            <w:pPr>
              <w:jc w:val="right"/>
              <w:ind w:right="554"/>
              <w:spacing w:after="0"/>
              <w:rPr>
                <w:sz w:val="20"/>
                <w:szCs w:val="20"/>
                <w:color w:val="auto"/>
              </w:rPr>
            </w:pPr>
            <w:r>
              <w:rPr>
                <w:rFonts w:ascii="Arial" w:cs="Arial" w:eastAsia="Arial" w:hAnsi="Arial"/>
                <w:sz w:val="18"/>
                <w:szCs w:val="18"/>
                <w:color w:val="auto"/>
              </w:rPr>
              <w:t>(3)</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(0.3)</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Content licensing and other</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281</w:t>
            </w:r>
          </w:p>
        </w:tc>
        <w:tc>
          <w:tcPr>
            <w:tcW w:w="700" w:type="dxa"/>
            <w:vAlign w:val="bottom"/>
          </w:tcPr>
          <w:p>
            <w:pPr>
              <w:spacing w:after="0"/>
              <w:rPr>
                <w:sz w:val="23"/>
                <w:szCs w:val="23"/>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383</w:t>
            </w:r>
          </w:p>
        </w:tc>
        <w:tc>
          <w:tcPr>
            <w:tcW w:w="540" w:type="dxa"/>
            <w:vAlign w:val="bottom"/>
          </w:tcPr>
          <w:p>
            <w:pPr>
              <w:spacing w:after="0"/>
              <w:rPr>
                <w:sz w:val="23"/>
                <w:szCs w:val="23"/>
                <w:color w:val="auto"/>
              </w:rPr>
            </w:pPr>
          </w:p>
        </w:tc>
        <w:tc>
          <w:tcPr>
            <w:tcW w:w="1660" w:type="dxa"/>
            <w:vAlign w:val="bottom"/>
          </w:tcPr>
          <w:p>
            <w:pPr>
              <w:jc w:val="right"/>
              <w:ind w:right="554"/>
              <w:spacing w:after="0"/>
              <w:rPr>
                <w:sz w:val="20"/>
                <w:szCs w:val="20"/>
                <w:color w:val="auto"/>
              </w:rPr>
            </w:pPr>
            <w:r>
              <w:rPr>
                <w:rFonts w:ascii="Arial" w:cs="Arial" w:eastAsia="Arial" w:hAnsi="Arial"/>
                <w:sz w:val="18"/>
                <w:szCs w:val="18"/>
                <w:color w:val="auto"/>
              </w:rPr>
              <w:t>(102)</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(27.2)</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b w:val="1"/>
                <w:bCs w:val="1"/>
                <w:color w:val="auto"/>
              </w:rPr>
              <w:t>2,771</w:t>
            </w:r>
          </w:p>
        </w:tc>
        <w:tc>
          <w:tcPr>
            <w:tcW w:w="700" w:type="dxa"/>
            <w:vAlign w:val="bottom"/>
          </w:tcPr>
          <w:p>
            <w:pPr>
              <w:spacing w:after="0"/>
              <w:rPr>
                <w:sz w:val="20"/>
                <w:szCs w:val="20"/>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b w:val="1"/>
                <w:bCs w:val="1"/>
                <w:color w:val="auto"/>
              </w:rPr>
              <w:t>2,850</w:t>
            </w:r>
          </w:p>
        </w:tc>
        <w:tc>
          <w:tcPr>
            <w:tcW w:w="540" w:type="dxa"/>
            <w:vAlign w:val="bottom"/>
          </w:tcPr>
          <w:p>
            <w:pPr>
              <w:spacing w:after="0"/>
              <w:rPr>
                <w:sz w:val="20"/>
                <w:szCs w:val="20"/>
                <w:color w:val="auto"/>
              </w:rPr>
            </w:pPr>
          </w:p>
        </w:tc>
        <w:tc>
          <w:tcPr>
            <w:tcW w:w="1660" w:type="dxa"/>
            <w:vAlign w:val="bottom"/>
          </w:tcPr>
          <w:p>
            <w:pPr>
              <w:jc w:val="right"/>
              <w:ind w:right="554"/>
              <w:spacing w:after="0"/>
              <w:rPr>
                <w:sz w:val="20"/>
                <w:szCs w:val="20"/>
                <w:color w:val="auto"/>
              </w:rPr>
            </w:pPr>
            <w:r>
              <w:rPr>
                <w:rFonts w:ascii="Arial" w:cs="Arial" w:eastAsia="Arial" w:hAnsi="Arial"/>
                <w:sz w:val="18"/>
                <w:szCs w:val="18"/>
                <w:b w:val="1"/>
                <w:bCs w:val="1"/>
                <w:color w:val="auto"/>
              </w:rPr>
              <w:t>(79)</w:t>
            </w:r>
          </w:p>
        </w:tc>
        <w:tc>
          <w:tcPr>
            <w:tcW w:w="1040" w:type="dxa"/>
            <w:vAlign w:val="bottom"/>
          </w:tcPr>
          <w:p>
            <w:pPr>
              <w:jc w:val="right"/>
              <w:ind w:right="132"/>
              <w:spacing w:after="0"/>
              <w:rPr>
                <w:sz w:val="20"/>
                <w:szCs w:val="20"/>
                <w:color w:val="auto"/>
              </w:rPr>
            </w:pPr>
            <w:r>
              <w:rPr>
                <w:rFonts w:ascii="Arial" w:cs="Arial" w:eastAsia="Arial" w:hAnsi="Arial"/>
                <w:sz w:val="18"/>
                <w:szCs w:val="18"/>
                <w:b w:val="1"/>
                <w:bCs w:val="1"/>
                <w:color w:val="auto"/>
              </w:rPr>
              <w:t>(2.8)</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1,323</w:t>
            </w:r>
          </w:p>
        </w:tc>
        <w:tc>
          <w:tcPr>
            <w:tcW w:w="700" w:type="dxa"/>
            <w:vAlign w:val="bottom"/>
          </w:tcPr>
          <w:p>
            <w:pPr>
              <w:spacing w:after="0"/>
              <w:rPr>
                <w:sz w:val="23"/>
                <w:szCs w:val="23"/>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1,393</w:t>
            </w:r>
          </w:p>
        </w:tc>
        <w:tc>
          <w:tcPr>
            <w:tcW w:w="540" w:type="dxa"/>
            <w:vAlign w:val="bottom"/>
          </w:tcPr>
          <w:p>
            <w:pPr>
              <w:spacing w:after="0"/>
              <w:rPr>
                <w:sz w:val="23"/>
                <w:szCs w:val="23"/>
                <w:color w:val="auto"/>
              </w:rPr>
            </w:pPr>
          </w:p>
        </w:tc>
        <w:tc>
          <w:tcPr>
            <w:tcW w:w="1660" w:type="dxa"/>
            <w:vAlign w:val="bottom"/>
          </w:tcPr>
          <w:p>
            <w:pPr>
              <w:jc w:val="right"/>
              <w:ind w:right="554"/>
              <w:spacing w:after="0"/>
              <w:rPr>
                <w:sz w:val="20"/>
                <w:szCs w:val="20"/>
                <w:color w:val="auto"/>
              </w:rPr>
            </w:pPr>
            <w:r>
              <w:rPr>
                <w:rFonts w:ascii="Arial" w:cs="Arial" w:eastAsia="Arial" w:hAnsi="Arial"/>
                <w:sz w:val="18"/>
                <w:szCs w:val="18"/>
                <w:color w:val="auto"/>
              </w:rPr>
              <w:t>(70)</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(5.0)</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375</w:t>
            </w:r>
          </w:p>
        </w:tc>
        <w:tc>
          <w:tcPr>
            <w:tcW w:w="700" w:type="dxa"/>
            <w:vAlign w:val="bottom"/>
          </w:tcPr>
          <w:p>
            <w:pPr>
              <w:spacing w:after="0"/>
              <w:rPr>
                <w:sz w:val="23"/>
                <w:szCs w:val="23"/>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366</w:t>
            </w:r>
          </w:p>
        </w:tc>
        <w:tc>
          <w:tcPr>
            <w:tcW w:w="540" w:type="dxa"/>
            <w:vAlign w:val="bottom"/>
          </w:tcPr>
          <w:p>
            <w:pPr>
              <w:spacing w:after="0"/>
              <w:rPr>
                <w:sz w:val="23"/>
                <w:szCs w:val="23"/>
                <w:color w:val="auto"/>
              </w:rPr>
            </w:pPr>
          </w:p>
        </w:tc>
        <w:tc>
          <w:tcPr>
            <w:tcW w:w="1660" w:type="dxa"/>
            <w:vAlign w:val="bottom"/>
          </w:tcPr>
          <w:p>
            <w:pPr>
              <w:jc w:val="right"/>
              <w:ind w:right="614"/>
              <w:spacing w:after="0"/>
              <w:rPr>
                <w:sz w:val="20"/>
                <w:szCs w:val="20"/>
                <w:color w:val="auto"/>
              </w:rPr>
            </w:pPr>
            <w:r>
              <w:rPr>
                <w:rFonts w:ascii="Arial" w:cs="Arial" w:eastAsia="Arial" w:hAnsi="Arial"/>
                <w:sz w:val="18"/>
                <w:szCs w:val="18"/>
                <w:color w:val="auto"/>
              </w:rPr>
              <w:t>9</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2.3</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118</w:t>
            </w:r>
          </w:p>
        </w:tc>
        <w:tc>
          <w:tcPr>
            <w:tcW w:w="700" w:type="dxa"/>
            <w:vAlign w:val="bottom"/>
          </w:tcPr>
          <w:p>
            <w:pPr>
              <w:spacing w:after="0"/>
              <w:rPr>
                <w:sz w:val="23"/>
                <w:szCs w:val="23"/>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132</w:t>
            </w:r>
          </w:p>
        </w:tc>
        <w:tc>
          <w:tcPr>
            <w:tcW w:w="540" w:type="dxa"/>
            <w:vAlign w:val="bottom"/>
          </w:tcPr>
          <w:p>
            <w:pPr>
              <w:spacing w:after="0"/>
              <w:rPr>
                <w:sz w:val="23"/>
                <w:szCs w:val="23"/>
                <w:color w:val="auto"/>
              </w:rPr>
            </w:pPr>
          </w:p>
        </w:tc>
        <w:tc>
          <w:tcPr>
            <w:tcW w:w="1660" w:type="dxa"/>
            <w:vAlign w:val="bottom"/>
          </w:tcPr>
          <w:p>
            <w:pPr>
              <w:jc w:val="right"/>
              <w:ind w:right="554"/>
              <w:spacing w:after="0"/>
              <w:rPr>
                <w:sz w:val="20"/>
                <w:szCs w:val="20"/>
                <w:color w:val="auto"/>
              </w:rPr>
            </w:pPr>
            <w:r>
              <w:rPr>
                <w:rFonts w:ascii="Arial" w:cs="Arial" w:eastAsia="Arial" w:hAnsi="Arial"/>
                <w:sz w:val="18"/>
                <w:szCs w:val="18"/>
                <w:color w:val="auto"/>
              </w:rPr>
              <w:t>(14)</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(10.6)</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1,816</w:t>
            </w:r>
          </w:p>
        </w:tc>
        <w:tc>
          <w:tcPr>
            <w:tcW w:w="700" w:type="dxa"/>
            <w:vAlign w:val="bottom"/>
          </w:tcPr>
          <w:p>
            <w:pPr>
              <w:spacing w:after="0"/>
              <w:rPr>
                <w:sz w:val="20"/>
                <w:szCs w:val="20"/>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1,891</w:t>
            </w:r>
          </w:p>
        </w:tc>
        <w:tc>
          <w:tcPr>
            <w:tcW w:w="540" w:type="dxa"/>
            <w:vAlign w:val="bottom"/>
          </w:tcPr>
          <w:p>
            <w:pPr>
              <w:spacing w:after="0"/>
              <w:rPr>
                <w:sz w:val="20"/>
                <w:szCs w:val="20"/>
                <w:color w:val="auto"/>
              </w:rPr>
            </w:pPr>
          </w:p>
        </w:tc>
        <w:tc>
          <w:tcPr>
            <w:tcW w:w="1660" w:type="dxa"/>
            <w:vAlign w:val="bottom"/>
          </w:tcPr>
          <w:p>
            <w:pPr>
              <w:jc w:val="right"/>
              <w:ind w:right="554"/>
              <w:spacing w:after="0"/>
              <w:rPr>
                <w:sz w:val="20"/>
                <w:szCs w:val="20"/>
                <w:color w:val="auto"/>
              </w:rPr>
            </w:pPr>
            <w:r>
              <w:rPr>
                <w:rFonts w:ascii="Arial" w:cs="Arial" w:eastAsia="Arial" w:hAnsi="Arial"/>
                <w:sz w:val="18"/>
                <w:szCs w:val="18"/>
                <w:color w:val="auto"/>
              </w:rPr>
              <w:t>(75)</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(4.0)</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94"/>
              <w:spacing w:after="0"/>
              <w:rPr>
                <w:sz w:val="20"/>
                <w:szCs w:val="20"/>
                <w:color w:val="auto"/>
              </w:rPr>
            </w:pPr>
            <w:r>
              <w:rPr>
                <w:rFonts w:ascii="Arial" w:cs="Arial" w:eastAsia="Arial" w:hAnsi="Arial"/>
                <w:sz w:val="18"/>
                <w:szCs w:val="18"/>
                <w:b w:val="1"/>
                <w:bCs w:val="1"/>
                <w:color w:val="auto"/>
              </w:rPr>
              <w:t>955</w:t>
            </w:r>
          </w:p>
        </w:tc>
        <w:tc>
          <w:tcPr>
            <w:tcW w:w="7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b w:val="1"/>
                <w:bCs w:val="1"/>
                <w:color w:val="auto"/>
              </w:rPr>
              <w:t>959</w:t>
            </w:r>
          </w:p>
        </w:tc>
        <w:tc>
          <w:tcPr>
            <w:tcW w:w="5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60" w:type="dxa"/>
            <w:vAlign w:val="bottom"/>
          </w:tcPr>
          <w:p>
            <w:pPr>
              <w:jc w:val="right"/>
              <w:ind w:right="554"/>
              <w:spacing w:after="0"/>
              <w:rPr>
                <w:sz w:val="20"/>
                <w:szCs w:val="20"/>
                <w:color w:val="auto"/>
              </w:rPr>
            </w:pPr>
            <w:r>
              <w:rPr>
                <w:rFonts w:ascii="Arial" w:cs="Arial" w:eastAsia="Arial" w:hAnsi="Arial"/>
                <w:sz w:val="18"/>
                <w:szCs w:val="18"/>
                <w:b w:val="1"/>
                <w:bCs w:val="1"/>
                <w:color w:val="auto"/>
              </w:rPr>
              <w:t>(4)</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(0.4)%</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2"/>
        </w:trPr>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gridSpan w:val="2"/>
          </w:tcPr>
          <w:p>
            <w:pPr>
              <w:jc w:val="center"/>
              <w:ind w:left="514"/>
              <w:spacing w:after="0"/>
              <w:rPr>
                <w:sz w:val="20"/>
                <w:szCs w:val="20"/>
                <w:color w:val="auto"/>
              </w:rPr>
            </w:pPr>
            <w:r>
              <w:rPr>
                <w:rFonts w:ascii="Arial" w:cs="Arial" w:eastAsia="Arial" w:hAnsi="Arial"/>
                <w:sz w:val="14"/>
                <w:szCs w:val="14"/>
                <w:color w:val="auto"/>
                <w:w w:val="94"/>
              </w:rPr>
              <w:t>Nine Months Ended</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tcPr>
          <w:p>
            <w:pPr>
              <w:jc w:val="center"/>
              <w:ind w:left="574"/>
              <w:spacing w:after="0"/>
              <w:rPr>
                <w:sz w:val="20"/>
                <w:szCs w:val="20"/>
                <w:color w:val="auto"/>
              </w:rPr>
            </w:pPr>
            <w:r>
              <w:rPr>
                <w:rFonts w:ascii="Arial" w:cs="Arial" w:eastAsia="Arial" w:hAnsi="Arial"/>
                <w:sz w:val="14"/>
                <w:szCs w:val="14"/>
                <w:color w:val="auto"/>
                <w:w w:val="90"/>
              </w:rPr>
              <w:t>Increase/</w:t>
            </w:r>
          </w:p>
        </w:tc>
        <w:tc>
          <w:tcPr>
            <w:tcW w:w="1040" w:type="dxa"/>
            <w:vAlign w:val="bottom"/>
          </w:tcPr>
          <w:p>
            <w:pPr>
              <w:spacing w:after="0"/>
              <w:rPr>
                <w:sz w:val="24"/>
                <w:szCs w:val="2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left="514"/>
              <w:spacing w:after="0"/>
              <w:rPr>
                <w:sz w:val="20"/>
                <w:szCs w:val="20"/>
                <w:color w:val="auto"/>
              </w:rPr>
            </w:pPr>
            <w:r>
              <w:rPr>
                <w:rFonts w:ascii="Arial" w:cs="Arial" w:eastAsia="Arial" w:hAnsi="Arial"/>
                <w:sz w:val="14"/>
                <w:szCs w:val="14"/>
                <w:color w:val="auto"/>
                <w:w w:val="90"/>
              </w:rPr>
              <w:t>September 30</w:t>
            </w: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left="594"/>
              <w:spacing w:after="0"/>
              <w:rPr>
                <w:sz w:val="20"/>
                <w:szCs w:val="20"/>
                <w:color w:val="auto"/>
              </w:rPr>
            </w:pPr>
            <w:r>
              <w:rPr>
                <w:rFonts w:ascii="Arial" w:cs="Arial" w:eastAsia="Arial" w:hAnsi="Arial"/>
                <w:sz w:val="14"/>
                <w:szCs w:val="14"/>
                <w:color w:val="auto"/>
                <w:w w:val="89"/>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rPr>
              <w:t>2019</w:t>
            </w:r>
          </w:p>
        </w:tc>
        <w:tc>
          <w:tcPr>
            <w:tcW w:w="7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rPr>
              <w:t>2018</w:t>
            </w:r>
          </w:p>
        </w:tc>
        <w:tc>
          <w:tcPr>
            <w:tcW w:w="5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Distribution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5,123</w:t>
            </w:r>
          </w:p>
        </w:tc>
        <w:tc>
          <w:tcPr>
            <w:tcW w:w="7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5,166</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34"/>
              <w:spacing w:after="0"/>
              <w:rPr>
                <w:sz w:val="20"/>
                <w:szCs w:val="20"/>
                <w:color w:val="auto"/>
              </w:rPr>
            </w:pPr>
            <w:r>
              <w:rPr>
                <w:rFonts w:ascii="Arial" w:cs="Arial" w:eastAsia="Arial" w:hAnsi="Arial"/>
                <w:sz w:val="18"/>
                <w:szCs w:val="18"/>
                <w:color w:val="auto"/>
              </w:rPr>
              <w:t>(43)</w:t>
            </w:r>
          </w:p>
        </w:tc>
        <w:tc>
          <w:tcPr>
            <w:tcW w:w="104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2,592</w:t>
            </w:r>
          </w:p>
        </w:tc>
        <w:tc>
          <w:tcPr>
            <w:tcW w:w="70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2,718</w:t>
            </w:r>
          </w:p>
        </w:tc>
        <w:tc>
          <w:tcPr>
            <w:tcW w:w="540" w:type="dxa"/>
            <w:vAlign w:val="bottom"/>
          </w:tcPr>
          <w:p>
            <w:pPr>
              <w:spacing w:after="0"/>
              <w:rPr>
                <w:sz w:val="23"/>
                <w:szCs w:val="23"/>
                <w:color w:val="auto"/>
              </w:rPr>
            </w:pPr>
          </w:p>
        </w:tc>
        <w:tc>
          <w:tcPr>
            <w:tcW w:w="1660" w:type="dxa"/>
            <w:vAlign w:val="bottom"/>
          </w:tcPr>
          <w:p>
            <w:pPr>
              <w:jc w:val="right"/>
              <w:ind w:right="534"/>
              <w:spacing w:after="0"/>
              <w:rPr>
                <w:sz w:val="20"/>
                <w:szCs w:val="20"/>
                <w:color w:val="auto"/>
              </w:rPr>
            </w:pPr>
            <w:r>
              <w:rPr>
                <w:rFonts w:ascii="Arial" w:cs="Arial" w:eastAsia="Arial" w:hAnsi="Arial"/>
                <w:sz w:val="18"/>
                <w:szCs w:val="18"/>
                <w:color w:val="auto"/>
              </w:rPr>
              <w:t>(126)</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(4.6)</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Content licensing and other</w:t>
            </w:r>
          </w:p>
        </w:tc>
        <w:tc>
          <w:tcPr>
            <w:tcW w:w="340" w:type="dxa"/>
            <w:vAlign w:val="bottom"/>
          </w:tcPr>
          <w:p>
            <w:pPr>
              <w:spacing w:after="0"/>
              <w:rPr>
                <w:sz w:val="23"/>
                <w:szCs w:val="23"/>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871</w:t>
            </w:r>
          </w:p>
        </w:tc>
        <w:tc>
          <w:tcPr>
            <w:tcW w:w="70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997</w:t>
            </w:r>
          </w:p>
        </w:tc>
        <w:tc>
          <w:tcPr>
            <w:tcW w:w="540" w:type="dxa"/>
            <w:vAlign w:val="bottom"/>
          </w:tcPr>
          <w:p>
            <w:pPr>
              <w:spacing w:after="0"/>
              <w:rPr>
                <w:sz w:val="23"/>
                <w:szCs w:val="23"/>
                <w:color w:val="auto"/>
              </w:rPr>
            </w:pPr>
          </w:p>
        </w:tc>
        <w:tc>
          <w:tcPr>
            <w:tcW w:w="1660" w:type="dxa"/>
            <w:vAlign w:val="bottom"/>
          </w:tcPr>
          <w:p>
            <w:pPr>
              <w:jc w:val="right"/>
              <w:ind w:right="534"/>
              <w:spacing w:after="0"/>
              <w:rPr>
                <w:sz w:val="20"/>
                <w:szCs w:val="20"/>
                <w:color w:val="auto"/>
              </w:rPr>
            </w:pPr>
            <w:r>
              <w:rPr>
                <w:rFonts w:ascii="Arial" w:cs="Arial" w:eastAsia="Arial" w:hAnsi="Arial"/>
                <w:sz w:val="18"/>
                <w:szCs w:val="18"/>
                <w:color w:val="auto"/>
              </w:rPr>
              <w:t>(126)</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(12.8)</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b w:val="1"/>
                <w:bCs w:val="1"/>
                <w:color w:val="auto"/>
              </w:rPr>
              <w:t>8,586</w:t>
            </w:r>
          </w:p>
        </w:tc>
        <w:tc>
          <w:tcPr>
            <w:tcW w:w="700" w:type="dxa"/>
            <w:vAlign w:val="bottom"/>
          </w:tcPr>
          <w:p>
            <w:pPr>
              <w:spacing w:after="0"/>
              <w:rPr>
                <w:sz w:val="20"/>
                <w:szCs w:val="20"/>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b w:val="1"/>
                <w:bCs w:val="1"/>
                <w:color w:val="auto"/>
              </w:rPr>
              <w:t>8,881</w:t>
            </w:r>
          </w:p>
        </w:tc>
        <w:tc>
          <w:tcPr>
            <w:tcW w:w="540" w:type="dxa"/>
            <w:vAlign w:val="bottom"/>
          </w:tcPr>
          <w:p>
            <w:pPr>
              <w:spacing w:after="0"/>
              <w:rPr>
                <w:sz w:val="20"/>
                <w:szCs w:val="20"/>
                <w:color w:val="auto"/>
              </w:rPr>
            </w:pPr>
          </w:p>
        </w:tc>
        <w:tc>
          <w:tcPr>
            <w:tcW w:w="1660" w:type="dxa"/>
            <w:vAlign w:val="bottom"/>
          </w:tcPr>
          <w:p>
            <w:pPr>
              <w:jc w:val="right"/>
              <w:ind w:right="534"/>
              <w:spacing w:after="0"/>
              <w:rPr>
                <w:sz w:val="20"/>
                <w:szCs w:val="20"/>
                <w:color w:val="auto"/>
              </w:rPr>
            </w:pPr>
            <w:r>
              <w:rPr>
                <w:rFonts w:ascii="Arial" w:cs="Arial" w:eastAsia="Arial" w:hAnsi="Arial"/>
                <w:sz w:val="18"/>
                <w:szCs w:val="18"/>
                <w:b w:val="1"/>
                <w:bCs w:val="1"/>
                <w:color w:val="auto"/>
              </w:rPr>
              <w:t>(295)</w:t>
            </w:r>
          </w:p>
        </w:tc>
        <w:tc>
          <w:tcPr>
            <w:tcW w:w="1040" w:type="dxa"/>
            <w:vAlign w:val="bottom"/>
          </w:tcPr>
          <w:p>
            <w:pPr>
              <w:jc w:val="right"/>
              <w:ind w:right="112"/>
              <w:spacing w:after="0"/>
              <w:rPr>
                <w:sz w:val="20"/>
                <w:szCs w:val="20"/>
                <w:color w:val="auto"/>
              </w:rPr>
            </w:pPr>
            <w:r>
              <w:rPr>
                <w:rFonts w:ascii="Arial" w:cs="Arial" w:eastAsia="Arial" w:hAnsi="Arial"/>
                <w:sz w:val="18"/>
                <w:szCs w:val="18"/>
                <w:b w:val="1"/>
                <w:bCs w:val="1"/>
                <w:color w:val="auto"/>
              </w:rPr>
              <w:t>(3.3)</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3,740</w:t>
            </w:r>
          </w:p>
        </w:tc>
        <w:tc>
          <w:tcPr>
            <w:tcW w:w="70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4,033</w:t>
            </w:r>
          </w:p>
        </w:tc>
        <w:tc>
          <w:tcPr>
            <w:tcW w:w="540" w:type="dxa"/>
            <w:vAlign w:val="bottom"/>
          </w:tcPr>
          <w:p>
            <w:pPr>
              <w:spacing w:after="0"/>
              <w:rPr>
                <w:sz w:val="23"/>
                <w:szCs w:val="23"/>
                <w:color w:val="auto"/>
              </w:rPr>
            </w:pPr>
          </w:p>
        </w:tc>
        <w:tc>
          <w:tcPr>
            <w:tcW w:w="1660" w:type="dxa"/>
            <w:vAlign w:val="bottom"/>
          </w:tcPr>
          <w:p>
            <w:pPr>
              <w:jc w:val="right"/>
              <w:ind w:right="534"/>
              <w:spacing w:after="0"/>
              <w:rPr>
                <w:sz w:val="20"/>
                <w:szCs w:val="20"/>
                <w:color w:val="auto"/>
              </w:rPr>
            </w:pPr>
            <w:r>
              <w:rPr>
                <w:rFonts w:ascii="Arial" w:cs="Arial" w:eastAsia="Arial" w:hAnsi="Arial"/>
                <w:sz w:val="18"/>
                <w:szCs w:val="18"/>
                <w:color w:val="auto"/>
              </w:rPr>
              <w:t>(293)</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(7.3)</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1,104</w:t>
            </w:r>
          </w:p>
        </w:tc>
        <w:tc>
          <w:tcPr>
            <w:tcW w:w="70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1,092</w:t>
            </w:r>
          </w:p>
        </w:tc>
        <w:tc>
          <w:tcPr>
            <w:tcW w:w="540" w:type="dxa"/>
            <w:vAlign w:val="bottom"/>
          </w:tcPr>
          <w:p>
            <w:pPr>
              <w:spacing w:after="0"/>
              <w:rPr>
                <w:sz w:val="23"/>
                <w:szCs w:val="23"/>
                <w:color w:val="auto"/>
              </w:rPr>
            </w:pPr>
          </w:p>
        </w:tc>
        <w:tc>
          <w:tcPr>
            <w:tcW w:w="1660" w:type="dxa"/>
            <w:vAlign w:val="bottom"/>
          </w:tcPr>
          <w:p>
            <w:pPr>
              <w:jc w:val="right"/>
              <w:ind w:right="594"/>
              <w:spacing w:after="0"/>
              <w:rPr>
                <w:sz w:val="20"/>
                <w:szCs w:val="20"/>
                <w:color w:val="auto"/>
              </w:rPr>
            </w:pPr>
            <w:r>
              <w:rPr>
                <w:rFonts w:ascii="Arial" w:cs="Arial" w:eastAsia="Arial" w:hAnsi="Arial"/>
                <w:sz w:val="18"/>
                <w:szCs w:val="18"/>
                <w:color w:val="auto"/>
              </w:rPr>
              <w:t>12</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0.9</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324</w:t>
            </w:r>
          </w:p>
        </w:tc>
        <w:tc>
          <w:tcPr>
            <w:tcW w:w="70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367</w:t>
            </w:r>
          </w:p>
        </w:tc>
        <w:tc>
          <w:tcPr>
            <w:tcW w:w="540" w:type="dxa"/>
            <w:vAlign w:val="bottom"/>
          </w:tcPr>
          <w:p>
            <w:pPr>
              <w:spacing w:after="0"/>
              <w:rPr>
                <w:sz w:val="23"/>
                <w:szCs w:val="23"/>
                <w:color w:val="auto"/>
              </w:rPr>
            </w:pPr>
          </w:p>
        </w:tc>
        <w:tc>
          <w:tcPr>
            <w:tcW w:w="1660" w:type="dxa"/>
            <w:vAlign w:val="bottom"/>
          </w:tcPr>
          <w:p>
            <w:pPr>
              <w:jc w:val="right"/>
              <w:ind w:right="534"/>
              <w:spacing w:after="0"/>
              <w:rPr>
                <w:sz w:val="20"/>
                <w:szCs w:val="20"/>
                <w:color w:val="auto"/>
              </w:rPr>
            </w:pPr>
            <w:r>
              <w:rPr>
                <w:rFonts w:ascii="Arial" w:cs="Arial" w:eastAsia="Arial" w:hAnsi="Arial"/>
                <w:sz w:val="18"/>
                <w:szCs w:val="18"/>
                <w:color w:val="auto"/>
              </w:rPr>
              <w:t>(43)</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(11.7)</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5,168</w:t>
            </w:r>
          </w:p>
        </w:tc>
        <w:tc>
          <w:tcPr>
            <w:tcW w:w="700" w:type="dxa"/>
            <w:vAlign w:val="bottom"/>
          </w:tcPr>
          <w:p>
            <w:pPr>
              <w:spacing w:after="0"/>
              <w:rPr>
                <w:sz w:val="20"/>
                <w:szCs w:val="20"/>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5,492</w:t>
            </w:r>
          </w:p>
        </w:tc>
        <w:tc>
          <w:tcPr>
            <w:tcW w:w="540" w:type="dxa"/>
            <w:vAlign w:val="bottom"/>
          </w:tcPr>
          <w:p>
            <w:pPr>
              <w:spacing w:after="0"/>
              <w:rPr>
                <w:sz w:val="20"/>
                <w:szCs w:val="20"/>
                <w:color w:val="auto"/>
              </w:rPr>
            </w:pPr>
          </w:p>
        </w:tc>
        <w:tc>
          <w:tcPr>
            <w:tcW w:w="1660" w:type="dxa"/>
            <w:vAlign w:val="bottom"/>
          </w:tcPr>
          <w:p>
            <w:pPr>
              <w:jc w:val="right"/>
              <w:ind w:right="534"/>
              <w:spacing w:after="0"/>
              <w:rPr>
                <w:sz w:val="20"/>
                <w:szCs w:val="20"/>
                <w:color w:val="auto"/>
              </w:rPr>
            </w:pPr>
            <w:r>
              <w:rPr>
                <w:rFonts w:ascii="Arial" w:cs="Arial" w:eastAsia="Arial" w:hAnsi="Arial"/>
                <w:sz w:val="18"/>
                <w:szCs w:val="18"/>
                <w:color w:val="auto"/>
              </w:rPr>
              <w:t>(324)</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(5.9)</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74"/>
              <w:spacing w:after="0"/>
              <w:rPr>
                <w:sz w:val="20"/>
                <w:szCs w:val="20"/>
                <w:color w:val="auto"/>
              </w:rPr>
            </w:pPr>
            <w:r>
              <w:rPr>
                <w:rFonts w:ascii="Arial" w:cs="Arial" w:eastAsia="Arial" w:hAnsi="Arial"/>
                <w:sz w:val="18"/>
                <w:szCs w:val="18"/>
                <w:b w:val="1"/>
                <w:bCs w:val="1"/>
                <w:color w:val="auto"/>
              </w:rPr>
              <w:t>3,418</w:t>
            </w:r>
          </w:p>
        </w:tc>
        <w:tc>
          <w:tcPr>
            <w:tcW w:w="7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92"/>
              <w:spacing w:after="0"/>
              <w:rPr>
                <w:sz w:val="20"/>
                <w:szCs w:val="20"/>
                <w:color w:val="auto"/>
              </w:rPr>
            </w:pPr>
            <w:r>
              <w:rPr>
                <w:rFonts w:ascii="Arial" w:cs="Arial" w:eastAsia="Arial" w:hAnsi="Arial"/>
                <w:sz w:val="18"/>
                <w:szCs w:val="18"/>
                <w:b w:val="1"/>
                <w:bCs w:val="1"/>
                <w:color w:val="auto"/>
              </w:rPr>
              <w:t>3,389</w:t>
            </w:r>
          </w:p>
        </w:tc>
        <w:tc>
          <w:tcPr>
            <w:tcW w:w="5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60" w:type="dxa"/>
            <w:vAlign w:val="bottom"/>
          </w:tcPr>
          <w:p>
            <w:pPr>
              <w:jc w:val="right"/>
              <w:ind w:right="594"/>
              <w:spacing w:after="0"/>
              <w:rPr>
                <w:sz w:val="20"/>
                <w:szCs w:val="20"/>
                <w:color w:val="auto"/>
              </w:rPr>
            </w:pPr>
            <w:r>
              <w:rPr>
                <w:rFonts w:ascii="Arial" w:cs="Arial" w:eastAsia="Arial" w:hAnsi="Arial"/>
                <w:sz w:val="18"/>
                <w:szCs w:val="18"/>
                <w:b w:val="1"/>
                <w:bCs w:val="1"/>
                <w:color w:val="auto"/>
              </w:rPr>
              <w:t>29</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0.9 %</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75"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75" w:right="2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Revenue</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Cable Networks revenue decreased for the three months ended September 30, 2019 compared to the same period in 2018 primarily due to decreases in content licensing and other revenue, partially offset by an increase in distribution revenue. The decrease in content licensing and other revenue was due to the timing of content provided under our licensing agreements. The increase in distribution revenue was primarily due to increases in the contractual rates charged under distribution agreements and the timing of contract renewals, which were partially offset by increased declines in the number of subscribers at our cable networks. Advertising revenue was flat compared to the same period in 2018 due to higher prices for advertising units sold, which were offset by audience ratings declines at our networks.</w:t>
      </w:r>
    </w:p>
    <w:p>
      <w:pPr>
        <w:spacing w:after="0" w:line="13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Cable Networks revenue decreased for the nine months ended September 30, 2019 compared to the same period in 2018 due to decreases in advertising revenue, content licensing and other revenue, and distribution revenue. The decrease in advertising and distribution revenue was due to the absence of revenue resulting from our broadcast of the 2018 PyeongChang Olympics. Excluding $378 million of revenue associated with our broadcast of the 2018 PyeongChang Olympics, Cable Networks revenue increased by 1.0% for the nine months ended September 30, 2019 compared to the same period in 2018.</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2"/>
          </w:tcPr>
          <w:p>
            <w:pPr>
              <w:jc w:val="right"/>
              <w:ind w:right="376"/>
              <w:spacing w:after="0"/>
              <w:rPr>
                <w:sz w:val="20"/>
                <w:szCs w:val="20"/>
                <w:color w:val="auto"/>
              </w:rPr>
            </w:pPr>
            <w:r>
              <w:rPr>
                <w:rFonts w:ascii="Arial" w:cs="Arial" w:eastAsia="Arial" w:hAnsi="Arial"/>
                <w:sz w:val="14"/>
                <w:szCs w:val="14"/>
                <w:color w:val="auto"/>
              </w:rPr>
              <w:t>Three Months Ended</w:t>
            </w:r>
          </w:p>
        </w:tc>
        <w:tc>
          <w:tcPr>
            <w:tcW w:w="1160" w:type="dxa"/>
            <w:vAlign w:val="bottom"/>
          </w:tcPr>
          <w:p>
            <w:pPr>
              <w:jc w:val="center"/>
              <w:ind w:right="121"/>
              <w:spacing w:after="0"/>
              <w:rPr>
                <w:sz w:val="20"/>
                <w:szCs w:val="20"/>
                <w:color w:val="auto"/>
              </w:rPr>
            </w:pPr>
            <w:r>
              <w:rPr>
                <w:rFonts w:ascii="Arial" w:cs="Arial" w:eastAsia="Arial" w:hAnsi="Arial"/>
                <w:sz w:val="14"/>
                <w:szCs w:val="14"/>
                <w:color w:val="auto"/>
                <w:w w:val="90"/>
              </w:rPr>
              <w:t>Increase/</w:t>
            </w:r>
          </w:p>
        </w:tc>
        <w:tc>
          <w:tcPr>
            <w:tcW w:w="360" w:type="dxa"/>
            <w:vAlign w:val="bottom"/>
          </w:tcPr>
          <w:p>
            <w:pPr>
              <w:spacing w:after="0"/>
              <w:rPr>
                <w:sz w:val="14"/>
                <w:szCs w:val="14"/>
                <w:color w:val="auto"/>
              </w:rPr>
            </w:pPr>
          </w:p>
        </w:tc>
        <w:tc>
          <w:tcPr>
            <w:tcW w:w="1860" w:type="dxa"/>
            <w:vAlign w:val="bottom"/>
            <w:gridSpan w:val="3"/>
          </w:tcPr>
          <w:p>
            <w:pPr>
              <w:jc w:val="right"/>
              <w:ind w:right="416"/>
              <w:spacing w:after="0"/>
              <w:rPr>
                <w:sz w:val="20"/>
                <w:szCs w:val="20"/>
                <w:color w:val="auto"/>
              </w:rPr>
            </w:pPr>
            <w:r>
              <w:rPr>
                <w:rFonts w:ascii="Arial" w:cs="Arial" w:eastAsia="Arial" w:hAnsi="Arial"/>
                <w:sz w:val="14"/>
                <w:szCs w:val="14"/>
                <w:color w:val="auto"/>
              </w:rPr>
              <w:t>Nine Months Ended</w:t>
            </w:r>
          </w:p>
        </w:tc>
        <w:tc>
          <w:tcPr>
            <w:tcW w:w="1080" w:type="dxa"/>
            <w:vAlign w:val="bottom"/>
          </w:tcPr>
          <w:p>
            <w:pPr>
              <w:jc w:val="center"/>
              <w:ind w:right="1"/>
              <w:spacing w:after="0"/>
              <w:rPr>
                <w:sz w:val="20"/>
                <w:szCs w:val="20"/>
                <w:color w:val="auto"/>
              </w:rPr>
            </w:pPr>
            <w:r>
              <w:rPr>
                <w:rFonts w:ascii="Arial" w:cs="Arial" w:eastAsia="Arial" w:hAnsi="Arial"/>
                <w:sz w:val="14"/>
                <w:szCs w:val="14"/>
                <w:color w:val="auto"/>
                <w:w w:val="90"/>
              </w:rPr>
              <w:t>Increase/</w:t>
            </w:r>
          </w:p>
        </w:tc>
      </w:tr>
      <w:tr>
        <w:trPr>
          <w:trHeight w:val="188"/>
        </w:trPr>
        <w:tc>
          <w:tcPr>
            <w:tcW w:w="4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596"/>
              <w:spacing w:after="0"/>
              <w:rPr>
                <w:sz w:val="20"/>
                <w:szCs w:val="20"/>
                <w:color w:val="auto"/>
              </w:rPr>
            </w:pPr>
            <w:r>
              <w:rPr>
                <w:rFonts w:ascii="Arial" w:cs="Arial" w:eastAsia="Arial" w:hAnsi="Arial"/>
                <w:sz w:val="14"/>
                <w:szCs w:val="14"/>
                <w:color w:val="auto"/>
              </w:rPr>
              <w:t>September 30</w:t>
            </w:r>
          </w:p>
        </w:tc>
        <w:tc>
          <w:tcPr>
            <w:tcW w:w="11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w w:val="89"/>
              </w:rPr>
              <w:t>(Decrease)</w:t>
            </w: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color w:val="auto"/>
              </w:rPr>
              <w:t>September 30</w:t>
            </w:r>
          </w:p>
        </w:tc>
        <w:tc>
          <w:tcPr>
            <w:tcW w:w="10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color w:val="auto"/>
                <w:w w:val="92"/>
              </w:rPr>
              <w:t>(Decrease)</w:t>
            </w:r>
          </w:p>
        </w:tc>
      </w:tr>
      <w:tr>
        <w:trPr>
          <w:trHeight w:val="264"/>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color w:val="auto"/>
              </w:rPr>
              <w:t>2019</w:t>
            </w:r>
          </w:p>
        </w:tc>
        <w:tc>
          <w:tcPr>
            <w:tcW w:w="8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2018</w:t>
            </w:r>
          </w:p>
        </w:tc>
        <w:tc>
          <w:tcPr>
            <w:tcW w:w="11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w w:val="96"/>
              </w:rPr>
              <w:t>%</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2019</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2018</w:t>
            </w:r>
          </w:p>
        </w:tc>
        <w:tc>
          <w:tcPr>
            <w:tcW w:w="10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color w:val="auto"/>
                <w:w w:val="96"/>
              </w:rPr>
              <w:t>%</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ind w:left="380"/>
              <w:spacing w:after="0"/>
              <w:rPr>
                <w:sz w:val="20"/>
                <w:szCs w:val="20"/>
                <w:color w:val="auto"/>
              </w:rPr>
            </w:pPr>
            <w:r>
              <w:rPr>
                <w:rFonts w:ascii="Arial" w:cs="Arial" w:eastAsia="Arial" w:hAnsi="Arial"/>
                <w:sz w:val="18"/>
                <w:szCs w:val="18"/>
                <w:b w:val="1"/>
                <w:bCs w:val="1"/>
                <w:color w:val="auto"/>
              </w:rPr>
              <w:t xml:space="preserve">809  </w:t>
            </w:r>
            <w:r>
              <w:rPr>
                <w:rFonts w:ascii="Arial" w:cs="Arial" w:eastAsia="Arial" w:hAnsi="Arial"/>
                <w:sz w:val="18"/>
                <w:szCs w:val="18"/>
                <w:color w:val="auto"/>
              </w:rPr>
              <w:t>$</w:t>
            </w:r>
          </w:p>
        </w:tc>
        <w:tc>
          <w:tcPr>
            <w:tcW w:w="840" w:type="dxa"/>
            <w:vAlign w:val="bottom"/>
          </w:tcPr>
          <w:p>
            <w:pPr>
              <w:jc w:val="right"/>
              <w:ind w:right="116"/>
              <w:spacing w:after="0"/>
              <w:rPr>
                <w:sz w:val="20"/>
                <w:szCs w:val="20"/>
                <w:color w:val="auto"/>
              </w:rPr>
            </w:pPr>
            <w:r>
              <w:rPr>
                <w:rFonts w:ascii="Arial" w:cs="Arial" w:eastAsia="Arial" w:hAnsi="Arial"/>
                <w:sz w:val="18"/>
                <w:szCs w:val="18"/>
                <w:color w:val="auto"/>
              </w:rPr>
              <w:t>812</w:t>
            </w:r>
          </w:p>
        </w:tc>
        <w:tc>
          <w:tcPr>
            <w:tcW w:w="1160" w:type="dxa"/>
            <w:vAlign w:val="bottom"/>
          </w:tcPr>
          <w:p>
            <w:pPr>
              <w:ind w:left="540"/>
              <w:spacing w:after="0"/>
              <w:rPr>
                <w:sz w:val="20"/>
                <w:szCs w:val="20"/>
                <w:color w:val="auto"/>
              </w:rPr>
            </w:pPr>
            <w:r>
              <w:rPr>
                <w:rFonts w:ascii="Arial" w:cs="Arial" w:eastAsia="Arial" w:hAnsi="Arial"/>
                <w:sz w:val="18"/>
                <w:szCs w:val="18"/>
                <w:color w:val="auto"/>
              </w:rPr>
              <w:t>(0.3)%</w:t>
            </w:r>
          </w:p>
        </w:tc>
        <w:tc>
          <w:tcPr>
            <w:tcW w:w="3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
              <w:spacing w:after="0"/>
              <w:rPr>
                <w:sz w:val="20"/>
                <w:szCs w:val="20"/>
                <w:color w:val="auto"/>
              </w:rPr>
            </w:pPr>
            <w:r>
              <w:rPr>
                <w:rFonts w:ascii="Arial" w:cs="Arial" w:eastAsia="Arial" w:hAnsi="Arial"/>
                <w:sz w:val="18"/>
                <w:szCs w:val="18"/>
                <w:b w:val="1"/>
                <w:bCs w:val="1"/>
                <w:color w:val="auto"/>
              </w:rPr>
              <w:t>2,592</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2,718</w:t>
            </w: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i w:val="1"/>
                <w:iCs w:val="1"/>
                <w:color w:val="auto"/>
              </w:rPr>
              <w:t>Advertising, excluding 2018 PyeongChang Olympics</w:t>
            </w:r>
          </w:p>
        </w:tc>
        <w:tc>
          <w:tcPr>
            <w:tcW w:w="240" w:type="dxa"/>
            <w:vAlign w:val="bottom"/>
          </w:tcPr>
          <w:p>
            <w:pPr>
              <w:spacing w:after="0"/>
              <w:rPr>
                <w:sz w:val="23"/>
                <w:szCs w:val="23"/>
                <w:color w:val="auto"/>
              </w:rPr>
            </w:pPr>
          </w:p>
        </w:tc>
        <w:tc>
          <w:tcPr>
            <w:tcW w:w="10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809</w:t>
            </w:r>
          </w:p>
        </w:tc>
        <w:tc>
          <w:tcPr>
            <w:tcW w:w="840" w:type="dxa"/>
            <w:vAlign w:val="bottom"/>
          </w:tcPr>
          <w:p>
            <w:pPr>
              <w:jc w:val="right"/>
              <w:ind w:right="116"/>
              <w:spacing w:after="0"/>
              <w:rPr>
                <w:sz w:val="20"/>
                <w:szCs w:val="20"/>
                <w:color w:val="auto"/>
              </w:rPr>
            </w:pPr>
            <w:r>
              <w:rPr>
                <w:rFonts w:ascii="Arial" w:cs="Arial" w:eastAsia="Arial" w:hAnsi="Arial"/>
                <w:sz w:val="18"/>
                <w:szCs w:val="18"/>
                <w:i w:val="1"/>
                <w:iCs w:val="1"/>
                <w:color w:val="auto"/>
              </w:rPr>
              <w:t>812</w:t>
            </w:r>
          </w:p>
        </w:tc>
        <w:tc>
          <w:tcPr>
            <w:tcW w:w="1160" w:type="dxa"/>
            <w:vAlign w:val="bottom"/>
          </w:tcPr>
          <w:p>
            <w:pPr>
              <w:ind w:left="540"/>
              <w:spacing w:after="0"/>
              <w:rPr>
                <w:sz w:val="20"/>
                <w:szCs w:val="20"/>
                <w:color w:val="auto"/>
              </w:rPr>
            </w:pPr>
            <w:r>
              <w:rPr>
                <w:rFonts w:ascii="Arial" w:cs="Arial" w:eastAsia="Arial" w:hAnsi="Arial"/>
                <w:sz w:val="18"/>
                <w:szCs w:val="18"/>
                <w:i w:val="1"/>
                <w:iCs w:val="1"/>
                <w:color w:val="auto"/>
              </w:rPr>
              <w:t>(0.3)</w:t>
            </w:r>
          </w:p>
        </w:tc>
        <w:tc>
          <w:tcPr>
            <w:tcW w:w="360" w:type="dxa"/>
            <w:vAlign w:val="bottom"/>
          </w:tcPr>
          <w:p>
            <w:pPr>
              <w:spacing w:after="0"/>
              <w:rPr>
                <w:sz w:val="23"/>
                <w:szCs w:val="23"/>
                <w:color w:val="auto"/>
              </w:rPr>
            </w:pPr>
          </w:p>
        </w:tc>
        <w:tc>
          <w:tcPr>
            <w:tcW w:w="740" w:type="dxa"/>
            <w:vAlign w:val="bottom"/>
          </w:tcPr>
          <w:p>
            <w:pPr>
              <w:jc w:val="right"/>
              <w:ind w:right="1"/>
              <w:spacing w:after="0"/>
              <w:rPr>
                <w:sz w:val="20"/>
                <w:szCs w:val="20"/>
                <w:color w:val="auto"/>
              </w:rPr>
            </w:pPr>
            <w:r>
              <w:rPr>
                <w:rFonts w:ascii="Arial" w:cs="Arial" w:eastAsia="Arial" w:hAnsi="Arial"/>
                <w:sz w:val="18"/>
                <w:szCs w:val="18"/>
                <w:b w:val="1"/>
                <w:bCs w:val="1"/>
                <w:i w:val="1"/>
                <w:iCs w:val="1"/>
                <w:color w:val="auto"/>
              </w:rPr>
              <w:t>2,592</w:t>
            </w:r>
          </w:p>
        </w:tc>
        <w:tc>
          <w:tcPr>
            <w:tcW w:w="280" w:type="dxa"/>
            <w:vAlign w:val="bottom"/>
          </w:tcPr>
          <w:p>
            <w:pPr>
              <w:spacing w:after="0"/>
              <w:rPr>
                <w:sz w:val="23"/>
                <w:szCs w:val="23"/>
                <w:color w:val="auto"/>
              </w:rPr>
            </w:pPr>
          </w:p>
        </w:tc>
        <w:tc>
          <w:tcPr>
            <w:tcW w:w="840" w:type="dxa"/>
            <w:vAlign w:val="bottom"/>
          </w:tcPr>
          <w:p>
            <w:pPr>
              <w:jc w:val="right"/>
              <w:ind w:right="96"/>
              <w:spacing w:after="0"/>
              <w:rPr>
                <w:sz w:val="20"/>
                <w:szCs w:val="20"/>
                <w:color w:val="auto"/>
              </w:rPr>
            </w:pPr>
            <w:r>
              <w:rPr>
                <w:rFonts w:ascii="Arial" w:cs="Arial" w:eastAsia="Arial" w:hAnsi="Arial"/>
                <w:sz w:val="18"/>
                <w:szCs w:val="18"/>
                <w:i w:val="1"/>
                <w:iCs w:val="1"/>
                <w:color w:val="auto"/>
              </w:rPr>
              <w:t>2,576</w:t>
            </w:r>
          </w:p>
        </w:tc>
        <w:tc>
          <w:tcPr>
            <w:tcW w:w="1080" w:type="dxa"/>
            <w:vAlign w:val="bottom"/>
          </w:tcPr>
          <w:p>
            <w:pPr>
              <w:jc w:val="right"/>
              <w:ind w:right="181"/>
              <w:spacing w:after="0"/>
              <w:rPr>
                <w:sz w:val="20"/>
                <w:szCs w:val="20"/>
                <w:color w:val="auto"/>
              </w:rPr>
            </w:pPr>
            <w:r>
              <w:rPr>
                <w:rFonts w:ascii="Arial" w:cs="Arial" w:eastAsia="Arial" w:hAnsi="Arial"/>
                <w:sz w:val="18"/>
                <w:szCs w:val="18"/>
                <w:i w:val="1"/>
                <w:iCs w:val="1"/>
                <w:color w:val="auto"/>
              </w:rPr>
              <w:t>0.6</w:t>
            </w:r>
          </w:p>
        </w:tc>
      </w:tr>
    </w:tbl>
    <w:p>
      <w:pPr>
        <w:spacing w:after="0" w:line="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Advertising revenue decreased for the nine months ended September 30, 2019 compared to the same period in 2018 primarily due to our broadcast of the 2018 PyeongChang Olympics. Excluding $142 million of revenue associated with our broadcast of the 2018 PyeongChang Olympics, advertising revenue was flat compared to prior year period reflecting higher prices for advertising units sold offset by declines in audience ratings at our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2034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Content licensing revenue and other decreased for the nine months ended September 30, 2019 compared to the same period in 2018 primarily due to the timing of content provided under our licensing agreements.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3"/>
          </w:tcPr>
          <w:p>
            <w:pPr>
              <w:jc w:val="right"/>
              <w:ind w:right="376"/>
              <w:spacing w:after="0"/>
              <w:rPr>
                <w:sz w:val="20"/>
                <w:szCs w:val="20"/>
                <w:color w:val="auto"/>
              </w:rPr>
            </w:pPr>
            <w:r>
              <w:rPr>
                <w:rFonts w:ascii="Arial" w:cs="Arial" w:eastAsia="Arial" w:hAnsi="Arial"/>
                <w:sz w:val="14"/>
                <w:szCs w:val="14"/>
                <w:color w:val="auto"/>
              </w:rPr>
              <w:t>Three Months Ended</w:t>
            </w:r>
          </w:p>
        </w:tc>
        <w:tc>
          <w:tcPr>
            <w:tcW w:w="1120" w:type="dxa"/>
            <w:vAlign w:val="bottom"/>
          </w:tcPr>
          <w:p>
            <w:pPr>
              <w:jc w:val="center"/>
              <w:ind w:right="81"/>
              <w:spacing w:after="0"/>
              <w:rPr>
                <w:sz w:val="20"/>
                <w:szCs w:val="20"/>
                <w:color w:val="auto"/>
              </w:rPr>
            </w:pPr>
            <w:r>
              <w:rPr>
                <w:rFonts w:ascii="Arial" w:cs="Arial" w:eastAsia="Arial" w:hAnsi="Arial"/>
                <w:sz w:val="14"/>
                <w:szCs w:val="14"/>
                <w:color w:val="auto"/>
                <w:w w:val="90"/>
              </w:rPr>
              <w:t>Increase/</w:t>
            </w:r>
          </w:p>
        </w:tc>
        <w:tc>
          <w:tcPr>
            <w:tcW w:w="360" w:type="dxa"/>
            <w:vAlign w:val="bottom"/>
          </w:tcPr>
          <w:p>
            <w:pPr>
              <w:spacing w:after="0"/>
              <w:rPr>
                <w:sz w:val="14"/>
                <w:szCs w:val="14"/>
                <w:color w:val="auto"/>
              </w:rPr>
            </w:pPr>
          </w:p>
        </w:tc>
        <w:tc>
          <w:tcPr>
            <w:tcW w:w="1860" w:type="dxa"/>
            <w:vAlign w:val="bottom"/>
            <w:gridSpan w:val="3"/>
          </w:tcPr>
          <w:p>
            <w:pPr>
              <w:jc w:val="right"/>
              <w:ind w:right="416"/>
              <w:spacing w:after="0"/>
              <w:rPr>
                <w:sz w:val="20"/>
                <w:szCs w:val="20"/>
                <w:color w:val="auto"/>
              </w:rPr>
            </w:pPr>
            <w:r>
              <w:rPr>
                <w:rFonts w:ascii="Arial" w:cs="Arial" w:eastAsia="Arial" w:hAnsi="Arial"/>
                <w:sz w:val="14"/>
                <w:szCs w:val="14"/>
                <w:color w:val="auto"/>
              </w:rPr>
              <w:t>Nine Months Ended</w:t>
            </w:r>
          </w:p>
        </w:tc>
        <w:tc>
          <w:tcPr>
            <w:tcW w:w="1080" w:type="dxa"/>
            <w:vAlign w:val="bottom"/>
          </w:tcPr>
          <w:p>
            <w:pPr>
              <w:jc w:val="center"/>
              <w:ind w:right="1"/>
              <w:spacing w:after="0"/>
              <w:rPr>
                <w:sz w:val="20"/>
                <w:szCs w:val="20"/>
                <w:color w:val="auto"/>
              </w:rPr>
            </w:pPr>
            <w:r>
              <w:rPr>
                <w:rFonts w:ascii="Arial" w:cs="Arial" w:eastAsia="Arial" w:hAnsi="Arial"/>
                <w:sz w:val="14"/>
                <w:szCs w:val="14"/>
                <w:color w:val="auto"/>
                <w:w w:val="90"/>
              </w:rPr>
              <w:t>Increase/</w:t>
            </w:r>
          </w:p>
        </w:tc>
      </w:tr>
      <w:tr>
        <w:trPr>
          <w:trHeight w:val="188"/>
        </w:trPr>
        <w:tc>
          <w:tcPr>
            <w:tcW w:w="4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color w:val="auto"/>
              </w:rPr>
              <w:t>September 30</w:t>
            </w:r>
          </w:p>
        </w:tc>
        <w:tc>
          <w:tcPr>
            <w:tcW w:w="11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w w:val="89"/>
              </w:rPr>
              <w:t>(Decrease)</w:t>
            </w: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color w:val="auto"/>
              </w:rPr>
              <w:t>September 30</w:t>
            </w:r>
          </w:p>
        </w:tc>
        <w:tc>
          <w:tcPr>
            <w:tcW w:w="10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color w:val="auto"/>
                <w:w w:val="92"/>
              </w:rPr>
              <w:t>(Decrease)</w:t>
            </w:r>
          </w:p>
        </w:tc>
      </w:tr>
      <w:tr>
        <w:trPr>
          <w:trHeight w:val="264"/>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2019</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2018</w:t>
            </w:r>
          </w:p>
        </w:tc>
        <w:tc>
          <w:tcPr>
            <w:tcW w:w="11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w w:val="96"/>
              </w:rPr>
              <w:t>%</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2019</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2018</w:t>
            </w:r>
          </w:p>
        </w:tc>
        <w:tc>
          <w:tcPr>
            <w:tcW w:w="10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color w:val="auto"/>
                <w:w w:val="96"/>
              </w:rPr>
              <w:t>%</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ind w:right="1"/>
              <w:spacing w:after="0"/>
              <w:rPr>
                <w:sz w:val="20"/>
                <w:szCs w:val="20"/>
                <w:color w:val="auto"/>
              </w:rPr>
            </w:pPr>
            <w:r>
              <w:rPr>
                <w:rFonts w:ascii="Arial" w:cs="Arial" w:eastAsia="Arial" w:hAnsi="Arial"/>
                <w:sz w:val="18"/>
                <w:szCs w:val="18"/>
                <w:b w:val="1"/>
                <w:bCs w:val="1"/>
                <w:color w:val="auto"/>
              </w:rPr>
              <w:t>1,681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1,655</w:t>
            </w:r>
          </w:p>
        </w:tc>
        <w:tc>
          <w:tcPr>
            <w:tcW w:w="1120" w:type="dxa"/>
            <w:vAlign w:val="bottom"/>
          </w:tcPr>
          <w:p>
            <w:pPr>
              <w:ind w:left="600"/>
              <w:spacing w:after="0"/>
              <w:rPr>
                <w:sz w:val="20"/>
                <w:szCs w:val="20"/>
                <w:color w:val="auto"/>
              </w:rPr>
            </w:pPr>
            <w:r>
              <w:rPr>
                <w:rFonts w:ascii="Arial" w:cs="Arial" w:eastAsia="Arial" w:hAnsi="Arial"/>
                <w:sz w:val="18"/>
                <w:szCs w:val="18"/>
                <w:color w:val="auto"/>
              </w:rPr>
              <w:t>1.6%</w:t>
            </w:r>
          </w:p>
        </w:tc>
        <w:tc>
          <w:tcPr>
            <w:tcW w:w="3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
              <w:spacing w:after="0"/>
              <w:rPr>
                <w:sz w:val="20"/>
                <w:szCs w:val="20"/>
                <w:color w:val="auto"/>
              </w:rPr>
            </w:pPr>
            <w:r>
              <w:rPr>
                <w:rFonts w:ascii="Arial" w:cs="Arial" w:eastAsia="Arial" w:hAnsi="Arial"/>
                <w:sz w:val="18"/>
                <w:szCs w:val="18"/>
                <w:b w:val="1"/>
                <w:bCs w:val="1"/>
                <w:color w:val="auto"/>
              </w:rPr>
              <w:t>5,123</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5,166</w:t>
            </w: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0"/>
        </w:trPr>
        <w:tc>
          <w:tcPr>
            <w:tcW w:w="4840" w:type="dxa"/>
            <w:vAlign w:val="bottom"/>
          </w:tcPr>
          <w:p>
            <w:pPr>
              <w:ind w:left="40"/>
              <w:spacing w:after="0"/>
              <w:rPr>
                <w:sz w:val="20"/>
                <w:szCs w:val="20"/>
                <w:color w:val="auto"/>
              </w:rPr>
            </w:pPr>
            <w:r>
              <w:rPr>
                <w:rFonts w:ascii="Arial" w:cs="Arial" w:eastAsia="Arial" w:hAnsi="Arial"/>
                <w:sz w:val="18"/>
                <w:szCs w:val="18"/>
                <w:i w:val="1"/>
                <w:iCs w:val="1"/>
                <w:color w:val="auto"/>
              </w:rPr>
              <w:t>Distribution, excluding 2018 PyeongChang Olympics</w:t>
            </w:r>
          </w:p>
        </w:tc>
        <w:tc>
          <w:tcPr>
            <w:tcW w:w="240" w:type="dxa"/>
            <w:vAlign w:val="bottom"/>
          </w:tcPr>
          <w:p>
            <w:pPr>
              <w:spacing w:after="0"/>
              <w:rPr>
                <w:sz w:val="23"/>
                <w:szCs w:val="23"/>
                <w:color w:val="auto"/>
              </w:rPr>
            </w:pPr>
          </w:p>
        </w:tc>
        <w:tc>
          <w:tcPr>
            <w:tcW w:w="740" w:type="dxa"/>
            <w:vAlign w:val="bottom"/>
          </w:tcPr>
          <w:p>
            <w:pPr>
              <w:jc w:val="right"/>
              <w:ind w:right="1"/>
              <w:spacing w:after="0"/>
              <w:rPr>
                <w:sz w:val="20"/>
                <w:szCs w:val="20"/>
                <w:color w:val="auto"/>
              </w:rPr>
            </w:pPr>
            <w:r>
              <w:rPr>
                <w:rFonts w:ascii="Arial" w:cs="Arial" w:eastAsia="Arial" w:hAnsi="Arial"/>
                <w:sz w:val="18"/>
                <w:szCs w:val="18"/>
                <w:b w:val="1"/>
                <w:bCs w:val="1"/>
                <w:i w:val="1"/>
                <w:iCs w:val="1"/>
                <w:color w:val="auto"/>
              </w:rPr>
              <w:t>1,681</w:t>
            </w:r>
          </w:p>
        </w:tc>
        <w:tc>
          <w:tcPr>
            <w:tcW w:w="280" w:type="dxa"/>
            <w:vAlign w:val="bottom"/>
          </w:tcPr>
          <w:p>
            <w:pPr>
              <w:spacing w:after="0"/>
              <w:rPr>
                <w:sz w:val="23"/>
                <w:szCs w:val="23"/>
                <w:color w:val="auto"/>
              </w:rPr>
            </w:pPr>
          </w:p>
        </w:tc>
        <w:tc>
          <w:tcPr>
            <w:tcW w:w="840" w:type="dxa"/>
            <w:vAlign w:val="bottom"/>
          </w:tcPr>
          <w:p>
            <w:pPr>
              <w:jc w:val="right"/>
              <w:ind w:right="96"/>
              <w:spacing w:after="0"/>
              <w:rPr>
                <w:sz w:val="20"/>
                <w:szCs w:val="20"/>
                <w:color w:val="auto"/>
              </w:rPr>
            </w:pPr>
            <w:r>
              <w:rPr>
                <w:rFonts w:ascii="Arial" w:cs="Arial" w:eastAsia="Arial" w:hAnsi="Arial"/>
                <w:sz w:val="18"/>
                <w:szCs w:val="18"/>
                <w:i w:val="1"/>
                <w:iCs w:val="1"/>
                <w:color w:val="auto"/>
              </w:rPr>
              <w:t>1,655</w:t>
            </w:r>
          </w:p>
        </w:tc>
        <w:tc>
          <w:tcPr>
            <w:tcW w:w="1120" w:type="dxa"/>
            <w:vAlign w:val="bottom"/>
          </w:tcPr>
          <w:p>
            <w:pPr>
              <w:ind w:left="600"/>
              <w:spacing w:after="0"/>
              <w:rPr>
                <w:sz w:val="20"/>
                <w:szCs w:val="20"/>
                <w:color w:val="auto"/>
              </w:rPr>
            </w:pPr>
            <w:r>
              <w:rPr>
                <w:rFonts w:ascii="Arial" w:cs="Arial" w:eastAsia="Arial" w:hAnsi="Arial"/>
                <w:sz w:val="18"/>
                <w:szCs w:val="18"/>
                <w:i w:val="1"/>
                <w:iCs w:val="1"/>
                <w:color w:val="auto"/>
              </w:rPr>
              <w:t>1.6</w:t>
            </w:r>
          </w:p>
        </w:tc>
        <w:tc>
          <w:tcPr>
            <w:tcW w:w="360" w:type="dxa"/>
            <w:vAlign w:val="bottom"/>
          </w:tcPr>
          <w:p>
            <w:pPr>
              <w:spacing w:after="0"/>
              <w:rPr>
                <w:sz w:val="23"/>
                <w:szCs w:val="23"/>
                <w:color w:val="auto"/>
              </w:rPr>
            </w:pPr>
          </w:p>
        </w:tc>
        <w:tc>
          <w:tcPr>
            <w:tcW w:w="740" w:type="dxa"/>
            <w:vAlign w:val="bottom"/>
          </w:tcPr>
          <w:p>
            <w:pPr>
              <w:jc w:val="right"/>
              <w:ind w:right="1"/>
              <w:spacing w:after="0"/>
              <w:rPr>
                <w:sz w:val="20"/>
                <w:szCs w:val="20"/>
                <w:color w:val="auto"/>
              </w:rPr>
            </w:pPr>
            <w:r>
              <w:rPr>
                <w:rFonts w:ascii="Arial" w:cs="Arial" w:eastAsia="Arial" w:hAnsi="Arial"/>
                <w:sz w:val="18"/>
                <w:szCs w:val="18"/>
                <w:b w:val="1"/>
                <w:bCs w:val="1"/>
                <w:i w:val="1"/>
                <w:iCs w:val="1"/>
                <w:color w:val="auto"/>
              </w:rPr>
              <w:t>5,123</w:t>
            </w:r>
          </w:p>
        </w:tc>
        <w:tc>
          <w:tcPr>
            <w:tcW w:w="280" w:type="dxa"/>
            <w:vAlign w:val="bottom"/>
          </w:tcPr>
          <w:p>
            <w:pPr>
              <w:spacing w:after="0"/>
              <w:rPr>
                <w:sz w:val="23"/>
                <w:szCs w:val="23"/>
                <w:color w:val="auto"/>
              </w:rPr>
            </w:pPr>
          </w:p>
        </w:tc>
        <w:tc>
          <w:tcPr>
            <w:tcW w:w="840" w:type="dxa"/>
            <w:vAlign w:val="bottom"/>
          </w:tcPr>
          <w:p>
            <w:pPr>
              <w:jc w:val="right"/>
              <w:ind w:right="96"/>
              <w:spacing w:after="0"/>
              <w:rPr>
                <w:sz w:val="20"/>
                <w:szCs w:val="20"/>
                <w:color w:val="auto"/>
              </w:rPr>
            </w:pPr>
            <w:r>
              <w:rPr>
                <w:rFonts w:ascii="Arial" w:cs="Arial" w:eastAsia="Arial" w:hAnsi="Arial"/>
                <w:sz w:val="18"/>
                <w:szCs w:val="18"/>
                <w:i w:val="1"/>
                <w:iCs w:val="1"/>
                <w:color w:val="auto"/>
              </w:rPr>
              <w:t>4,930</w:t>
            </w:r>
          </w:p>
        </w:tc>
        <w:tc>
          <w:tcPr>
            <w:tcW w:w="1080" w:type="dxa"/>
            <w:vAlign w:val="bottom"/>
          </w:tcPr>
          <w:p>
            <w:pPr>
              <w:jc w:val="right"/>
              <w:ind w:right="181"/>
              <w:spacing w:after="0"/>
              <w:rPr>
                <w:sz w:val="20"/>
                <w:szCs w:val="20"/>
                <w:color w:val="auto"/>
              </w:rPr>
            </w:pPr>
            <w:r>
              <w:rPr>
                <w:rFonts w:ascii="Arial" w:cs="Arial" w:eastAsia="Arial" w:hAnsi="Arial"/>
                <w:sz w:val="18"/>
                <w:szCs w:val="18"/>
                <w:i w:val="1"/>
                <w:iCs w:val="1"/>
                <w:color w:val="auto"/>
              </w:rPr>
              <w:t>3.9</w:t>
            </w:r>
          </w:p>
        </w:tc>
      </w:tr>
      <w:tr>
        <w:trPr>
          <w:trHeight w:val="27"/>
        </w:trPr>
        <w:tc>
          <w:tcPr>
            <w:tcW w:w="4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Distribution revenue decreased for the nine months ended September 30, 2019 compared to the same period in 2018 primarily due to our broadcast of the 2018 PyeongChang Olympics. Excluding $236 million of revenue associated with our broadcast of the 2018 PyeongChang Olympics, distribution revenue increased primarily due to increases in contractual rates charged under distribution agreements and the timing of contract renewals, partially offset by increased declines in the number of subscribers at our cable networks during the quarter.</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nine months ended September 30, 2019, 16% and 15%, respectively, of our Cable Networks segment revenue was generated from our Cable Communications segment. For both the three and nine months ended September 30, 2018, 15% of our Cable Networks segment revenue was generated from our Cable Communications segment. These amounts are eliminated in our condensed consolidated financial statements but are included in the amounts presented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Operating Costs and Expenses</w:t>
      </w:r>
    </w:p>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Operating costs and expenses decreased for the three months ended September 30, 2019 compared to the same period in 2018 due to decreases in programming and production costs, and advertising, marketing and promotion costs, partially offset by an increase in other operating and administrative costs. The decrease in programming and production costs was primarily due to decreases in studio production costs. The decrease in advertising, marketing and promotion costs was primarily due to lower spending on marketing related to our cable networks programming and our digital properties. The increase in other operating and administrative costs was primarily due to employee-related costs.</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Operating costs and expenses decreased for the nine months ended September 30, 2019 compared to the same period in 2018 due to decreases in programming and production costs, and advertising, marketing and promotion costs, partially offset by an increase in other operating and administrative costs. The decrease in programming and production costs was primarily due to the absence of costs associated with our broadcast of the 2018 PyeongChang Olympics. The decrease in advertising, marketing and promotion costs was due to lower spending on marketing related to our cable networks programming and our digital properties. The increase in other operating and administrative costs was primarily due to employee-related costs.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75"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Broadcast Television Segment Results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2"/>
          </w:tcPr>
          <w:p>
            <w:pPr>
              <w:jc w:val="center"/>
              <w:ind w:left="514"/>
              <w:spacing w:after="0"/>
              <w:rPr>
                <w:sz w:val="20"/>
                <w:szCs w:val="20"/>
                <w:color w:val="auto"/>
              </w:rPr>
            </w:pPr>
            <w:r>
              <w:rPr>
                <w:rFonts w:ascii="Arial" w:cs="Arial" w:eastAsia="Arial" w:hAnsi="Arial"/>
                <w:sz w:val="14"/>
                <w:szCs w:val="14"/>
                <w:color w:val="auto"/>
                <w:w w:val="93"/>
              </w:rPr>
              <w:t>Three Months Ended</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40" w:type="dxa"/>
            <w:vAlign w:val="bottom"/>
          </w:tcPr>
          <w:p>
            <w:pPr>
              <w:jc w:val="center"/>
              <w:ind w:left="554"/>
              <w:spacing w:after="0"/>
              <w:rPr>
                <w:sz w:val="20"/>
                <w:szCs w:val="20"/>
                <w:color w:val="auto"/>
              </w:rPr>
            </w:pPr>
            <w:r>
              <w:rPr>
                <w:rFonts w:ascii="Arial" w:cs="Arial" w:eastAsia="Arial" w:hAnsi="Arial"/>
                <w:sz w:val="14"/>
                <w:szCs w:val="14"/>
                <w:color w:val="auto"/>
                <w:w w:val="90"/>
              </w:rPr>
              <w:t>Increase/</w:t>
            </w:r>
          </w:p>
        </w:tc>
        <w:tc>
          <w:tcPr>
            <w:tcW w:w="1040" w:type="dxa"/>
            <w:vAlign w:val="bottom"/>
          </w:tcPr>
          <w:p>
            <w:pPr>
              <w:spacing w:after="0"/>
              <w:rPr>
                <w:sz w:val="14"/>
                <w:szCs w:val="1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center"/>
              <w:ind w:left="494"/>
              <w:spacing w:after="0"/>
              <w:rPr>
                <w:sz w:val="20"/>
                <w:szCs w:val="20"/>
                <w:color w:val="auto"/>
              </w:rPr>
            </w:pPr>
            <w:r>
              <w:rPr>
                <w:rFonts w:ascii="Arial" w:cs="Arial" w:eastAsia="Arial" w:hAnsi="Arial"/>
                <w:sz w:val="14"/>
                <w:szCs w:val="14"/>
                <w:color w:val="auto"/>
                <w:w w:val="90"/>
              </w:rPr>
              <w:t>September 30</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left="574"/>
              <w:spacing w:after="0"/>
              <w:rPr>
                <w:sz w:val="20"/>
                <w:szCs w:val="20"/>
                <w:color w:val="auto"/>
              </w:rPr>
            </w:pPr>
            <w:r>
              <w:rPr>
                <w:rFonts w:ascii="Arial" w:cs="Arial" w:eastAsia="Arial" w:hAnsi="Arial"/>
                <w:sz w:val="14"/>
                <w:szCs w:val="14"/>
                <w:color w:val="auto"/>
                <w:w w:val="89"/>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2019</w:t>
            </w:r>
          </w:p>
        </w:tc>
        <w:tc>
          <w:tcPr>
            <w:tcW w:w="7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96"/>
              </w:rPr>
              <w:t>2018</w:t>
            </w:r>
          </w:p>
        </w:tc>
        <w:tc>
          <w:tcPr>
            <w:tcW w:w="5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1,191</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1,355</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(164)</w:t>
            </w:r>
          </w:p>
        </w:tc>
        <w:tc>
          <w:tcPr>
            <w:tcW w:w="10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447</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538</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(91)</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(17.0)</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Distribution and other</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592</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559</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33</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5.8</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b w:val="1"/>
                <w:bCs w:val="1"/>
                <w:color w:val="auto"/>
              </w:rPr>
              <w:t>2,230</w:t>
            </w:r>
          </w:p>
        </w:tc>
        <w:tc>
          <w:tcPr>
            <w:tcW w:w="70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2,452</w:t>
            </w:r>
          </w:p>
        </w:tc>
        <w:tc>
          <w:tcPr>
            <w:tcW w:w="560" w:type="dxa"/>
            <w:vAlign w:val="bottom"/>
          </w:tcPr>
          <w:p>
            <w:pPr>
              <w:spacing w:after="0"/>
              <w:rPr>
                <w:sz w:val="20"/>
                <w:szCs w:val="20"/>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b w:val="1"/>
                <w:bCs w:val="1"/>
                <w:color w:val="auto"/>
              </w:rPr>
              <w:t>(222)</w:t>
            </w:r>
          </w:p>
        </w:tc>
        <w:tc>
          <w:tcPr>
            <w:tcW w:w="1040" w:type="dxa"/>
            <w:vAlign w:val="bottom"/>
          </w:tcPr>
          <w:p>
            <w:pPr>
              <w:jc w:val="right"/>
              <w:ind w:right="112"/>
              <w:spacing w:after="0"/>
              <w:rPr>
                <w:sz w:val="20"/>
                <w:szCs w:val="20"/>
                <w:color w:val="auto"/>
              </w:rPr>
            </w:pPr>
            <w:r>
              <w:rPr>
                <w:rFonts w:ascii="Arial" w:cs="Arial" w:eastAsia="Arial" w:hAnsi="Arial"/>
                <w:sz w:val="18"/>
                <w:szCs w:val="18"/>
                <w:b w:val="1"/>
                <w:bCs w:val="1"/>
                <w:color w:val="auto"/>
              </w:rPr>
              <w:t>(9.1)</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1,398</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1,640</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(242)</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(14.8)</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373</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373</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(0.2)</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121</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118</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3</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3.1</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1,892</w:t>
            </w:r>
          </w:p>
        </w:tc>
        <w:tc>
          <w:tcPr>
            <w:tcW w:w="70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2,131</w:t>
            </w:r>
          </w:p>
        </w:tc>
        <w:tc>
          <w:tcPr>
            <w:tcW w:w="560" w:type="dxa"/>
            <w:vAlign w:val="bottom"/>
          </w:tcPr>
          <w:p>
            <w:pPr>
              <w:spacing w:after="0"/>
              <w:rPr>
                <w:sz w:val="20"/>
                <w:szCs w:val="20"/>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(239)</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(11.2)</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94"/>
              <w:spacing w:after="0"/>
              <w:rPr>
                <w:sz w:val="20"/>
                <w:szCs w:val="20"/>
                <w:color w:val="auto"/>
              </w:rPr>
            </w:pPr>
            <w:r>
              <w:rPr>
                <w:rFonts w:ascii="Arial" w:cs="Arial" w:eastAsia="Arial" w:hAnsi="Arial"/>
                <w:sz w:val="18"/>
                <w:szCs w:val="18"/>
                <w:b w:val="1"/>
                <w:bCs w:val="1"/>
                <w:color w:val="auto"/>
              </w:rPr>
              <w:t>338</w:t>
            </w:r>
          </w:p>
        </w:tc>
        <w:tc>
          <w:tcPr>
            <w:tcW w:w="7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321</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17</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5.1 %</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2"/>
        </w:trPr>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2"/>
          </w:tcPr>
          <w:p>
            <w:pPr>
              <w:jc w:val="center"/>
              <w:ind w:left="494"/>
              <w:spacing w:after="0"/>
              <w:rPr>
                <w:sz w:val="20"/>
                <w:szCs w:val="20"/>
                <w:color w:val="auto"/>
              </w:rPr>
            </w:pPr>
            <w:r>
              <w:rPr>
                <w:rFonts w:ascii="Arial" w:cs="Arial" w:eastAsia="Arial" w:hAnsi="Arial"/>
                <w:sz w:val="14"/>
                <w:szCs w:val="14"/>
                <w:color w:val="auto"/>
                <w:w w:val="94"/>
              </w:rPr>
              <w:t>Nine Months Ended</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jc w:val="center"/>
              <w:ind w:left="554"/>
              <w:spacing w:after="0"/>
              <w:rPr>
                <w:sz w:val="20"/>
                <w:szCs w:val="20"/>
                <w:color w:val="auto"/>
              </w:rPr>
            </w:pPr>
            <w:r>
              <w:rPr>
                <w:rFonts w:ascii="Arial" w:cs="Arial" w:eastAsia="Arial" w:hAnsi="Arial"/>
                <w:sz w:val="14"/>
                <w:szCs w:val="14"/>
                <w:color w:val="auto"/>
                <w:w w:val="90"/>
              </w:rPr>
              <w:t>Increase/</w:t>
            </w:r>
          </w:p>
        </w:tc>
        <w:tc>
          <w:tcPr>
            <w:tcW w:w="1040" w:type="dxa"/>
            <w:vAlign w:val="bottom"/>
          </w:tcPr>
          <w:p>
            <w:pPr>
              <w:spacing w:after="0"/>
              <w:rPr>
                <w:sz w:val="24"/>
                <w:szCs w:val="2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center"/>
              <w:ind w:left="494"/>
              <w:spacing w:after="0"/>
              <w:rPr>
                <w:sz w:val="20"/>
                <w:szCs w:val="20"/>
                <w:color w:val="auto"/>
              </w:rPr>
            </w:pPr>
            <w:r>
              <w:rPr>
                <w:rFonts w:ascii="Arial" w:cs="Arial" w:eastAsia="Arial" w:hAnsi="Arial"/>
                <w:sz w:val="14"/>
                <w:szCs w:val="14"/>
                <w:color w:val="auto"/>
                <w:w w:val="90"/>
              </w:rPr>
              <w:t>September 30</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left="574"/>
              <w:spacing w:after="0"/>
              <w:rPr>
                <w:sz w:val="20"/>
                <w:szCs w:val="20"/>
                <w:color w:val="auto"/>
              </w:rPr>
            </w:pPr>
            <w:r>
              <w:rPr>
                <w:rFonts w:ascii="Arial" w:cs="Arial" w:eastAsia="Arial" w:hAnsi="Arial"/>
                <w:sz w:val="14"/>
                <w:szCs w:val="14"/>
                <w:color w:val="auto"/>
                <w:w w:val="89"/>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2019</w:t>
            </w:r>
          </w:p>
        </w:tc>
        <w:tc>
          <w:tcPr>
            <w:tcW w:w="7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96"/>
              </w:rPr>
              <w:t>2018</w:t>
            </w:r>
          </w:p>
        </w:tc>
        <w:tc>
          <w:tcPr>
            <w:tcW w:w="5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3,837</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5,107</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(1,270)</w:t>
            </w:r>
          </w:p>
        </w:tc>
        <w:tc>
          <w:tcPr>
            <w:tcW w:w="104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1,479</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1,541</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(62)</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(4.0)</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Distribution and other</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1,783</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1,692</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91</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5.3</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b w:val="1"/>
                <w:bCs w:val="1"/>
                <w:color w:val="auto"/>
              </w:rPr>
              <w:t>7,099</w:t>
            </w:r>
          </w:p>
        </w:tc>
        <w:tc>
          <w:tcPr>
            <w:tcW w:w="70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8,340</w:t>
            </w:r>
          </w:p>
        </w:tc>
        <w:tc>
          <w:tcPr>
            <w:tcW w:w="560" w:type="dxa"/>
            <w:vAlign w:val="bottom"/>
          </w:tcPr>
          <w:p>
            <w:pPr>
              <w:spacing w:after="0"/>
              <w:rPr>
                <w:sz w:val="20"/>
                <w:szCs w:val="20"/>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b w:val="1"/>
                <w:bCs w:val="1"/>
                <w:color w:val="auto"/>
              </w:rPr>
              <w:t>(1,241)</w:t>
            </w:r>
          </w:p>
        </w:tc>
        <w:tc>
          <w:tcPr>
            <w:tcW w:w="1040" w:type="dxa"/>
            <w:vAlign w:val="bottom"/>
          </w:tcPr>
          <w:p>
            <w:pPr>
              <w:jc w:val="right"/>
              <w:ind w:right="112"/>
              <w:spacing w:after="0"/>
              <w:rPr>
                <w:sz w:val="20"/>
                <w:szCs w:val="20"/>
                <w:color w:val="auto"/>
              </w:rPr>
            </w:pPr>
            <w:r>
              <w:rPr>
                <w:rFonts w:ascii="Arial" w:cs="Arial" w:eastAsia="Arial" w:hAnsi="Arial"/>
                <w:sz w:val="18"/>
                <w:szCs w:val="18"/>
                <w:b w:val="1"/>
                <w:bCs w:val="1"/>
                <w:color w:val="auto"/>
              </w:rPr>
              <w:t>(14.9)</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4,344</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5,604</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(1,260)</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(22.5)</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1,150</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1,129</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21</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1.8</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346</w:t>
            </w:r>
          </w:p>
        </w:tc>
        <w:tc>
          <w:tcPr>
            <w:tcW w:w="70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362</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(16)</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(4.3)</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5,840</w:t>
            </w:r>
          </w:p>
        </w:tc>
        <w:tc>
          <w:tcPr>
            <w:tcW w:w="70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7,095</w:t>
            </w:r>
          </w:p>
        </w:tc>
        <w:tc>
          <w:tcPr>
            <w:tcW w:w="560" w:type="dxa"/>
            <w:vAlign w:val="bottom"/>
          </w:tcPr>
          <w:p>
            <w:pPr>
              <w:spacing w:after="0"/>
              <w:rPr>
                <w:sz w:val="20"/>
                <w:szCs w:val="20"/>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(1,255)</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(17.7)</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94"/>
              <w:spacing w:after="0"/>
              <w:rPr>
                <w:sz w:val="20"/>
                <w:szCs w:val="20"/>
                <w:color w:val="auto"/>
              </w:rPr>
            </w:pPr>
            <w:r>
              <w:rPr>
                <w:rFonts w:ascii="Arial" w:cs="Arial" w:eastAsia="Arial" w:hAnsi="Arial"/>
                <w:sz w:val="18"/>
                <w:szCs w:val="18"/>
                <w:b w:val="1"/>
                <w:bCs w:val="1"/>
                <w:color w:val="auto"/>
              </w:rPr>
              <w:t>1,259</w:t>
            </w:r>
          </w:p>
        </w:tc>
        <w:tc>
          <w:tcPr>
            <w:tcW w:w="7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1,245</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14</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1.1 %</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 – Revenue</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Broadcast Television revenue decreased for the three months ended September 30, 2019 compared to the same period in 2018 due to decreases in advertising revenue and content licensing revenue, partially offset by an increase in distribution and other revenue. The decrease in advertising revenue was primarily due to the absence of revenue associated with Telemundo’s broadcast of the 2018 FIFA World Cup Russia</w:t>
      </w:r>
      <w:r>
        <w:rPr>
          <w:rFonts w:ascii="Arial" w:cs="Arial" w:eastAsia="Arial" w:hAnsi="Arial"/>
          <w:sz w:val="17"/>
          <w:szCs w:val="17"/>
          <w:i w:val="1"/>
          <w:iCs w:val="1"/>
          <w:color w:val="auto"/>
        </w:rPr>
        <w:t>™.</w:t>
      </w:r>
      <w:r>
        <w:rPr>
          <w:rFonts w:ascii="Arial" w:cs="Arial" w:eastAsia="Arial" w:hAnsi="Arial"/>
          <w:sz w:val="17"/>
          <w:szCs w:val="17"/>
          <w:color w:val="auto"/>
        </w:rPr>
        <w:t xml:space="preserve"> Excluding this event, advertising revenue decreased reflecting continued ratings declines, partially offset by higher pricing for advertising units sold. The decrease in content licensing revenue was primarily due to timing of content provided under our licensing agreements. The increase in distribution and other revenue was primarily due to increases in fees recognized under our retransmission consent agreements.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Broadcast Television revenue decreased for the nine months ended September 30, 2019 compared to the same period in 2018 due to decreases in advertising revenue resulting from our broadcasts of the 2018 PyeongChang Olympics and the 2018 Super Bowl, as well as content licensing revenue, which were partially offset by an increase in distribution and other revenue. Excluding $1.2 billion of revenue associated with our broadcasts of the 2018 PyeongChang Olympics and the 2018 Super Bowl, Broadcast Television revenue decreased 0.7% for the nine months ended September 30, 2019 compared to the same period in 2018.</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3"/>
          </w:tcPr>
          <w:p>
            <w:pPr>
              <w:jc w:val="right"/>
              <w:ind w:right="376"/>
              <w:spacing w:after="0"/>
              <w:rPr>
                <w:sz w:val="20"/>
                <w:szCs w:val="20"/>
                <w:color w:val="auto"/>
              </w:rPr>
            </w:pPr>
            <w:r>
              <w:rPr>
                <w:rFonts w:ascii="Arial" w:cs="Arial" w:eastAsia="Arial" w:hAnsi="Arial"/>
                <w:sz w:val="14"/>
                <w:szCs w:val="14"/>
                <w:color w:val="auto"/>
              </w:rPr>
              <w:t>Three Months Ended</w:t>
            </w:r>
          </w:p>
        </w:tc>
        <w:tc>
          <w:tcPr>
            <w:tcW w:w="1180" w:type="dxa"/>
            <w:vAlign w:val="bottom"/>
          </w:tcPr>
          <w:p>
            <w:pPr>
              <w:jc w:val="center"/>
              <w:ind w:right="101"/>
              <w:spacing w:after="0"/>
              <w:rPr>
                <w:sz w:val="20"/>
                <w:szCs w:val="20"/>
                <w:color w:val="auto"/>
              </w:rPr>
            </w:pPr>
            <w:r>
              <w:rPr>
                <w:rFonts w:ascii="Arial" w:cs="Arial" w:eastAsia="Arial" w:hAnsi="Arial"/>
                <w:sz w:val="14"/>
                <w:szCs w:val="14"/>
                <w:color w:val="auto"/>
                <w:w w:val="90"/>
              </w:rPr>
              <w:t>Increase/</w:t>
            </w:r>
          </w:p>
        </w:tc>
        <w:tc>
          <w:tcPr>
            <w:tcW w:w="360" w:type="dxa"/>
            <w:vAlign w:val="bottom"/>
          </w:tcPr>
          <w:p>
            <w:pPr>
              <w:spacing w:after="0"/>
              <w:rPr>
                <w:sz w:val="14"/>
                <w:szCs w:val="14"/>
                <w:color w:val="auto"/>
              </w:rPr>
            </w:pPr>
          </w:p>
        </w:tc>
        <w:tc>
          <w:tcPr>
            <w:tcW w:w="1860" w:type="dxa"/>
            <w:vAlign w:val="bottom"/>
            <w:gridSpan w:val="3"/>
          </w:tcPr>
          <w:p>
            <w:pPr>
              <w:jc w:val="right"/>
              <w:ind w:right="416"/>
              <w:spacing w:after="0"/>
              <w:rPr>
                <w:sz w:val="20"/>
                <w:szCs w:val="20"/>
                <w:color w:val="auto"/>
              </w:rPr>
            </w:pPr>
            <w:r>
              <w:rPr>
                <w:rFonts w:ascii="Arial" w:cs="Arial" w:eastAsia="Arial" w:hAnsi="Arial"/>
                <w:sz w:val="14"/>
                <w:szCs w:val="14"/>
                <w:color w:val="auto"/>
              </w:rPr>
              <w:t>Nine Months Ended</w:t>
            </w:r>
          </w:p>
        </w:tc>
        <w:tc>
          <w:tcPr>
            <w:tcW w:w="1060" w:type="dxa"/>
            <w:vAlign w:val="bottom"/>
          </w:tcPr>
          <w:p>
            <w:pPr>
              <w:jc w:val="center"/>
              <w:spacing w:after="0"/>
              <w:rPr>
                <w:sz w:val="20"/>
                <w:szCs w:val="20"/>
                <w:color w:val="auto"/>
              </w:rPr>
            </w:pPr>
            <w:r>
              <w:rPr>
                <w:rFonts w:ascii="Arial" w:cs="Arial" w:eastAsia="Arial" w:hAnsi="Arial"/>
                <w:sz w:val="14"/>
                <w:szCs w:val="14"/>
                <w:color w:val="auto"/>
                <w:w w:val="90"/>
              </w:rPr>
              <w:t>Increase/</w:t>
            </w:r>
          </w:p>
        </w:tc>
      </w:tr>
      <w:tr>
        <w:trPr>
          <w:trHeight w:val="188"/>
        </w:trPr>
        <w:tc>
          <w:tcPr>
            <w:tcW w:w="4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color w:val="auto"/>
              </w:rPr>
              <w:t>September 30</w:t>
            </w:r>
          </w:p>
        </w:tc>
        <w:tc>
          <w:tcPr>
            <w:tcW w:w="11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w w:val="89"/>
              </w:rPr>
              <w:t>(Decrease)</w:t>
            </w: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color w:val="auto"/>
              </w:rPr>
              <w:t>September 30</w:t>
            </w:r>
          </w:p>
        </w:tc>
        <w:tc>
          <w:tcPr>
            <w:tcW w:w="106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color w:val="auto"/>
                <w:w w:val="89"/>
              </w:rPr>
              <w:t>(Decrease)</w:t>
            </w:r>
          </w:p>
        </w:tc>
      </w:tr>
      <w:tr>
        <w:trPr>
          <w:trHeight w:val="264"/>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2019</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2018</w:t>
            </w:r>
          </w:p>
        </w:tc>
        <w:tc>
          <w:tcPr>
            <w:tcW w:w="118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2019</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2018</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ind w:right="1"/>
              <w:spacing w:after="0"/>
              <w:rPr>
                <w:sz w:val="20"/>
                <w:szCs w:val="20"/>
                <w:color w:val="auto"/>
              </w:rPr>
            </w:pPr>
            <w:r>
              <w:rPr>
                <w:rFonts w:ascii="Arial" w:cs="Arial" w:eastAsia="Arial" w:hAnsi="Arial"/>
                <w:sz w:val="18"/>
                <w:szCs w:val="18"/>
                <w:b w:val="1"/>
                <w:bCs w:val="1"/>
                <w:color w:val="auto"/>
              </w:rPr>
              <w:t>1,191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1,355</w:t>
            </w:r>
          </w:p>
        </w:tc>
        <w:tc>
          <w:tcPr>
            <w:tcW w:w="1180" w:type="dxa"/>
            <w:vAlign w:val="bottom"/>
          </w:tcPr>
          <w:p>
            <w:pPr>
              <w:ind w:left="460"/>
              <w:spacing w:after="0"/>
              <w:rPr>
                <w:sz w:val="20"/>
                <w:szCs w:val="20"/>
                <w:color w:val="auto"/>
              </w:rPr>
            </w:pPr>
            <w:r>
              <w:rPr>
                <w:rFonts w:ascii="Arial" w:cs="Arial" w:eastAsia="Arial" w:hAnsi="Arial"/>
                <w:sz w:val="18"/>
                <w:szCs w:val="18"/>
                <w:color w:val="auto"/>
              </w:rPr>
              <w:t>(12.1)%</w:t>
            </w:r>
          </w:p>
        </w:tc>
        <w:tc>
          <w:tcPr>
            <w:tcW w:w="3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3,837</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6"/>
              <w:spacing w:after="0"/>
              <w:rPr>
                <w:sz w:val="20"/>
                <w:szCs w:val="20"/>
                <w:color w:val="auto"/>
              </w:rPr>
            </w:pPr>
            <w:r>
              <w:rPr>
                <w:rFonts w:ascii="Arial" w:cs="Arial" w:eastAsia="Arial" w:hAnsi="Arial"/>
                <w:sz w:val="18"/>
                <w:szCs w:val="18"/>
                <w:color w:val="auto"/>
              </w:rPr>
              <w:t>5,107</w:t>
            </w:r>
          </w:p>
        </w:tc>
        <w:tc>
          <w:tcPr>
            <w:tcW w:w="106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56"/>
        </w:trPr>
        <w:tc>
          <w:tcPr>
            <w:tcW w:w="4820" w:type="dxa"/>
            <w:vAlign w:val="bottom"/>
          </w:tcPr>
          <w:p>
            <w:pPr>
              <w:ind w:left="20"/>
              <w:spacing w:after="0"/>
              <w:rPr>
                <w:sz w:val="20"/>
                <w:szCs w:val="20"/>
                <w:color w:val="auto"/>
              </w:rPr>
            </w:pPr>
            <w:r>
              <w:rPr>
                <w:rFonts w:ascii="Arial" w:cs="Arial" w:eastAsia="Arial" w:hAnsi="Arial"/>
                <w:sz w:val="18"/>
                <w:szCs w:val="18"/>
                <w:i w:val="1"/>
                <w:iCs w:val="1"/>
                <w:color w:val="auto"/>
                <w:w w:val="95"/>
              </w:rPr>
              <w:t>Advertising, excluding 2018 PyeongChang Olympics and 2018</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i w:val="1"/>
                <w:iCs w:val="1"/>
                <w:color w:val="auto"/>
              </w:rPr>
              <w:t>Super Bowl</w:t>
            </w:r>
          </w:p>
        </w:tc>
        <w:tc>
          <w:tcPr>
            <w:tcW w:w="240" w:type="dxa"/>
            <w:vAlign w:val="bottom"/>
          </w:tcPr>
          <w:p>
            <w:pPr>
              <w:spacing w:after="0"/>
              <w:rPr>
                <w:sz w:val="20"/>
                <w:szCs w:val="20"/>
                <w:color w:val="auto"/>
              </w:rPr>
            </w:pPr>
          </w:p>
        </w:tc>
        <w:tc>
          <w:tcPr>
            <w:tcW w:w="740" w:type="dxa"/>
            <w:vAlign w:val="bottom"/>
          </w:tcPr>
          <w:p>
            <w:pPr>
              <w:jc w:val="right"/>
              <w:ind w:right="1"/>
              <w:spacing w:after="0"/>
              <w:rPr>
                <w:sz w:val="20"/>
                <w:szCs w:val="20"/>
                <w:color w:val="auto"/>
              </w:rPr>
            </w:pPr>
            <w:r>
              <w:rPr>
                <w:rFonts w:ascii="Arial" w:cs="Arial" w:eastAsia="Arial" w:hAnsi="Arial"/>
                <w:sz w:val="18"/>
                <w:szCs w:val="18"/>
                <w:b w:val="1"/>
                <w:bCs w:val="1"/>
                <w:i w:val="1"/>
                <w:iCs w:val="1"/>
                <w:color w:val="auto"/>
              </w:rPr>
              <w:t>1,191</w:t>
            </w:r>
          </w:p>
        </w:tc>
        <w:tc>
          <w:tcPr>
            <w:tcW w:w="280" w:type="dxa"/>
            <w:vAlign w:val="bottom"/>
          </w:tcPr>
          <w:p>
            <w:pPr>
              <w:spacing w:after="0"/>
              <w:rPr>
                <w:sz w:val="20"/>
                <w:szCs w:val="20"/>
                <w:color w:val="auto"/>
              </w:rPr>
            </w:pPr>
          </w:p>
        </w:tc>
        <w:tc>
          <w:tcPr>
            <w:tcW w:w="840" w:type="dxa"/>
            <w:vAlign w:val="bottom"/>
          </w:tcPr>
          <w:p>
            <w:pPr>
              <w:jc w:val="right"/>
              <w:ind w:right="96"/>
              <w:spacing w:after="0"/>
              <w:rPr>
                <w:sz w:val="20"/>
                <w:szCs w:val="20"/>
                <w:color w:val="auto"/>
              </w:rPr>
            </w:pPr>
            <w:r>
              <w:rPr>
                <w:rFonts w:ascii="Arial" w:cs="Arial" w:eastAsia="Arial" w:hAnsi="Arial"/>
                <w:sz w:val="18"/>
                <w:szCs w:val="18"/>
                <w:i w:val="1"/>
                <w:iCs w:val="1"/>
                <w:color w:val="auto"/>
              </w:rPr>
              <w:t>1,355</w:t>
            </w:r>
          </w:p>
        </w:tc>
        <w:tc>
          <w:tcPr>
            <w:tcW w:w="1180" w:type="dxa"/>
            <w:vAlign w:val="bottom"/>
          </w:tcPr>
          <w:p>
            <w:pPr>
              <w:ind w:left="460"/>
              <w:spacing w:after="0"/>
              <w:rPr>
                <w:sz w:val="20"/>
                <w:szCs w:val="20"/>
                <w:color w:val="auto"/>
              </w:rPr>
            </w:pPr>
            <w:r>
              <w:rPr>
                <w:rFonts w:ascii="Arial" w:cs="Arial" w:eastAsia="Arial" w:hAnsi="Arial"/>
                <w:sz w:val="18"/>
                <w:szCs w:val="18"/>
                <w:i w:val="1"/>
                <w:iCs w:val="1"/>
                <w:color w:val="auto"/>
              </w:rPr>
              <w:t>(12.1)</w:t>
            </w: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3,837</w:t>
            </w:r>
          </w:p>
        </w:tc>
        <w:tc>
          <w:tcPr>
            <w:tcW w:w="280" w:type="dxa"/>
            <w:vAlign w:val="bottom"/>
          </w:tcPr>
          <w:p>
            <w:pPr>
              <w:spacing w:after="0"/>
              <w:rPr>
                <w:sz w:val="20"/>
                <w:szCs w:val="20"/>
                <w:color w:val="auto"/>
              </w:rPr>
            </w:pPr>
          </w:p>
        </w:tc>
        <w:tc>
          <w:tcPr>
            <w:tcW w:w="860" w:type="dxa"/>
            <w:vAlign w:val="bottom"/>
          </w:tcPr>
          <w:p>
            <w:pPr>
              <w:jc w:val="right"/>
              <w:ind w:right="96"/>
              <w:spacing w:after="0"/>
              <w:rPr>
                <w:sz w:val="20"/>
                <w:szCs w:val="20"/>
                <w:color w:val="auto"/>
              </w:rPr>
            </w:pPr>
            <w:r>
              <w:rPr>
                <w:rFonts w:ascii="Arial" w:cs="Arial" w:eastAsia="Arial" w:hAnsi="Arial"/>
                <w:sz w:val="18"/>
                <w:szCs w:val="18"/>
                <w:i w:val="1"/>
                <w:iCs w:val="1"/>
                <w:color w:val="auto"/>
              </w:rPr>
              <w:t>4,026</w:t>
            </w:r>
          </w:p>
        </w:tc>
        <w:tc>
          <w:tcPr>
            <w:tcW w:w="1060" w:type="dxa"/>
            <w:vAlign w:val="bottom"/>
          </w:tcPr>
          <w:p>
            <w:pPr>
              <w:jc w:val="right"/>
              <w:ind w:right="101"/>
              <w:spacing w:after="0"/>
              <w:rPr>
                <w:sz w:val="20"/>
                <w:szCs w:val="20"/>
                <w:color w:val="auto"/>
              </w:rPr>
            </w:pPr>
            <w:r>
              <w:rPr>
                <w:rFonts w:ascii="Arial" w:cs="Arial" w:eastAsia="Arial" w:hAnsi="Arial"/>
                <w:sz w:val="18"/>
                <w:szCs w:val="18"/>
                <w:i w:val="1"/>
                <w:iCs w:val="1"/>
                <w:color w:val="auto"/>
              </w:rPr>
              <w:t>(4.7)</w:t>
            </w:r>
          </w:p>
        </w:tc>
      </w:tr>
      <w:tr>
        <w:trPr>
          <w:trHeight w:val="27"/>
        </w:trPr>
        <w:tc>
          <w:tcPr>
            <w:tcW w:w="4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Advertising revenue decreased for the nine months ended September 30, 2019 compared to the same period in 2018 primarily due to the absence of revenue associated with our broadcasts of the 2018 PyeongChang Olympics and the 2018 Super Bowl. Excluding $1.1 billion of revenue associated with our broadcasts of the 2018 PyeongChang Olympics and the 2018 Super Bowl, advertising revenue decreased due to the absence of revenue associated with Telemundo’s broadcast of the 2018 FIFA World Cup Russia</w:t>
      </w:r>
      <w:r>
        <w:rPr>
          <w:rFonts w:ascii="Arial" w:cs="Arial" w:eastAsia="Arial" w:hAnsi="Arial"/>
          <w:sz w:val="18"/>
          <w:szCs w:val="18"/>
          <w:i w:val="1"/>
          <w:iCs w:val="1"/>
          <w:color w:val="auto"/>
        </w:rPr>
        <w:t>™,</w:t>
      </w:r>
      <w:r>
        <w:rPr>
          <w:rFonts w:ascii="Arial" w:cs="Arial" w:eastAsia="Arial" w:hAnsi="Arial"/>
          <w:sz w:val="18"/>
          <w:szCs w:val="18"/>
          <w:color w:val="auto"/>
        </w:rPr>
        <w:t xml:space="preserve"> as well as the impact of continued declines in audience ratings</w:t>
      </w:r>
      <w:r>
        <w:rPr>
          <w:rFonts w:ascii="Arial" w:cs="Arial" w:eastAsia="Arial" w:hAnsi="Arial"/>
          <w:sz w:val="18"/>
          <w:szCs w:val="18"/>
          <w:i w:val="1"/>
          <w:iCs w:val="1"/>
          <w:color w:val="auto"/>
        </w:rPr>
        <w:t>,</w:t>
      </w:r>
      <w:r>
        <w:rPr>
          <w:rFonts w:ascii="Arial" w:cs="Arial" w:eastAsia="Arial" w:hAnsi="Arial"/>
          <w:sz w:val="18"/>
          <w:szCs w:val="18"/>
          <w:color w:val="auto"/>
        </w:rPr>
        <w:t xml:space="preserve"> partially offset by higher pricing for advertising units sold.</w:t>
      </w:r>
    </w:p>
    <w:p>
      <w:pPr>
        <w:sectPr>
          <w:pgSz w:w="11900" w:h="16838" w:orient="portrait"/>
          <w:cols w:equalWidth="0" w:num="1">
            <w:col w:w="11420"/>
          </w:cols>
          <w:pgMar w:left="240" w:top="175" w:right="239" w:bottom="100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75" w:right="239" w:bottom="100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Content licensing revenue increased for the nine months ended September 30, 2019 compared to the same period in 2018 primarily due to the timing of content provided under our licensing agreements.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3"/>
          </w:tcPr>
          <w:p>
            <w:pPr>
              <w:ind w:left="160"/>
              <w:spacing w:after="0"/>
              <w:rPr>
                <w:sz w:val="20"/>
                <w:szCs w:val="20"/>
                <w:color w:val="auto"/>
              </w:rPr>
            </w:pPr>
            <w:r>
              <w:rPr>
                <w:rFonts w:ascii="Arial" w:cs="Arial" w:eastAsia="Arial" w:hAnsi="Arial"/>
                <w:sz w:val="14"/>
                <w:szCs w:val="14"/>
                <w:color w:val="auto"/>
              </w:rPr>
              <w:t>Three Months Ended</w:t>
            </w:r>
          </w:p>
        </w:tc>
        <w:tc>
          <w:tcPr>
            <w:tcW w:w="1140" w:type="dxa"/>
            <w:vAlign w:val="bottom"/>
          </w:tcPr>
          <w:p>
            <w:pPr>
              <w:jc w:val="center"/>
              <w:ind w:right="101"/>
              <w:spacing w:after="0"/>
              <w:rPr>
                <w:sz w:val="20"/>
                <w:szCs w:val="20"/>
                <w:color w:val="auto"/>
              </w:rPr>
            </w:pPr>
            <w:r>
              <w:rPr>
                <w:rFonts w:ascii="Arial" w:cs="Arial" w:eastAsia="Arial" w:hAnsi="Arial"/>
                <w:sz w:val="14"/>
                <w:szCs w:val="14"/>
                <w:color w:val="auto"/>
                <w:w w:val="90"/>
              </w:rPr>
              <w:t>Increase/</w:t>
            </w:r>
          </w:p>
        </w:tc>
        <w:tc>
          <w:tcPr>
            <w:tcW w:w="340" w:type="dxa"/>
            <w:vAlign w:val="bottom"/>
          </w:tcPr>
          <w:p>
            <w:pPr>
              <w:spacing w:after="0"/>
              <w:rPr>
                <w:sz w:val="14"/>
                <w:szCs w:val="14"/>
                <w:color w:val="auto"/>
              </w:rPr>
            </w:pPr>
          </w:p>
        </w:tc>
        <w:tc>
          <w:tcPr>
            <w:tcW w:w="1860" w:type="dxa"/>
            <w:vAlign w:val="bottom"/>
            <w:gridSpan w:val="3"/>
          </w:tcPr>
          <w:p>
            <w:pPr>
              <w:jc w:val="right"/>
              <w:ind w:right="396"/>
              <w:spacing w:after="0"/>
              <w:rPr>
                <w:sz w:val="20"/>
                <w:szCs w:val="20"/>
                <w:color w:val="auto"/>
              </w:rPr>
            </w:pPr>
            <w:r>
              <w:rPr>
                <w:rFonts w:ascii="Arial" w:cs="Arial" w:eastAsia="Arial" w:hAnsi="Arial"/>
                <w:sz w:val="14"/>
                <w:szCs w:val="14"/>
                <w:color w:val="auto"/>
              </w:rPr>
              <w:t>Nine Months Ended</w:t>
            </w:r>
          </w:p>
        </w:tc>
        <w:tc>
          <w:tcPr>
            <w:tcW w:w="1040" w:type="dxa"/>
            <w:vAlign w:val="bottom"/>
          </w:tcPr>
          <w:p>
            <w:pPr>
              <w:jc w:val="center"/>
              <w:ind w:right="1"/>
              <w:spacing w:after="0"/>
              <w:rPr>
                <w:sz w:val="20"/>
                <w:szCs w:val="20"/>
                <w:color w:val="auto"/>
              </w:rPr>
            </w:pPr>
            <w:r>
              <w:rPr>
                <w:rFonts w:ascii="Arial" w:cs="Arial" w:eastAsia="Arial" w:hAnsi="Arial"/>
                <w:sz w:val="14"/>
                <w:szCs w:val="14"/>
                <w:color w:val="auto"/>
                <w:w w:val="90"/>
              </w:rPr>
              <w:t>Increase/</w:t>
            </w:r>
          </w:p>
        </w:tc>
      </w:tr>
      <w:tr>
        <w:trPr>
          <w:trHeight w:val="188"/>
        </w:trPr>
        <w:tc>
          <w:tcPr>
            <w:tcW w:w="4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color w:val="auto"/>
              </w:rPr>
              <w:t>September 30</w:t>
            </w:r>
          </w:p>
        </w:tc>
        <w:tc>
          <w:tcPr>
            <w:tcW w:w="11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w w:val="89"/>
              </w:rPr>
              <w:t>(Decrease)</w:t>
            </w: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color w:val="auto"/>
              </w:rPr>
              <w:t>September 30</w:t>
            </w:r>
          </w:p>
        </w:tc>
        <w:tc>
          <w:tcPr>
            <w:tcW w:w="104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color w:val="auto"/>
                <w:w w:val="92"/>
              </w:rPr>
              <w:t>(Decrease)</w:t>
            </w:r>
          </w:p>
        </w:tc>
      </w:tr>
      <w:tr>
        <w:trPr>
          <w:trHeight w:val="264"/>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2019</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color w:val="auto"/>
              </w:rPr>
              <w:t>2018</w:t>
            </w:r>
          </w:p>
        </w:tc>
        <w:tc>
          <w:tcPr>
            <w:tcW w:w="11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w w:val="96"/>
              </w:rPr>
              <w:t>%</w:t>
            </w:r>
          </w:p>
        </w:tc>
        <w:tc>
          <w:tcPr>
            <w:tcW w:w="3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2019</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2018</w:t>
            </w:r>
          </w:p>
        </w:tc>
        <w:tc>
          <w:tcPr>
            <w:tcW w:w="104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color w:val="auto"/>
                <w:w w:val="96"/>
              </w:rPr>
              <w:t>%</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Distribution and other</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ind w:left="380"/>
              <w:spacing w:after="0"/>
              <w:rPr>
                <w:sz w:val="20"/>
                <w:szCs w:val="20"/>
                <w:color w:val="auto"/>
              </w:rPr>
            </w:pPr>
            <w:r>
              <w:rPr>
                <w:rFonts w:ascii="Arial" w:cs="Arial" w:eastAsia="Arial" w:hAnsi="Arial"/>
                <w:sz w:val="18"/>
                <w:szCs w:val="18"/>
                <w:b w:val="1"/>
                <w:bCs w:val="1"/>
                <w:color w:val="auto"/>
              </w:rPr>
              <w:t>592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559</w:t>
            </w:r>
          </w:p>
        </w:tc>
        <w:tc>
          <w:tcPr>
            <w:tcW w:w="1140" w:type="dxa"/>
            <w:vAlign w:val="bottom"/>
          </w:tcPr>
          <w:p>
            <w:pPr>
              <w:ind w:left="620"/>
              <w:spacing w:after="0"/>
              <w:rPr>
                <w:sz w:val="20"/>
                <w:szCs w:val="20"/>
                <w:color w:val="auto"/>
              </w:rPr>
            </w:pPr>
            <w:r>
              <w:rPr>
                <w:rFonts w:ascii="Arial" w:cs="Arial" w:eastAsia="Arial" w:hAnsi="Arial"/>
                <w:sz w:val="18"/>
                <w:szCs w:val="18"/>
                <w:color w:val="auto"/>
              </w:rPr>
              <w:t>5.8%</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1,783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1,692</w:t>
            </w: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4900" w:type="dxa"/>
            <w:vAlign w:val="bottom"/>
          </w:tcPr>
          <w:p>
            <w:pPr>
              <w:ind w:left="20"/>
              <w:spacing w:after="0"/>
              <w:rPr>
                <w:sz w:val="20"/>
                <w:szCs w:val="20"/>
                <w:color w:val="auto"/>
              </w:rPr>
            </w:pPr>
            <w:r>
              <w:rPr>
                <w:rFonts w:ascii="Arial" w:cs="Arial" w:eastAsia="Arial" w:hAnsi="Arial"/>
                <w:sz w:val="18"/>
                <w:szCs w:val="18"/>
                <w:i w:val="1"/>
                <w:iCs w:val="1"/>
                <w:color w:val="auto"/>
                <w:w w:val="97"/>
              </w:rPr>
              <w:t>Distribution and other, excluding 2018 PyeongChang Olympics</w:t>
            </w:r>
          </w:p>
        </w:tc>
        <w:tc>
          <w:tcPr>
            <w:tcW w:w="240" w:type="dxa"/>
            <w:vAlign w:val="bottom"/>
          </w:tcPr>
          <w:p>
            <w:pPr>
              <w:spacing w:after="0"/>
              <w:rPr>
                <w:sz w:val="23"/>
                <w:szCs w:val="23"/>
                <w:color w:val="auto"/>
              </w:rPr>
            </w:pPr>
          </w:p>
        </w:tc>
        <w:tc>
          <w:tcPr>
            <w:tcW w:w="7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592</w:t>
            </w:r>
          </w:p>
        </w:tc>
        <w:tc>
          <w:tcPr>
            <w:tcW w:w="280" w:type="dxa"/>
            <w:vAlign w:val="bottom"/>
          </w:tcPr>
          <w:p>
            <w:pPr>
              <w:spacing w:after="0"/>
              <w:rPr>
                <w:sz w:val="23"/>
                <w:szCs w:val="23"/>
                <w:color w:val="auto"/>
              </w:rPr>
            </w:pPr>
          </w:p>
        </w:tc>
        <w:tc>
          <w:tcPr>
            <w:tcW w:w="840" w:type="dxa"/>
            <w:vAlign w:val="bottom"/>
          </w:tcPr>
          <w:p>
            <w:pPr>
              <w:jc w:val="right"/>
              <w:ind w:right="96"/>
              <w:spacing w:after="0"/>
              <w:rPr>
                <w:sz w:val="20"/>
                <w:szCs w:val="20"/>
                <w:color w:val="auto"/>
              </w:rPr>
            </w:pPr>
            <w:r>
              <w:rPr>
                <w:rFonts w:ascii="Arial" w:cs="Arial" w:eastAsia="Arial" w:hAnsi="Arial"/>
                <w:sz w:val="18"/>
                <w:szCs w:val="18"/>
                <w:i w:val="1"/>
                <w:iCs w:val="1"/>
                <w:color w:val="auto"/>
              </w:rPr>
              <w:t>559</w:t>
            </w:r>
          </w:p>
        </w:tc>
        <w:tc>
          <w:tcPr>
            <w:tcW w:w="1140" w:type="dxa"/>
            <w:vAlign w:val="bottom"/>
          </w:tcPr>
          <w:p>
            <w:pPr>
              <w:ind w:left="620"/>
              <w:spacing w:after="0"/>
              <w:rPr>
                <w:sz w:val="20"/>
                <w:szCs w:val="20"/>
                <w:color w:val="auto"/>
              </w:rPr>
            </w:pPr>
            <w:r>
              <w:rPr>
                <w:rFonts w:ascii="Arial" w:cs="Arial" w:eastAsia="Arial" w:hAnsi="Arial"/>
                <w:sz w:val="18"/>
                <w:szCs w:val="18"/>
                <w:i w:val="1"/>
                <w:iCs w:val="1"/>
                <w:color w:val="auto"/>
              </w:rPr>
              <w:t>5.8</w:t>
            </w:r>
          </w:p>
        </w:tc>
        <w:tc>
          <w:tcPr>
            <w:tcW w:w="3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1,783</w:t>
            </w:r>
          </w:p>
        </w:tc>
        <w:tc>
          <w:tcPr>
            <w:tcW w:w="280" w:type="dxa"/>
            <w:vAlign w:val="bottom"/>
          </w:tcPr>
          <w:p>
            <w:pPr>
              <w:spacing w:after="0"/>
              <w:rPr>
                <w:sz w:val="23"/>
                <w:szCs w:val="23"/>
                <w:color w:val="auto"/>
              </w:rPr>
            </w:pPr>
          </w:p>
        </w:tc>
        <w:tc>
          <w:tcPr>
            <w:tcW w:w="840" w:type="dxa"/>
            <w:vAlign w:val="bottom"/>
          </w:tcPr>
          <w:p>
            <w:pPr>
              <w:jc w:val="right"/>
              <w:ind w:right="96"/>
              <w:spacing w:after="0"/>
              <w:rPr>
                <w:sz w:val="20"/>
                <w:szCs w:val="20"/>
                <w:color w:val="auto"/>
              </w:rPr>
            </w:pPr>
            <w:r>
              <w:rPr>
                <w:rFonts w:ascii="Arial" w:cs="Arial" w:eastAsia="Arial" w:hAnsi="Arial"/>
                <w:sz w:val="18"/>
                <w:szCs w:val="18"/>
                <w:i w:val="1"/>
                <w:iCs w:val="1"/>
                <w:color w:val="auto"/>
              </w:rPr>
              <w:t>1,580</w:t>
            </w:r>
          </w:p>
        </w:tc>
        <w:tc>
          <w:tcPr>
            <w:tcW w:w="1040" w:type="dxa"/>
            <w:vAlign w:val="bottom"/>
          </w:tcPr>
          <w:p>
            <w:pPr>
              <w:jc w:val="right"/>
              <w:ind w:right="121"/>
              <w:spacing w:after="0"/>
              <w:rPr>
                <w:sz w:val="20"/>
                <w:szCs w:val="20"/>
                <w:color w:val="auto"/>
              </w:rPr>
            </w:pPr>
            <w:r>
              <w:rPr>
                <w:rFonts w:ascii="Arial" w:cs="Arial" w:eastAsia="Arial" w:hAnsi="Arial"/>
                <w:sz w:val="18"/>
                <w:szCs w:val="18"/>
                <w:i w:val="1"/>
                <w:iCs w:val="1"/>
                <w:color w:val="auto"/>
              </w:rPr>
              <w:t>12.8</w:t>
            </w:r>
          </w:p>
        </w:tc>
      </w:tr>
      <w:tr>
        <w:trPr>
          <w:trHeight w:val="27"/>
        </w:trPr>
        <w:tc>
          <w:tcPr>
            <w:tcW w:w="4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Distribution and other revenue increased for the nine months ended September 30, 2019 compared to the same period in 2018 primarily due to increases in fees recognized under our retransmission consent agreements, which was partially offset by the absence of $112 million of revenue resulting from our broadcast of the 2018 PyeongChang Olympics.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 – Operating Costs and Expenses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costs and expenses decreased for the three months ended September 30, 2019 compared to the same period in 2018 primarily due to the decrease in programming and production costs. The decrease in programming and production costs was due to the absence of programming and production costs associated with Telemundo’s broadcast of the 2018 FIFA World Cup Russia</w:t>
      </w:r>
      <w:r>
        <w:rPr>
          <w:rFonts w:ascii="Arial" w:cs="Arial" w:eastAsia="Arial" w:hAnsi="Arial"/>
          <w:sz w:val="18"/>
          <w:szCs w:val="18"/>
          <w:i w:val="1"/>
          <w:iCs w:val="1"/>
          <w:color w:val="auto"/>
        </w:rPr>
        <w:t>™</w:t>
      </w:r>
      <w:r>
        <w:rPr>
          <w:rFonts w:ascii="Arial" w:cs="Arial" w:eastAsia="Arial" w:hAnsi="Arial"/>
          <w:sz w:val="18"/>
          <w:szCs w:val="18"/>
          <w:color w:val="auto"/>
        </w:rPr>
        <w:t xml:space="preserve"> and lower studio production costs in the current year period compared to the same period in 2018.</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costs and expenses decreased for the nine months ended September 30, 2019 compared to the same period in 2018 primarily due to a decrease in programming and production costs. The decrease in programming and production costs was primarily due to the absence of costs associated with our broadcasts of the 2018 PyeongChang Olympics and the 2018 Super Bowl.</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Filmed Entertainment Segment Results of Operations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80" w:type="dxa"/>
            <w:vAlign w:val="bottom"/>
            <w:gridSpan w:val="2"/>
          </w:tcPr>
          <w:p>
            <w:pPr>
              <w:jc w:val="center"/>
              <w:ind w:left="514"/>
              <w:spacing w:after="0"/>
              <w:rPr>
                <w:sz w:val="20"/>
                <w:szCs w:val="20"/>
                <w:color w:val="auto"/>
              </w:rPr>
            </w:pPr>
            <w:r>
              <w:rPr>
                <w:rFonts w:ascii="Arial" w:cs="Arial" w:eastAsia="Arial" w:hAnsi="Arial"/>
                <w:sz w:val="14"/>
                <w:szCs w:val="14"/>
                <w:color w:val="auto"/>
                <w:w w:val="91"/>
              </w:rPr>
              <w:t>Three Months Ended</w:t>
            </w: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60" w:type="dxa"/>
            <w:vAlign w:val="bottom"/>
          </w:tcPr>
          <w:p>
            <w:pPr>
              <w:jc w:val="center"/>
              <w:ind w:left="574"/>
              <w:spacing w:after="0"/>
              <w:rPr>
                <w:sz w:val="20"/>
                <w:szCs w:val="20"/>
                <w:color w:val="auto"/>
              </w:rPr>
            </w:pPr>
            <w:r>
              <w:rPr>
                <w:rFonts w:ascii="Arial" w:cs="Arial" w:eastAsia="Arial" w:hAnsi="Arial"/>
                <w:sz w:val="14"/>
                <w:szCs w:val="14"/>
                <w:color w:val="auto"/>
                <w:w w:val="90"/>
              </w:rPr>
              <w:t>Increase/</w:t>
            </w:r>
          </w:p>
        </w:tc>
        <w:tc>
          <w:tcPr>
            <w:tcW w:w="1040" w:type="dxa"/>
            <w:vAlign w:val="bottom"/>
          </w:tcPr>
          <w:p>
            <w:pPr>
              <w:spacing w:after="0"/>
              <w:rPr>
                <w:sz w:val="13"/>
                <w:szCs w:val="13"/>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left="514"/>
              <w:spacing w:after="0"/>
              <w:rPr>
                <w:sz w:val="20"/>
                <w:szCs w:val="20"/>
                <w:color w:val="auto"/>
              </w:rPr>
            </w:pPr>
            <w:r>
              <w:rPr>
                <w:rFonts w:ascii="Arial" w:cs="Arial" w:eastAsia="Arial" w:hAnsi="Arial"/>
                <w:sz w:val="14"/>
                <w:szCs w:val="14"/>
                <w:color w:val="auto"/>
                <w:w w:val="90"/>
              </w:rPr>
              <w:t>September 30</w:t>
            </w: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left="574"/>
              <w:spacing w:after="0"/>
              <w:rPr>
                <w:sz w:val="20"/>
                <w:szCs w:val="20"/>
                <w:color w:val="auto"/>
              </w:rPr>
            </w:pPr>
            <w:r>
              <w:rPr>
                <w:rFonts w:ascii="Arial" w:cs="Arial" w:eastAsia="Arial" w:hAnsi="Arial"/>
                <w:sz w:val="14"/>
                <w:szCs w:val="14"/>
                <w:color w:val="auto"/>
                <w:w w:val="92"/>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2019</w:t>
            </w:r>
          </w:p>
        </w:tc>
        <w:tc>
          <w:tcPr>
            <w:tcW w:w="7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color w:val="auto"/>
                <w:w w:val="96"/>
              </w:rPr>
              <w:t>2018</w:t>
            </w:r>
          </w:p>
        </w:tc>
        <w:tc>
          <w:tcPr>
            <w:tcW w:w="5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214"/>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Theatrical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549</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601</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54"/>
              <w:spacing w:after="0"/>
              <w:rPr>
                <w:sz w:val="20"/>
                <w:szCs w:val="20"/>
                <w:color w:val="auto"/>
              </w:rPr>
            </w:pPr>
            <w:r>
              <w:rPr>
                <w:rFonts w:ascii="Arial" w:cs="Arial" w:eastAsia="Arial" w:hAnsi="Arial"/>
                <w:sz w:val="18"/>
                <w:szCs w:val="18"/>
                <w:color w:val="auto"/>
              </w:rPr>
              <w:t>(52)</w:t>
            </w:r>
          </w:p>
        </w:tc>
        <w:tc>
          <w:tcPr>
            <w:tcW w:w="10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737</w:t>
            </w:r>
          </w:p>
        </w:tc>
        <w:tc>
          <w:tcPr>
            <w:tcW w:w="700" w:type="dxa"/>
            <w:vAlign w:val="bottom"/>
          </w:tcPr>
          <w:p>
            <w:pPr>
              <w:spacing w:after="0"/>
              <w:rPr>
                <w:sz w:val="23"/>
                <w:szCs w:val="23"/>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719</w:t>
            </w:r>
          </w:p>
        </w:tc>
        <w:tc>
          <w:tcPr>
            <w:tcW w:w="540" w:type="dxa"/>
            <w:vAlign w:val="bottom"/>
          </w:tcPr>
          <w:p>
            <w:pPr>
              <w:spacing w:after="0"/>
              <w:rPr>
                <w:sz w:val="23"/>
                <w:szCs w:val="23"/>
                <w:color w:val="auto"/>
              </w:rPr>
            </w:pPr>
          </w:p>
        </w:tc>
        <w:tc>
          <w:tcPr>
            <w:tcW w:w="1660" w:type="dxa"/>
            <w:vAlign w:val="bottom"/>
          </w:tcPr>
          <w:p>
            <w:pPr>
              <w:jc w:val="right"/>
              <w:ind w:right="614"/>
              <w:spacing w:after="0"/>
              <w:rPr>
                <w:sz w:val="20"/>
                <w:szCs w:val="20"/>
                <w:color w:val="auto"/>
              </w:rPr>
            </w:pPr>
            <w:r>
              <w:rPr>
                <w:rFonts w:ascii="Arial" w:cs="Arial" w:eastAsia="Arial" w:hAnsi="Arial"/>
                <w:sz w:val="18"/>
                <w:szCs w:val="18"/>
                <w:color w:val="auto"/>
              </w:rPr>
              <w:t>18</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2.6</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Home entertainment</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185</w:t>
            </w:r>
          </w:p>
        </w:tc>
        <w:tc>
          <w:tcPr>
            <w:tcW w:w="700" w:type="dxa"/>
            <w:vAlign w:val="bottom"/>
          </w:tcPr>
          <w:p>
            <w:pPr>
              <w:spacing w:after="0"/>
              <w:rPr>
                <w:sz w:val="23"/>
                <w:szCs w:val="23"/>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260</w:t>
            </w:r>
          </w:p>
        </w:tc>
        <w:tc>
          <w:tcPr>
            <w:tcW w:w="540" w:type="dxa"/>
            <w:vAlign w:val="bottom"/>
          </w:tcPr>
          <w:p>
            <w:pPr>
              <w:spacing w:after="0"/>
              <w:rPr>
                <w:sz w:val="23"/>
                <w:szCs w:val="23"/>
                <w:color w:val="auto"/>
              </w:rPr>
            </w:pPr>
          </w:p>
        </w:tc>
        <w:tc>
          <w:tcPr>
            <w:tcW w:w="1660" w:type="dxa"/>
            <w:vAlign w:val="bottom"/>
          </w:tcPr>
          <w:p>
            <w:pPr>
              <w:jc w:val="right"/>
              <w:ind w:right="554"/>
              <w:spacing w:after="0"/>
              <w:rPr>
                <w:sz w:val="20"/>
                <w:szCs w:val="20"/>
                <w:color w:val="auto"/>
              </w:rPr>
            </w:pPr>
            <w:r>
              <w:rPr>
                <w:rFonts w:ascii="Arial" w:cs="Arial" w:eastAsia="Arial" w:hAnsi="Arial"/>
                <w:sz w:val="18"/>
                <w:szCs w:val="18"/>
                <w:color w:val="auto"/>
              </w:rPr>
              <w:t>(75)</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(28.5)</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235</w:t>
            </w:r>
          </w:p>
        </w:tc>
        <w:tc>
          <w:tcPr>
            <w:tcW w:w="700" w:type="dxa"/>
            <w:vAlign w:val="bottom"/>
          </w:tcPr>
          <w:p>
            <w:pPr>
              <w:spacing w:after="0"/>
              <w:rPr>
                <w:sz w:val="23"/>
                <w:szCs w:val="23"/>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239</w:t>
            </w:r>
          </w:p>
        </w:tc>
        <w:tc>
          <w:tcPr>
            <w:tcW w:w="540" w:type="dxa"/>
            <w:vAlign w:val="bottom"/>
          </w:tcPr>
          <w:p>
            <w:pPr>
              <w:spacing w:after="0"/>
              <w:rPr>
                <w:sz w:val="23"/>
                <w:szCs w:val="23"/>
                <w:color w:val="auto"/>
              </w:rPr>
            </w:pPr>
          </w:p>
        </w:tc>
        <w:tc>
          <w:tcPr>
            <w:tcW w:w="1660" w:type="dxa"/>
            <w:vAlign w:val="bottom"/>
          </w:tcPr>
          <w:p>
            <w:pPr>
              <w:jc w:val="right"/>
              <w:ind w:right="554"/>
              <w:spacing w:after="0"/>
              <w:rPr>
                <w:sz w:val="20"/>
                <w:szCs w:val="20"/>
                <w:color w:val="auto"/>
              </w:rPr>
            </w:pPr>
            <w:r>
              <w:rPr>
                <w:rFonts w:ascii="Arial" w:cs="Arial" w:eastAsia="Arial" w:hAnsi="Arial"/>
                <w:sz w:val="18"/>
                <w:szCs w:val="18"/>
                <w:color w:val="auto"/>
              </w:rPr>
              <w:t>(4)</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(2.1)</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b w:val="1"/>
                <w:bCs w:val="1"/>
                <w:color w:val="auto"/>
              </w:rPr>
              <w:t>1,706</w:t>
            </w:r>
          </w:p>
        </w:tc>
        <w:tc>
          <w:tcPr>
            <w:tcW w:w="700" w:type="dxa"/>
            <w:vAlign w:val="bottom"/>
          </w:tcPr>
          <w:p>
            <w:pPr>
              <w:spacing w:after="0"/>
              <w:rPr>
                <w:sz w:val="20"/>
                <w:szCs w:val="20"/>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b w:val="1"/>
                <w:bCs w:val="1"/>
                <w:color w:val="auto"/>
              </w:rPr>
              <w:t>1,819</w:t>
            </w:r>
          </w:p>
        </w:tc>
        <w:tc>
          <w:tcPr>
            <w:tcW w:w="540" w:type="dxa"/>
            <w:vAlign w:val="bottom"/>
          </w:tcPr>
          <w:p>
            <w:pPr>
              <w:spacing w:after="0"/>
              <w:rPr>
                <w:sz w:val="20"/>
                <w:szCs w:val="20"/>
                <w:color w:val="auto"/>
              </w:rPr>
            </w:pPr>
          </w:p>
        </w:tc>
        <w:tc>
          <w:tcPr>
            <w:tcW w:w="1660" w:type="dxa"/>
            <w:vAlign w:val="bottom"/>
          </w:tcPr>
          <w:p>
            <w:pPr>
              <w:jc w:val="right"/>
              <w:ind w:right="554"/>
              <w:spacing w:after="0"/>
              <w:rPr>
                <w:sz w:val="20"/>
                <w:szCs w:val="20"/>
                <w:color w:val="auto"/>
              </w:rPr>
            </w:pPr>
            <w:r>
              <w:rPr>
                <w:rFonts w:ascii="Arial" w:cs="Arial" w:eastAsia="Arial" w:hAnsi="Arial"/>
                <w:sz w:val="18"/>
                <w:szCs w:val="18"/>
                <w:b w:val="1"/>
                <w:bCs w:val="1"/>
                <w:color w:val="auto"/>
              </w:rPr>
              <w:t>(113)</w:t>
            </w:r>
          </w:p>
        </w:tc>
        <w:tc>
          <w:tcPr>
            <w:tcW w:w="1040" w:type="dxa"/>
            <w:vAlign w:val="bottom"/>
          </w:tcPr>
          <w:p>
            <w:pPr>
              <w:jc w:val="right"/>
              <w:ind w:right="132"/>
              <w:spacing w:after="0"/>
              <w:rPr>
                <w:sz w:val="20"/>
                <w:szCs w:val="20"/>
                <w:color w:val="auto"/>
              </w:rPr>
            </w:pPr>
            <w:r>
              <w:rPr>
                <w:rFonts w:ascii="Arial" w:cs="Arial" w:eastAsia="Arial" w:hAnsi="Arial"/>
                <w:sz w:val="18"/>
                <w:szCs w:val="18"/>
                <w:b w:val="1"/>
                <w:bCs w:val="1"/>
                <w:color w:val="auto"/>
              </w:rPr>
              <w:t>(6.2)</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867</w:t>
            </w:r>
          </w:p>
        </w:tc>
        <w:tc>
          <w:tcPr>
            <w:tcW w:w="700" w:type="dxa"/>
            <w:vAlign w:val="bottom"/>
          </w:tcPr>
          <w:p>
            <w:pPr>
              <w:spacing w:after="0"/>
              <w:rPr>
                <w:sz w:val="23"/>
                <w:szCs w:val="23"/>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914</w:t>
            </w:r>
          </w:p>
        </w:tc>
        <w:tc>
          <w:tcPr>
            <w:tcW w:w="540" w:type="dxa"/>
            <w:vAlign w:val="bottom"/>
          </w:tcPr>
          <w:p>
            <w:pPr>
              <w:spacing w:after="0"/>
              <w:rPr>
                <w:sz w:val="23"/>
                <w:szCs w:val="23"/>
                <w:color w:val="auto"/>
              </w:rPr>
            </w:pPr>
          </w:p>
        </w:tc>
        <w:tc>
          <w:tcPr>
            <w:tcW w:w="1660" w:type="dxa"/>
            <w:vAlign w:val="bottom"/>
          </w:tcPr>
          <w:p>
            <w:pPr>
              <w:jc w:val="right"/>
              <w:ind w:right="554"/>
              <w:spacing w:after="0"/>
              <w:rPr>
                <w:sz w:val="20"/>
                <w:szCs w:val="20"/>
                <w:color w:val="auto"/>
              </w:rPr>
            </w:pPr>
            <w:r>
              <w:rPr>
                <w:rFonts w:ascii="Arial" w:cs="Arial" w:eastAsia="Arial" w:hAnsi="Arial"/>
                <w:sz w:val="18"/>
                <w:szCs w:val="18"/>
                <w:color w:val="auto"/>
              </w:rPr>
              <w:t>(47)</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(5.1)</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277</w:t>
            </w:r>
          </w:p>
        </w:tc>
        <w:tc>
          <w:tcPr>
            <w:tcW w:w="700" w:type="dxa"/>
            <w:vAlign w:val="bottom"/>
          </w:tcPr>
          <w:p>
            <w:pPr>
              <w:spacing w:after="0"/>
              <w:rPr>
                <w:sz w:val="23"/>
                <w:szCs w:val="23"/>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267</w:t>
            </w:r>
          </w:p>
        </w:tc>
        <w:tc>
          <w:tcPr>
            <w:tcW w:w="540" w:type="dxa"/>
            <w:vAlign w:val="bottom"/>
          </w:tcPr>
          <w:p>
            <w:pPr>
              <w:spacing w:after="0"/>
              <w:rPr>
                <w:sz w:val="23"/>
                <w:szCs w:val="23"/>
                <w:color w:val="auto"/>
              </w:rPr>
            </w:pPr>
          </w:p>
        </w:tc>
        <w:tc>
          <w:tcPr>
            <w:tcW w:w="1660" w:type="dxa"/>
            <w:vAlign w:val="bottom"/>
          </w:tcPr>
          <w:p>
            <w:pPr>
              <w:jc w:val="right"/>
              <w:ind w:right="614"/>
              <w:spacing w:after="0"/>
              <w:rPr>
                <w:sz w:val="20"/>
                <w:szCs w:val="20"/>
                <w:color w:val="auto"/>
              </w:rPr>
            </w:pPr>
            <w:r>
              <w:rPr>
                <w:rFonts w:ascii="Arial" w:cs="Arial" w:eastAsia="Arial" w:hAnsi="Arial"/>
                <w:sz w:val="18"/>
                <w:szCs w:val="18"/>
                <w:color w:val="auto"/>
              </w:rPr>
              <w:t>10</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3.0</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367</w:t>
            </w:r>
          </w:p>
        </w:tc>
        <w:tc>
          <w:tcPr>
            <w:tcW w:w="700" w:type="dxa"/>
            <w:vAlign w:val="bottom"/>
          </w:tcPr>
          <w:p>
            <w:pPr>
              <w:spacing w:after="0"/>
              <w:rPr>
                <w:sz w:val="23"/>
                <w:szCs w:val="23"/>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424</w:t>
            </w:r>
          </w:p>
        </w:tc>
        <w:tc>
          <w:tcPr>
            <w:tcW w:w="540" w:type="dxa"/>
            <w:vAlign w:val="bottom"/>
          </w:tcPr>
          <w:p>
            <w:pPr>
              <w:spacing w:after="0"/>
              <w:rPr>
                <w:sz w:val="23"/>
                <w:szCs w:val="23"/>
                <w:color w:val="auto"/>
              </w:rPr>
            </w:pPr>
          </w:p>
        </w:tc>
        <w:tc>
          <w:tcPr>
            <w:tcW w:w="1660" w:type="dxa"/>
            <w:vAlign w:val="bottom"/>
          </w:tcPr>
          <w:p>
            <w:pPr>
              <w:jc w:val="right"/>
              <w:ind w:right="554"/>
              <w:spacing w:after="0"/>
              <w:rPr>
                <w:sz w:val="20"/>
                <w:szCs w:val="20"/>
                <w:color w:val="auto"/>
              </w:rPr>
            </w:pPr>
            <w:r>
              <w:rPr>
                <w:rFonts w:ascii="Arial" w:cs="Arial" w:eastAsia="Arial" w:hAnsi="Arial"/>
                <w:sz w:val="18"/>
                <w:szCs w:val="18"/>
                <w:color w:val="auto"/>
              </w:rPr>
              <w:t>(57)</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(13.4)</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1,511</w:t>
            </w:r>
          </w:p>
        </w:tc>
        <w:tc>
          <w:tcPr>
            <w:tcW w:w="700" w:type="dxa"/>
            <w:vAlign w:val="bottom"/>
          </w:tcPr>
          <w:p>
            <w:pPr>
              <w:spacing w:after="0"/>
              <w:rPr>
                <w:sz w:val="20"/>
                <w:szCs w:val="20"/>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1,605</w:t>
            </w:r>
          </w:p>
        </w:tc>
        <w:tc>
          <w:tcPr>
            <w:tcW w:w="540" w:type="dxa"/>
            <w:vAlign w:val="bottom"/>
          </w:tcPr>
          <w:p>
            <w:pPr>
              <w:spacing w:after="0"/>
              <w:rPr>
                <w:sz w:val="20"/>
                <w:szCs w:val="20"/>
                <w:color w:val="auto"/>
              </w:rPr>
            </w:pPr>
          </w:p>
        </w:tc>
        <w:tc>
          <w:tcPr>
            <w:tcW w:w="1660" w:type="dxa"/>
            <w:vAlign w:val="bottom"/>
          </w:tcPr>
          <w:p>
            <w:pPr>
              <w:jc w:val="right"/>
              <w:ind w:right="554"/>
              <w:spacing w:after="0"/>
              <w:rPr>
                <w:sz w:val="20"/>
                <w:szCs w:val="20"/>
                <w:color w:val="auto"/>
              </w:rPr>
            </w:pPr>
            <w:r>
              <w:rPr>
                <w:rFonts w:ascii="Arial" w:cs="Arial" w:eastAsia="Arial" w:hAnsi="Arial"/>
                <w:sz w:val="18"/>
                <w:szCs w:val="18"/>
                <w:color w:val="auto"/>
              </w:rPr>
              <w:t>(94)</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(5.9)</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94"/>
              <w:spacing w:after="0"/>
              <w:rPr>
                <w:sz w:val="20"/>
                <w:szCs w:val="20"/>
                <w:color w:val="auto"/>
              </w:rPr>
            </w:pPr>
            <w:r>
              <w:rPr>
                <w:rFonts w:ascii="Arial" w:cs="Arial" w:eastAsia="Arial" w:hAnsi="Arial"/>
                <w:sz w:val="18"/>
                <w:szCs w:val="18"/>
                <w:b w:val="1"/>
                <w:bCs w:val="1"/>
                <w:color w:val="auto"/>
              </w:rPr>
              <w:t>195</w:t>
            </w:r>
          </w:p>
        </w:tc>
        <w:tc>
          <w:tcPr>
            <w:tcW w:w="7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b w:val="1"/>
                <w:bCs w:val="1"/>
                <w:color w:val="auto"/>
              </w:rPr>
              <w:t>214</w:t>
            </w:r>
          </w:p>
        </w:tc>
        <w:tc>
          <w:tcPr>
            <w:tcW w:w="5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60" w:type="dxa"/>
            <w:vAlign w:val="bottom"/>
          </w:tcPr>
          <w:p>
            <w:pPr>
              <w:jc w:val="right"/>
              <w:ind w:right="554"/>
              <w:spacing w:after="0"/>
              <w:rPr>
                <w:sz w:val="20"/>
                <w:szCs w:val="20"/>
                <w:color w:val="auto"/>
              </w:rPr>
            </w:pPr>
            <w:r>
              <w:rPr>
                <w:rFonts w:ascii="Arial" w:cs="Arial" w:eastAsia="Arial" w:hAnsi="Arial"/>
                <w:sz w:val="18"/>
                <w:szCs w:val="18"/>
                <w:b w:val="1"/>
                <w:bCs w:val="1"/>
                <w:color w:val="auto"/>
              </w:rPr>
              <w:t>(19)</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(8.7)%</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2"/>
        </w:trPr>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gridSpan w:val="2"/>
          </w:tcPr>
          <w:p>
            <w:pPr>
              <w:jc w:val="center"/>
              <w:ind w:left="514"/>
              <w:spacing w:after="0"/>
              <w:rPr>
                <w:sz w:val="20"/>
                <w:szCs w:val="20"/>
                <w:color w:val="auto"/>
              </w:rPr>
            </w:pPr>
            <w:r>
              <w:rPr>
                <w:rFonts w:ascii="Arial" w:cs="Arial" w:eastAsia="Arial" w:hAnsi="Arial"/>
                <w:sz w:val="14"/>
                <w:szCs w:val="14"/>
                <w:color w:val="auto"/>
                <w:w w:val="94"/>
              </w:rPr>
              <w:t>Nine Months Ended</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tcPr>
          <w:p>
            <w:pPr>
              <w:jc w:val="center"/>
              <w:ind w:left="574"/>
              <w:spacing w:after="0"/>
              <w:rPr>
                <w:sz w:val="20"/>
                <w:szCs w:val="20"/>
                <w:color w:val="auto"/>
              </w:rPr>
            </w:pPr>
            <w:r>
              <w:rPr>
                <w:rFonts w:ascii="Arial" w:cs="Arial" w:eastAsia="Arial" w:hAnsi="Arial"/>
                <w:sz w:val="14"/>
                <w:szCs w:val="14"/>
                <w:color w:val="auto"/>
                <w:w w:val="90"/>
              </w:rPr>
              <w:t>Increase/</w:t>
            </w:r>
          </w:p>
        </w:tc>
        <w:tc>
          <w:tcPr>
            <w:tcW w:w="1040" w:type="dxa"/>
            <w:vAlign w:val="bottom"/>
          </w:tcPr>
          <w:p>
            <w:pPr>
              <w:spacing w:after="0"/>
              <w:rPr>
                <w:sz w:val="24"/>
                <w:szCs w:val="2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left="514"/>
              <w:spacing w:after="0"/>
              <w:rPr>
                <w:sz w:val="20"/>
                <w:szCs w:val="20"/>
                <w:color w:val="auto"/>
              </w:rPr>
            </w:pPr>
            <w:r>
              <w:rPr>
                <w:rFonts w:ascii="Arial" w:cs="Arial" w:eastAsia="Arial" w:hAnsi="Arial"/>
                <w:sz w:val="14"/>
                <w:szCs w:val="14"/>
                <w:color w:val="auto"/>
                <w:w w:val="90"/>
              </w:rPr>
              <w:t>September 30</w:t>
            </w: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left="594"/>
              <w:spacing w:after="0"/>
              <w:rPr>
                <w:sz w:val="20"/>
                <w:szCs w:val="20"/>
                <w:color w:val="auto"/>
              </w:rPr>
            </w:pPr>
            <w:r>
              <w:rPr>
                <w:rFonts w:ascii="Arial" w:cs="Arial" w:eastAsia="Arial" w:hAnsi="Arial"/>
                <w:sz w:val="14"/>
                <w:szCs w:val="14"/>
                <w:color w:val="auto"/>
                <w:w w:val="89"/>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rPr>
              <w:t>2019</w:t>
            </w:r>
          </w:p>
        </w:tc>
        <w:tc>
          <w:tcPr>
            <w:tcW w:w="7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rPr>
              <w:t>2018</w:t>
            </w:r>
          </w:p>
        </w:tc>
        <w:tc>
          <w:tcPr>
            <w:tcW w:w="5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Theatrical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1,246</w:t>
            </w:r>
          </w:p>
        </w:tc>
        <w:tc>
          <w:tcPr>
            <w:tcW w:w="7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1,564</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34"/>
              <w:spacing w:after="0"/>
              <w:rPr>
                <w:sz w:val="20"/>
                <w:szCs w:val="20"/>
                <w:color w:val="auto"/>
              </w:rPr>
            </w:pPr>
            <w:r>
              <w:rPr>
                <w:rFonts w:ascii="Arial" w:cs="Arial" w:eastAsia="Arial" w:hAnsi="Arial"/>
                <w:sz w:val="18"/>
                <w:szCs w:val="18"/>
                <w:color w:val="auto"/>
              </w:rPr>
              <w:t>(318)</w:t>
            </w:r>
          </w:p>
        </w:tc>
        <w:tc>
          <w:tcPr>
            <w:tcW w:w="104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2,266</w:t>
            </w:r>
          </w:p>
        </w:tc>
        <w:tc>
          <w:tcPr>
            <w:tcW w:w="70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2,100</w:t>
            </w:r>
          </w:p>
        </w:tc>
        <w:tc>
          <w:tcPr>
            <w:tcW w:w="540" w:type="dxa"/>
            <w:vAlign w:val="bottom"/>
          </w:tcPr>
          <w:p>
            <w:pPr>
              <w:spacing w:after="0"/>
              <w:rPr>
                <w:sz w:val="23"/>
                <w:szCs w:val="23"/>
                <w:color w:val="auto"/>
              </w:rPr>
            </w:pPr>
          </w:p>
        </w:tc>
        <w:tc>
          <w:tcPr>
            <w:tcW w:w="1660" w:type="dxa"/>
            <w:vAlign w:val="bottom"/>
          </w:tcPr>
          <w:p>
            <w:pPr>
              <w:jc w:val="right"/>
              <w:ind w:right="594"/>
              <w:spacing w:after="0"/>
              <w:rPr>
                <w:sz w:val="20"/>
                <w:szCs w:val="20"/>
                <w:color w:val="auto"/>
              </w:rPr>
            </w:pPr>
            <w:r>
              <w:rPr>
                <w:rFonts w:ascii="Arial" w:cs="Arial" w:eastAsia="Arial" w:hAnsi="Arial"/>
                <w:sz w:val="18"/>
                <w:szCs w:val="18"/>
                <w:color w:val="auto"/>
              </w:rPr>
              <w:t>166</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7.9</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Home entertainment</w:t>
            </w:r>
          </w:p>
        </w:tc>
        <w:tc>
          <w:tcPr>
            <w:tcW w:w="340" w:type="dxa"/>
            <w:vAlign w:val="bottom"/>
          </w:tcPr>
          <w:p>
            <w:pPr>
              <w:spacing w:after="0"/>
              <w:rPr>
                <w:sz w:val="23"/>
                <w:szCs w:val="23"/>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681</w:t>
            </w:r>
          </w:p>
        </w:tc>
        <w:tc>
          <w:tcPr>
            <w:tcW w:w="70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733</w:t>
            </w:r>
          </w:p>
        </w:tc>
        <w:tc>
          <w:tcPr>
            <w:tcW w:w="540" w:type="dxa"/>
            <w:vAlign w:val="bottom"/>
          </w:tcPr>
          <w:p>
            <w:pPr>
              <w:spacing w:after="0"/>
              <w:rPr>
                <w:sz w:val="23"/>
                <w:szCs w:val="23"/>
                <w:color w:val="auto"/>
              </w:rPr>
            </w:pPr>
          </w:p>
        </w:tc>
        <w:tc>
          <w:tcPr>
            <w:tcW w:w="1660" w:type="dxa"/>
            <w:vAlign w:val="bottom"/>
          </w:tcPr>
          <w:p>
            <w:pPr>
              <w:jc w:val="right"/>
              <w:ind w:right="534"/>
              <w:spacing w:after="0"/>
              <w:rPr>
                <w:sz w:val="20"/>
                <w:szCs w:val="20"/>
                <w:color w:val="auto"/>
              </w:rPr>
            </w:pPr>
            <w:r>
              <w:rPr>
                <w:rFonts w:ascii="Arial" w:cs="Arial" w:eastAsia="Arial" w:hAnsi="Arial"/>
                <w:sz w:val="18"/>
                <w:szCs w:val="18"/>
                <w:color w:val="auto"/>
              </w:rPr>
              <w:t>(52)</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(7.0)</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738</w:t>
            </w:r>
          </w:p>
        </w:tc>
        <w:tc>
          <w:tcPr>
            <w:tcW w:w="70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779</w:t>
            </w:r>
          </w:p>
        </w:tc>
        <w:tc>
          <w:tcPr>
            <w:tcW w:w="540" w:type="dxa"/>
            <w:vAlign w:val="bottom"/>
          </w:tcPr>
          <w:p>
            <w:pPr>
              <w:spacing w:after="0"/>
              <w:rPr>
                <w:sz w:val="23"/>
                <w:szCs w:val="23"/>
                <w:color w:val="auto"/>
              </w:rPr>
            </w:pPr>
          </w:p>
        </w:tc>
        <w:tc>
          <w:tcPr>
            <w:tcW w:w="1660" w:type="dxa"/>
            <w:vAlign w:val="bottom"/>
          </w:tcPr>
          <w:p>
            <w:pPr>
              <w:jc w:val="right"/>
              <w:ind w:right="534"/>
              <w:spacing w:after="0"/>
              <w:rPr>
                <w:sz w:val="20"/>
                <w:szCs w:val="20"/>
                <w:color w:val="auto"/>
              </w:rPr>
            </w:pPr>
            <w:r>
              <w:rPr>
                <w:rFonts w:ascii="Arial" w:cs="Arial" w:eastAsia="Arial" w:hAnsi="Arial"/>
                <w:sz w:val="18"/>
                <w:szCs w:val="18"/>
                <w:color w:val="auto"/>
              </w:rPr>
              <w:t>(41)</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(5.3)</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b w:val="1"/>
                <w:bCs w:val="1"/>
                <w:color w:val="auto"/>
              </w:rPr>
              <w:t>4,931</w:t>
            </w:r>
          </w:p>
        </w:tc>
        <w:tc>
          <w:tcPr>
            <w:tcW w:w="700" w:type="dxa"/>
            <w:vAlign w:val="bottom"/>
          </w:tcPr>
          <w:p>
            <w:pPr>
              <w:spacing w:after="0"/>
              <w:rPr>
                <w:sz w:val="20"/>
                <w:szCs w:val="20"/>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b w:val="1"/>
                <w:bCs w:val="1"/>
                <w:color w:val="auto"/>
              </w:rPr>
              <w:t>5,176</w:t>
            </w:r>
          </w:p>
        </w:tc>
        <w:tc>
          <w:tcPr>
            <w:tcW w:w="540" w:type="dxa"/>
            <w:vAlign w:val="bottom"/>
          </w:tcPr>
          <w:p>
            <w:pPr>
              <w:spacing w:after="0"/>
              <w:rPr>
                <w:sz w:val="20"/>
                <w:szCs w:val="20"/>
                <w:color w:val="auto"/>
              </w:rPr>
            </w:pPr>
          </w:p>
        </w:tc>
        <w:tc>
          <w:tcPr>
            <w:tcW w:w="1660" w:type="dxa"/>
            <w:vAlign w:val="bottom"/>
          </w:tcPr>
          <w:p>
            <w:pPr>
              <w:jc w:val="right"/>
              <w:ind w:right="534"/>
              <w:spacing w:after="0"/>
              <w:rPr>
                <w:sz w:val="20"/>
                <w:szCs w:val="20"/>
                <w:color w:val="auto"/>
              </w:rPr>
            </w:pPr>
            <w:r>
              <w:rPr>
                <w:rFonts w:ascii="Arial" w:cs="Arial" w:eastAsia="Arial" w:hAnsi="Arial"/>
                <w:sz w:val="18"/>
                <w:szCs w:val="18"/>
                <w:b w:val="1"/>
                <w:bCs w:val="1"/>
                <w:color w:val="auto"/>
              </w:rPr>
              <w:t>(245)</w:t>
            </w:r>
          </w:p>
        </w:tc>
        <w:tc>
          <w:tcPr>
            <w:tcW w:w="1040" w:type="dxa"/>
            <w:vAlign w:val="bottom"/>
          </w:tcPr>
          <w:p>
            <w:pPr>
              <w:jc w:val="right"/>
              <w:ind w:right="112"/>
              <w:spacing w:after="0"/>
              <w:rPr>
                <w:sz w:val="20"/>
                <w:szCs w:val="20"/>
                <w:color w:val="auto"/>
              </w:rPr>
            </w:pPr>
            <w:r>
              <w:rPr>
                <w:rFonts w:ascii="Arial" w:cs="Arial" w:eastAsia="Arial" w:hAnsi="Arial"/>
                <w:sz w:val="18"/>
                <w:szCs w:val="18"/>
                <w:b w:val="1"/>
                <w:bCs w:val="1"/>
                <w:color w:val="auto"/>
              </w:rPr>
              <w:t>(4.7)</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2,201</w:t>
            </w:r>
          </w:p>
        </w:tc>
        <w:tc>
          <w:tcPr>
            <w:tcW w:w="70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2,492</w:t>
            </w:r>
          </w:p>
        </w:tc>
        <w:tc>
          <w:tcPr>
            <w:tcW w:w="540" w:type="dxa"/>
            <w:vAlign w:val="bottom"/>
          </w:tcPr>
          <w:p>
            <w:pPr>
              <w:spacing w:after="0"/>
              <w:rPr>
                <w:sz w:val="23"/>
                <w:szCs w:val="23"/>
                <w:color w:val="auto"/>
              </w:rPr>
            </w:pPr>
          </w:p>
        </w:tc>
        <w:tc>
          <w:tcPr>
            <w:tcW w:w="1660" w:type="dxa"/>
            <w:vAlign w:val="bottom"/>
          </w:tcPr>
          <w:p>
            <w:pPr>
              <w:jc w:val="right"/>
              <w:ind w:right="534"/>
              <w:spacing w:after="0"/>
              <w:rPr>
                <w:sz w:val="20"/>
                <w:szCs w:val="20"/>
                <w:color w:val="auto"/>
              </w:rPr>
            </w:pPr>
            <w:r>
              <w:rPr>
                <w:rFonts w:ascii="Arial" w:cs="Arial" w:eastAsia="Arial" w:hAnsi="Arial"/>
                <w:sz w:val="18"/>
                <w:szCs w:val="18"/>
                <w:color w:val="auto"/>
              </w:rPr>
              <w:t>(291)</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(11.7)</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832</w:t>
            </w:r>
          </w:p>
        </w:tc>
        <w:tc>
          <w:tcPr>
            <w:tcW w:w="70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869</w:t>
            </w:r>
          </w:p>
        </w:tc>
        <w:tc>
          <w:tcPr>
            <w:tcW w:w="540" w:type="dxa"/>
            <w:vAlign w:val="bottom"/>
          </w:tcPr>
          <w:p>
            <w:pPr>
              <w:spacing w:after="0"/>
              <w:rPr>
                <w:sz w:val="23"/>
                <w:szCs w:val="23"/>
                <w:color w:val="auto"/>
              </w:rPr>
            </w:pPr>
          </w:p>
        </w:tc>
        <w:tc>
          <w:tcPr>
            <w:tcW w:w="1660" w:type="dxa"/>
            <w:vAlign w:val="bottom"/>
          </w:tcPr>
          <w:p>
            <w:pPr>
              <w:jc w:val="right"/>
              <w:ind w:right="534"/>
              <w:spacing w:after="0"/>
              <w:rPr>
                <w:sz w:val="20"/>
                <w:szCs w:val="20"/>
                <w:color w:val="auto"/>
              </w:rPr>
            </w:pPr>
            <w:r>
              <w:rPr>
                <w:rFonts w:ascii="Arial" w:cs="Arial" w:eastAsia="Arial" w:hAnsi="Arial"/>
                <w:sz w:val="18"/>
                <w:szCs w:val="18"/>
                <w:color w:val="auto"/>
              </w:rPr>
              <w:t>(37)</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(4.3)</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1,156</w:t>
            </w:r>
          </w:p>
        </w:tc>
        <w:tc>
          <w:tcPr>
            <w:tcW w:w="70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1,260</w:t>
            </w:r>
          </w:p>
        </w:tc>
        <w:tc>
          <w:tcPr>
            <w:tcW w:w="540" w:type="dxa"/>
            <w:vAlign w:val="bottom"/>
          </w:tcPr>
          <w:p>
            <w:pPr>
              <w:spacing w:after="0"/>
              <w:rPr>
                <w:sz w:val="23"/>
                <w:szCs w:val="23"/>
                <w:color w:val="auto"/>
              </w:rPr>
            </w:pPr>
          </w:p>
        </w:tc>
        <w:tc>
          <w:tcPr>
            <w:tcW w:w="1660" w:type="dxa"/>
            <w:vAlign w:val="bottom"/>
          </w:tcPr>
          <w:p>
            <w:pPr>
              <w:jc w:val="right"/>
              <w:ind w:right="534"/>
              <w:spacing w:after="0"/>
              <w:rPr>
                <w:sz w:val="20"/>
                <w:szCs w:val="20"/>
                <w:color w:val="auto"/>
              </w:rPr>
            </w:pPr>
            <w:r>
              <w:rPr>
                <w:rFonts w:ascii="Arial" w:cs="Arial" w:eastAsia="Arial" w:hAnsi="Arial"/>
                <w:sz w:val="18"/>
                <w:szCs w:val="18"/>
                <w:color w:val="auto"/>
              </w:rPr>
              <w:t>(104)</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(8.2)</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4,189</w:t>
            </w:r>
          </w:p>
        </w:tc>
        <w:tc>
          <w:tcPr>
            <w:tcW w:w="700" w:type="dxa"/>
            <w:vAlign w:val="bottom"/>
          </w:tcPr>
          <w:p>
            <w:pPr>
              <w:spacing w:after="0"/>
              <w:rPr>
                <w:sz w:val="20"/>
                <w:szCs w:val="20"/>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4,621</w:t>
            </w:r>
          </w:p>
        </w:tc>
        <w:tc>
          <w:tcPr>
            <w:tcW w:w="540" w:type="dxa"/>
            <w:vAlign w:val="bottom"/>
          </w:tcPr>
          <w:p>
            <w:pPr>
              <w:spacing w:after="0"/>
              <w:rPr>
                <w:sz w:val="20"/>
                <w:szCs w:val="20"/>
                <w:color w:val="auto"/>
              </w:rPr>
            </w:pPr>
          </w:p>
        </w:tc>
        <w:tc>
          <w:tcPr>
            <w:tcW w:w="1660" w:type="dxa"/>
            <w:vAlign w:val="bottom"/>
          </w:tcPr>
          <w:p>
            <w:pPr>
              <w:jc w:val="right"/>
              <w:ind w:right="534"/>
              <w:spacing w:after="0"/>
              <w:rPr>
                <w:sz w:val="20"/>
                <w:szCs w:val="20"/>
                <w:color w:val="auto"/>
              </w:rPr>
            </w:pPr>
            <w:r>
              <w:rPr>
                <w:rFonts w:ascii="Arial" w:cs="Arial" w:eastAsia="Arial" w:hAnsi="Arial"/>
                <w:sz w:val="18"/>
                <w:szCs w:val="18"/>
                <w:color w:val="auto"/>
              </w:rPr>
              <w:t>(432)</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(9.3)</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74"/>
              <w:spacing w:after="0"/>
              <w:rPr>
                <w:sz w:val="20"/>
                <w:szCs w:val="20"/>
                <w:color w:val="auto"/>
              </w:rPr>
            </w:pPr>
            <w:r>
              <w:rPr>
                <w:rFonts w:ascii="Arial" w:cs="Arial" w:eastAsia="Arial" w:hAnsi="Arial"/>
                <w:sz w:val="18"/>
                <w:szCs w:val="18"/>
                <w:b w:val="1"/>
                <w:bCs w:val="1"/>
                <w:color w:val="auto"/>
              </w:rPr>
              <w:t>742</w:t>
            </w:r>
          </w:p>
        </w:tc>
        <w:tc>
          <w:tcPr>
            <w:tcW w:w="7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92"/>
              <w:spacing w:after="0"/>
              <w:rPr>
                <w:sz w:val="20"/>
                <w:szCs w:val="20"/>
                <w:color w:val="auto"/>
              </w:rPr>
            </w:pPr>
            <w:r>
              <w:rPr>
                <w:rFonts w:ascii="Arial" w:cs="Arial" w:eastAsia="Arial" w:hAnsi="Arial"/>
                <w:sz w:val="18"/>
                <w:szCs w:val="18"/>
                <w:b w:val="1"/>
                <w:bCs w:val="1"/>
                <w:color w:val="auto"/>
              </w:rPr>
              <w:t>555</w:t>
            </w:r>
          </w:p>
        </w:tc>
        <w:tc>
          <w:tcPr>
            <w:tcW w:w="5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60" w:type="dxa"/>
            <w:vAlign w:val="bottom"/>
          </w:tcPr>
          <w:p>
            <w:pPr>
              <w:jc w:val="right"/>
              <w:ind w:right="594"/>
              <w:spacing w:after="0"/>
              <w:rPr>
                <w:sz w:val="20"/>
                <w:szCs w:val="20"/>
                <w:color w:val="auto"/>
              </w:rPr>
            </w:pPr>
            <w:r>
              <w:rPr>
                <w:rFonts w:ascii="Arial" w:cs="Arial" w:eastAsia="Arial" w:hAnsi="Arial"/>
                <w:sz w:val="18"/>
                <w:szCs w:val="18"/>
                <w:b w:val="1"/>
                <w:bCs w:val="1"/>
                <w:color w:val="auto"/>
              </w:rPr>
              <w:t>187</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33.7 %</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75" w:right="239" w:bottom="1162"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75" w:right="239" w:bottom="1162"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Revenue</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Filmed Entertainment revenue decreased for the three months ended September 30, 2019 compared to the same period in 2018 primarily due to decreases in home entertainment and theatrical revenue, which were partially offset by an increase in content licensing revenue. The decrease in home entertainment revenue was primarily due to higher sales of 2018 releases, including </w:t>
      </w:r>
      <w:r>
        <w:rPr>
          <w:rFonts w:ascii="Arial" w:cs="Arial" w:eastAsia="Arial" w:hAnsi="Arial"/>
          <w:sz w:val="18"/>
          <w:szCs w:val="18"/>
          <w:i w:val="1"/>
          <w:iCs w:val="1"/>
          <w:color w:val="auto"/>
        </w:rPr>
        <w:t>Jurassic World: Fallen Kingdom,</w:t>
      </w:r>
      <w:r>
        <w:rPr>
          <w:rFonts w:ascii="Arial" w:cs="Arial" w:eastAsia="Arial" w:hAnsi="Arial"/>
          <w:sz w:val="18"/>
          <w:szCs w:val="18"/>
          <w:color w:val="auto"/>
        </w:rPr>
        <w:t xml:space="preserve"> compared to the sales of 2019 releases, including </w:t>
      </w:r>
      <w:r>
        <w:rPr>
          <w:rFonts w:ascii="Arial" w:cs="Arial" w:eastAsia="Arial" w:hAnsi="Arial"/>
          <w:sz w:val="18"/>
          <w:szCs w:val="18"/>
          <w:i w:val="1"/>
          <w:iCs w:val="1"/>
          <w:color w:val="auto"/>
        </w:rPr>
        <w:t xml:space="preserve">Secret Life of Pets 2. </w:t>
      </w:r>
      <w:r>
        <w:rPr>
          <w:rFonts w:ascii="Arial" w:cs="Arial" w:eastAsia="Arial" w:hAnsi="Arial"/>
          <w:sz w:val="18"/>
          <w:szCs w:val="18"/>
          <w:color w:val="auto"/>
        </w:rPr>
        <w:t>The decrease in theatrical revenue was primarily due to the strength and volume of releases in the prior year period, including</w:t>
      </w:r>
      <w:r>
        <w:rPr>
          <w:rFonts w:ascii="Arial" w:cs="Arial" w:eastAsia="Arial" w:hAnsi="Arial"/>
          <w:sz w:val="18"/>
          <w:szCs w:val="18"/>
          <w:i w:val="1"/>
          <w:iCs w:val="1"/>
          <w:color w:val="auto"/>
        </w:rPr>
        <w:t xml:space="preserve"> Jurassic World: Fallen Kingdom </w:t>
      </w:r>
      <w:r>
        <w:rPr>
          <w:rFonts w:ascii="Arial" w:cs="Arial" w:eastAsia="Arial" w:hAnsi="Arial"/>
          <w:sz w:val="18"/>
          <w:szCs w:val="18"/>
          <w:color w:val="auto"/>
        </w:rPr>
        <w:t>and</w:t>
      </w:r>
      <w:r>
        <w:rPr>
          <w:rFonts w:ascii="Arial" w:cs="Arial" w:eastAsia="Arial" w:hAnsi="Arial"/>
          <w:sz w:val="18"/>
          <w:szCs w:val="18"/>
          <w:i w:val="1"/>
          <w:iCs w:val="1"/>
          <w:color w:val="auto"/>
        </w:rPr>
        <w:t xml:space="preserve"> Mamma Mia! Here We Go Again</w:t>
      </w:r>
      <w:r>
        <w:rPr>
          <w:rFonts w:ascii="Arial" w:cs="Arial" w:eastAsia="Arial" w:hAnsi="Arial"/>
          <w:sz w:val="18"/>
          <w:szCs w:val="18"/>
          <w:color w:val="auto"/>
        </w:rPr>
        <w:t>, which were partially offset by releases in our 2019 film slate, including</w:t>
      </w:r>
      <w:r>
        <w:rPr>
          <w:rFonts w:ascii="Arial" w:cs="Arial" w:eastAsia="Arial" w:hAnsi="Arial"/>
          <w:sz w:val="18"/>
          <w:szCs w:val="18"/>
          <w:i w:val="1"/>
          <w:iCs w:val="1"/>
          <w:color w:val="auto"/>
        </w:rPr>
        <w:t xml:space="preserve"> Fast &amp; Furious Presents: Hobbs &amp; Shaw</w:t>
      </w:r>
      <w:r>
        <w:rPr>
          <w:rFonts w:ascii="Arial" w:cs="Arial" w:eastAsia="Arial" w:hAnsi="Arial"/>
          <w:sz w:val="18"/>
          <w:szCs w:val="18"/>
          <w:color w:val="auto"/>
        </w:rPr>
        <w:t>. The increase in content licensing revenue was primarily due to the timing of when content was made available under licensing</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w:t>
      </w:r>
    </w:p>
    <w:p>
      <w:pPr>
        <w:spacing w:after="0" w:line="13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Filmed Entertainment revenue decreased for the nine months ended September 30, 2019 compared to the same period in 2018 due to decreases in theatrical, home entertainment, and other revenue, which were partially offset by an increase in content licensing revenue. The decrease in theatrical revenue was due to the strong performances of several releases in our 2018 film slate, including </w:t>
      </w:r>
      <w:r>
        <w:rPr>
          <w:rFonts w:ascii="Arial" w:cs="Arial" w:eastAsia="Arial" w:hAnsi="Arial"/>
          <w:sz w:val="16"/>
          <w:szCs w:val="16"/>
          <w:i w:val="1"/>
          <w:iCs w:val="1"/>
          <w:color w:val="auto"/>
        </w:rPr>
        <w:t>Jurassic World: Fallen Kingdom</w:t>
      </w:r>
      <w:r>
        <w:rPr>
          <w:rFonts w:ascii="Arial" w:cs="Arial" w:eastAsia="Arial" w:hAnsi="Arial"/>
          <w:sz w:val="16"/>
          <w:szCs w:val="16"/>
          <w:color w:val="auto"/>
        </w:rPr>
        <w:t xml:space="preserve"> and </w:t>
      </w:r>
      <w:r>
        <w:rPr>
          <w:rFonts w:ascii="Arial" w:cs="Arial" w:eastAsia="Arial" w:hAnsi="Arial"/>
          <w:sz w:val="16"/>
          <w:szCs w:val="16"/>
          <w:i w:val="1"/>
          <w:iCs w:val="1"/>
          <w:color w:val="auto"/>
        </w:rPr>
        <w:t>Mamma Mia! Here We Go Again</w:t>
      </w:r>
      <w:r>
        <w:rPr>
          <w:rFonts w:ascii="Arial" w:cs="Arial" w:eastAsia="Arial" w:hAnsi="Arial"/>
          <w:sz w:val="16"/>
          <w:szCs w:val="16"/>
          <w:color w:val="auto"/>
        </w:rPr>
        <w:t xml:space="preserve">, which were partially offset by releases in our 2019 film slate, including </w:t>
      </w:r>
      <w:r>
        <w:rPr>
          <w:rFonts w:ascii="Arial" w:cs="Arial" w:eastAsia="Arial" w:hAnsi="Arial"/>
          <w:sz w:val="16"/>
          <w:szCs w:val="16"/>
          <w:i w:val="1"/>
          <w:iCs w:val="1"/>
          <w:color w:val="auto"/>
        </w:rPr>
        <w:t>Fast &amp; Furious Presents: Hobbs &amp; Shaw, How to Train Your Dragon: The Hidden World,</w:t>
      </w:r>
      <w:r>
        <w:rPr>
          <w:rFonts w:ascii="Arial" w:cs="Arial" w:eastAsia="Arial" w:hAnsi="Arial"/>
          <w:sz w:val="16"/>
          <w:szCs w:val="16"/>
          <w:color w:val="auto"/>
        </w:rPr>
        <w:t xml:space="preserve"> and </w:t>
      </w:r>
      <w:r>
        <w:rPr>
          <w:rFonts w:ascii="Arial" w:cs="Arial" w:eastAsia="Arial" w:hAnsi="Arial"/>
          <w:sz w:val="16"/>
          <w:szCs w:val="16"/>
          <w:i w:val="1"/>
          <w:iCs w:val="1"/>
          <w:color w:val="auto"/>
        </w:rPr>
        <w:t>Secret Life of Pets 2.</w:t>
      </w:r>
      <w:r>
        <w:rPr>
          <w:rFonts w:ascii="Arial" w:cs="Arial" w:eastAsia="Arial" w:hAnsi="Arial"/>
          <w:sz w:val="16"/>
          <w:szCs w:val="16"/>
          <w:color w:val="auto"/>
        </w:rPr>
        <w:t xml:space="preserve"> The decrease in home entertainment revenue was primarily due to higher sales of 2018 releases, including </w:t>
      </w:r>
      <w:r>
        <w:rPr>
          <w:rFonts w:ascii="Arial" w:cs="Arial" w:eastAsia="Arial" w:hAnsi="Arial"/>
          <w:sz w:val="16"/>
          <w:szCs w:val="16"/>
          <w:i w:val="1"/>
          <w:iCs w:val="1"/>
          <w:color w:val="auto"/>
        </w:rPr>
        <w:t>Jurassic World: Fallen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Kingdom, </w:t>
      </w:r>
      <w:r>
        <w:rPr>
          <w:rFonts w:ascii="Arial" w:cs="Arial" w:eastAsia="Arial" w:hAnsi="Arial"/>
          <w:sz w:val="16"/>
          <w:szCs w:val="16"/>
          <w:color w:val="auto"/>
        </w:rPr>
        <w:t>compared to the sales of 2019 releases, including</w:t>
      </w:r>
      <w:r>
        <w:rPr>
          <w:rFonts w:ascii="Arial" w:cs="Arial" w:eastAsia="Arial" w:hAnsi="Arial"/>
          <w:sz w:val="16"/>
          <w:szCs w:val="16"/>
          <w:i w:val="1"/>
          <w:iCs w:val="1"/>
          <w:color w:val="auto"/>
        </w:rPr>
        <w:t xml:space="preserve"> How to Train Your Dragon: The Hidden World, Dr. Seuss</w:t>
      </w:r>
      <w:r>
        <w:rPr>
          <w:rFonts w:ascii="Arial" w:cs="Arial" w:eastAsia="Arial" w:hAnsi="Arial"/>
          <w:sz w:val="16"/>
          <w:szCs w:val="16"/>
          <w:color w:val="auto"/>
        </w:rPr>
        <w:t>’</w:t>
      </w:r>
      <w:r>
        <w:rPr>
          <w:rFonts w:ascii="Arial" w:cs="Arial" w:eastAsia="Arial" w:hAnsi="Arial"/>
          <w:sz w:val="16"/>
          <w:szCs w:val="16"/>
          <w:i w:val="1"/>
          <w:iCs w:val="1"/>
          <w:color w:val="auto"/>
        </w:rPr>
        <w:t xml:space="preserve"> The Grinch, </w:t>
      </w:r>
      <w:r>
        <w:rPr>
          <w:rFonts w:ascii="Arial" w:cs="Arial" w:eastAsia="Arial" w:hAnsi="Arial"/>
          <w:sz w:val="16"/>
          <w:szCs w:val="16"/>
          <w:color w:val="auto"/>
        </w:rPr>
        <w:t>and</w:t>
      </w:r>
      <w:r>
        <w:rPr>
          <w:rFonts w:ascii="Arial" w:cs="Arial" w:eastAsia="Arial" w:hAnsi="Arial"/>
          <w:sz w:val="16"/>
          <w:szCs w:val="16"/>
          <w:i w:val="1"/>
          <w:iCs w:val="1"/>
          <w:color w:val="auto"/>
        </w:rPr>
        <w:t xml:space="preserve"> Secret Life of Pets 2. </w:t>
      </w:r>
      <w:r>
        <w:rPr>
          <w:rFonts w:ascii="Arial" w:cs="Arial" w:eastAsia="Arial" w:hAnsi="Arial"/>
          <w:sz w:val="16"/>
          <w:szCs w:val="16"/>
          <w:color w:val="auto"/>
        </w:rPr>
        <w:t>The decrease in other revenue was primarily due to the absence of revenue associated with the sale of a business in 2018. The increase in content licensing revenue was primarily due to the timing of when content was made available under licensing agreements.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Operating Costs and Expenses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costs and expenses decreased for the three months ended September 30, 2019 compared to the same period in 2018 primarily due to decreases in advertising, marketing and promotion costs and programming and production costs. The decrease in advertising, marketing and promotion costs was due to higher spending on the marketing of prior period releases. The decrease in programming and production costs was primarily due to higher amortization of film production costs in the prior year period.</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Operating costs and expenses decreased for the nine months ended September 30, 2019 compared to the same period in 2018 due to decreases in programming and productions costs, advertising, marketing and promotion costs, and other operating and administrative costs. The decrease in programming and production costs was primarily due to higher amortization of film production costs in the prior year period. The decrease in advertising, marketing and promotion costs was due to a higher spending on the marketing of prior period releases. The decrease in other operating and administrative costs was due to the absence of expenses associated with the sale of a business in 2018 and a reduction in employee-related costs.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Theme Parks Segment Results of Operations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2"/>
          </w:tcPr>
          <w:p>
            <w:pPr>
              <w:jc w:val="center"/>
              <w:ind w:left="519"/>
              <w:spacing w:after="0"/>
              <w:rPr>
                <w:sz w:val="20"/>
                <w:szCs w:val="20"/>
                <w:color w:val="auto"/>
              </w:rPr>
            </w:pPr>
            <w:r>
              <w:rPr>
                <w:rFonts w:ascii="Arial" w:cs="Arial" w:eastAsia="Arial" w:hAnsi="Arial"/>
                <w:sz w:val="14"/>
                <w:szCs w:val="14"/>
                <w:color w:val="auto"/>
                <w:w w:val="93"/>
              </w:rPr>
              <w:t>Three Months Ended</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20" w:type="dxa"/>
            <w:vAlign w:val="bottom"/>
          </w:tcPr>
          <w:p>
            <w:pPr>
              <w:jc w:val="center"/>
              <w:ind w:left="539"/>
              <w:spacing w:after="0"/>
              <w:rPr>
                <w:sz w:val="20"/>
                <w:szCs w:val="20"/>
                <w:color w:val="auto"/>
              </w:rPr>
            </w:pPr>
            <w:r>
              <w:rPr>
                <w:rFonts w:ascii="Arial" w:cs="Arial" w:eastAsia="Arial" w:hAnsi="Arial"/>
                <w:sz w:val="14"/>
                <w:szCs w:val="14"/>
                <w:color w:val="auto"/>
                <w:w w:val="90"/>
              </w:rPr>
              <w:t>Increase/</w:t>
            </w:r>
          </w:p>
        </w:tc>
        <w:tc>
          <w:tcPr>
            <w:tcW w:w="1020" w:type="dxa"/>
            <w:vAlign w:val="bottom"/>
          </w:tcPr>
          <w:p>
            <w:pPr>
              <w:spacing w:after="0"/>
              <w:rPr>
                <w:sz w:val="14"/>
                <w:szCs w:val="14"/>
                <w:color w:val="auto"/>
              </w:rPr>
            </w:pPr>
          </w:p>
        </w:tc>
      </w:tr>
      <w:tr>
        <w:trPr>
          <w:trHeight w:val="188"/>
        </w:trPr>
        <w:tc>
          <w:tcPr>
            <w:tcW w:w="5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center"/>
              <w:ind w:left="499"/>
              <w:spacing w:after="0"/>
              <w:rPr>
                <w:sz w:val="20"/>
                <w:szCs w:val="20"/>
                <w:color w:val="auto"/>
              </w:rPr>
            </w:pPr>
            <w:r>
              <w:rPr>
                <w:rFonts w:ascii="Arial" w:cs="Arial" w:eastAsia="Arial" w:hAnsi="Arial"/>
                <w:sz w:val="14"/>
                <w:szCs w:val="14"/>
                <w:color w:val="auto"/>
                <w:w w:val="90"/>
              </w:rPr>
              <w:t>September 30</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left="559"/>
              <w:spacing w:after="0"/>
              <w:rPr>
                <w:sz w:val="20"/>
                <w:szCs w:val="20"/>
                <w:color w:val="auto"/>
              </w:rPr>
            </w:pPr>
            <w:r>
              <w:rPr>
                <w:rFonts w:ascii="Arial" w:cs="Arial" w:eastAsia="Arial" w:hAnsi="Arial"/>
                <w:sz w:val="14"/>
                <w:szCs w:val="14"/>
                <w:color w:val="auto"/>
                <w:w w:val="89"/>
              </w:rPr>
              <w:t>(Decrease)</w:t>
            </w:r>
          </w:p>
        </w:tc>
        <w:tc>
          <w:tcPr>
            <w:tcW w:w="1020" w:type="dxa"/>
            <w:vAlign w:val="bottom"/>
            <w:tcBorders>
              <w:bottom w:val="single" w:sz="8" w:color="auto"/>
            </w:tcBorders>
          </w:tcPr>
          <w:p>
            <w:pPr>
              <w:spacing w:after="0"/>
              <w:rPr>
                <w:sz w:val="16"/>
                <w:szCs w:val="16"/>
                <w:color w:val="auto"/>
              </w:rPr>
            </w:pPr>
          </w:p>
        </w:tc>
      </w:tr>
      <w:tr>
        <w:trPr>
          <w:trHeight w:val="264"/>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color w:val="auto"/>
              </w:rPr>
              <w:t>2019</w:t>
            </w:r>
          </w:p>
        </w:tc>
        <w:tc>
          <w:tcPr>
            <w:tcW w:w="7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w w:val="96"/>
              </w:rPr>
              <w:t>2018</w:t>
            </w:r>
          </w:p>
        </w:tc>
        <w:tc>
          <w:tcPr>
            <w:tcW w:w="5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color w:val="auto"/>
              </w:rPr>
              <w:t>%</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99"/>
              <w:spacing w:after="0"/>
              <w:rPr>
                <w:sz w:val="20"/>
                <w:szCs w:val="20"/>
                <w:color w:val="auto"/>
              </w:rPr>
            </w:pPr>
            <w:r>
              <w:rPr>
                <w:rFonts w:ascii="Arial" w:cs="Arial" w:eastAsia="Arial" w:hAnsi="Arial"/>
                <w:sz w:val="18"/>
                <w:szCs w:val="18"/>
                <w:color w:val="auto"/>
              </w:rPr>
              <w:t>1,631</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1,528</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79"/>
              <w:spacing w:after="0"/>
              <w:rPr>
                <w:sz w:val="20"/>
                <w:szCs w:val="20"/>
                <w:color w:val="auto"/>
              </w:rPr>
            </w:pPr>
            <w:r>
              <w:rPr>
                <w:rFonts w:ascii="Arial" w:cs="Arial" w:eastAsia="Arial" w:hAnsi="Arial"/>
                <w:sz w:val="18"/>
                <w:szCs w:val="18"/>
                <w:color w:val="auto"/>
              </w:rPr>
              <w:t>103</w:t>
            </w:r>
          </w:p>
        </w:tc>
        <w:tc>
          <w:tcPr>
            <w:tcW w:w="10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40" w:type="dxa"/>
            <w:vAlign w:val="bottom"/>
          </w:tcPr>
          <w:p>
            <w:pPr>
              <w:spacing w:after="0"/>
              <w:rPr>
                <w:sz w:val="23"/>
                <w:szCs w:val="23"/>
                <w:color w:val="auto"/>
              </w:rPr>
            </w:pPr>
          </w:p>
        </w:tc>
        <w:tc>
          <w:tcPr>
            <w:tcW w:w="1200" w:type="dxa"/>
            <w:vAlign w:val="bottom"/>
          </w:tcPr>
          <w:p>
            <w:pPr>
              <w:jc w:val="right"/>
              <w:ind w:right="99"/>
              <w:spacing w:after="0"/>
              <w:rPr>
                <w:sz w:val="20"/>
                <w:szCs w:val="20"/>
                <w:color w:val="auto"/>
              </w:rPr>
            </w:pPr>
            <w:r>
              <w:rPr>
                <w:rFonts w:ascii="Arial" w:cs="Arial" w:eastAsia="Arial" w:hAnsi="Arial"/>
                <w:sz w:val="18"/>
                <w:szCs w:val="18"/>
                <w:color w:val="auto"/>
              </w:rPr>
              <w:t>900</w:t>
            </w:r>
          </w:p>
        </w:tc>
        <w:tc>
          <w:tcPr>
            <w:tcW w:w="700" w:type="dxa"/>
            <w:vAlign w:val="bottom"/>
          </w:tcPr>
          <w:p>
            <w:pPr>
              <w:spacing w:after="0"/>
              <w:rPr>
                <w:sz w:val="23"/>
                <w:szCs w:val="23"/>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803</w:t>
            </w:r>
          </w:p>
        </w:tc>
        <w:tc>
          <w:tcPr>
            <w:tcW w:w="560" w:type="dxa"/>
            <w:vAlign w:val="bottom"/>
          </w:tcPr>
          <w:p>
            <w:pPr>
              <w:spacing w:after="0"/>
              <w:rPr>
                <w:sz w:val="23"/>
                <w:szCs w:val="23"/>
                <w:color w:val="auto"/>
              </w:rPr>
            </w:pPr>
          </w:p>
        </w:tc>
        <w:tc>
          <w:tcPr>
            <w:tcW w:w="1620" w:type="dxa"/>
            <w:vAlign w:val="bottom"/>
          </w:tcPr>
          <w:p>
            <w:pPr>
              <w:jc w:val="right"/>
              <w:ind w:right="579"/>
              <w:spacing w:after="0"/>
              <w:rPr>
                <w:sz w:val="20"/>
                <w:szCs w:val="20"/>
                <w:color w:val="auto"/>
              </w:rPr>
            </w:pPr>
            <w:r>
              <w:rPr>
                <w:rFonts w:ascii="Arial" w:cs="Arial" w:eastAsia="Arial" w:hAnsi="Arial"/>
                <w:sz w:val="18"/>
                <w:szCs w:val="18"/>
                <w:color w:val="auto"/>
              </w:rPr>
              <w:t>97</w:t>
            </w: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12.0</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99"/>
              <w:spacing w:after="0"/>
              <w:rPr>
                <w:sz w:val="20"/>
                <w:szCs w:val="20"/>
                <w:color w:val="auto"/>
              </w:rPr>
            </w:pPr>
            <w:r>
              <w:rPr>
                <w:rFonts w:ascii="Arial" w:cs="Arial" w:eastAsia="Arial" w:hAnsi="Arial"/>
                <w:sz w:val="18"/>
                <w:szCs w:val="18"/>
                <w:b w:val="1"/>
                <w:bCs w:val="1"/>
                <w:color w:val="auto"/>
              </w:rPr>
              <w:t>731</w:t>
            </w:r>
          </w:p>
        </w:tc>
        <w:tc>
          <w:tcPr>
            <w:tcW w:w="7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4"/>
              <w:spacing w:after="0"/>
              <w:rPr>
                <w:sz w:val="20"/>
                <w:szCs w:val="20"/>
                <w:color w:val="auto"/>
              </w:rPr>
            </w:pPr>
            <w:r>
              <w:rPr>
                <w:rFonts w:ascii="Arial" w:cs="Arial" w:eastAsia="Arial" w:hAnsi="Arial"/>
                <w:sz w:val="18"/>
                <w:szCs w:val="18"/>
                <w:b w:val="1"/>
                <w:bCs w:val="1"/>
                <w:color w:val="auto"/>
              </w:rPr>
              <w:t>725</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79"/>
              <w:spacing w:after="0"/>
              <w:rPr>
                <w:sz w:val="20"/>
                <w:szCs w:val="20"/>
                <w:color w:val="auto"/>
              </w:rPr>
            </w:pPr>
            <w:r>
              <w:rPr>
                <w:rFonts w:ascii="Arial" w:cs="Arial" w:eastAsia="Arial" w:hAnsi="Arial"/>
                <w:sz w:val="18"/>
                <w:szCs w:val="18"/>
                <w:b w:val="1"/>
                <w:bCs w:val="1"/>
                <w:color w:val="auto"/>
              </w:rPr>
              <w:t>6</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0.9%</w:t>
            </w:r>
          </w:p>
        </w:tc>
      </w:tr>
      <w:tr>
        <w:trPr>
          <w:trHeight w:val="34"/>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92"/>
        </w:trPr>
        <w:tc>
          <w:tcPr>
            <w:tcW w:w="5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2"/>
          </w:tcPr>
          <w:p>
            <w:pPr>
              <w:jc w:val="center"/>
              <w:ind w:left="499"/>
              <w:spacing w:after="0"/>
              <w:rPr>
                <w:sz w:val="20"/>
                <w:szCs w:val="20"/>
                <w:color w:val="auto"/>
              </w:rPr>
            </w:pPr>
            <w:r>
              <w:rPr>
                <w:rFonts w:ascii="Arial" w:cs="Arial" w:eastAsia="Arial" w:hAnsi="Arial"/>
                <w:sz w:val="14"/>
                <w:szCs w:val="14"/>
                <w:color w:val="auto"/>
                <w:w w:val="94"/>
              </w:rPr>
              <w:t>Nine Months Ended</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jc w:val="center"/>
              <w:ind w:left="539"/>
              <w:spacing w:after="0"/>
              <w:rPr>
                <w:sz w:val="20"/>
                <w:szCs w:val="20"/>
                <w:color w:val="auto"/>
              </w:rPr>
            </w:pPr>
            <w:r>
              <w:rPr>
                <w:rFonts w:ascii="Arial" w:cs="Arial" w:eastAsia="Arial" w:hAnsi="Arial"/>
                <w:sz w:val="14"/>
                <w:szCs w:val="14"/>
                <w:color w:val="auto"/>
                <w:w w:val="90"/>
              </w:rPr>
              <w:t>Increase/</w:t>
            </w:r>
          </w:p>
        </w:tc>
        <w:tc>
          <w:tcPr>
            <w:tcW w:w="1020" w:type="dxa"/>
            <w:vAlign w:val="bottom"/>
          </w:tcPr>
          <w:p>
            <w:pPr>
              <w:spacing w:after="0"/>
              <w:rPr>
                <w:sz w:val="24"/>
                <w:szCs w:val="24"/>
                <w:color w:val="auto"/>
              </w:rPr>
            </w:pPr>
          </w:p>
        </w:tc>
      </w:tr>
      <w:tr>
        <w:trPr>
          <w:trHeight w:val="188"/>
        </w:trPr>
        <w:tc>
          <w:tcPr>
            <w:tcW w:w="5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center"/>
              <w:ind w:left="499"/>
              <w:spacing w:after="0"/>
              <w:rPr>
                <w:sz w:val="20"/>
                <w:szCs w:val="20"/>
                <w:color w:val="auto"/>
              </w:rPr>
            </w:pPr>
            <w:r>
              <w:rPr>
                <w:rFonts w:ascii="Arial" w:cs="Arial" w:eastAsia="Arial" w:hAnsi="Arial"/>
                <w:sz w:val="14"/>
                <w:szCs w:val="14"/>
                <w:color w:val="auto"/>
                <w:w w:val="90"/>
              </w:rPr>
              <w:t>September 30</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left="559"/>
              <w:spacing w:after="0"/>
              <w:rPr>
                <w:sz w:val="20"/>
                <w:szCs w:val="20"/>
                <w:color w:val="auto"/>
              </w:rPr>
            </w:pPr>
            <w:r>
              <w:rPr>
                <w:rFonts w:ascii="Arial" w:cs="Arial" w:eastAsia="Arial" w:hAnsi="Arial"/>
                <w:sz w:val="14"/>
                <w:szCs w:val="14"/>
                <w:color w:val="auto"/>
                <w:w w:val="89"/>
              </w:rPr>
              <w:t>(Decrease)</w:t>
            </w:r>
          </w:p>
        </w:tc>
        <w:tc>
          <w:tcPr>
            <w:tcW w:w="1020" w:type="dxa"/>
            <w:vAlign w:val="bottom"/>
            <w:tcBorders>
              <w:bottom w:val="single" w:sz="8" w:color="auto"/>
            </w:tcBorders>
          </w:tcPr>
          <w:p>
            <w:pPr>
              <w:spacing w:after="0"/>
              <w:rPr>
                <w:sz w:val="16"/>
                <w:szCs w:val="16"/>
                <w:color w:val="auto"/>
              </w:rPr>
            </w:pPr>
          </w:p>
        </w:tc>
      </w:tr>
      <w:tr>
        <w:trPr>
          <w:trHeight w:val="264"/>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color w:val="auto"/>
              </w:rPr>
              <w:t>2019</w:t>
            </w:r>
          </w:p>
        </w:tc>
        <w:tc>
          <w:tcPr>
            <w:tcW w:w="7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w w:val="96"/>
              </w:rPr>
              <w:t>2018</w:t>
            </w:r>
          </w:p>
        </w:tc>
        <w:tc>
          <w:tcPr>
            <w:tcW w:w="5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color w:val="auto"/>
              </w:rPr>
              <w:t>%</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99"/>
              <w:spacing w:after="0"/>
              <w:rPr>
                <w:sz w:val="20"/>
                <w:szCs w:val="20"/>
                <w:color w:val="auto"/>
              </w:rPr>
            </w:pPr>
            <w:r>
              <w:rPr>
                <w:rFonts w:ascii="Arial" w:cs="Arial" w:eastAsia="Arial" w:hAnsi="Arial"/>
                <w:sz w:val="18"/>
                <w:szCs w:val="18"/>
                <w:color w:val="auto"/>
              </w:rPr>
              <w:t>4,371</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4,170</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79"/>
              <w:spacing w:after="0"/>
              <w:rPr>
                <w:sz w:val="20"/>
                <w:szCs w:val="20"/>
                <w:color w:val="auto"/>
              </w:rPr>
            </w:pPr>
            <w:r>
              <w:rPr>
                <w:rFonts w:ascii="Arial" w:cs="Arial" w:eastAsia="Arial" w:hAnsi="Arial"/>
                <w:sz w:val="18"/>
                <w:szCs w:val="18"/>
                <w:color w:val="auto"/>
              </w:rPr>
              <w:t>201</w:t>
            </w: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40" w:type="dxa"/>
            <w:vAlign w:val="bottom"/>
          </w:tcPr>
          <w:p>
            <w:pPr>
              <w:spacing w:after="0"/>
              <w:rPr>
                <w:sz w:val="23"/>
                <w:szCs w:val="23"/>
                <w:color w:val="auto"/>
              </w:rPr>
            </w:pPr>
          </w:p>
        </w:tc>
        <w:tc>
          <w:tcPr>
            <w:tcW w:w="1200" w:type="dxa"/>
            <w:vAlign w:val="bottom"/>
          </w:tcPr>
          <w:p>
            <w:pPr>
              <w:jc w:val="right"/>
              <w:ind w:right="99"/>
              <w:spacing w:after="0"/>
              <w:rPr>
                <w:sz w:val="20"/>
                <w:szCs w:val="20"/>
                <w:color w:val="auto"/>
              </w:rPr>
            </w:pPr>
            <w:r>
              <w:rPr>
                <w:rFonts w:ascii="Arial" w:cs="Arial" w:eastAsia="Arial" w:hAnsi="Arial"/>
                <w:sz w:val="18"/>
                <w:szCs w:val="18"/>
                <w:color w:val="auto"/>
              </w:rPr>
              <w:t>2,552</w:t>
            </w:r>
          </w:p>
        </w:tc>
        <w:tc>
          <w:tcPr>
            <w:tcW w:w="700" w:type="dxa"/>
            <w:vAlign w:val="bottom"/>
          </w:tcPr>
          <w:p>
            <w:pPr>
              <w:spacing w:after="0"/>
              <w:rPr>
                <w:sz w:val="23"/>
                <w:szCs w:val="23"/>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2,381</w:t>
            </w:r>
          </w:p>
        </w:tc>
        <w:tc>
          <w:tcPr>
            <w:tcW w:w="560" w:type="dxa"/>
            <w:vAlign w:val="bottom"/>
          </w:tcPr>
          <w:p>
            <w:pPr>
              <w:spacing w:after="0"/>
              <w:rPr>
                <w:sz w:val="23"/>
                <w:szCs w:val="23"/>
                <w:color w:val="auto"/>
              </w:rPr>
            </w:pPr>
          </w:p>
        </w:tc>
        <w:tc>
          <w:tcPr>
            <w:tcW w:w="1620" w:type="dxa"/>
            <w:vAlign w:val="bottom"/>
          </w:tcPr>
          <w:p>
            <w:pPr>
              <w:jc w:val="right"/>
              <w:ind w:right="579"/>
              <w:spacing w:after="0"/>
              <w:rPr>
                <w:sz w:val="20"/>
                <w:szCs w:val="20"/>
                <w:color w:val="auto"/>
              </w:rPr>
            </w:pPr>
            <w:r>
              <w:rPr>
                <w:rFonts w:ascii="Arial" w:cs="Arial" w:eastAsia="Arial" w:hAnsi="Arial"/>
                <w:sz w:val="18"/>
                <w:szCs w:val="18"/>
                <w:color w:val="auto"/>
              </w:rPr>
              <w:t>171</w:t>
            </w: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7.2</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99"/>
              <w:spacing w:after="0"/>
              <w:rPr>
                <w:sz w:val="20"/>
                <w:szCs w:val="20"/>
                <w:color w:val="auto"/>
              </w:rPr>
            </w:pPr>
            <w:r>
              <w:rPr>
                <w:rFonts w:ascii="Arial" w:cs="Arial" w:eastAsia="Arial" w:hAnsi="Arial"/>
                <w:sz w:val="18"/>
                <w:szCs w:val="18"/>
                <w:b w:val="1"/>
                <w:bCs w:val="1"/>
                <w:color w:val="auto"/>
              </w:rPr>
              <w:t>1,819</w:t>
            </w:r>
          </w:p>
        </w:tc>
        <w:tc>
          <w:tcPr>
            <w:tcW w:w="7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4"/>
              <w:spacing w:after="0"/>
              <w:rPr>
                <w:sz w:val="20"/>
                <w:szCs w:val="20"/>
                <w:color w:val="auto"/>
              </w:rPr>
            </w:pPr>
            <w:r>
              <w:rPr>
                <w:rFonts w:ascii="Arial" w:cs="Arial" w:eastAsia="Arial" w:hAnsi="Arial"/>
                <w:sz w:val="18"/>
                <w:szCs w:val="18"/>
                <w:b w:val="1"/>
                <w:bCs w:val="1"/>
                <w:color w:val="auto"/>
              </w:rPr>
              <w:t>1,789</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79"/>
              <w:spacing w:after="0"/>
              <w:rPr>
                <w:sz w:val="20"/>
                <w:szCs w:val="20"/>
                <w:color w:val="auto"/>
              </w:rPr>
            </w:pPr>
            <w:r>
              <w:rPr>
                <w:rFonts w:ascii="Arial" w:cs="Arial" w:eastAsia="Arial" w:hAnsi="Arial"/>
                <w:sz w:val="18"/>
                <w:szCs w:val="18"/>
                <w:b w:val="1"/>
                <w:bCs w:val="1"/>
                <w:color w:val="auto"/>
              </w:rPr>
              <w:t>30</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34"/>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Revenue</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Theme Parks revenue increased for the three and nine months ended September 30, 2019 compared to the same periods in 2018 primarily reflecting higher attendance in 2019 due, in part, to natural disasters that negatively impacted attendance in Japan in the prior year periods.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Operating Costs and Expenses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Theme Parks operating costs and expenses increased for the three and nine months ended September 30, 2019 compared to the same periods in 2018 primarily due to higher costs to operate the parks and attractions.</w:t>
      </w:r>
    </w:p>
    <w:p>
      <w:pPr>
        <w:sectPr>
          <w:pgSz w:w="11900" w:h="16838" w:orient="portrait"/>
          <w:cols w:equalWidth="0" w:num="1">
            <w:col w:w="11420"/>
          </w:cols>
          <w:pgMar w:left="240" w:top="17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75" w:right="2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Sky Segment Results of Operations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discussion below compares Sky’s actual results for the three and nine months ended September 30, 2019 to pro forma results for Sky for the three and nine months ended September 30, 2018. The pro forma segment information includes adjustments as if the Sky transaction occurred on January 1, 2017. Our pro forma data is also adjusted for the effects of acquisition accounting and eliminating the costs and expenses directly related to the transaction but does not include adjustments for costs related to integration activities, cost savings or synergies that have been or may be achieved by the combined business. Pro forma amounts are not necessarily indicative of what our results would have been had we operated the Sky business since January 1, 2017, nor of our future results.</w:t>
      </w:r>
    </w:p>
    <w:p>
      <w:pPr>
        <w:spacing w:after="0" w:line="296" w:lineRule="exact"/>
        <w:rPr>
          <w:sz w:val="20"/>
          <w:szCs w:val="20"/>
          <w:color w:val="auto"/>
        </w:rPr>
      </w:pPr>
    </w:p>
    <w:p>
      <w:pPr>
        <w:jc w:val="center"/>
        <w:ind w:right="1160"/>
        <w:spacing w:after="0"/>
        <w:rPr>
          <w:sz w:val="20"/>
          <w:szCs w:val="20"/>
          <w:color w:val="auto"/>
        </w:rPr>
      </w:pPr>
      <w:r>
        <w:rPr>
          <w:rFonts w:ascii="Arial" w:cs="Arial" w:eastAsia="Arial" w:hAnsi="Arial"/>
          <w:sz w:val="14"/>
          <w:szCs w:val="14"/>
          <w:color w:val="auto"/>
        </w:rPr>
        <w:t>Three Months Ended</w:t>
      </w:r>
    </w:p>
    <w:p>
      <w:pPr>
        <w:jc w:val="center"/>
        <w:ind w:right="1160"/>
        <w:spacing w:after="0"/>
        <w:rPr>
          <w:sz w:val="20"/>
          <w:szCs w:val="20"/>
          <w:color w:val="auto"/>
        </w:rPr>
      </w:pPr>
      <w:r>
        <w:rPr>
          <w:rFonts w:ascii="Arial" w:cs="Arial" w:eastAsia="Arial" w:hAnsi="Arial"/>
          <w:sz w:val="14"/>
          <w:szCs w:val="14"/>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1520" w:type="dxa"/>
            <w:vAlign w:val="bottom"/>
          </w:tcPr>
          <w:p>
            <w:pPr>
              <w:jc w:val="center"/>
              <w:ind w:left="514"/>
              <w:spacing w:after="0" w:line="149" w:lineRule="exact"/>
              <w:rPr>
                <w:sz w:val="20"/>
                <w:szCs w:val="20"/>
                <w:color w:val="auto"/>
              </w:rPr>
            </w:pPr>
            <w:r>
              <w:rPr>
                <w:rFonts w:ascii="Arial" w:cs="Arial" w:eastAsia="Arial" w:hAnsi="Arial"/>
                <w:sz w:val="14"/>
                <w:szCs w:val="14"/>
                <w:color w:val="auto"/>
                <w:w w:val="90"/>
              </w:rPr>
              <w:t>Increase/</w:t>
            </w:r>
          </w:p>
        </w:tc>
        <w:tc>
          <w:tcPr>
            <w:tcW w:w="11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92"/>
              </w:rPr>
              <w:t>Constant Currency</w:t>
            </w:r>
          </w:p>
        </w:tc>
      </w:tr>
      <w:tr>
        <w:trPr>
          <w:trHeight w:val="188"/>
        </w:trPr>
        <w:tc>
          <w:tcPr>
            <w:tcW w:w="3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color w:val="auto"/>
                <w:w w:val="97"/>
              </w:rPr>
              <w:t>Actual</w:t>
            </w: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color w:val="auto"/>
                <w:w w:val="90"/>
              </w:rPr>
              <w:t>Pro Forma</w:t>
            </w:r>
          </w:p>
        </w:tc>
        <w:tc>
          <w:tcPr>
            <w:tcW w:w="6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left="494"/>
              <w:spacing w:after="0"/>
              <w:rPr>
                <w:sz w:val="20"/>
                <w:szCs w:val="20"/>
                <w:color w:val="auto"/>
              </w:rPr>
            </w:pPr>
            <w:r>
              <w:rPr>
                <w:rFonts w:ascii="Arial" w:cs="Arial" w:eastAsia="Arial" w:hAnsi="Arial"/>
                <w:sz w:val="14"/>
                <w:szCs w:val="14"/>
                <w:color w:val="auto"/>
                <w:w w:val="89"/>
              </w:rPr>
              <w:t>(Decrease)</w:t>
            </w:r>
          </w:p>
        </w:tc>
        <w:tc>
          <w:tcPr>
            <w:tcW w:w="1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Growth</w:t>
            </w:r>
            <w:r>
              <w:rPr>
                <w:rFonts w:ascii="Arial" w:cs="Arial" w:eastAsia="Arial" w:hAnsi="Arial"/>
                <w:sz w:val="8"/>
                <w:szCs w:val="8"/>
                <w:color w:val="auto"/>
                <w:w w:val="98"/>
              </w:rPr>
              <w:t>(a)</w:t>
            </w:r>
          </w:p>
        </w:tc>
      </w:tr>
      <w:tr>
        <w:trPr>
          <w:trHeight w:val="264"/>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color w:val="auto"/>
                <w:w w:val="89"/>
              </w:rPr>
              <w:t>2019</w:t>
            </w: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color w:val="auto"/>
                <w:w w:val="89"/>
              </w:rPr>
              <w:t>2018</w:t>
            </w:r>
          </w:p>
        </w:tc>
        <w:tc>
          <w:tcPr>
            <w:tcW w:w="6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94"/>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0"/>
        </w:trPr>
        <w:tc>
          <w:tcPr>
            <w:tcW w:w="3560" w:type="dxa"/>
            <w:vAlign w:val="bottom"/>
          </w:tcPr>
          <w:p>
            <w:pPr>
              <w:ind w:left="380"/>
              <w:spacing w:after="0"/>
              <w:rPr>
                <w:sz w:val="20"/>
                <w:szCs w:val="20"/>
                <w:color w:val="auto"/>
              </w:rPr>
            </w:pPr>
            <w:r>
              <w:rPr>
                <w:rFonts w:ascii="Arial" w:cs="Arial" w:eastAsia="Arial" w:hAnsi="Arial"/>
                <w:sz w:val="18"/>
                <w:szCs w:val="18"/>
                <w:color w:val="auto"/>
              </w:rPr>
              <w:t>Direct-to-consumer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3,793</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3,920</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14"/>
              <w:spacing w:after="0"/>
              <w:rPr>
                <w:sz w:val="20"/>
                <w:szCs w:val="20"/>
                <w:color w:val="auto"/>
              </w:rPr>
            </w:pPr>
            <w:r>
              <w:rPr>
                <w:rFonts w:ascii="Arial" w:cs="Arial" w:eastAsia="Arial" w:hAnsi="Arial"/>
                <w:sz w:val="18"/>
                <w:szCs w:val="18"/>
                <w:color w:val="auto"/>
              </w:rPr>
              <w:t>(127)</w:t>
            </w: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(3.2)%</w:t>
            </w:r>
          </w:p>
        </w:tc>
        <w:tc>
          <w:tcPr>
            <w:tcW w:w="150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70"/>
        </w:trPr>
        <w:tc>
          <w:tcPr>
            <w:tcW w:w="3560" w:type="dxa"/>
            <w:vAlign w:val="bottom"/>
          </w:tcPr>
          <w:p>
            <w:pPr>
              <w:ind w:left="380"/>
              <w:spacing w:after="0"/>
              <w:rPr>
                <w:sz w:val="20"/>
                <w:szCs w:val="20"/>
                <w:color w:val="auto"/>
              </w:rPr>
            </w:pPr>
            <w:r>
              <w:rPr>
                <w:rFonts w:ascii="Arial" w:cs="Arial" w:eastAsia="Arial" w:hAnsi="Arial"/>
                <w:sz w:val="18"/>
                <w:szCs w:val="18"/>
                <w:color w:val="auto"/>
              </w:rPr>
              <w:t>Content</w:t>
            </w:r>
          </w:p>
        </w:tc>
        <w:tc>
          <w:tcPr>
            <w:tcW w:w="32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315</w:t>
            </w:r>
          </w:p>
        </w:tc>
        <w:tc>
          <w:tcPr>
            <w:tcW w:w="5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288</w:t>
            </w:r>
          </w:p>
        </w:tc>
        <w:tc>
          <w:tcPr>
            <w:tcW w:w="600" w:type="dxa"/>
            <w:vAlign w:val="bottom"/>
          </w:tcPr>
          <w:p>
            <w:pPr>
              <w:spacing w:after="0"/>
              <w:rPr>
                <w:sz w:val="23"/>
                <w:szCs w:val="23"/>
                <w:color w:val="auto"/>
              </w:rPr>
            </w:pPr>
          </w:p>
        </w:tc>
        <w:tc>
          <w:tcPr>
            <w:tcW w:w="1520" w:type="dxa"/>
            <w:vAlign w:val="bottom"/>
          </w:tcPr>
          <w:p>
            <w:pPr>
              <w:jc w:val="right"/>
              <w:ind w:right="574"/>
              <w:spacing w:after="0"/>
              <w:rPr>
                <w:sz w:val="20"/>
                <w:szCs w:val="20"/>
                <w:color w:val="auto"/>
              </w:rPr>
            </w:pPr>
            <w:r>
              <w:rPr>
                <w:rFonts w:ascii="Arial" w:cs="Arial" w:eastAsia="Arial" w:hAnsi="Arial"/>
                <w:sz w:val="18"/>
                <w:szCs w:val="18"/>
                <w:color w:val="auto"/>
              </w:rPr>
              <w:t>27</w:t>
            </w:r>
          </w:p>
        </w:tc>
        <w:tc>
          <w:tcPr>
            <w:tcW w:w="1140" w:type="dxa"/>
            <w:vAlign w:val="bottom"/>
          </w:tcPr>
          <w:p>
            <w:pPr>
              <w:jc w:val="right"/>
              <w:ind w:right="372"/>
              <w:spacing w:after="0"/>
              <w:rPr>
                <w:sz w:val="20"/>
                <w:szCs w:val="20"/>
                <w:color w:val="auto"/>
              </w:rPr>
            </w:pPr>
            <w:r>
              <w:rPr>
                <w:rFonts w:ascii="Arial" w:cs="Arial" w:eastAsia="Arial" w:hAnsi="Arial"/>
                <w:sz w:val="18"/>
                <w:szCs w:val="18"/>
                <w:color w:val="auto"/>
              </w:rPr>
              <w:t>9.4</w:t>
            </w:r>
          </w:p>
        </w:tc>
        <w:tc>
          <w:tcPr>
            <w:tcW w:w="1500" w:type="dxa"/>
            <w:vAlign w:val="bottom"/>
          </w:tcPr>
          <w:p>
            <w:pPr>
              <w:jc w:val="right"/>
              <w:ind w:right="174"/>
              <w:spacing w:after="0"/>
              <w:rPr>
                <w:sz w:val="20"/>
                <w:szCs w:val="20"/>
                <w:color w:val="auto"/>
              </w:rPr>
            </w:pPr>
            <w:r>
              <w:rPr>
                <w:rFonts w:ascii="Arial" w:cs="Arial" w:eastAsia="Arial" w:hAnsi="Arial"/>
                <w:sz w:val="18"/>
                <w:szCs w:val="18"/>
                <w:color w:val="auto"/>
              </w:rPr>
              <w:t>15.4</w:t>
            </w:r>
          </w:p>
        </w:tc>
      </w:tr>
      <w:tr>
        <w:trPr>
          <w:trHeight w:val="270"/>
        </w:trPr>
        <w:tc>
          <w:tcPr>
            <w:tcW w:w="356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2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446</w:t>
            </w:r>
          </w:p>
        </w:tc>
        <w:tc>
          <w:tcPr>
            <w:tcW w:w="5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545</w:t>
            </w:r>
          </w:p>
        </w:tc>
        <w:tc>
          <w:tcPr>
            <w:tcW w:w="600" w:type="dxa"/>
            <w:vAlign w:val="bottom"/>
          </w:tcPr>
          <w:p>
            <w:pPr>
              <w:spacing w:after="0"/>
              <w:rPr>
                <w:sz w:val="23"/>
                <w:szCs w:val="23"/>
                <w:color w:val="auto"/>
              </w:rPr>
            </w:pPr>
          </w:p>
        </w:tc>
        <w:tc>
          <w:tcPr>
            <w:tcW w:w="1520" w:type="dxa"/>
            <w:vAlign w:val="bottom"/>
          </w:tcPr>
          <w:p>
            <w:pPr>
              <w:jc w:val="right"/>
              <w:ind w:right="514"/>
              <w:spacing w:after="0"/>
              <w:rPr>
                <w:sz w:val="20"/>
                <w:szCs w:val="20"/>
                <w:color w:val="auto"/>
              </w:rPr>
            </w:pPr>
            <w:r>
              <w:rPr>
                <w:rFonts w:ascii="Arial" w:cs="Arial" w:eastAsia="Arial" w:hAnsi="Arial"/>
                <w:sz w:val="18"/>
                <w:szCs w:val="18"/>
                <w:color w:val="auto"/>
              </w:rPr>
              <w:t>(99)</w:t>
            </w:r>
          </w:p>
        </w:tc>
        <w:tc>
          <w:tcPr>
            <w:tcW w:w="1140" w:type="dxa"/>
            <w:vAlign w:val="bottom"/>
          </w:tcPr>
          <w:p>
            <w:pPr>
              <w:jc w:val="right"/>
              <w:ind w:right="312"/>
              <w:spacing w:after="0"/>
              <w:rPr>
                <w:sz w:val="20"/>
                <w:szCs w:val="20"/>
                <w:color w:val="auto"/>
              </w:rPr>
            </w:pPr>
            <w:r>
              <w:rPr>
                <w:rFonts w:ascii="Arial" w:cs="Arial" w:eastAsia="Arial" w:hAnsi="Arial"/>
                <w:sz w:val="18"/>
                <w:szCs w:val="18"/>
                <w:color w:val="auto"/>
              </w:rPr>
              <w:t>(18.2)</w:t>
            </w:r>
          </w:p>
        </w:tc>
        <w:tc>
          <w:tcPr>
            <w:tcW w:w="1500" w:type="dxa"/>
            <w:vAlign w:val="bottom"/>
          </w:tcPr>
          <w:p>
            <w:pPr>
              <w:jc w:val="right"/>
              <w:ind w:right="114"/>
              <w:spacing w:after="0"/>
              <w:rPr>
                <w:sz w:val="20"/>
                <w:szCs w:val="20"/>
                <w:color w:val="auto"/>
              </w:rPr>
            </w:pPr>
            <w:r>
              <w:rPr>
                <w:rFonts w:ascii="Arial" w:cs="Arial" w:eastAsia="Arial" w:hAnsi="Arial"/>
                <w:sz w:val="18"/>
                <w:szCs w:val="18"/>
                <w:color w:val="auto"/>
              </w:rPr>
              <w:t>(13.8)</w:t>
            </w:r>
          </w:p>
        </w:tc>
      </w:tr>
      <w:tr>
        <w:trPr>
          <w:trHeight w:val="27"/>
        </w:trPr>
        <w:tc>
          <w:tcPr>
            <w:tcW w:w="3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tcPr>
          <w:p>
            <w:pPr>
              <w:spacing w:after="0"/>
              <w:rPr>
                <w:sz w:val="20"/>
                <w:szCs w:val="20"/>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b w:val="1"/>
                <w:bCs w:val="1"/>
                <w:color w:val="auto"/>
              </w:rPr>
              <w:t>4,554</w:t>
            </w:r>
          </w:p>
        </w:tc>
        <w:tc>
          <w:tcPr>
            <w:tcW w:w="50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b w:val="1"/>
                <w:bCs w:val="1"/>
                <w:color w:val="auto"/>
              </w:rPr>
              <w:t>4,753</w:t>
            </w:r>
          </w:p>
        </w:tc>
        <w:tc>
          <w:tcPr>
            <w:tcW w:w="600" w:type="dxa"/>
            <w:vAlign w:val="bottom"/>
          </w:tcPr>
          <w:p>
            <w:pPr>
              <w:spacing w:after="0"/>
              <w:rPr>
                <w:sz w:val="20"/>
                <w:szCs w:val="20"/>
                <w:color w:val="auto"/>
              </w:rPr>
            </w:pPr>
          </w:p>
        </w:tc>
        <w:tc>
          <w:tcPr>
            <w:tcW w:w="1520" w:type="dxa"/>
            <w:vAlign w:val="bottom"/>
          </w:tcPr>
          <w:p>
            <w:pPr>
              <w:jc w:val="right"/>
              <w:ind w:right="514"/>
              <w:spacing w:after="0"/>
              <w:rPr>
                <w:sz w:val="20"/>
                <w:szCs w:val="20"/>
                <w:color w:val="auto"/>
              </w:rPr>
            </w:pPr>
            <w:r>
              <w:rPr>
                <w:rFonts w:ascii="Arial" w:cs="Arial" w:eastAsia="Arial" w:hAnsi="Arial"/>
                <w:sz w:val="18"/>
                <w:szCs w:val="18"/>
                <w:b w:val="1"/>
                <w:bCs w:val="1"/>
                <w:color w:val="auto"/>
              </w:rPr>
              <w:t>(199)</w:t>
            </w:r>
          </w:p>
        </w:tc>
        <w:tc>
          <w:tcPr>
            <w:tcW w:w="1140" w:type="dxa"/>
            <w:vAlign w:val="bottom"/>
          </w:tcPr>
          <w:p>
            <w:pPr>
              <w:jc w:val="right"/>
              <w:ind w:right="312"/>
              <w:spacing w:after="0"/>
              <w:rPr>
                <w:sz w:val="20"/>
                <w:szCs w:val="20"/>
                <w:color w:val="auto"/>
              </w:rPr>
            </w:pPr>
            <w:r>
              <w:rPr>
                <w:rFonts w:ascii="Arial" w:cs="Arial" w:eastAsia="Arial" w:hAnsi="Arial"/>
                <w:sz w:val="18"/>
                <w:szCs w:val="18"/>
                <w:b w:val="1"/>
                <w:bCs w:val="1"/>
                <w:color w:val="auto"/>
              </w:rPr>
              <w:t>(4.2)</w:t>
            </w:r>
          </w:p>
        </w:tc>
        <w:tc>
          <w:tcPr>
            <w:tcW w:w="1500" w:type="dxa"/>
            <w:vAlign w:val="bottom"/>
          </w:tcPr>
          <w:p>
            <w:pPr>
              <w:jc w:val="right"/>
              <w:ind w:right="174"/>
              <w:spacing w:after="0"/>
              <w:rPr>
                <w:sz w:val="20"/>
                <w:szCs w:val="20"/>
                <w:color w:val="auto"/>
              </w:rPr>
            </w:pPr>
            <w:r>
              <w:rPr>
                <w:rFonts w:ascii="Arial" w:cs="Arial" w:eastAsia="Arial" w:hAnsi="Arial"/>
                <w:sz w:val="18"/>
                <w:szCs w:val="18"/>
                <w:b w:val="1"/>
                <w:bCs w:val="1"/>
                <w:color w:val="auto"/>
              </w:rPr>
              <w:t>0.9</w:t>
            </w:r>
          </w:p>
        </w:tc>
      </w:tr>
      <w:tr>
        <w:trPr>
          <w:trHeight w:val="270"/>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356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2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2,003</w:t>
            </w:r>
          </w:p>
        </w:tc>
        <w:tc>
          <w:tcPr>
            <w:tcW w:w="5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1,957</w:t>
            </w:r>
          </w:p>
        </w:tc>
        <w:tc>
          <w:tcPr>
            <w:tcW w:w="600" w:type="dxa"/>
            <w:vAlign w:val="bottom"/>
          </w:tcPr>
          <w:p>
            <w:pPr>
              <w:spacing w:after="0"/>
              <w:rPr>
                <w:sz w:val="23"/>
                <w:szCs w:val="23"/>
                <w:color w:val="auto"/>
              </w:rPr>
            </w:pPr>
          </w:p>
        </w:tc>
        <w:tc>
          <w:tcPr>
            <w:tcW w:w="1520" w:type="dxa"/>
            <w:vAlign w:val="bottom"/>
          </w:tcPr>
          <w:p>
            <w:pPr>
              <w:jc w:val="right"/>
              <w:ind w:right="574"/>
              <w:spacing w:after="0"/>
              <w:rPr>
                <w:sz w:val="20"/>
                <w:szCs w:val="20"/>
                <w:color w:val="auto"/>
              </w:rPr>
            </w:pPr>
            <w:r>
              <w:rPr>
                <w:rFonts w:ascii="Arial" w:cs="Arial" w:eastAsia="Arial" w:hAnsi="Arial"/>
                <w:sz w:val="18"/>
                <w:szCs w:val="18"/>
                <w:color w:val="auto"/>
              </w:rPr>
              <w:t>46</w:t>
            </w:r>
          </w:p>
        </w:tc>
        <w:tc>
          <w:tcPr>
            <w:tcW w:w="1140" w:type="dxa"/>
            <w:vAlign w:val="bottom"/>
          </w:tcPr>
          <w:p>
            <w:pPr>
              <w:jc w:val="right"/>
              <w:ind w:right="372"/>
              <w:spacing w:after="0"/>
              <w:rPr>
                <w:sz w:val="20"/>
                <w:szCs w:val="20"/>
                <w:color w:val="auto"/>
              </w:rPr>
            </w:pPr>
            <w:r>
              <w:rPr>
                <w:rFonts w:ascii="Arial" w:cs="Arial" w:eastAsia="Arial" w:hAnsi="Arial"/>
                <w:sz w:val="18"/>
                <w:szCs w:val="18"/>
                <w:color w:val="auto"/>
              </w:rPr>
              <w:t>2.4</w:t>
            </w:r>
          </w:p>
        </w:tc>
        <w:tc>
          <w:tcPr>
            <w:tcW w:w="1500" w:type="dxa"/>
            <w:vAlign w:val="bottom"/>
          </w:tcPr>
          <w:p>
            <w:pPr>
              <w:jc w:val="right"/>
              <w:ind w:right="174"/>
              <w:spacing w:after="0"/>
              <w:rPr>
                <w:sz w:val="20"/>
                <w:szCs w:val="20"/>
                <w:color w:val="auto"/>
              </w:rPr>
            </w:pPr>
            <w:r>
              <w:rPr>
                <w:rFonts w:ascii="Arial" w:cs="Arial" w:eastAsia="Arial" w:hAnsi="Arial"/>
                <w:sz w:val="18"/>
                <w:szCs w:val="18"/>
                <w:color w:val="auto"/>
              </w:rPr>
              <w:t>7.6</w:t>
            </w:r>
          </w:p>
        </w:tc>
      </w:tr>
      <w:tr>
        <w:trPr>
          <w:trHeight w:val="270"/>
        </w:trPr>
        <w:tc>
          <w:tcPr>
            <w:tcW w:w="3560" w:type="dxa"/>
            <w:vAlign w:val="bottom"/>
          </w:tcPr>
          <w:p>
            <w:pPr>
              <w:ind w:left="380"/>
              <w:spacing w:after="0"/>
              <w:rPr>
                <w:sz w:val="20"/>
                <w:szCs w:val="20"/>
                <w:color w:val="auto"/>
              </w:rPr>
            </w:pPr>
            <w:r>
              <w:rPr>
                <w:rFonts w:ascii="Arial" w:cs="Arial" w:eastAsia="Arial" w:hAnsi="Arial"/>
                <w:sz w:val="18"/>
                <w:szCs w:val="18"/>
                <w:color w:val="auto"/>
              </w:rPr>
              <w:t>Direct network costs</w:t>
            </w:r>
          </w:p>
        </w:tc>
        <w:tc>
          <w:tcPr>
            <w:tcW w:w="32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419</w:t>
            </w:r>
          </w:p>
        </w:tc>
        <w:tc>
          <w:tcPr>
            <w:tcW w:w="5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405</w:t>
            </w:r>
          </w:p>
        </w:tc>
        <w:tc>
          <w:tcPr>
            <w:tcW w:w="600" w:type="dxa"/>
            <w:vAlign w:val="bottom"/>
          </w:tcPr>
          <w:p>
            <w:pPr>
              <w:spacing w:after="0"/>
              <w:rPr>
                <w:sz w:val="23"/>
                <w:szCs w:val="23"/>
                <w:color w:val="auto"/>
              </w:rPr>
            </w:pPr>
          </w:p>
        </w:tc>
        <w:tc>
          <w:tcPr>
            <w:tcW w:w="1520" w:type="dxa"/>
            <w:vAlign w:val="bottom"/>
          </w:tcPr>
          <w:p>
            <w:pPr>
              <w:jc w:val="right"/>
              <w:ind w:right="574"/>
              <w:spacing w:after="0"/>
              <w:rPr>
                <w:sz w:val="20"/>
                <w:szCs w:val="20"/>
                <w:color w:val="auto"/>
              </w:rPr>
            </w:pPr>
            <w:r>
              <w:rPr>
                <w:rFonts w:ascii="Arial" w:cs="Arial" w:eastAsia="Arial" w:hAnsi="Arial"/>
                <w:sz w:val="18"/>
                <w:szCs w:val="18"/>
                <w:color w:val="auto"/>
              </w:rPr>
              <w:t>14</w:t>
            </w:r>
          </w:p>
        </w:tc>
        <w:tc>
          <w:tcPr>
            <w:tcW w:w="1140" w:type="dxa"/>
            <w:vAlign w:val="bottom"/>
          </w:tcPr>
          <w:p>
            <w:pPr>
              <w:jc w:val="right"/>
              <w:ind w:right="372"/>
              <w:spacing w:after="0"/>
              <w:rPr>
                <w:sz w:val="20"/>
                <w:szCs w:val="20"/>
                <w:color w:val="auto"/>
              </w:rPr>
            </w:pPr>
            <w:r>
              <w:rPr>
                <w:rFonts w:ascii="Arial" w:cs="Arial" w:eastAsia="Arial" w:hAnsi="Arial"/>
                <w:sz w:val="18"/>
                <w:szCs w:val="18"/>
                <w:color w:val="auto"/>
              </w:rPr>
              <w:t>3.5</w:t>
            </w:r>
          </w:p>
        </w:tc>
        <w:tc>
          <w:tcPr>
            <w:tcW w:w="1500" w:type="dxa"/>
            <w:vAlign w:val="bottom"/>
          </w:tcPr>
          <w:p>
            <w:pPr>
              <w:jc w:val="right"/>
              <w:ind w:right="174"/>
              <w:spacing w:after="0"/>
              <w:rPr>
                <w:sz w:val="20"/>
                <w:szCs w:val="20"/>
                <w:color w:val="auto"/>
              </w:rPr>
            </w:pPr>
            <w:r>
              <w:rPr>
                <w:rFonts w:ascii="Arial" w:cs="Arial" w:eastAsia="Arial" w:hAnsi="Arial"/>
                <w:sz w:val="18"/>
                <w:szCs w:val="18"/>
                <w:color w:val="auto"/>
              </w:rPr>
              <w:t>9.2</w:t>
            </w:r>
          </w:p>
        </w:tc>
      </w:tr>
      <w:tr>
        <w:trPr>
          <w:trHeight w:val="270"/>
        </w:trPr>
        <w:tc>
          <w:tcPr>
            <w:tcW w:w="3560" w:type="dxa"/>
            <w:vAlign w:val="bottom"/>
          </w:tcPr>
          <w:p>
            <w:pPr>
              <w:ind w:left="3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1,233</w:t>
            </w:r>
          </w:p>
        </w:tc>
        <w:tc>
          <w:tcPr>
            <w:tcW w:w="5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1,741</w:t>
            </w:r>
          </w:p>
        </w:tc>
        <w:tc>
          <w:tcPr>
            <w:tcW w:w="600" w:type="dxa"/>
            <w:vAlign w:val="bottom"/>
          </w:tcPr>
          <w:p>
            <w:pPr>
              <w:spacing w:after="0"/>
              <w:rPr>
                <w:sz w:val="23"/>
                <w:szCs w:val="23"/>
                <w:color w:val="auto"/>
              </w:rPr>
            </w:pPr>
          </w:p>
        </w:tc>
        <w:tc>
          <w:tcPr>
            <w:tcW w:w="1520" w:type="dxa"/>
            <w:vAlign w:val="bottom"/>
          </w:tcPr>
          <w:p>
            <w:pPr>
              <w:jc w:val="right"/>
              <w:ind w:right="514"/>
              <w:spacing w:after="0"/>
              <w:rPr>
                <w:sz w:val="20"/>
                <w:szCs w:val="20"/>
                <w:color w:val="auto"/>
              </w:rPr>
            </w:pPr>
            <w:r>
              <w:rPr>
                <w:rFonts w:ascii="Arial" w:cs="Arial" w:eastAsia="Arial" w:hAnsi="Arial"/>
                <w:sz w:val="18"/>
                <w:szCs w:val="18"/>
                <w:color w:val="auto"/>
              </w:rPr>
              <w:t>(508)</w:t>
            </w:r>
          </w:p>
        </w:tc>
        <w:tc>
          <w:tcPr>
            <w:tcW w:w="1140" w:type="dxa"/>
            <w:vAlign w:val="bottom"/>
          </w:tcPr>
          <w:p>
            <w:pPr>
              <w:jc w:val="right"/>
              <w:ind w:right="312"/>
              <w:spacing w:after="0"/>
              <w:rPr>
                <w:sz w:val="20"/>
                <w:szCs w:val="20"/>
                <w:color w:val="auto"/>
              </w:rPr>
            </w:pPr>
            <w:r>
              <w:rPr>
                <w:rFonts w:ascii="Arial" w:cs="Arial" w:eastAsia="Arial" w:hAnsi="Arial"/>
                <w:sz w:val="18"/>
                <w:szCs w:val="18"/>
                <w:color w:val="auto"/>
              </w:rPr>
              <w:t>(29.1)</w:t>
            </w:r>
          </w:p>
        </w:tc>
        <w:tc>
          <w:tcPr>
            <w:tcW w:w="1500" w:type="dxa"/>
            <w:vAlign w:val="bottom"/>
          </w:tcPr>
          <w:p>
            <w:pPr>
              <w:jc w:val="right"/>
              <w:ind w:right="114"/>
              <w:spacing w:after="0"/>
              <w:rPr>
                <w:sz w:val="20"/>
                <w:szCs w:val="20"/>
                <w:color w:val="auto"/>
              </w:rPr>
            </w:pPr>
            <w:r>
              <w:rPr>
                <w:rFonts w:ascii="Arial" w:cs="Arial" w:eastAsia="Arial" w:hAnsi="Arial"/>
                <w:sz w:val="18"/>
                <w:szCs w:val="18"/>
                <w:color w:val="auto"/>
              </w:rPr>
              <w:t>(25.3)</w:t>
            </w:r>
          </w:p>
        </w:tc>
      </w:tr>
      <w:tr>
        <w:trPr>
          <w:trHeight w:val="27"/>
        </w:trPr>
        <w:tc>
          <w:tcPr>
            <w:tcW w:w="3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20" w:type="dxa"/>
            <w:vAlign w:val="bottom"/>
          </w:tcPr>
          <w:p>
            <w:pPr>
              <w:spacing w:after="0"/>
              <w:rPr>
                <w:sz w:val="20"/>
                <w:szCs w:val="20"/>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3,655</w:t>
            </w:r>
          </w:p>
        </w:tc>
        <w:tc>
          <w:tcPr>
            <w:tcW w:w="50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4,103</w:t>
            </w:r>
          </w:p>
        </w:tc>
        <w:tc>
          <w:tcPr>
            <w:tcW w:w="600" w:type="dxa"/>
            <w:vAlign w:val="bottom"/>
          </w:tcPr>
          <w:p>
            <w:pPr>
              <w:spacing w:after="0"/>
              <w:rPr>
                <w:sz w:val="20"/>
                <w:szCs w:val="20"/>
                <w:color w:val="auto"/>
              </w:rPr>
            </w:pPr>
          </w:p>
        </w:tc>
        <w:tc>
          <w:tcPr>
            <w:tcW w:w="1520" w:type="dxa"/>
            <w:vAlign w:val="bottom"/>
          </w:tcPr>
          <w:p>
            <w:pPr>
              <w:jc w:val="right"/>
              <w:ind w:right="514"/>
              <w:spacing w:after="0"/>
              <w:rPr>
                <w:sz w:val="20"/>
                <w:szCs w:val="20"/>
                <w:color w:val="auto"/>
              </w:rPr>
            </w:pPr>
            <w:r>
              <w:rPr>
                <w:rFonts w:ascii="Arial" w:cs="Arial" w:eastAsia="Arial" w:hAnsi="Arial"/>
                <w:sz w:val="18"/>
                <w:szCs w:val="18"/>
                <w:color w:val="auto"/>
              </w:rPr>
              <w:t>(448)</w:t>
            </w:r>
          </w:p>
        </w:tc>
        <w:tc>
          <w:tcPr>
            <w:tcW w:w="1140" w:type="dxa"/>
            <w:vAlign w:val="bottom"/>
          </w:tcPr>
          <w:p>
            <w:pPr>
              <w:jc w:val="right"/>
              <w:ind w:right="312"/>
              <w:spacing w:after="0"/>
              <w:rPr>
                <w:sz w:val="20"/>
                <w:szCs w:val="20"/>
                <w:color w:val="auto"/>
              </w:rPr>
            </w:pPr>
            <w:r>
              <w:rPr>
                <w:rFonts w:ascii="Arial" w:cs="Arial" w:eastAsia="Arial" w:hAnsi="Arial"/>
                <w:sz w:val="18"/>
                <w:szCs w:val="18"/>
                <w:color w:val="auto"/>
              </w:rPr>
              <w:t>(10.9)</w:t>
            </w:r>
          </w:p>
        </w:tc>
        <w:tc>
          <w:tcPr>
            <w:tcW w:w="1500" w:type="dxa"/>
            <w:vAlign w:val="bottom"/>
          </w:tcPr>
          <w:p>
            <w:pPr>
              <w:jc w:val="right"/>
              <w:ind w:right="114"/>
              <w:spacing w:after="0"/>
              <w:rPr>
                <w:sz w:val="20"/>
                <w:szCs w:val="20"/>
                <w:color w:val="auto"/>
              </w:rPr>
            </w:pPr>
            <w:r>
              <w:rPr>
                <w:rFonts w:ascii="Arial" w:cs="Arial" w:eastAsia="Arial" w:hAnsi="Arial"/>
                <w:sz w:val="18"/>
                <w:szCs w:val="18"/>
                <w:color w:val="auto"/>
              </w:rPr>
              <w:t>(6.2)</w:t>
            </w:r>
          </w:p>
        </w:tc>
      </w:tr>
      <w:tr>
        <w:trPr>
          <w:trHeight w:val="27"/>
        </w:trPr>
        <w:tc>
          <w:tcPr>
            <w:tcW w:w="3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94"/>
              <w:spacing w:after="0"/>
              <w:rPr>
                <w:sz w:val="20"/>
                <w:szCs w:val="20"/>
                <w:color w:val="auto"/>
              </w:rPr>
            </w:pPr>
            <w:r>
              <w:rPr>
                <w:rFonts w:ascii="Arial" w:cs="Arial" w:eastAsia="Arial" w:hAnsi="Arial"/>
                <w:sz w:val="18"/>
                <w:szCs w:val="18"/>
                <w:b w:val="1"/>
                <w:bCs w:val="1"/>
                <w:color w:val="auto"/>
              </w:rPr>
              <w:t>899</w:t>
            </w:r>
          </w:p>
        </w:tc>
        <w:tc>
          <w:tcPr>
            <w:tcW w:w="5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b w:val="1"/>
                <w:bCs w:val="1"/>
                <w:color w:val="auto"/>
              </w:rPr>
              <w:t>650</w:t>
            </w:r>
          </w:p>
        </w:tc>
        <w:tc>
          <w:tcPr>
            <w:tcW w:w="6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574"/>
              <w:spacing w:after="0"/>
              <w:rPr>
                <w:sz w:val="20"/>
                <w:szCs w:val="20"/>
                <w:color w:val="auto"/>
              </w:rPr>
            </w:pPr>
            <w:r>
              <w:rPr>
                <w:rFonts w:ascii="Arial" w:cs="Arial" w:eastAsia="Arial" w:hAnsi="Arial"/>
                <w:sz w:val="18"/>
                <w:szCs w:val="18"/>
                <w:b w:val="1"/>
                <w:bCs w:val="1"/>
                <w:color w:val="auto"/>
              </w:rPr>
              <w:t>249</w:t>
            </w:r>
          </w:p>
        </w:tc>
        <w:tc>
          <w:tcPr>
            <w:tcW w:w="1140" w:type="dxa"/>
            <w:vAlign w:val="bottom"/>
          </w:tcPr>
          <w:p>
            <w:pPr>
              <w:jc w:val="right"/>
              <w:ind w:right="152"/>
              <w:spacing w:after="0"/>
              <w:rPr>
                <w:sz w:val="20"/>
                <w:szCs w:val="20"/>
                <w:color w:val="auto"/>
              </w:rPr>
            </w:pPr>
            <w:r>
              <w:rPr>
                <w:rFonts w:ascii="Arial" w:cs="Arial" w:eastAsia="Arial" w:hAnsi="Arial"/>
                <w:sz w:val="18"/>
                <w:szCs w:val="18"/>
                <w:b w:val="1"/>
                <w:bCs w:val="1"/>
                <w:color w:val="auto"/>
              </w:rPr>
              <w:t>38.3 %</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46.0 %</w:t>
            </w:r>
          </w:p>
        </w:tc>
      </w:tr>
      <w:tr>
        <w:trPr>
          <w:trHeight w:val="34"/>
        </w:trPr>
        <w:tc>
          <w:tcPr>
            <w:tcW w:w="3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454"/>
        </w:trPr>
        <w:tc>
          <w:tcPr>
            <w:tcW w:w="3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3"/>
          </w:tcPr>
          <w:p>
            <w:pPr>
              <w:jc w:val="right"/>
              <w:ind w:right="873"/>
              <w:spacing w:after="0"/>
              <w:rPr>
                <w:sz w:val="20"/>
                <w:szCs w:val="20"/>
                <w:color w:val="auto"/>
              </w:rPr>
            </w:pPr>
            <w:r>
              <w:rPr>
                <w:rFonts w:ascii="Arial" w:cs="Arial" w:eastAsia="Arial" w:hAnsi="Arial"/>
                <w:sz w:val="14"/>
                <w:szCs w:val="14"/>
                <w:color w:val="auto"/>
              </w:rPr>
              <w:t>Nine Months Ended</w:t>
            </w: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8"/>
        </w:trPr>
        <w:tc>
          <w:tcPr>
            <w:tcW w:w="3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80" w:type="dxa"/>
            <w:vAlign w:val="bottom"/>
            <w:tcBorders>
              <w:bottom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43"/>
        </w:trPr>
        <w:tc>
          <w:tcPr>
            <w:tcW w:w="3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20" w:type="dxa"/>
            <w:vAlign w:val="bottom"/>
          </w:tcPr>
          <w:p>
            <w:pPr>
              <w:jc w:val="center"/>
              <w:ind w:left="514"/>
              <w:spacing w:after="0" w:line="143" w:lineRule="exact"/>
              <w:rPr>
                <w:sz w:val="20"/>
                <w:szCs w:val="20"/>
                <w:color w:val="auto"/>
              </w:rPr>
            </w:pPr>
            <w:r>
              <w:rPr>
                <w:rFonts w:ascii="Arial" w:cs="Arial" w:eastAsia="Arial" w:hAnsi="Arial"/>
                <w:sz w:val="14"/>
                <w:szCs w:val="14"/>
                <w:color w:val="auto"/>
                <w:w w:val="90"/>
              </w:rPr>
              <w:t>Increase/</w:t>
            </w:r>
          </w:p>
        </w:tc>
        <w:tc>
          <w:tcPr>
            <w:tcW w:w="1140" w:type="dxa"/>
            <w:vAlign w:val="bottom"/>
          </w:tcPr>
          <w:p>
            <w:pPr>
              <w:spacing w:after="0"/>
              <w:rPr>
                <w:sz w:val="12"/>
                <w:szCs w:val="12"/>
                <w:color w:val="auto"/>
              </w:rPr>
            </w:pPr>
          </w:p>
        </w:tc>
        <w:tc>
          <w:tcPr>
            <w:tcW w:w="1500" w:type="dxa"/>
            <w:vAlign w:val="bottom"/>
          </w:tcPr>
          <w:p>
            <w:pPr>
              <w:jc w:val="center"/>
              <w:spacing w:after="0" w:line="143" w:lineRule="exact"/>
              <w:rPr>
                <w:sz w:val="20"/>
                <w:szCs w:val="20"/>
                <w:color w:val="auto"/>
              </w:rPr>
            </w:pPr>
            <w:r>
              <w:rPr>
                <w:rFonts w:ascii="Arial" w:cs="Arial" w:eastAsia="Arial" w:hAnsi="Arial"/>
                <w:sz w:val="14"/>
                <w:szCs w:val="14"/>
                <w:color w:val="auto"/>
                <w:w w:val="92"/>
              </w:rPr>
              <w:t>Constant Currency</w:t>
            </w:r>
          </w:p>
        </w:tc>
      </w:tr>
      <w:tr>
        <w:trPr>
          <w:trHeight w:val="188"/>
        </w:trPr>
        <w:tc>
          <w:tcPr>
            <w:tcW w:w="3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color w:val="auto"/>
                <w:w w:val="97"/>
              </w:rPr>
              <w:t>Actual</w:t>
            </w: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color w:val="auto"/>
                <w:w w:val="90"/>
              </w:rPr>
              <w:t>Pro Forma</w:t>
            </w:r>
          </w:p>
        </w:tc>
        <w:tc>
          <w:tcPr>
            <w:tcW w:w="6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left="494"/>
              <w:spacing w:after="0"/>
              <w:rPr>
                <w:sz w:val="20"/>
                <w:szCs w:val="20"/>
                <w:color w:val="auto"/>
              </w:rPr>
            </w:pPr>
            <w:r>
              <w:rPr>
                <w:rFonts w:ascii="Arial" w:cs="Arial" w:eastAsia="Arial" w:hAnsi="Arial"/>
                <w:sz w:val="14"/>
                <w:szCs w:val="14"/>
                <w:color w:val="auto"/>
                <w:w w:val="89"/>
              </w:rPr>
              <w:t>(Decrease)</w:t>
            </w:r>
          </w:p>
        </w:tc>
        <w:tc>
          <w:tcPr>
            <w:tcW w:w="1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Growth</w:t>
            </w:r>
            <w:r>
              <w:rPr>
                <w:rFonts w:ascii="Arial" w:cs="Arial" w:eastAsia="Arial" w:hAnsi="Arial"/>
                <w:sz w:val="8"/>
                <w:szCs w:val="8"/>
                <w:color w:val="auto"/>
                <w:w w:val="98"/>
              </w:rPr>
              <w:t>(a)</w:t>
            </w:r>
          </w:p>
        </w:tc>
      </w:tr>
      <w:tr>
        <w:trPr>
          <w:trHeight w:val="264"/>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color w:val="auto"/>
                <w:w w:val="89"/>
              </w:rPr>
              <w:t>2019</w:t>
            </w: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color w:val="auto"/>
                <w:w w:val="89"/>
              </w:rPr>
              <w:t>2018</w:t>
            </w:r>
          </w:p>
        </w:tc>
        <w:tc>
          <w:tcPr>
            <w:tcW w:w="6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94"/>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0"/>
        </w:trPr>
        <w:tc>
          <w:tcPr>
            <w:tcW w:w="3560" w:type="dxa"/>
            <w:vAlign w:val="bottom"/>
          </w:tcPr>
          <w:p>
            <w:pPr>
              <w:ind w:left="380"/>
              <w:spacing w:after="0"/>
              <w:rPr>
                <w:sz w:val="20"/>
                <w:szCs w:val="20"/>
                <w:color w:val="auto"/>
              </w:rPr>
            </w:pPr>
            <w:r>
              <w:rPr>
                <w:rFonts w:ascii="Arial" w:cs="Arial" w:eastAsia="Arial" w:hAnsi="Arial"/>
                <w:sz w:val="18"/>
                <w:szCs w:val="18"/>
                <w:color w:val="auto"/>
              </w:rPr>
              <w:t>Direct-to-consumer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11,516</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12,101</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14"/>
              <w:spacing w:after="0"/>
              <w:rPr>
                <w:sz w:val="20"/>
                <w:szCs w:val="20"/>
                <w:color w:val="auto"/>
              </w:rPr>
            </w:pPr>
            <w:r>
              <w:rPr>
                <w:rFonts w:ascii="Arial" w:cs="Arial" w:eastAsia="Arial" w:hAnsi="Arial"/>
                <w:sz w:val="18"/>
                <w:szCs w:val="18"/>
                <w:color w:val="auto"/>
              </w:rPr>
              <w:t>(585)</w:t>
            </w: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(4.8)%</w:t>
            </w:r>
          </w:p>
        </w:tc>
        <w:tc>
          <w:tcPr>
            <w:tcW w:w="150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70"/>
        </w:trPr>
        <w:tc>
          <w:tcPr>
            <w:tcW w:w="3560" w:type="dxa"/>
            <w:vAlign w:val="bottom"/>
          </w:tcPr>
          <w:p>
            <w:pPr>
              <w:ind w:left="380"/>
              <w:spacing w:after="0"/>
              <w:rPr>
                <w:sz w:val="20"/>
                <w:szCs w:val="20"/>
                <w:color w:val="auto"/>
              </w:rPr>
            </w:pPr>
            <w:r>
              <w:rPr>
                <w:rFonts w:ascii="Arial" w:cs="Arial" w:eastAsia="Arial" w:hAnsi="Arial"/>
                <w:sz w:val="18"/>
                <w:szCs w:val="18"/>
                <w:color w:val="auto"/>
              </w:rPr>
              <w:t>Content</w:t>
            </w:r>
          </w:p>
        </w:tc>
        <w:tc>
          <w:tcPr>
            <w:tcW w:w="32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1,061</w:t>
            </w:r>
          </w:p>
        </w:tc>
        <w:tc>
          <w:tcPr>
            <w:tcW w:w="5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885</w:t>
            </w:r>
          </w:p>
        </w:tc>
        <w:tc>
          <w:tcPr>
            <w:tcW w:w="600" w:type="dxa"/>
            <w:vAlign w:val="bottom"/>
          </w:tcPr>
          <w:p>
            <w:pPr>
              <w:spacing w:after="0"/>
              <w:rPr>
                <w:sz w:val="23"/>
                <w:szCs w:val="23"/>
                <w:color w:val="auto"/>
              </w:rPr>
            </w:pPr>
          </w:p>
        </w:tc>
        <w:tc>
          <w:tcPr>
            <w:tcW w:w="1520" w:type="dxa"/>
            <w:vAlign w:val="bottom"/>
          </w:tcPr>
          <w:p>
            <w:pPr>
              <w:jc w:val="right"/>
              <w:ind w:right="574"/>
              <w:spacing w:after="0"/>
              <w:rPr>
                <w:sz w:val="20"/>
                <w:szCs w:val="20"/>
                <w:color w:val="auto"/>
              </w:rPr>
            </w:pPr>
            <w:r>
              <w:rPr>
                <w:rFonts w:ascii="Arial" w:cs="Arial" w:eastAsia="Arial" w:hAnsi="Arial"/>
                <w:sz w:val="18"/>
                <w:szCs w:val="18"/>
                <w:color w:val="auto"/>
              </w:rPr>
              <w:t>176</w:t>
            </w:r>
          </w:p>
        </w:tc>
        <w:tc>
          <w:tcPr>
            <w:tcW w:w="1140" w:type="dxa"/>
            <w:vAlign w:val="bottom"/>
          </w:tcPr>
          <w:p>
            <w:pPr>
              <w:jc w:val="right"/>
              <w:ind w:right="372"/>
              <w:spacing w:after="0"/>
              <w:rPr>
                <w:sz w:val="20"/>
                <w:szCs w:val="20"/>
                <w:color w:val="auto"/>
              </w:rPr>
            </w:pPr>
            <w:r>
              <w:rPr>
                <w:rFonts w:ascii="Arial" w:cs="Arial" w:eastAsia="Arial" w:hAnsi="Arial"/>
                <w:sz w:val="18"/>
                <w:szCs w:val="18"/>
                <w:color w:val="auto"/>
              </w:rPr>
              <w:t>20.0</w:t>
            </w:r>
          </w:p>
        </w:tc>
        <w:tc>
          <w:tcPr>
            <w:tcW w:w="1500" w:type="dxa"/>
            <w:vAlign w:val="bottom"/>
          </w:tcPr>
          <w:p>
            <w:pPr>
              <w:jc w:val="right"/>
              <w:ind w:right="174"/>
              <w:spacing w:after="0"/>
              <w:rPr>
                <w:sz w:val="20"/>
                <w:szCs w:val="20"/>
                <w:color w:val="auto"/>
              </w:rPr>
            </w:pPr>
            <w:r>
              <w:rPr>
                <w:rFonts w:ascii="Arial" w:cs="Arial" w:eastAsia="Arial" w:hAnsi="Arial"/>
                <w:sz w:val="18"/>
                <w:szCs w:val="18"/>
                <w:color w:val="auto"/>
              </w:rPr>
              <w:t>26.9</w:t>
            </w:r>
          </w:p>
        </w:tc>
      </w:tr>
      <w:tr>
        <w:trPr>
          <w:trHeight w:val="270"/>
        </w:trPr>
        <w:tc>
          <w:tcPr>
            <w:tcW w:w="356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2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1,602</w:t>
            </w:r>
          </w:p>
        </w:tc>
        <w:tc>
          <w:tcPr>
            <w:tcW w:w="5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1,807</w:t>
            </w:r>
          </w:p>
        </w:tc>
        <w:tc>
          <w:tcPr>
            <w:tcW w:w="600" w:type="dxa"/>
            <w:vAlign w:val="bottom"/>
          </w:tcPr>
          <w:p>
            <w:pPr>
              <w:spacing w:after="0"/>
              <w:rPr>
                <w:sz w:val="23"/>
                <w:szCs w:val="23"/>
                <w:color w:val="auto"/>
              </w:rPr>
            </w:pPr>
          </w:p>
        </w:tc>
        <w:tc>
          <w:tcPr>
            <w:tcW w:w="1520" w:type="dxa"/>
            <w:vAlign w:val="bottom"/>
          </w:tcPr>
          <w:p>
            <w:pPr>
              <w:jc w:val="right"/>
              <w:ind w:right="514"/>
              <w:spacing w:after="0"/>
              <w:rPr>
                <w:sz w:val="20"/>
                <w:szCs w:val="20"/>
                <w:color w:val="auto"/>
              </w:rPr>
            </w:pPr>
            <w:r>
              <w:rPr>
                <w:rFonts w:ascii="Arial" w:cs="Arial" w:eastAsia="Arial" w:hAnsi="Arial"/>
                <w:sz w:val="18"/>
                <w:szCs w:val="18"/>
                <w:color w:val="auto"/>
              </w:rPr>
              <w:t>(205)</w:t>
            </w:r>
          </w:p>
        </w:tc>
        <w:tc>
          <w:tcPr>
            <w:tcW w:w="1140" w:type="dxa"/>
            <w:vAlign w:val="bottom"/>
          </w:tcPr>
          <w:p>
            <w:pPr>
              <w:jc w:val="right"/>
              <w:ind w:right="312"/>
              <w:spacing w:after="0"/>
              <w:rPr>
                <w:sz w:val="20"/>
                <w:szCs w:val="20"/>
                <w:color w:val="auto"/>
              </w:rPr>
            </w:pPr>
            <w:r>
              <w:rPr>
                <w:rFonts w:ascii="Arial" w:cs="Arial" w:eastAsia="Arial" w:hAnsi="Arial"/>
                <w:sz w:val="18"/>
                <w:szCs w:val="18"/>
                <w:color w:val="auto"/>
              </w:rPr>
              <w:t>(11.3)</w:t>
            </w:r>
          </w:p>
        </w:tc>
        <w:tc>
          <w:tcPr>
            <w:tcW w:w="1500" w:type="dxa"/>
            <w:vAlign w:val="bottom"/>
          </w:tcPr>
          <w:p>
            <w:pPr>
              <w:jc w:val="right"/>
              <w:ind w:right="114"/>
              <w:spacing w:after="0"/>
              <w:rPr>
                <w:sz w:val="20"/>
                <w:szCs w:val="20"/>
                <w:color w:val="auto"/>
              </w:rPr>
            </w:pPr>
            <w:r>
              <w:rPr>
                <w:rFonts w:ascii="Arial" w:cs="Arial" w:eastAsia="Arial" w:hAnsi="Arial"/>
                <w:sz w:val="18"/>
                <w:szCs w:val="18"/>
                <w:color w:val="auto"/>
              </w:rPr>
              <w:t>(6.0)</w:t>
            </w:r>
          </w:p>
        </w:tc>
      </w:tr>
      <w:tr>
        <w:trPr>
          <w:trHeight w:val="27"/>
        </w:trPr>
        <w:tc>
          <w:tcPr>
            <w:tcW w:w="3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tcPr>
          <w:p>
            <w:pPr>
              <w:spacing w:after="0"/>
              <w:rPr>
                <w:sz w:val="20"/>
                <w:szCs w:val="20"/>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b w:val="1"/>
                <w:bCs w:val="1"/>
                <w:color w:val="auto"/>
              </w:rPr>
              <w:t>14,179</w:t>
            </w:r>
          </w:p>
        </w:tc>
        <w:tc>
          <w:tcPr>
            <w:tcW w:w="50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b w:val="1"/>
                <w:bCs w:val="1"/>
                <w:color w:val="auto"/>
              </w:rPr>
              <w:t>14,793</w:t>
            </w:r>
          </w:p>
        </w:tc>
        <w:tc>
          <w:tcPr>
            <w:tcW w:w="600" w:type="dxa"/>
            <w:vAlign w:val="bottom"/>
          </w:tcPr>
          <w:p>
            <w:pPr>
              <w:spacing w:after="0"/>
              <w:rPr>
                <w:sz w:val="20"/>
                <w:szCs w:val="20"/>
                <w:color w:val="auto"/>
              </w:rPr>
            </w:pPr>
          </w:p>
        </w:tc>
        <w:tc>
          <w:tcPr>
            <w:tcW w:w="1520" w:type="dxa"/>
            <w:vAlign w:val="bottom"/>
          </w:tcPr>
          <w:p>
            <w:pPr>
              <w:jc w:val="right"/>
              <w:ind w:right="514"/>
              <w:spacing w:after="0"/>
              <w:rPr>
                <w:sz w:val="20"/>
                <w:szCs w:val="20"/>
                <w:color w:val="auto"/>
              </w:rPr>
            </w:pPr>
            <w:r>
              <w:rPr>
                <w:rFonts w:ascii="Arial" w:cs="Arial" w:eastAsia="Arial" w:hAnsi="Arial"/>
                <w:sz w:val="18"/>
                <w:szCs w:val="18"/>
                <w:b w:val="1"/>
                <w:bCs w:val="1"/>
                <w:color w:val="auto"/>
              </w:rPr>
              <w:t>(614)</w:t>
            </w:r>
          </w:p>
        </w:tc>
        <w:tc>
          <w:tcPr>
            <w:tcW w:w="1140" w:type="dxa"/>
            <w:vAlign w:val="bottom"/>
          </w:tcPr>
          <w:p>
            <w:pPr>
              <w:jc w:val="right"/>
              <w:ind w:right="312"/>
              <w:spacing w:after="0"/>
              <w:rPr>
                <w:sz w:val="20"/>
                <w:szCs w:val="20"/>
                <w:color w:val="auto"/>
              </w:rPr>
            </w:pPr>
            <w:r>
              <w:rPr>
                <w:rFonts w:ascii="Arial" w:cs="Arial" w:eastAsia="Arial" w:hAnsi="Arial"/>
                <w:sz w:val="18"/>
                <w:szCs w:val="18"/>
                <w:b w:val="1"/>
                <w:bCs w:val="1"/>
                <w:color w:val="auto"/>
              </w:rPr>
              <w:t>(4.1)</w:t>
            </w:r>
          </w:p>
        </w:tc>
        <w:tc>
          <w:tcPr>
            <w:tcW w:w="1500" w:type="dxa"/>
            <w:vAlign w:val="bottom"/>
          </w:tcPr>
          <w:p>
            <w:pPr>
              <w:jc w:val="right"/>
              <w:ind w:right="174"/>
              <w:spacing w:after="0"/>
              <w:rPr>
                <w:sz w:val="20"/>
                <w:szCs w:val="20"/>
                <w:color w:val="auto"/>
              </w:rPr>
            </w:pPr>
            <w:r>
              <w:rPr>
                <w:rFonts w:ascii="Arial" w:cs="Arial" w:eastAsia="Arial" w:hAnsi="Arial"/>
                <w:sz w:val="18"/>
                <w:szCs w:val="18"/>
                <w:b w:val="1"/>
                <w:bCs w:val="1"/>
                <w:color w:val="auto"/>
              </w:rPr>
              <w:t>1.8</w:t>
            </w:r>
          </w:p>
        </w:tc>
      </w:tr>
      <w:tr>
        <w:trPr>
          <w:trHeight w:val="270"/>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356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2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6,543</w:t>
            </w:r>
          </w:p>
        </w:tc>
        <w:tc>
          <w:tcPr>
            <w:tcW w:w="5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6,440</w:t>
            </w:r>
          </w:p>
        </w:tc>
        <w:tc>
          <w:tcPr>
            <w:tcW w:w="600" w:type="dxa"/>
            <w:vAlign w:val="bottom"/>
          </w:tcPr>
          <w:p>
            <w:pPr>
              <w:spacing w:after="0"/>
              <w:rPr>
                <w:sz w:val="23"/>
                <w:szCs w:val="23"/>
                <w:color w:val="auto"/>
              </w:rPr>
            </w:pPr>
          </w:p>
        </w:tc>
        <w:tc>
          <w:tcPr>
            <w:tcW w:w="1520" w:type="dxa"/>
            <w:vAlign w:val="bottom"/>
          </w:tcPr>
          <w:p>
            <w:pPr>
              <w:jc w:val="right"/>
              <w:ind w:right="574"/>
              <w:spacing w:after="0"/>
              <w:rPr>
                <w:sz w:val="20"/>
                <w:szCs w:val="20"/>
                <w:color w:val="auto"/>
              </w:rPr>
            </w:pPr>
            <w:r>
              <w:rPr>
                <w:rFonts w:ascii="Arial" w:cs="Arial" w:eastAsia="Arial" w:hAnsi="Arial"/>
                <w:sz w:val="18"/>
                <w:szCs w:val="18"/>
                <w:color w:val="auto"/>
              </w:rPr>
              <w:t>103</w:t>
            </w:r>
          </w:p>
        </w:tc>
        <w:tc>
          <w:tcPr>
            <w:tcW w:w="1140" w:type="dxa"/>
            <w:vAlign w:val="bottom"/>
          </w:tcPr>
          <w:p>
            <w:pPr>
              <w:jc w:val="right"/>
              <w:ind w:right="372"/>
              <w:spacing w:after="0"/>
              <w:rPr>
                <w:sz w:val="20"/>
                <w:szCs w:val="20"/>
                <w:color w:val="auto"/>
              </w:rPr>
            </w:pPr>
            <w:r>
              <w:rPr>
                <w:rFonts w:ascii="Arial" w:cs="Arial" w:eastAsia="Arial" w:hAnsi="Arial"/>
                <w:sz w:val="18"/>
                <w:szCs w:val="18"/>
                <w:color w:val="auto"/>
              </w:rPr>
              <w:t>1.6</w:t>
            </w:r>
          </w:p>
        </w:tc>
        <w:tc>
          <w:tcPr>
            <w:tcW w:w="1500" w:type="dxa"/>
            <w:vAlign w:val="bottom"/>
          </w:tcPr>
          <w:p>
            <w:pPr>
              <w:jc w:val="right"/>
              <w:ind w:right="174"/>
              <w:spacing w:after="0"/>
              <w:rPr>
                <w:sz w:val="20"/>
                <w:szCs w:val="20"/>
                <w:color w:val="auto"/>
              </w:rPr>
            </w:pPr>
            <w:r>
              <w:rPr>
                <w:rFonts w:ascii="Arial" w:cs="Arial" w:eastAsia="Arial" w:hAnsi="Arial"/>
                <w:sz w:val="18"/>
                <w:szCs w:val="18"/>
                <w:color w:val="auto"/>
              </w:rPr>
              <w:t>7.9</w:t>
            </w:r>
          </w:p>
        </w:tc>
      </w:tr>
      <w:tr>
        <w:trPr>
          <w:trHeight w:val="270"/>
        </w:trPr>
        <w:tc>
          <w:tcPr>
            <w:tcW w:w="3560" w:type="dxa"/>
            <w:vAlign w:val="bottom"/>
          </w:tcPr>
          <w:p>
            <w:pPr>
              <w:ind w:left="380"/>
              <w:spacing w:after="0"/>
              <w:rPr>
                <w:sz w:val="20"/>
                <w:szCs w:val="20"/>
                <w:color w:val="auto"/>
              </w:rPr>
            </w:pPr>
            <w:r>
              <w:rPr>
                <w:rFonts w:ascii="Arial" w:cs="Arial" w:eastAsia="Arial" w:hAnsi="Arial"/>
                <w:sz w:val="18"/>
                <w:szCs w:val="18"/>
                <w:color w:val="auto"/>
              </w:rPr>
              <w:t>Direct network costs</w:t>
            </w:r>
          </w:p>
        </w:tc>
        <w:tc>
          <w:tcPr>
            <w:tcW w:w="32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1,218</w:t>
            </w:r>
          </w:p>
        </w:tc>
        <w:tc>
          <w:tcPr>
            <w:tcW w:w="5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1,206</w:t>
            </w:r>
          </w:p>
        </w:tc>
        <w:tc>
          <w:tcPr>
            <w:tcW w:w="600" w:type="dxa"/>
            <w:vAlign w:val="bottom"/>
          </w:tcPr>
          <w:p>
            <w:pPr>
              <w:spacing w:after="0"/>
              <w:rPr>
                <w:sz w:val="23"/>
                <w:szCs w:val="23"/>
                <w:color w:val="auto"/>
              </w:rPr>
            </w:pPr>
          </w:p>
        </w:tc>
        <w:tc>
          <w:tcPr>
            <w:tcW w:w="1520" w:type="dxa"/>
            <w:vAlign w:val="bottom"/>
          </w:tcPr>
          <w:p>
            <w:pPr>
              <w:jc w:val="right"/>
              <w:ind w:right="574"/>
              <w:spacing w:after="0"/>
              <w:rPr>
                <w:sz w:val="20"/>
                <w:szCs w:val="20"/>
                <w:color w:val="auto"/>
              </w:rPr>
            </w:pPr>
            <w:r>
              <w:rPr>
                <w:rFonts w:ascii="Arial" w:cs="Arial" w:eastAsia="Arial" w:hAnsi="Arial"/>
                <w:sz w:val="18"/>
                <w:szCs w:val="18"/>
                <w:color w:val="auto"/>
              </w:rPr>
              <w:t>12</w:t>
            </w:r>
          </w:p>
        </w:tc>
        <w:tc>
          <w:tcPr>
            <w:tcW w:w="1140" w:type="dxa"/>
            <w:vAlign w:val="bottom"/>
          </w:tcPr>
          <w:p>
            <w:pPr>
              <w:jc w:val="right"/>
              <w:ind w:right="372"/>
              <w:spacing w:after="0"/>
              <w:rPr>
                <w:sz w:val="20"/>
                <w:szCs w:val="20"/>
                <w:color w:val="auto"/>
              </w:rPr>
            </w:pPr>
            <w:r>
              <w:rPr>
                <w:rFonts w:ascii="Arial" w:cs="Arial" w:eastAsia="Arial" w:hAnsi="Arial"/>
                <w:sz w:val="18"/>
                <w:szCs w:val="18"/>
                <w:color w:val="auto"/>
              </w:rPr>
              <w:t>1.0</w:t>
            </w:r>
          </w:p>
        </w:tc>
        <w:tc>
          <w:tcPr>
            <w:tcW w:w="1500" w:type="dxa"/>
            <w:vAlign w:val="bottom"/>
          </w:tcPr>
          <w:p>
            <w:pPr>
              <w:jc w:val="right"/>
              <w:ind w:right="174"/>
              <w:spacing w:after="0"/>
              <w:rPr>
                <w:sz w:val="20"/>
                <w:szCs w:val="20"/>
                <w:color w:val="auto"/>
              </w:rPr>
            </w:pPr>
            <w:r>
              <w:rPr>
                <w:rFonts w:ascii="Arial" w:cs="Arial" w:eastAsia="Arial" w:hAnsi="Arial"/>
                <w:sz w:val="18"/>
                <w:szCs w:val="18"/>
                <w:color w:val="auto"/>
              </w:rPr>
              <w:t>7.2</w:t>
            </w:r>
          </w:p>
        </w:tc>
      </w:tr>
      <w:tr>
        <w:trPr>
          <w:trHeight w:val="270"/>
        </w:trPr>
        <w:tc>
          <w:tcPr>
            <w:tcW w:w="3560" w:type="dxa"/>
            <w:vAlign w:val="bottom"/>
          </w:tcPr>
          <w:p>
            <w:pPr>
              <w:ind w:left="3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3"/>
                <w:szCs w:val="23"/>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4,084</w:t>
            </w:r>
          </w:p>
        </w:tc>
        <w:tc>
          <w:tcPr>
            <w:tcW w:w="5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5,018</w:t>
            </w:r>
          </w:p>
        </w:tc>
        <w:tc>
          <w:tcPr>
            <w:tcW w:w="600" w:type="dxa"/>
            <w:vAlign w:val="bottom"/>
          </w:tcPr>
          <w:p>
            <w:pPr>
              <w:spacing w:after="0"/>
              <w:rPr>
                <w:sz w:val="23"/>
                <w:szCs w:val="23"/>
                <w:color w:val="auto"/>
              </w:rPr>
            </w:pPr>
          </w:p>
        </w:tc>
        <w:tc>
          <w:tcPr>
            <w:tcW w:w="1520" w:type="dxa"/>
            <w:vAlign w:val="bottom"/>
          </w:tcPr>
          <w:p>
            <w:pPr>
              <w:jc w:val="right"/>
              <w:ind w:right="514"/>
              <w:spacing w:after="0"/>
              <w:rPr>
                <w:sz w:val="20"/>
                <w:szCs w:val="20"/>
                <w:color w:val="auto"/>
              </w:rPr>
            </w:pPr>
            <w:r>
              <w:rPr>
                <w:rFonts w:ascii="Arial" w:cs="Arial" w:eastAsia="Arial" w:hAnsi="Arial"/>
                <w:sz w:val="18"/>
                <w:szCs w:val="18"/>
                <w:color w:val="auto"/>
              </w:rPr>
              <w:t>(934)</w:t>
            </w:r>
          </w:p>
        </w:tc>
        <w:tc>
          <w:tcPr>
            <w:tcW w:w="1140" w:type="dxa"/>
            <w:vAlign w:val="bottom"/>
          </w:tcPr>
          <w:p>
            <w:pPr>
              <w:jc w:val="right"/>
              <w:ind w:right="312"/>
              <w:spacing w:after="0"/>
              <w:rPr>
                <w:sz w:val="20"/>
                <w:szCs w:val="20"/>
                <w:color w:val="auto"/>
              </w:rPr>
            </w:pPr>
            <w:r>
              <w:rPr>
                <w:rFonts w:ascii="Arial" w:cs="Arial" w:eastAsia="Arial" w:hAnsi="Arial"/>
                <w:sz w:val="18"/>
                <w:szCs w:val="18"/>
                <w:color w:val="auto"/>
              </w:rPr>
              <w:t>(18.6)</w:t>
            </w:r>
          </w:p>
        </w:tc>
        <w:tc>
          <w:tcPr>
            <w:tcW w:w="1500" w:type="dxa"/>
            <w:vAlign w:val="bottom"/>
          </w:tcPr>
          <w:p>
            <w:pPr>
              <w:jc w:val="right"/>
              <w:ind w:right="114"/>
              <w:spacing w:after="0"/>
              <w:rPr>
                <w:sz w:val="20"/>
                <w:szCs w:val="20"/>
                <w:color w:val="auto"/>
              </w:rPr>
            </w:pPr>
            <w:r>
              <w:rPr>
                <w:rFonts w:ascii="Arial" w:cs="Arial" w:eastAsia="Arial" w:hAnsi="Arial"/>
                <w:sz w:val="18"/>
                <w:szCs w:val="18"/>
                <w:color w:val="auto"/>
              </w:rPr>
              <w:t>(13.7)</w:t>
            </w:r>
          </w:p>
        </w:tc>
      </w:tr>
      <w:tr>
        <w:trPr>
          <w:trHeight w:val="27"/>
        </w:trPr>
        <w:tc>
          <w:tcPr>
            <w:tcW w:w="3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20" w:type="dxa"/>
            <w:vAlign w:val="bottom"/>
          </w:tcPr>
          <w:p>
            <w:pPr>
              <w:spacing w:after="0"/>
              <w:rPr>
                <w:sz w:val="20"/>
                <w:szCs w:val="20"/>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11,845</w:t>
            </w:r>
          </w:p>
        </w:tc>
        <w:tc>
          <w:tcPr>
            <w:tcW w:w="50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12,664</w:t>
            </w:r>
          </w:p>
        </w:tc>
        <w:tc>
          <w:tcPr>
            <w:tcW w:w="600" w:type="dxa"/>
            <w:vAlign w:val="bottom"/>
          </w:tcPr>
          <w:p>
            <w:pPr>
              <w:spacing w:after="0"/>
              <w:rPr>
                <w:sz w:val="20"/>
                <w:szCs w:val="20"/>
                <w:color w:val="auto"/>
              </w:rPr>
            </w:pPr>
          </w:p>
        </w:tc>
        <w:tc>
          <w:tcPr>
            <w:tcW w:w="1520" w:type="dxa"/>
            <w:vAlign w:val="bottom"/>
          </w:tcPr>
          <w:p>
            <w:pPr>
              <w:jc w:val="right"/>
              <w:ind w:right="514"/>
              <w:spacing w:after="0"/>
              <w:rPr>
                <w:sz w:val="20"/>
                <w:szCs w:val="20"/>
                <w:color w:val="auto"/>
              </w:rPr>
            </w:pPr>
            <w:r>
              <w:rPr>
                <w:rFonts w:ascii="Arial" w:cs="Arial" w:eastAsia="Arial" w:hAnsi="Arial"/>
                <w:sz w:val="18"/>
                <w:szCs w:val="18"/>
                <w:color w:val="auto"/>
              </w:rPr>
              <w:t>(819)</w:t>
            </w:r>
          </w:p>
        </w:tc>
        <w:tc>
          <w:tcPr>
            <w:tcW w:w="1140" w:type="dxa"/>
            <w:vAlign w:val="bottom"/>
          </w:tcPr>
          <w:p>
            <w:pPr>
              <w:jc w:val="right"/>
              <w:ind w:right="312"/>
              <w:spacing w:after="0"/>
              <w:rPr>
                <w:sz w:val="20"/>
                <w:szCs w:val="20"/>
                <w:color w:val="auto"/>
              </w:rPr>
            </w:pPr>
            <w:r>
              <w:rPr>
                <w:rFonts w:ascii="Arial" w:cs="Arial" w:eastAsia="Arial" w:hAnsi="Arial"/>
                <w:sz w:val="18"/>
                <w:szCs w:val="18"/>
                <w:color w:val="auto"/>
              </w:rPr>
              <w:t>(6.5)</w:t>
            </w:r>
          </w:p>
        </w:tc>
        <w:tc>
          <w:tcPr>
            <w:tcW w:w="1500" w:type="dxa"/>
            <w:vAlign w:val="bottom"/>
          </w:tcPr>
          <w:p>
            <w:pPr>
              <w:jc w:val="right"/>
              <w:ind w:right="114"/>
              <w:spacing w:after="0"/>
              <w:rPr>
                <w:sz w:val="20"/>
                <w:szCs w:val="20"/>
                <w:color w:val="auto"/>
              </w:rPr>
            </w:pPr>
            <w:r>
              <w:rPr>
                <w:rFonts w:ascii="Arial" w:cs="Arial" w:eastAsia="Arial" w:hAnsi="Arial"/>
                <w:sz w:val="18"/>
                <w:szCs w:val="18"/>
                <w:color w:val="auto"/>
              </w:rPr>
              <w:t>(0.7)</w:t>
            </w:r>
          </w:p>
        </w:tc>
      </w:tr>
      <w:tr>
        <w:trPr>
          <w:trHeight w:val="27"/>
        </w:trPr>
        <w:tc>
          <w:tcPr>
            <w:tcW w:w="3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94"/>
              <w:spacing w:after="0"/>
              <w:rPr>
                <w:sz w:val="20"/>
                <w:szCs w:val="20"/>
                <w:color w:val="auto"/>
              </w:rPr>
            </w:pPr>
            <w:r>
              <w:rPr>
                <w:rFonts w:ascii="Arial" w:cs="Arial" w:eastAsia="Arial" w:hAnsi="Arial"/>
                <w:sz w:val="18"/>
                <w:szCs w:val="18"/>
                <w:b w:val="1"/>
                <w:bCs w:val="1"/>
                <w:color w:val="auto"/>
              </w:rPr>
              <w:t>2,334</w:t>
            </w:r>
          </w:p>
        </w:tc>
        <w:tc>
          <w:tcPr>
            <w:tcW w:w="5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b w:val="1"/>
                <w:bCs w:val="1"/>
                <w:color w:val="auto"/>
              </w:rPr>
              <w:t>2,129</w:t>
            </w:r>
          </w:p>
        </w:tc>
        <w:tc>
          <w:tcPr>
            <w:tcW w:w="6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574"/>
              <w:spacing w:after="0"/>
              <w:rPr>
                <w:sz w:val="20"/>
                <w:szCs w:val="20"/>
                <w:color w:val="auto"/>
              </w:rPr>
            </w:pPr>
            <w:r>
              <w:rPr>
                <w:rFonts w:ascii="Arial" w:cs="Arial" w:eastAsia="Arial" w:hAnsi="Arial"/>
                <w:sz w:val="18"/>
                <w:szCs w:val="18"/>
                <w:b w:val="1"/>
                <w:bCs w:val="1"/>
                <w:color w:val="auto"/>
              </w:rPr>
              <w:t>205</w:t>
            </w:r>
          </w:p>
        </w:tc>
        <w:tc>
          <w:tcPr>
            <w:tcW w:w="1140" w:type="dxa"/>
            <w:vAlign w:val="bottom"/>
          </w:tcPr>
          <w:p>
            <w:pPr>
              <w:jc w:val="right"/>
              <w:ind w:right="152"/>
              <w:spacing w:after="0"/>
              <w:rPr>
                <w:sz w:val="20"/>
                <w:szCs w:val="20"/>
                <w:color w:val="auto"/>
              </w:rPr>
            </w:pPr>
            <w:r>
              <w:rPr>
                <w:rFonts w:ascii="Arial" w:cs="Arial" w:eastAsia="Arial" w:hAnsi="Arial"/>
                <w:sz w:val="18"/>
                <w:szCs w:val="18"/>
                <w:b w:val="1"/>
                <w:bCs w:val="1"/>
                <w:color w:val="auto"/>
              </w:rPr>
              <w:t>9.6 %</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16.7 %</w:t>
            </w:r>
          </w:p>
        </w:tc>
      </w:tr>
      <w:tr>
        <w:trPr>
          <w:trHeight w:val="34"/>
        </w:trPr>
        <w:tc>
          <w:tcPr>
            <w:tcW w:w="3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163" w:lineRule="exact"/>
        <w:rPr>
          <w:sz w:val="20"/>
          <w:szCs w:val="20"/>
          <w:color w:val="auto"/>
        </w:rPr>
      </w:pPr>
    </w:p>
    <w:p>
      <w:pPr>
        <w:ind w:left="260" w:hanging="252"/>
        <w:spacing w:after="0" w:line="273" w:lineRule="auto"/>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Constant currency growth is a non-GAAP financial measure. Refer to the “Non-GAAP Financial Measures” section on page 44 for additional information, including our definition and our use of constant currency, and for a reconciliation of Sky’s constant currency growth rates.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75"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 Metrics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color w:val="auto"/>
              </w:rPr>
              <w:t>Net Additions</w:t>
            </w:r>
          </w:p>
        </w:tc>
        <w:tc>
          <w:tcPr>
            <w:tcW w:w="960" w:type="dxa"/>
            <w:vAlign w:val="bottom"/>
            <w:tcBorders>
              <w:bottom w:val="single" w:sz="8" w:color="auto"/>
            </w:tcBorders>
          </w:tcPr>
          <w:p>
            <w:pPr>
              <w:spacing w:after="0"/>
              <w:rPr>
                <w:sz w:val="16"/>
                <w:szCs w:val="16"/>
                <w:color w:val="auto"/>
              </w:rPr>
            </w:pPr>
          </w:p>
        </w:tc>
      </w:tr>
      <w:tr>
        <w:trPr>
          <w:trHeight w:val="156"/>
        </w:trPr>
        <w:tc>
          <w:tcPr>
            <w:tcW w:w="5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60" w:type="dxa"/>
            <w:vAlign w:val="bottom"/>
            <w:gridSpan w:val="2"/>
          </w:tcPr>
          <w:p>
            <w:pPr>
              <w:jc w:val="center"/>
              <w:ind w:right="4"/>
              <w:spacing w:after="0" w:line="157" w:lineRule="exact"/>
              <w:rPr>
                <w:sz w:val="20"/>
                <w:szCs w:val="20"/>
                <w:color w:val="auto"/>
              </w:rPr>
            </w:pPr>
            <w:r>
              <w:rPr>
                <w:rFonts w:ascii="Arial" w:cs="Arial" w:eastAsia="Arial" w:hAnsi="Arial"/>
                <w:sz w:val="14"/>
                <w:szCs w:val="14"/>
                <w:color w:val="auto"/>
                <w:w w:val="91"/>
              </w:rPr>
              <w:t>Three Months Ended</w:t>
            </w:r>
          </w:p>
        </w:tc>
        <w:tc>
          <w:tcPr>
            <w:tcW w:w="192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Nine Months Ended</w:t>
            </w:r>
          </w:p>
        </w:tc>
      </w:tr>
      <w:tr>
        <w:trPr>
          <w:trHeight w:val="188"/>
        </w:trPr>
        <w:tc>
          <w:tcPr>
            <w:tcW w:w="5260" w:type="dxa"/>
            <w:vAlign w:val="bottom"/>
          </w:tcPr>
          <w:p>
            <w:pPr>
              <w:spacing w:after="0"/>
              <w:rPr>
                <w:sz w:val="16"/>
                <w:szCs w:val="16"/>
                <w:color w:val="auto"/>
              </w:rPr>
            </w:pPr>
          </w:p>
        </w:tc>
        <w:tc>
          <w:tcPr>
            <w:tcW w:w="2080" w:type="dxa"/>
            <w:vAlign w:val="bottom"/>
            <w:tcBorders>
              <w:bottom w:val="single" w:sz="8" w:color="auto"/>
            </w:tcBorders>
            <w:gridSpan w:val="2"/>
          </w:tcPr>
          <w:p>
            <w:pPr>
              <w:jc w:val="right"/>
              <w:ind w:right="542"/>
              <w:spacing w:after="0"/>
              <w:rPr>
                <w:sz w:val="20"/>
                <w:szCs w:val="20"/>
                <w:color w:val="auto"/>
              </w:rPr>
            </w:pPr>
            <w:r>
              <w:rPr>
                <w:rFonts w:ascii="Arial" w:cs="Arial" w:eastAsia="Arial" w:hAnsi="Arial"/>
                <w:sz w:val="14"/>
                <w:szCs w:val="14"/>
                <w:color w:val="auto"/>
              </w:rPr>
              <w:t>September 30</w:t>
            </w:r>
          </w:p>
        </w:tc>
        <w:tc>
          <w:tcPr>
            <w:tcW w:w="2160" w:type="dxa"/>
            <w:vAlign w:val="bottom"/>
            <w:tcBorders>
              <w:bottom w:val="single" w:sz="8" w:color="auto"/>
            </w:tcBorders>
            <w:gridSpan w:val="2"/>
          </w:tcPr>
          <w:p>
            <w:pPr>
              <w:jc w:val="center"/>
              <w:ind w:right="4"/>
              <w:spacing w:after="0"/>
              <w:rPr>
                <w:sz w:val="20"/>
                <w:szCs w:val="20"/>
                <w:color w:val="auto"/>
              </w:rPr>
            </w:pPr>
            <w:r>
              <w:rPr>
                <w:rFonts w:ascii="Arial" w:cs="Arial" w:eastAsia="Arial" w:hAnsi="Arial"/>
                <w:sz w:val="14"/>
                <w:szCs w:val="14"/>
                <w:color w:val="auto"/>
                <w:w w:val="90"/>
              </w:rPr>
              <w:t>September 30</w:t>
            </w:r>
          </w:p>
        </w:tc>
        <w:tc>
          <w:tcPr>
            <w:tcW w:w="192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color w:val="auto"/>
              </w:rPr>
              <w:t>September 30</w:t>
            </w:r>
          </w:p>
        </w:tc>
      </w:tr>
      <w:tr>
        <w:trPr>
          <w:trHeight w:val="250"/>
        </w:trPr>
        <w:tc>
          <w:tcPr>
            <w:tcW w:w="5260" w:type="dxa"/>
            <w:vAlign w:val="bottom"/>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Actual</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Pro Forma</w:t>
            </w:r>
          </w:p>
        </w:tc>
        <w:tc>
          <w:tcPr>
            <w:tcW w:w="112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color w:val="auto"/>
              </w:rPr>
              <w:t>Actual</w:t>
            </w:r>
          </w:p>
        </w:tc>
        <w:tc>
          <w:tcPr>
            <w:tcW w:w="10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color w:val="auto"/>
                <w:w w:val="93"/>
              </w:rPr>
              <w:t>Pro Forma</w:t>
            </w:r>
          </w:p>
        </w:tc>
        <w:tc>
          <w:tcPr>
            <w:tcW w:w="96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color w:val="auto"/>
              </w:rPr>
              <w:t>Actual</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Pro Forma</w:t>
            </w:r>
          </w:p>
        </w:tc>
      </w:tr>
      <w:tr>
        <w:trPr>
          <w:trHeight w:val="196"/>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color w:val="auto"/>
              </w:rPr>
              <w:t>2019</w:t>
            </w:r>
          </w:p>
        </w:tc>
        <w:tc>
          <w:tcPr>
            <w:tcW w:w="10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color w:val="auto"/>
              </w:rPr>
              <w:t>2018</w:t>
            </w:r>
          </w:p>
        </w:tc>
        <w:tc>
          <w:tcPr>
            <w:tcW w:w="112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color w:val="auto"/>
              </w:rPr>
              <w:t>2019</w:t>
            </w:r>
          </w:p>
        </w:tc>
        <w:tc>
          <w:tcPr>
            <w:tcW w:w="10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color w:val="auto"/>
              </w:rPr>
              <w:t>2018</w:t>
            </w:r>
          </w:p>
        </w:tc>
        <w:tc>
          <w:tcPr>
            <w:tcW w:w="9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color w:val="auto"/>
              </w:rPr>
              <w:t>2019</w:t>
            </w:r>
          </w:p>
        </w:tc>
        <w:tc>
          <w:tcPr>
            <w:tcW w:w="96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color w:val="auto"/>
              </w:rPr>
              <w:t>2018</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Total customer relationships</w:t>
            </w:r>
          </w:p>
        </w:tc>
        <w:tc>
          <w:tcPr>
            <w:tcW w:w="1080" w:type="dxa"/>
            <w:vAlign w:val="bottom"/>
          </w:tcPr>
          <w:p>
            <w:pPr>
              <w:jc w:val="right"/>
              <w:ind w:right="84"/>
              <w:spacing w:after="0"/>
              <w:rPr>
                <w:sz w:val="20"/>
                <w:szCs w:val="20"/>
                <w:color w:val="auto"/>
              </w:rPr>
            </w:pPr>
            <w:r>
              <w:rPr>
                <w:rFonts w:ascii="Arial" w:cs="Arial" w:eastAsia="Arial" w:hAnsi="Arial"/>
                <w:sz w:val="18"/>
                <w:szCs w:val="18"/>
                <w:color w:val="auto"/>
              </w:rPr>
              <w:t>23,918</w:t>
            </w:r>
          </w:p>
        </w:tc>
        <w:tc>
          <w:tcPr>
            <w:tcW w:w="1000" w:type="dxa"/>
            <w:vAlign w:val="bottom"/>
          </w:tcPr>
          <w:p>
            <w:pPr>
              <w:jc w:val="right"/>
              <w:ind w:right="42"/>
              <w:spacing w:after="0"/>
              <w:rPr>
                <w:sz w:val="20"/>
                <w:szCs w:val="20"/>
                <w:color w:val="auto"/>
              </w:rPr>
            </w:pPr>
            <w:r>
              <w:rPr>
                <w:rFonts w:ascii="Arial" w:cs="Arial" w:eastAsia="Arial" w:hAnsi="Arial"/>
                <w:sz w:val="18"/>
                <w:szCs w:val="18"/>
                <w:color w:val="auto"/>
              </w:rPr>
              <w:t>23,436</w:t>
            </w:r>
          </w:p>
        </w:tc>
        <w:tc>
          <w:tcPr>
            <w:tcW w:w="1120" w:type="dxa"/>
            <w:vAlign w:val="bottom"/>
          </w:tcPr>
          <w:p>
            <w:pPr>
              <w:jc w:val="right"/>
              <w:ind w:right="64"/>
              <w:spacing w:after="0"/>
              <w:rPr>
                <w:sz w:val="20"/>
                <w:szCs w:val="20"/>
                <w:color w:val="auto"/>
              </w:rPr>
            </w:pPr>
            <w:r>
              <w:rPr>
                <w:rFonts w:ascii="Arial" w:cs="Arial" w:eastAsia="Arial" w:hAnsi="Arial"/>
                <w:sz w:val="18"/>
                <w:szCs w:val="18"/>
                <w:color w:val="auto"/>
              </w:rPr>
              <w:t>(99)</w:t>
            </w:r>
          </w:p>
        </w:tc>
        <w:tc>
          <w:tcPr>
            <w:tcW w:w="1040" w:type="dxa"/>
            <w:vAlign w:val="bottom"/>
          </w:tcPr>
          <w:p>
            <w:pPr>
              <w:jc w:val="right"/>
              <w:ind w:right="144"/>
              <w:spacing w:after="0"/>
              <w:rPr>
                <w:sz w:val="20"/>
                <w:szCs w:val="20"/>
                <w:color w:val="auto"/>
              </w:rPr>
            </w:pPr>
            <w:r>
              <w:rPr>
                <w:rFonts w:ascii="Arial" w:cs="Arial" w:eastAsia="Arial" w:hAnsi="Arial"/>
                <w:sz w:val="18"/>
                <w:szCs w:val="18"/>
                <w:color w:val="auto"/>
              </w:rPr>
              <w:t>426</w:t>
            </w:r>
          </w:p>
        </w:tc>
        <w:tc>
          <w:tcPr>
            <w:tcW w:w="960" w:type="dxa"/>
            <w:vAlign w:val="bottom"/>
          </w:tcPr>
          <w:p>
            <w:pPr>
              <w:ind w:left="520"/>
              <w:spacing w:after="0"/>
              <w:rPr>
                <w:sz w:val="20"/>
                <w:szCs w:val="20"/>
                <w:color w:val="auto"/>
              </w:rPr>
            </w:pPr>
            <w:r>
              <w:rPr>
                <w:rFonts w:ascii="Arial" w:cs="Arial" w:eastAsia="Arial" w:hAnsi="Arial"/>
                <w:sz w:val="18"/>
                <w:szCs w:val="18"/>
                <w:color w:val="auto"/>
              </w:rPr>
              <w:t>317</w:t>
            </w:r>
          </w:p>
        </w:tc>
        <w:tc>
          <w:tcPr>
            <w:tcW w:w="960" w:type="dxa"/>
            <w:vAlign w:val="bottom"/>
          </w:tcPr>
          <w:p>
            <w:pPr>
              <w:jc w:val="right"/>
              <w:ind w:right="22"/>
              <w:spacing w:after="0"/>
              <w:rPr>
                <w:sz w:val="20"/>
                <w:szCs w:val="20"/>
                <w:color w:val="auto"/>
              </w:rPr>
            </w:pPr>
            <w:r>
              <w:rPr>
                <w:rFonts w:ascii="Arial" w:cs="Arial" w:eastAsia="Arial" w:hAnsi="Arial"/>
                <w:sz w:val="18"/>
                <w:szCs w:val="18"/>
                <w:color w:val="auto"/>
              </w:rPr>
              <w:t>571</w:t>
            </w:r>
          </w:p>
        </w:tc>
      </w:tr>
      <w:tr>
        <w:trPr>
          <w:trHeight w:val="27"/>
        </w:trPr>
        <w:tc>
          <w:tcPr>
            <w:tcW w:w="5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Sky customer relationships represent the number of residential retail customers that subscribe to at least one of Sky’s four primary services of video, high-speed internet, voice and wireless phone service. Commercial retail customers include hotels, bars, workplaces and restaurants with an active subscription for the purpose of providing Sky services to third party customers. We report commercial customers based on the number of commercial agreements per venue in the U.K., a residential equivalent unit based upon the multiple of residential customer revenue in Italy and the number of active venues (bars and restaurants) or rooms (hotels and clinics) in Germany.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Segment –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Direct-to-Consumer</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Direct-to-consumer revenue decreased 3.2% and 4.8% for the three and nine months ended September 30, 2019, respectively, compared to the same periods in 2018. Excluding the impact of foreign currency, direct-to-consumer revenue increased 1.9% and 1.1% for the three and nine months ended September 30, 2019, respectively, compared to the same periods in 2018, primarily due to increases in customer relationships, partially offset by decreases in average revenue per customer relationship.</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Content revenue increased 9.4% and 20.0% for the three and nine months ended September 30, 2019, respectively, compared to the same periods in 2018. Excluding the impact of foreign currency, content revenue increased 15.4% and 26.9% for the three and nine months ended September 30, 2019, respectively, compared to the same periods in 2018, reflecting the monetization of our slate of original programming and the wholesaling of sports programming, including exclusive sports rights recently acquired in Italy and Germany.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Advertising revenue decreased 18.2% and 11.3% for the three and nine months ended September 30, 2019, respectively, compared to the same periods in 2018. Excluding the impact of foreign currency, advertising revenue decreased 13.8% and 6.0% for the three and nine months ended September 30, 2019, respectively, compared to the same periods in 2018, reflecting the impact of changes in legislation related to gambling advertisements in the U.K. and Italy that occurred in the third quarter of 2019, as well as overall market weakness.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Segment – Operating Costs and Expenses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Programming and production costs increased 2.4% and 1.6% for the three and nine months ended September 30, 2019, compared to the same periods in 2018. Excluding the impact of foreign currency, programming and production costs increased 7.6% and 7.9% for the three and nine months ended September 30, 2019, respectively, compared to the same periods in 2018 primarily due to sports programming contracts.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Direct network costs increased 3.5% for the three months ended September 30, 2019 and were flat for the nine months ended September 30, 2019 compared to the same periods in 2018. Excluding the impact of foreign currency, direct network costs increased 9.2% and 7.2% for the three and nine months ended September 30, 2019, respectively, compared to the same periods in 2018 primarily due to increases in costs associated with Sky’s wireless phone service as a result of increases in the number of customers receiving the service.</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expenses decreased 29.1% and 18.6% for the three and nine months ended September 30, 2019, respectively, compared to the same periods in 2018. Excluding the impact of foreign currency, other expenses decreased 25.3% and 13.7% for the three and nine months ended September 30, 2019, respectively, compared to the same periods in 2018 primarily due to contract termination costs and costs related to a settlement in the prior year periods, and a favorable settlement in the current year period.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75"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and Other Results of Operations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2"/>
          </w:tcPr>
          <w:p>
            <w:pPr>
              <w:jc w:val="center"/>
              <w:ind w:left="518"/>
              <w:spacing w:after="0"/>
              <w:rPr>
                <w:sz w:val="20"/>
                <w:szCs w:val="20"/>
                <w:color w:val="auto"/>
              </w:rPr>
            </w:pPr>
            <w:r>
              <w:rPr>
                <w:rFonts w:ascii="Arial" w:cs="Arial" w:eastAsia="Arial" w:hAnsi="Arial"/>
                <w:sz w:val="14"/>
                <w:szCs w:val="14"/>
                <w:color w:val="auto"/>
                <w:w w:val="91"/>
              </w:rPr>
              <w:t>Three Months Ended</w:t>
            </w: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tcPr>
          <w:p>
            <w:pPr>
              <w:jc w:val="center"/>
              <w:ind w:left="598"/>
              <w:spacing w:after="0"/>
              <w:rPr>
                <w:sz w:val="20"/>
                <w:szCs w:val="20"/>
                <w:color w:val="auto"/>
              </w:rPr>
            </w:pPr>
            <w:r>
              <w:rPr>
                <w:rFonts w:ascii="Arial" w:cs="Arial" w:eastAsia="Arial" w:hAnsi="Arial"/>
                <w:sz w:val="14"/>
                <w:szCs w:val="14"/>
                <w:color w:val="auto"/>
                <w:w w:val="90"/>
              </w:rPr>
              <w:t>Increase/</w:t>
            </w:r>
          </w:p>
        </w:tc>
        <w:tc>
          <w:tcPr>
            <w:tcW w:w="1060" w:type="dxa"/>
            <w:vAlign w:val="bottom"/>
          </w:tcPr>
          <w:p>
            <w:pPr>
              <w:spacing w:after="0"/>
              <w:rPr>
                <w:sz w:val="14"/>
                <w:szCs w:val="1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left="518"/>
              <w:spacing w:after="0"/>
              <w:rPr>
                <w:sz w:val="20"/>
                <w:szCs w:val="20"/>
                <w:color w:val="auto"/>
              </w:rPr>
            </w:pPr>
            <w:r>
              <w:rPr>
                <w:rFonts w:ascii="Arial" w:cs="Arial" w:eastAsia="Arial" w:hAnsi="Arial"/>
                <w:sz w:val="14"/>
                <w:szCs w:val="14"/>
                <w:color w:val="auto"/>
                <w:w w:val="90"/>
              </w:rPr>
              <w:t>September 30</w:t>
            </w:r>
          </w:p>
        </w:tc>
        <w:tc>
          <w:tcPr>
            <w:tcW w:w="10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left="598"/>
              <w:spacing w:after="0"/>
              <w:rPr>
                <w:sz w:val="20"/>
                <w:szCs w:val="20"/>
                <w:color w:val="auto"/>
              </w:rPr>
            </w:pPr>
            <w:r>
              <w:rPr>
                <w:rFonts w:ascii="Arial" w:cs="Arial" w:eastAsia="Arial" w:hAnsi="Arial"/>
                <w:sz w:val="14"/>
                <w:szCs w:val="14"/>
                <w:color w:val="auto"/>
                <w:w w:val="92"/>
              </w:rPr>
              <w:t>(Decrease)</w:t>
            </w:r>
          </w:p>
        </w:tc>
        <w:tc>
          <w:tcPr>
            <w:tcW w:w="106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color w:val="auto"/>
              </w:rPr>
              <w:t>2019</w:t>
            </w:r>
          </w:p>
        </w:tc>
        <w:tc>
          <w:tcPr>
            <w:tcW w:w="6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w w:val="96"/>
              </w:rPr>
              <w:t>2018</w:t>
            </w:r>
          </w:p>
        </w:tc>
        <w:tc>
          <w:tcPr>
            <w:tcW w:w="5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8"/>
              <w:spacing w:after="0"/>
              <w:rPr>
                <w:sz w:val="20"/>
                <w:szCs w:val="20"/>
                <w:color w:val="auto"/>
              </w:rPr>
            </w:pPr>
            <w:r>
              <w:rPr>
                <w:rFonts w:ascii="Arial" w:cs="Arial" w:eastAsia="Arial" w:hAnsi="Arial"/>
                <w:sz w:val="18"/>
                <w:szCs w:val="18"/>
                <w:color w:val="auto"/>
              </w:rPr>
              <w:t>42</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73</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38"/>
              <w:spacing w:after="0"/>
              <w:rPr>
                <w:sz w:val="20"/>
                <w:szCs w:val="20"/>
                <w:color w:val="auto"/>
              </w:rPr>
            </w:pPr>
            <w:r>
              <w:rPr>
                <w:rFonts w:ascii="Arial" w:cs="Arial" w:eastAsia="Arial" w:hAnsi="Arial"/>
                <w:sz w:val="18"/>
                <w:szCs w:val="18"/>
                <w:color w:val="auto"/>
              </w:rPr>
              <w:t>(31)</w:t>
            </w:r>
          </w:p>
        </w:tc>
        <w:tc>
          <w:tcPr>
            <w:tcW w:w="106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40" w:type="dxa"/>
            <w:vAlign w:val="bottom"/>
          </w:tcPr>
          <w:p>
            <w:pPr>
              <w:spacing w:after="0"/>
              <w:rPr>
                <w:sz w:val="23"/>
                <w:szCs w:val="23"/>
                <w:color w:val="auto"/>
              </w:rPr>
            </w:pPr>
          </w:p>
        </w:tc>
        <w:tc>
          <w:tcPr>
            <w:tcW w:w="1200" w:type="dxa"/>
            <w:vAlign w:val="bottom"/>
          </w:tcPr>
          <w:p>
            <w:pPr>
              <w:jc w:val="right"/>
              <w:ind w:right="118"/>
              <w:spacing w:after="0"/>
              <w:rPr>
                <w:sz w:val="20"/>
                <w:szCs w:val="20"/>
                <w:color w:val="auto"/>
              </w:rPr>
            </w:pPr>
            <w:r>
              <w:rPr>
                <w:rFonts w:ascii="Arial" w:cs="Arial" w:eastAsia="Arial" w:hAnsi="Arial"/>
                <w:sz w:val="18"/>
                <w:szCs w:val="18"/>
                <w:color w:val="auto"/>
              </w:rPr>
              <w:t>312</w:t>
            </w:r>
          </w:p>
        </w:tc>
        <w:tc>
          <w:tcPr>
            <w:tcW w:w="680" w:type="dxa"/>
            <w:vAlign w:val="bottom"/>
          </w:tcPr>
          <w:p>
            <w:pPr>
              <w:spacing w:after="0"/>
              <w:rPr>
                <w:sz w:val="23"/>
                <w:szCs w:val="23"/>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261</w:t>
            </w:r>
          </w:p>
        </w:tc>
        <w:tc>
          <w:tcPr>
            <w:tcW w:w="520" w:type="dxa"/>
            <w:vAlign w:val="bottom"/>
          </w:tcPr>
          <w:p>
            <w:pPr>
              <w:spacing w:after="0"/>
              <w:rPr>
                <w:sz w:val="23"/>
                <w:szCs w:val="23"/>
                <w:color w:val="auto"/>
              </w:rPr>
            </w:pPr>
          </w:p>
        </w:tc>
        <w:tc>
          <w:tcPr>
            <w:tcW w:w="1640" w:type="dxa"/>
            <w:vAlign w:val="bottom"/>
          </w:tcPr>
          <w:p>
            <w:pPr>
              <w:jc w:val="right"/>
              <w:ind w:right="598"/>
              <w:spacing w:after="0"/>
              <w:rPr>
                <w:sz w:val="20"/>
                <w:szCs w:val="20"/>
                <w:color w:val="auto"/>
              </w:rPr>
            </w:pPr>
            <w:r>
              <w:rPr>
                <w:rFonts w:ascii="Arial" w:cs="Arial" w:eastAsia="Arial" w:hAnsi="Arial"/>
                <w:sz w:val="18"/>
                <w:szCs w:val="18"/>
                <w:color w:val="auto"/>
              </w:rPr>
              <w:t>51</w:t>
            </w: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19.3</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color w:val="auto"/>
              </w:rPr>
              <w:t>Adjustment for Sky transaction-related costs</w:t>
            </w:r>
          </w:p>
        </w:tc>
        <w:tc>
          <w:tcPr>
            <w:tcW w:w="340" w:type="dxa"/>
            <w:vAlign w:val="bottom"/>
          </w:tcPr>
          <w:p>
            <w:pPr>
              <w:spacing w:after="0"/>
              <w:rPr>
                <w:sz w:val="23"/>
                <w:szCs w:val="23"/>
                <w:color w:val="auto"/>
              </w:rPr>
            </w:pPr>
          </w:p>
        </w:tc>
        <w:tc>
          <w:tcPr>
            <w:tcW w:w="1200" w:type="dxa"/>
            <w:vAlign w:val="bottom"/>
          </w:tcPr>
          <w:p>
            <w:pPr>
              <w:jc w:val="right"/>
              <w:ind w:right="58"/>
              <w:spacing w:after="0"/>
              <w:rPr>
                <w:sz w:val="20"/>
                <w:szCs w:val="20"/>
                <w:color w:val="auto"/>
              </w:rPr>
            </w:pPr>
            <w:r>
              <w:rPr>
                <w:rFonts w:ascii="Arial" w:cs="Arial" w:eastAsia="Arial" w:hAnsi="Arial"/>
                <w:sz w:val="18"/>
                <w:szCs w:val="18"/>
                <w:color w:val="auto"/>
              </w:rPr>
              <w:t>(33)</w:t>
            </w:r>
          </w:p>
        </w:tc>
        <w:tc>
          <w:tcPr>
            <w:tcW w:w="680" w:type="dxa"/>
            <w:vAlign w:val="bottom"/>
          </w:tcPr>
          <w:p>
            <w:pPr>
              <w:spacing w:after="0"/>
              <w:rPr>
                <w:sz w:val="23"/>
                <w:szCs w:val="23"/>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640" w:type="dxa"/>
            <w:vAlign w:val="bottom"/>
          </w:tcPr>
          <w:p>
            <w:pPr>
              <w:jc w:val="right"/>
              <w:ind w:right="538"/>
              <w:spacing w:after="0"/>
              <w:rPr>
                <w:sz w:val="20"/>
                <w:szCs w:val="20"/>
                <w:color w:val="auto"/>
              </w:rPr>
            </w:pPr>
            <w:r>
              <w:rPr>
                <w:rFonts w:ascii="Arial" w:cs="Arial" w:eastAsia="Arial" w:hAnsi="Arial"/>
                <w:sz w:val="18"/>
                <w:szCs w:val="18"/>
                <w:color w:val="auto"/>
              </w:rPr>
              <w:t>(33)</w:t>
            </w: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NM</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58"/>
              <w:spacing w:after="0"/>
              <w:rPr>
                <w:sz w:val="20"/>
                <w:szCs w:val="20"/>
                <w:color w:val="auto"/>
              </w:rPr>
            </w:pPr>
            <w:r>
              <w:rPr>
                <w:rFonts w:ascii="Arial" w:cs="Arial" w:eastAsia="Arial" w:hAnsi="Arial"/>
                <w:sz w:val="18"/>
                <w:szCs w:val="18"/>
                <w:b w:val="1"/>
                <w:bCs w:val="1"/>
                <w:color w:val="auto"/>
              </w:rPr>
              <w:t>(237)</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4"/>
              <w:spacing w:after="0"/>
              <w:rPr>
                <w:sz w:val="20"/>
                <w:szCs w:val="20"/>
                <w:color w:val="auto"/>
              </w:rPr>
            </w:pPr>
            <w:r>
              <w:rPr>
                <w:rFonts w:ascii="Arial" w:cs="Arial" w:eastAsia="Arial" w:hAnsi="Arial"/>
                <w:sz w:val="18"/>
                <w:szCs w:val="18"/>
                <w:b w:val="1"/>
                <w:bCs w:val="1"/>
                <w:color w:val="auto"/>
              </w:rPr>
              <w:t>(188)</w:t>
            </w:r>
          </w:p>
        </w:tc>
        <w:tc>
          <w:tcPr>
            <w:tcW w:w="5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38"/>
              <w:spacing w:after="0"/>
              <w:rPr>
                <w:sz w:val="20"/>
                <w:szCs w:val="20"/>
                <w:color w:val="auto"/>
              </w:rPr>
            </w:pPr>
            <w:r>
              <w:rPr>
                <w:rFonts w:ascii="Arial" w:cs="Arial" w:eastAsia="Arial" w:hAnsi="Arial"/>
                <w:sz w:val="18"/>
                <w:szCs w:val="18"/>
                <w:b w:val="1"/>
                <w:bCs w:val="1"/>
                <w:color w:val="auto"/>
              </w:rPr>
              <w:t>(49)</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(25.9)%</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454"/>
        </w:trPr>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gridSpan w:val="2"/>
          </w:tcPr>
          <w:p>
            <w:pPr>
              <w:jc w:val="center"/>
              <w:ind w:left="518"/>
              <w:spacing w:after="0"/>
              <w:rPr>
                <w:sz w:val="20"/>
                <w:szCs w:val="20"/>
                <w:color w:val="auto"/>
              </w:rPr>
            </w:pPr>
            <w:r>
              <w:rPr>
                <w:rFonts w:ascii="Arial" w:cs="Arial" w:eastAsia="Arial" w:hAnsi="Arial"/>
                <w:sz w:val="14"/>
                <w:szCs w:val="14"/>
                <w:color w:val="auto"/>
                <w:w w:val="94"/>
              </w:rPr>
              <w:t>Nine Months Ended</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jc w:val="center"/>
              <w:ind w:left="598"/>
              <w:spacing w:after="0"/>
              <w:rPr>
                <w:sz w:val="20"/>
                <w:szCs w:val="20"/>
                <w:color w:val="auto"/>
              </w:rPr>
            </w:pPr>
            <w:r>
              <w:rPr>
                <w:rFonts w:ascii="Arial" w:cs="Arial" w:eastAsia="Arial" w:hAnsi="Arial"/>
                <w:sz w:val="14"/>
                <w:szCs w:val="14"/>
                <w:color w:val="auto"/>
                <w:w w:val="90"/>
              </w:rPr>
              <w:t>Increase/</w:t>
            </w:r>
          </w:p>
        </w:tc>
        <w:tc>
          <w:tcPr>
            <w:tcW w:w="1060" w:type="dxa"/>
            <w:vAlign w:val="bottom"/>
          </w:tcPr>
          <w:p>
            <w:pPr>
              <w:spacing w:after="0"/>
              <w:rPr>
                <w:sz w:val="24"/>
                <w:szCs w:val="2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left="518"/>
              <w:spacing w:after="0"/>
              <w:rPr>
                <w:sz w:val="20"/>
                <w:szCs w:val="20"/>
                <w:color w:val="auto"/>
              </w:rPr>
            </w:pPr>
            <w:r>
              <w:rPr>
                <w:rFonts w:ascii="Arial" w:cs="Arial" w:eastAsia="Arial" w:hAnsi="Arial"/>
                <w:sz w:val="14"/>
                <w:szCs w:val="14"/>
                <w:color w:val="auto"/>
                <w:w w:val="90"/>
              </w:rPr>
              <w:t>September 30</w:t>
            </w:r>
          </w:p>
        </w:tc>
        <w:tc>
          <w:tcPr>
            <w:tcW w:w="10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left="598"/>
              <w:spacing w:after="0"/>
              <w:rPr>
                <w:sz w:val="20"/>
                <w:szCs w:val="20"/>
                <w:color w:val="auto"/>
              </w:rPr>
            </w:pPr>
            <w:r>
              <w:rPr>
                <w:rFonts w:ascii="Arial" w:cs="Arial" w:eastAsia="Arial" w:hAnsi="Arial"/>
                <w:sz w:val="14"/>
                <w:szCs w:val="14"/>
                <w:color w:val="auto"/>
                <w:w w:val="92"/>
              </w:rPr>
              <w:t>(Decrease)</w:t>
            </w:r>
          </w:p>
        </w:tc>
        <w:tc>
          <w:tcPr>
            <w:tcW w:w="1060" w:type="dxa"/>
            <w:vAlign w:val="bottom"/>
            <w:tcBorders>
              <w:bottom w:val="single" w:sz="8" w:color="auto"/>
            </w:tcBorders>
          </w:tcPr>
          <w:p>
            <w:pPr>
              <w:spacing w:after="0"/>
              <w:rPr>
                <w:sz w:val="16"/>
                <w:szCs w:val="16"/>
                <w:color w:val="auto"/>
              </w:rPr>
            </w:pPr>
          </w:p>
        </w:tc>
      </w:tr>
      <w:tr>
        <w:trPr>
          <w:trHeight w:val="196"/>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color w:val="auto"/>
              </w:rPr>
              <w:t>2019</w:t>
            </w: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w w:val="96"/>
              </w:rPr>
              <w:t>2018</w:t>
            </w:r>
          </w:p>
        </w:tc>
        <w:tc>
          <w:tcPr>
            <w:tcW w:w="5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19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8"/>
              <w:spacing w:after="0"/>
              <w:rPr>
                <w:sz w:val="20"/>
                <w:szCs w:val="20"/>
                <w:color w:val="auto"/>
              </w:rPr>
            </w:pPr>
            <w:r>
              <w:rPr>
                <w:rFonts w:ascii="Arial" w:cs="Arial" w:eastAsia="Arial" w:hAnsi="Arial"/>
                <w:sz w:val="18"/>
                <w:szCs w:val="18"/>
                <w:color w:val="auto"/>
              </w:rPr>
              <w:t>206</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412</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38"/>
              <w:spacing w:after="0"/>
              <w:rPr>
                <w:sz w:val="20"/>
                <w:szCs w:val="20"/>
                <w:color w:val="auto"/>
              </w:rPr>
            </w:pPr>
            <w:r>
              <w:rPr>
                <w:rFonts w:ascii="Arial" w:cs="Arial" w:eastAsia="Arial" w:hAnsi="Arial"/>
                <w:sz w:val="18"/>
                <w:szCs w:val="18"/>
                <w:color w:val="auto"/>
              </w:rPr>
              <w:t>(206)</w:t>
            </w:r>
          </w:p>
        </w:tc>
        <w:tc>
          <w:tcPr>
            <w:tcW w:w="106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40" w:type="dxa"/>
            <w:vAlign w:val="bottom"/>
          </w:tcPr>
          <w:p>
            <w:pPr>
              <w:spacing w:after="0"/>
              <w:rPr>
                <w:sz w:val="23"/>
                <w:szCs w:val="23"/>
                <w:color w:val="auto"/>
              </w:rPr>
            </w:pPr>
          </w:p>
        </w:tc>
        <w:tc>
          <w:tcPr>
            <w:tcW w:w="1200" w:type="dxa"/>
            <w:vAlign w:val="bottom"/>
          </w:tcPr>
          <w:p>
            <w:pPr>
              <w:jc w:val="right"/>
              <w:ind w:right="118"/>
              <w:spacing w:after="0"/>
              <w:rPr>
                <w:sz w:val="20"/>
                <w:szCs w:val="20"/>
                <w:color w:val="auto"/>
              </w:rPr>
            </w:pPr>
            <w:r>
              <w:rPr>
                <w:rFonts w:ascii="Arial" w:cs="Arial" w:eastAsia="Arial" w:hAnsi="Arial"/>
                <w:sz w:val="18"/>
                <w:szCs w:val="18"/>
                <w:color w:val="auto"/>
              </w:rPr>
              <w:t>1,011</w:t>
            </w:r>
          </w:p>
        </w:tc>
        <w:tc>
          <w:tcPr>
            <w:tcW w:w="680" w:type="dxa"/>
            <w:vAlign w:val="bottom"/>
          </w:tcPr>
          <w:p>
            <w:pPr>
              <w:spacing w:after="0"/>
              <w:rPr>
                <w:sz w:val="23"/>
                <w:szCs w:val="23"/>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978</w:t>
            </w:r>
          </w:p>
        </w:tc>
        <w:tc>
          <w:tcPr>
            <w:tcW w:w="520" w:type="dxa"/>
            <w:vAlign w:val="bottom"/>
          </w:tcPr>
          <w:p>
            <w:pPr>
              <w:spacing w:after="0"/>
              <w:rPr>
                <w:sz w:val="23"/>
                <w:szCs w:val="23"/>
                <w:color w:val="auto"/>
              </w:rPr>
            </w:pPr>
          </w:p>
        </w:tc>
        <w:tc>
          <w:tcPr>
            <w:tcW w:w="1640" w:type="dxa"/>
            <w:vAlign w:val="bottom"/>
          </w:tcPr>
          <w:p>
            <w:pPr>
              <w:jc w:val="right"/>
              <w:ind w:right="598"/>
              <w:spacing w:after="0"/>
              <w:rPr>
                <w:sz w:val="20"/>
                <w:szCs w:val="20"/>
                <w:color w:val="auto"/>
              </w:rPr>
            </w:pPr>
            <w:r>
              <w:rPr>
                <w:rFonts w:ascii="Arial" w:cs="Arial" w:eastAsia="Arial" w:hAnsi="Arial"/>
                <w:sz w:val="18"/>
                <w:szCs w:val="18"/>
                <w:color w:val="auto"/>
              </w:rPr>
              <w:t>33</w:t>
            </w: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3.5</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color w:val="auto"/>
              </w:rPr>
              <w:t>Adjustment for Sky transaction-related costs</w:t>
            </w:r>
          </w:p>
        </w:tc>
        <w:tc>
          <w:tcPr>
            <w:tcW w:w="340" w:type="dxa"/>
            <w:vAlign w:val="bottom"/>
          </w:tcPr>
          <w:p>
            <w:pPr>
              <w:spacing w:after="0"/>
              <w:rPr>
                <w:sz w:val="23"/>
                <w:szCs w:val="23"/>
                <w:color w:val="auto"/>
              </w:rPr>
            </w:pPr>
          </w:p>
        </w:tc>
        <w:tc>
          <w:tcPr>
            <w:tcW w:w="1200" w:type="dxa"/>
            <w:vAlign w:val="bottom"/>
          </w:tcPr>
          <w:p>
            <w:pPr>
              <w:jc w:val="right"/>
              <w:ind w:right="58"/>
              <w:spacing w:after="0"/>
              <w:rPr>
                <w:sz w:val="20"/>
                <w:szCs w:val="20"/>
                <w:color w:val="auto"/>
              </w:rPr>
            </w:pPr>
            <w:r>
              <w:rPr>
                <w:rFonts w:ascii="Arial" w:cs="Arial" w:eastAsia="Arial" w:hAnsi="Arial"/>
                <w:sz w:val="18"/>
                <w:szCs w:val="18"/>
                <w:color w:val="auto"/>
              </w:rPr>
              <w:t>(168)</w:t>
            </w:r>
          </w:p>
        </w:tc>
        <w:tc>
          <w:tcPr>
            <w:tcW w:w="680" w:type="dxa"/>
            <w:vAlign w:val="bottom"/>
          </w:tcPr>
          <w:p>
            <w:pPr>
              <w:spacing w:after="0"/>
              <w:rPr>
                <w:sz w:val="23"/>
                <w:szCs w:val="23"/>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640" w:type="dxa"/>
            <w:vAlign w:val="bottom"/>
          </w:tcPr>
          <w:p>
            <w:pPr>
              <w:jc w:val="right"/>
              <w:ind w:right="538"/>
              <w:spacing w:after="0"/>
              <w:rPr>
                <w:sz w:val="20"/>
                <w:szCs w:val="20"/>
                <w:color w:val="auto"/>
              </w:rPr>
            </w:pPr>
            <w:r>
              <w:rPr>
                <w:rFonts w:ascii="Arial" w:cs="Arial" w:eastAsia="Arial" w:hAnsi="Arial"/>
                <w:sz w:val="18"/>
                <w:szCs w:val="18"/>
                <w:color w:val="auto"/>
              </w:rPr>
              <w:t>(168)</w:t>
            </w: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NM</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58"/>
              <w:spacing w:after="0"/>
              <w:rPr>
                <w:sz w:val="20"/>
                <w:szCs w:val="20"/>
                <w:color w:val="auto"/>
              </w:rPr>
            </w:pPr>
            <w:r>
              <w:rPr>
                <w:rFonts w:ascii="Arial" w:cs="Arial" w:eastAsia="Arial" w:hAnsi="Arial"/>
                <w:sz w:val="18"/>
                <w:szCs w:val="18"/>
                <w:b w:val="1"/>
                <w:bCs w:val="1"/>
                <w:color w:val="auto"/>
              </w:rPr>
              <w:t>(637)</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4"/>
              <w:spacing w:after="0"/>
              <w:rPr>
                <w:sz w:val="20"/>
                <w:szCs w:val="20"/>
                <w:color w:val="auto"/>
              </w:rPr>
            </w:pPr>
            <w:r>
              <w:rPr>
                <w:rFonts w:ascii="Arial" w:cs="Arial" w:eastAsia="Arial" w:hAnsi="Arial"/>
                <w:sz w:val="18"/>
                <w:szCs w:val="18"/>
                <w:b w:val="1"/>
                <w:bCs w:val="1"/>
                <w:color w:val="auto"/>
              </w:rPr>
              <w:t>(566)</w:t>
            </w:r>
          </w:p>
        </w:tc>
        <w:tc>
          <w:tcPr>
            <w:tcW w:w="5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38"/>
              <w:spacing w:after="0"/>
              <w:rPr>
                <w:sz w:val="20"/>
                <w:szCs w:val="20"/>
                <w:color w:val="auto"/>
              </w:rPr>
            </w:pPr>
            <w:r>
              <w:rPr>
                <w:rFonts w:ascii="Arial" w:cs="Arial" w:eastAsia="Arial" w:hAnsi="Arial"/>
                <w:sz w:val="18"/>
                <w:szCs w:val="18"/>
                <w:b w:val="1"/>
                <w:bCs w:val="1"/>
                <w:color w:val="auto"/>
              </w:rPr>
              <w:t>(71)</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(12.7)%</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 Revenue</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revenue primarily relates to revenue from Comcast Spectacor, which owns the Philadelphia Flyers and the Wells Fargo Center arena in Philadelphia, Pennsylvania. We sold a controlling interest in our arena management-related businesses in the second quarter of 2018.</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 Operating Costs and Expenses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costs and expenses primarily include overhead, personnel costs, the costs of other business initiatives, such as the development of Peacock, NBCUniversal’s direct-to-consumer streaming service, and operating costs and expenses associated with Comcast Spectacor.</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costs and expenses increased for the three months ended September 30, 2019 compared to the same period in 2018 primarily due to transaction-related costs of $33 million directly related to the Sky transaction, including expenses resulting from the replacement of share-based compensation awards and costs related to integration activities, as well as costs associated with the development of Peacock.</w:t>
      </w:r>
    </w:p>
    <w:p>
      <w:pPr>
        <w:spacing w:after="0" w:line="12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Operating costs and expenses increased for the nine months ended September 30, 2019 compared to the same period in 2018 primarily due to transaction-related costs of $168 million directly related to the Sky transaction, including expenses resulting from the replacement of share-based compensation awards and costs related to integration activities, which were partially offset by the sale of a controlling interest in our arena management-related businesses in the second quarter of 2018.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excludes transaction-related costs directly related to the Sky transaction.</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Adjusted EBITDA</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Consolidated 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consolidated Adjusted EBITDA is useful to investors because it is one of the bases for comparing our operating performance with that of other companies in our industries, although our measure of consolidated Adjusted EBITDA may not be directly comparable to similar measures used by other companies.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75"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define consolidated Adjusted EBITDA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consolidated Adjusted EBITDA the impact of certain events, gains, losses or other charges (such as significant legal settlements) that affect the period-to-period comparability of our operating performance.</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reconcile consolidated Adjusted EBITDA to net income attributable to Comcast Corporation. This measure should not be considered a substitute for operating income, net income, net income attributable to Comcast Corporation, or net cash provided by operating activities that we have reported in accordance with GAAP.</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Net Income Attributable to Comcast Corporation to Adjusted EBITDA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40" w:type="dxa"/>
            <w:vAlign w:val="bottom"/>
          </w:tcPr>
          <w:p>
            <w:pPr>
              <w:spacing w:after="0"/>
              <w:rPr>
                <w:sz w:val="14"/>
                <w:szCs w:val="14"/>
                <w:color w:val="auto"/>
              </w:rPr>
            </w:pPr>
          </w:p>
        </w:tc>
      </w:tr>
      <w:tr>
        <w:trPr>
          <w:trHeight w:val="188"/>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color w:val="auto"/>
              </w:rPr>
              <w:t>September 30</w:t>
            </w: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2019</w:t>
            </w:r>
          </w:p>
        </w:tc>
        <w:tc>
          <w:tcPr>
            <w:tcW w:w="7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2018</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2019</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2018</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94"/>
              <w:spacing w:after="0"/>
              <w:rPr>
                <w:sz w:val="20"/>
                <w:szCs w:val="20"/>
                <w:color w:val="auto"/>
              </w:rPr>
            </w:pPr>
            <w:r>
              <w:rPr>
                <w:rFonts w:ascii="Arial" w:cs="Arial" w:eastAsia="Arial" w:hAnsi="Arial"/>
                <w:sz w:val="18"/>
                <w:szCs w:val="18"/>
                <w:b w:val="1"/>
                <w:bCs w:val="1"/>
                <w:color w:val="auto"/>
              </w:rPr>
              <w:t>3,217</w:t>
            </w:r>
          </w:p>
        </w:tc>
        <w:tc>
          <w:tcPr>
            <w:tcW w:w="72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b w:val="1"/>
                <w:bCs w:val="1"/>
                <w:color w:val="auto"/>
              </w:rPr>
              <w:t>2,886</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4"/>
              <w:spacing w:after="0"/>
              <w:rPr>
                <w:sz w:val="20"/>
                <w:szCs w:val="20"/>
                <w:color w:val="auto"/>
              </w:rPr>
            </w:pPr>
            <w:r>
              <w:rPr>
                <w:rFonts w:ascii="Arial" w:cs="Arial" w:eastAsia="Arial" w:hAnsi="Arial"/>
                <w:sz w:val="18"/>
                <w:szCs w:val="18"/>
                <w:b w:val="1"/>
                <w:bCs w:val="1"/>
                <w:color w:val="auto"/>
              </w:rPr>
              <w:t>9,895</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9,220</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w w:val="98"/>
              </w:rPr>
              <w:t>Net income (loss) attributable to noncontrolling interests and</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redeemable subsidiary preferred stock</w:t>
            </w:r>
          </w:p>
        </w:tc>
        <w:tc>
          <w:tcPr>
            <w:tcW w:w="360" w:type="dxa"/>
            <w:vAlign w:val="bottom"/>
          </w:tcPr>
          <w:p>
            <w:pPr>
              <w:spacing w:after="0"/>
              <w:rPr>
                <w:sz w:val="20"/>
                <w:szCs w:val="20"/>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71</w:t>
            </w:r>
          </w:p>
        </w:tc>
        <w:tc>
          <w:tcPr>
            <w:tcW w:w="72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228</w:t>
            </w:r>
          </w:p>
        </w:tc>
        <w:tc>
          <w:tcPr>
            <w:tcW w:w="66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60</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3"/>
                <w:szCs w:val="23"/>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775</w:t>
            </w:r>
          </w:p>
        </w:tc>
        <w:tc>
          <w:tcPr>
            <w:tcW w:w="720" w:type="dxa"/>
            <w:vAlign w:val="bottom"/>
          </w:tcPr>
          <w:p>
            <w:pPr>
              <w:spacing w:after="0"/>
              <w:rPr>
                <w:sz w:val="23"/>
                <w:szCs w:val="23"/>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999</w:t>
            </w:r>
          </w:p>
        </w:tc>
        <w:tc>
          <w:tcPr>
            <w:tcW w:w="48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2,812</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2,894</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3"/>
                <w:szCs w:val="23"/>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1,167</w:t>
            </w:r>
          </w:p>
        </w:tc>
        <w:tc>
          <w:tcPr>
            <w:tcW w:w="720" w:type="dxa"/>
            <w:vAlign w:val="bottom"/>
          </w:tcPr>
          <w:p>
            <w:pPr>
              <w:spacing w:after="0"/>
              <w:rPr>
                <w:sz w:val="23"/>
                <w:szCs w:val="23"/>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830</w:t>
            </w:r>
          </w:p>
        </w:tc>
        <w:tc>
          <w:tcPr>
            <w:tcW w:w="48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3,454</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2,413</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360" w:type="dxa"/>
            <w:vAlign w:val="bottom"/>
          </w:tcPr>
          <w:p>
            <w:pPr>
              <w:spacing w:after="0"/>
              <w:rPr>
                <w:sz w:val="23"/>
                <w:szCs w:val="23"/>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110</w:t>
            </w:r>
          </w:p>
        </w:tc>
        <w:tc>
          <w:tcPr>
            <w:tcW w:w="720" w:type="dxa"/>
            <w:vAlign w:val="bottom"/>
          </w:tcPr>
          <w:p>
            <w:pPr>
              <w:spacing w:after="0"/>
              <w:rPr>
                <w:sz w:val="23"/>
                <w:szCs w:val="23"/>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111</w:t>
            </w:r>
          </w:p>
        </w:tc>
        <w:tc>
          <w:tcPr>
            <w:tcW w:w="48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(511)</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3"/>
                <w:szCs w:val="23"/>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2,124</w:t>
            </w:r>
          </w:p>
        </w:tc>
        <w:tc>
          <w:tcPr>
            <w:tcW w:w="720" w:type="dxa"/>
            <w:vAlign w:val="bottom"/>
          </w:tcPr>
          <w:p>
            <w:pPr>
              <w:spacing w:after="0"/>
              <w:rPr>
                <w:sz w:val="23"/>
                <w:szCs w:val="23"/>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2,038</w:t>
            </w:r>
          </w:p>
        </w:tc>
        <w:tc>
          <w:tcPr>
            <w:tcW w:w="48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6,561</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6,070</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3"/>
                <w:szCs w:val="23"/>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1,056</w:t>
            </w:r>
          </w:p>
        </w:tc>
        <w:tc>
          <w:tcPr>
            <w:tcW w:w="720" w:type="dxa"/>
            <w:vAlign w:val="bottom"/>
          </w:tcPr>
          <w:p>
            <w:pPr>
              <w:spacing w:after="0"/>
              <w:rPr>
                <w:sz w:val="23"/>
                <w:szCs w:val="23"/>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580</w:t>
            </w:r>
          </w:p>
        </w:tc>
        <w:tc>
          <w:tcPr>
            <w:tcW w:w="48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3,215</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1,750</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Other operating gains</w:t>
            </w:r>
          </w:p>
        </w:tc>
        <w:tc>
          <w:tcPr>
            <w:tcW w:w="360" w:type="dxa"/>
            <w:vAlign w:val="bottom"/>
          </w:tcPr>
          <w:p>
            <w:pPr>
              <w:spacing w:after="0"/>
              <w:rPr>
                <w:sz w:val="23"/>
                <w:szCs w:val="23"/>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(141)</w:t>
            </w:r>
          </w:p>
        </w:tc>
        <w:tc>
          <w:tcPr>
            <w:tcW w:w="48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Adjustment for Sky transaction-related costs</w:t>
            </w:r>
          </w:p>
        </w:tc>
        <w:tc>
          <w:tcPr>
            <w:tcW w:w="360" w:type="dxa"/>
            <w:vAlign w:val="bottom"/>
          </w:tcPr>
          <w:p>
            <w:pPr>
              <w:spacing w:after="0"/>
              <w:rPr>
                <w:sz w:val="23"/>
                <w:szCs w:val="23"/>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33</w:t>
            </w:r>
          </w:p>
        </w:tc>
        <w:tc>
          <w:tcPr>
            <w:tcW w:w="720" w:type="dxa"/>
            <w:vAlign w:val="bottom"/>
          </w:tcPr>
          <w:p>
            <w:pPr>
              <w:spacing w:after="0"/>
              <w:rPr>
                <w:sz w:val="23"/>
                <w:szCs w:val="23"/>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168</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94"/>
              <w:spacing w:after="0"/>
              <w:rPr>
                <w:sz w:val="20"/>
                <w:szCs w:val="20"/>
                <w:color w:val="auto"/>
              </w:rPr>
            </w:pPr>
            <w:r>
              <w:rPr>
                <w:rFonts w:ascii="Arial" w:cs="Arial" w:eastAsia="Arial" w:hAnsi="Arial"/>
                <w:sz w:val="18"/>
                <w:szCs w:val="18"/>
                <w:b w:val="1"/>
                <w:bCs w:val="1"/>
                <w:color w:val="auto"/>
              </w:rPr>
              <w:t>8,553</w:t>
            </w:r>
          </w:p>
        </w:tc>
        <w:tc>
          <w:tcPr>
            <w:tcW w:w="72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b w:val="1"/>
                <w:bCs w:val="1"/>
                <w:color w:val="auto"/>
              </w:rPr>
              <w:t>7,313</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4"/>
              <w:spacing w:after="0"/>
              <w:rPr>
                <w:sz w:val="20"/>
                <w:szCs w:val="20"/>
                <w:color w:val="auto"/>
              </w:rPr>
            </w:pPr>
            <w:r>
              <w:rPr>
                <w:rFonts w:ascii="Arial" w:cs="Arial" w:eastAsia="Arial" w:hAnsi="Arial"/>
                <w:sz w:val="18"/>
                <w:szCs w:val="18"/>
                <w:b w:val="1"/>
                <w:bCs w:val="1"/>
                <w:color w:val="auto"/>
              </w:rPr>
              <w:t>25,822</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21,974</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Constant Currency</w:t>
      </w:r>
    </w:p>
    <w:p>
      <w:pPr>
        <w:spacing w:after="0" w:line="18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Constant currency and constant currency growth rates are non-GAAP financial measures that present our results of operations excluding the estimated effects of foreign currency exchange rate fluctuations. Certain of our businesses, including Sky, have operations outside the United States that are conducted in local currencies. As a result, the comparability of the financial results reported in U.S. dollars is affected by changes in foreign currency exchange rates. In our Sky segment,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spacing w:after="0" w:line="10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Constant currency and constant currency growth rates are calculated by comparing the comparative period results in the prior year adjusted to reflect the average exchange rates from the current year period rather than the actual exchange rates in effect during the respective prior year periods.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Sky Constant Currency Growth Rates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3"/>
          </w:tcPr>
          <w:p>
            <w:pPr>
              <w:jc w:val="right"/>
              <w:ind w:right="652"/>
              <w:spacing w:after="0"/>
              <w:rPr>
                <w:sz w:val="20"/>
                <w:szCs w:val="20"/>
                <w:color w:val="auto"/>
              </w:rPr>
            </w:pPr>
            <w:r>
              <w:rPr>
                <w:rFonts w:ascii="Arial" w:cs="Arial" w:eastAsia="Arial" w:hAnsi="Arial"/>
                <w:sz w:val="14"/>
                <w:szCs w:val="14"/>
                <w:color w:val="auto"/>
              </w:rPr>
              <w:t>Three Months Ended</w:t>
            </w: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0" w:type="dxa"/>
            <w:vAlign w:val="bottom"/>
            <w:gridSpan w:val="3"/>
          </w:tcPr>
          <w:p>
            <w:pPr>
              <w:jc w:val="right"/>
              <w:ind w:right="692"/>
              <w:spacing w:after="0"/>
              <w:rPr>
                <w:sz w:val="20"/>
                <w:szCs w:val="20"/>
                <w:color w:val="auto"/>
              </w:rPr>
            </w:pPr>
            <w:r>
              <w:rPr>
                <w:rFonts w:ascii="Arial" w:cs="Arial" w:eastAsia="Arial" w:hAnsi="Arial"/>
                <w:sz w:val="14"/>
                <w:szCs w:val="14"/>
                <w:color w:val="auto"/>
              </w:rPr>
              <w:t>Nine Months Ended</w:t>
            </w:r>
          </w:p>
        </w:tc>
        <w:tc>
          <w:tcPr>
            <w:tcW w:w="1380" w:type="dxa"/>
            <w:vAlign w:val="bottom"/>
          </w:tcPr>
          <w:p>
            <w:pPr>
              <w:spacing w:after="0"/>
              <w:rPr>
                <w:sz w:val="14"/>
                <w:szCs w:val="14"/>
                <w:color w:val="auto"/>
              </w:rPr>
            </w:pPr>
          </w:p>
        </w:tc>
      </w:tr>
      <w:tr>
        <w:trPr>
          <w:trHeight w:val="188"/>
        </w:trPr>
        <w:tc>
          <w:tcPr>
            <w:tcW w:w="3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9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9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156"/>
        </w:trPr>
        <w:tc>
          <w:tcPr>
            <w:tcW w:w="3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40" w:type="dxa"/>
            <w:vAlign w:val="bottom"/>
          </w:tcPr>
          <w:p>
            <w:pPr>
              <w:jc w:val="center"/>
              <w:spacing w:after="0" w:line="157" w:lineRule="exact"/>
              <w:rPr>
                <w:sz w:val="20"/>
                <w:szCs w:val="20"/>
                <w:color w:val="auto"/>
              </w:rPr>
            </w:pPr>
            <w:r>
              <w:rPr>
                <w:rFonts w:ascii="Arial" w:cs="Arial" w:eastAsia="Arial" w:hAnsi="Arial"/>
                <w:sz w:val="14"/>
                <w:szCs w:val="14"/>
                <w:color w:val="auto"/>
                <w:w w:val="92"/>
              </w:rPr>
              <w:t>Constant Currency</w:t>
            </w: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80" w:type="dxa"/>
            <w:vAlign w:val="bottom"/>
          </w:tcPr>
          <w:p>
            <w:pPr>
              <w:jc w:val="center"/>
              <w:spacing w:after="0" w:line="157" w:lineRule="exact"/>
              <w:rPr>
                <w:sz w:val="20"/>
                <w:szCs w:val="20"/>
                <w:color w:val="auto"/>
              </w:rPr>
            </w:pPr>
            <w:r>
              <w:rPr>
                <w:rFonts w:ascii="Arial" w:cs="Arial" w:eastAsia="Arial" w:hAnsi="Arial"/>
                <w:sz w:val="14"/>
                <w:szCs w:val="14"/>
                <w:color w:val="auto"/>
                <w:w w:val="92"/>
              </w:rPr>
              <w:t>Constant Currency</w:t>
            </w:r>
          </w:p>
        </w:tc>
      </w:tr>
      <w:tr>
        <w:trPr>
          <w:trHeight w:val="188"/>
        </w:trPr>
        <w:tc>
          <w:tcPr>
            <w:tcW w:w="3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Actual</w:t>
            </w:r>
          </w:p>
        </w:tc>
        <w:tc>
          <w:tcPr>
            <w:tcW w:w="140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color w:val="auto"/>
              </w:rPr>
              <w:t>Constant Currency</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Growth</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Actual</w:t>
            </w:r>
          </w:p>
        </w:tc>
        <w:tc>
          <w:tcPr>
            <w:tcW w:w="14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color w:val="auto"/>
              </w:rPr>
              <w:t>Constant Currency</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Growth</w:t>
            </w:r>
          </w:p>
        </w:tc>
      </w:tr>
      <w:tr>
        <w:trPr>
          <w:trHeight w:val="264"/>
        </w:trPr>
        <w:tc>
          <w:tcPr>
            <w:tcW w:w="3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2019</w:t>
            </w:r>
          </w:p>
        </w:tc>
        <w:tc>
          <w:tcPr>
            <w:tcW w:w="5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2018</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2019</w:t>
            </w: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2018</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0"/>
        </w:trPr>
        <w:tc>
          <w:tcPr>
            <w:tcW w:w="3180" w:type="dxa"/>
            <w:vAlign w:val="bottom"/>
          </w:tcPr>
          <w:p>
            <w:pPr>
              <w:ind w:left="180"/>
              <w:spacing w:after="0"/>
              <w:rPr>
                <w:sz w:val="20"/>
                <w:szCs w:val="20"/>
                <w:color w:val="auto"/>
              </w:rPr>
            </w:pPr>
            <w:r>
              <w:rPr>
                <w:rFonts w:ascii="Arial" w:cs="Arial" w:eastAsia="Arial" w:hAnsi="Arial"/>
                <w:sz w:val="18"/>
                <w:szCs w:val="18"/>
                <w:color w:val="auto"/>
              </w:rPr>
              <w:t>Direct-to-consumer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6"/>
              <w:spacing w:after="0"/>
              <w:rPr>
                <w:sz w:val="20"/>
                <w:szCs w:val="20"/>
                <w:color w:val="auto"/>
              </w:rPr>
            </w:pPr>
            <w:r>
              <w:rPr>
                <w:rFonts w:ascii="Arial" w:cs="Arial" w:eastAsia="Arial" w:hAnsi="Arial"/>
                <w:sz w:val="18"/>
                <w:szCs w:val="18"/>
                <w:color w:val="auto"/>
              </w:rPr>
              <w:t>3,793</w:t>
            </w:r>
          </w:p>
        </w:tc>
        <w:tc>
          <w:tcPr>
            <w:tcW w:w="50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3,722</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1.9 %</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11,516</w:t>
            </w:r>
          </w:p>
        </w:tc>
        <w:tc>
          <w:tcPr>
            <w:tcW w:w="50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11,395</w:t>
            </w:r>
          </w:p>
        </w:tc>
        <w:tc>
          <w:tcPr>
            <w:tcW w:w="138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70"/>
        </w:trPr>
        <w:tc>
          <w:tcPr>
            <w:tcW w:w="3180" w:type="dxa"/>
            <w:vAlign w:val="bottom"/>
          </w:tcPr>
          <w:p>
            <w:pPr>
              <w:ind w:left="180"/>
              <w:spacing w:after="0"/>
              <w:rPr>
                <w:sz w:val="20"/>
                <w:szCs w:val="20"/>
                <w:color w:val="auto"/>
              </w:rPr>
            </w:pPr>
            <w:r>
              <w:rPr>
                <w:rFonts w:ascii="Arial" w:cs="Arial" w:eastAsia="Arial" w:hAnsi="Arial"/>
                <w:sz w:val="18"/>
                <w:szCs w:val="18"/>
                <w:color w:val="auto"/>
              </w:rPr>
              <w:t>Content</w:t>
            </w:r>
          </w:p>
        </w:tc>
        <w:tc>
          <w:tcPr>
            <w:tcW w:w="260" w:type="dxa"/>
            <w:vAlign w:val="bottom"/>
          </w:tcPr>
          <w:p>
            <w:pPr>
              <w:spacing w:after="0"/>
              <w:rPr>
                <w:sz w:val="23"/>
                <w:szCs w:val="23"/>
                <w:color w:val="auto"/>
              </w:rPr>
            </w:pPr>
          </w:p>
        </w:tc>
        <w:tc>
          <w:tcPr>
            <w:tcW w:w="980" w:type="dxa"/>
            <w:vAlign w:val="bottom"/>
          </w:tcPr>
          <w:p>
            <w:pPr>
              <w:jc w:val="right"/>
              <w:ind w:right="56"/>
              <w:spacing w:after="0"/>
              <w:rPr>
                <w:sz w:val="20"/>
                <w:szCs w:val="20"/>
                <w:color w:val="auto"/>
              </w:rPr>
            </w:pPr>
            <w:r>
              <w:rPr>
                <w:rFonts w:ascii="Arial" w:cs="Arial" w:eastAsia="Arial" w:hAnsi="Arial"/>
                <w:sz w:val="18"/>
                <w:szCs w:val="18"/>
                <w:color w:val="auto"/>
              </w:rPr>
              <w:t>315</w:t>
            </w:r>
          </w:p>
        </w:tc>
        <w:tc>
          <w:tcPr>
            <w:tcW w:w="500" w:type="dxa"/>
            <w:vAlign w:val="bottom"/>
          </w:tcPr>
          <w:p>
            <w:pPr>
              <w:spacing w:after="0"/>
              <w:rPr>
                <w:sz w:val="23"/>
                <w:szCs w:val="23"/>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273</w:t>
            </w:r>
          </w:p>
        </w:tc>
        <w:tc>
          <w:tcPr>
            <w:tcW w:w="1440" w:type="dxa"/>
            <w:vAlign w:val="bottom"/>
          </w:tcPr>
          <w:p>
            <w:pPr>
              <w:jc w:val="right"/>
              <w:ind w:right="234"/>
              <w:spacing w:after="0"/>
              <w:rPr>
                <w:sz w:val="20"/>
                <w:szCs w:val="20"/>
                <w:color w:val="auto"/>
              </w:rPr>
            </w:pPr>
            <w:r>
              <w:rPr>
                <w:rFonts w:ascii="Arial" w:cs="Arial" w:eastAsia="Arial" w:hAnsi="Arial"/>
                <w:sz w:val="18"/>
                <w:szCs w:val="18"/>
                <w:color w:val="auto"/>
              </w:rPr>
              <w:t>15.4</w:t>
            </w:r>
          </w:p>
        </w:tc>
        <w:tc>
          <w:tcPr>
            <w:tcW w:w="320" w:type="dxa"/>
            <w:vAlign w:val="bottom"/>
          </w:tcPr>
          <w:p>
            <w:pPr>
              <w:spacing w:after="0"/>
              <w:rPr>
                <w:sz w:val="23"/>
                <w:szCs w:val="23"/>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1,061</w:t>
            </w:r>
          </w:p>
        </w:tc>
        <w:tc>
          <w:tcPr>
            <w:tcW w:w="500" w:type="dxa"/>
            <w:vAlign w:val="bottom"/>
          </w:tcPr>
          <w:p>
            <w:pPr>
              <w:spacing w:after="0"/>
              <w:rPr>
                <w:sz w:val="23"/>
                <w:szCs w:val="23"/>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835</w:t>
            </w:r>
          </w:p>
        </w:tc>
        <w:tc>
          <w:tcPr>
            <w:tcW w:w="1380" w:type="dxa"/>
            <w:vAlign w:val="bottom"/>
          </w:tcPr>
          <w:p>
            <w:pPr>
              <w:jc w:val="right"/>
              <w:ind w:right="174"/>
              <w:spacing w:after="0"/>
              <w:rPr>
                <w:sz w:val="20"/>
                <w:szCs w:val="20"/>
                <w:color w:val="auto"/>
              </w:rPr>
            </w:pPr>
            <w:r>
              <w:rPr>
                <w:rFonts w:ascii="Arial" w:cs="Arial" w:eastAsia="Arial" w:hAnsi="Arial"/>
                <w:sz w:val="18"/>
                <w:szCs w:val="18"/>
                <w:color w:val="auto"/>
              </w:rPr>
              <w:t>26.9</w:t>
            </w:r>
          </w:p>
        </w:tc>
      </w:tr>
      <w:tr>
        <w:trPr>
          <w:trHeight w:val="270"/>
        </w:trPr>
        <w:tc>
          <w:tcPr>
            <w:tcW w:w="3180" w:type="dxa"/>
            <w:vAlign w:val="bottom"/>
          </w:tcPr>
          <w:p>
            <w:pPr>
              <w:ind w:left="180"/>
              <w:spacing w:after="0"/>
              <w:rPr>
                <w:sz w:val="20"/>
                <w:szCs w:val="20"/>
                <w:color w:val="auto"/>
              </w:rPr>
            </w:pPr>
            <w:r>
              <w:rPr>
                <w:rFonts w:ascii="Arial" w:cs="Arial" w:eastAsia="Arial" w:hAnsi="Arial"/>
                <w:sz w:val="18"/>
                <w:szCs w:val="18"/>
                <w:color w:val="auto"/>
              </w:rPr>
              <w:t>Advertising</w:t>
            </w:r>
          </w:p>
        </w:tc>
        <w:tc>
          <w:tcPr>
            <w:tcW w:w="260" w:type="dxa"/>
            <w:vAlign w:val="bottom"/>
          </w:tcPr>
          <w:p>
            <w:pPr>
              <w:spacing w:after="0"/>
              <w:rPr>
                <w:sz w:val="23"/>
                <w:szCs w:val="23"/>
                <w:color w:val="auto"/>
              </w:rPr>
            </w:pPr>
          </w:p>
        </w:tc>
        <w:tc>
          <w:tcPr>
            <w:tcW w:w="980" w:type="dxa"/>
            <w:vAlign w:val="bottom"/>
          </w:tcPr>
          <w:p>
            <w:pPr>
              <w:jc w:val="right"/>
              <w:ind w:right="56"/>
              <w:spacing w:after="0"/>
              <w:rPr>
                <w:sz w:val="20"/>
                <w:szCs w:val="20"/>
                <w:color w:val="auto"/>
              </w:rPr>
            </w:pPr>
            <w:r>
              <w:rPr>
                <w:rFonts w:ascii="Arial" w:cs="Arial" w:eastAsia="Arial" w:hAnsi="Arial"/>
                <w:sz w:val="18"/>
                <w:szCs w:val="18"/>
                <w:color w:val="auto"/>
              </w:rPr>
              <w:t>446</w:t>
            </w:r>
          </w:p>
        </w:tc>
        <w:tc>
          <w:tcPr>
            <w:tcW w:w="500" w:type="dxa"/>
            <w:vAlign w:val="bottom"/>
          </w:tcPr>
          <w:p>
            <w:pPr>
              <w:spacing w:after="0"/>
              <w:rPr>
                <w:sz w:val="23"/>
                <w:szCs w:val="23"/>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517</w:t>
            </w:r>
          </w:p>
        </w:tc>
        <w:tc>
          <w:tcPr>
            <w:tcW w:w="1440" w:type="dxa"/>
            <w:vAlign w:val="bottom"/>
          </w:tcPr>
          <w:p>
            <w:pPr>
              <w:jc w:val="right"/>
              <w:ind w:right="174"/>
              <w:spacing w:after="0"/>
              <w:rPr>
                <w:sz w:val="20"/>
                <w:szCs w:val="20"/>
                <w:color w:val="auto"/>
              </w:rPr>
            </w:pPr>
            <w:r>
              <w:rPr>
                <w:rFonts w:ascii="Arial" w:cs="Arial" w:eastAsia="Arial" w:hAnsi="Arial"/>
                <w:sz w:val="18"/>
                <w:szCs w:val="18"/>
                <w:color w:val="auto"/>
              </w:rPr>
              <w:t>(13.8)</w:t>
            </w:r>
          </w:p>
        </w:tc>
        <w:tc>
          <w:tcPr>
            <w:tcW w:w="320" w:type="dxa"/>
            <w:vAlign w:val="bottom"/>
          </w:tcPr>
          <w:p>
            <w:pPr>
              <w:spacing w:after="0"/>
              <w:rPr>
                <w:sz w:val="23"/>
                <w:szCs w:val="23"/>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1,602</w:t>
            </w:r>
          </w:p>
        </w:tc>
        <w:tc>
          <w:tcPr>
            <w:tcW w:w="500" w:type="dxa"/>
            <w:vAlign w:val="bottom"/>
          </w:tcPr>
          <w:p>
            <w:pPr>
              <w:spacing w:after="0"/>
              <w:rPr>
                <w:sz w:val="23"/>
                <w:szCs w:val="23"/>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1,701</w:t>
            </w:r>
          </w:p>
        </w:tc>
        <w:tc>
          <w:tcPr>
            <w:tcW w:w="1380" w:type="dxa"/>
            <w:vAlign w:val="bottom"/>
          </w:tcPr>
          <w:p>
            <w:pPr>
              <w:jc w:val="right"/>
              <w:ind w:right="114"/>
              <w:spacing w:after="0"/>
              <w:rPr>
                <w:sz w:val="20"/>
                <w:szCs w:val="20"/>
                <w:color w:val="auto"/>
              </w:rPr>
            </w:pPr>
            <w:r>
              <w:rPr>
                <w:rFonts w:ascii="Arial" w:cs="Arial" w:eastAsia="Arial" w:hAnsi="Arial"/>
                <w:sz w:val="18"/>
                <w:szCs w:val="18"/>
                <w:color w:val="auto"/>
              </w:rPr>
              <w:t>(6.0)</w:t>
            </w:r>
          </w:p>
        </w:tc>
      </w:tr>
      <w:tr>
        <w:trPr>
          <w:trHeight w:val="27"/>
        </w:trPr>
        <w:tc>
          <w:tcPr>
            <w:tcW w:w="3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Pr>
          <w:p>
            <w:pPr>
              <w:spacing w:after="0"/>
              <w:rPr>
                <w:sz w:val="20"/>
                <w:szCs w:val="20"/>
                <w:color w:val="auto"/>
              </w:rPr>
            </w:pPr>
          </w:p>
        </w:tc>
        <w:tc>
          <w:tcPr>
            <w:tcW w:w="980" w:type="dxa"/>
            <w:vAlign w:val="bottom"/>
          </w:tcPr>
          <w:p>
            <w:pPr>
              <w:jc w:val="right"/>
              <w:ind w:right="56"/>
              <w:spacing w:after="0"/>
              <w:rPr>
                <w:sz w:val="20"/>
                <w:szCs w:val="20"/>
                <w:color w:val="auto"/>
              </w:rPr>
            </w:pPr>
            <w:r>
              <w:rPr>
                <w:rFonts w:ascii="Arial" w:cs="Arial" w:eastAsia="Arial" w:hAnsi="Arial"/>
                <w:sz w:val="18"/>
                <w:szCs w:val="18"/>
                <w:b w:val="1"/>
                <w:bCs w:val="1"/>
                <w:color w:val="auto"/>
              </w:rPr>
              <w:t>4,554</w:t>
            </w:r>
          </w:p>
        </w:tc>
        <w:tc>
          <w:tcPr>
            <w:tcW w:w="500" w:type="dxa"/>
            <w:vAlign w:val="bottom"/>
          </w:tcPr>
          <w:p>
            <w:pPr>
              <w:spacing w:after="0"/>
              <w:rPr>
                <w:sz w:val="20"/>
                <w:szCs w:val="20"/>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b w:val="1"/>
                <w:bCs w:val="1"/>
                <w:color w:val="auto"/>
              </w:rPr>
              <w:t>4,512</w:t>
            </w:r>
          </w:p>
        </w:tc>
        <w:tc>
          <w:tcPr>
            <w:tcW w:w="1440" w:type="dxa"/>
            <w:vAlign w:val="bottom"/>
          </w:tcPr>
          <w:p>
            <w:pPr>
              <w:jc w:val="right"/>
              <w:ind w:right="234"/>
              <w:spacing w:after="0"/>
              <w:rPr>
                <w:sz w:val="20"/>
                <w:szCs w:val="20"/>
                <w:color w:val="auto"/>
              </w:rPr>
            </w:pPr>
            <w:r>
              <w:rPr>
                <w:rFonts w:ascii="Arial" w:cs="Arial" w:eastAsia="Arial" w:hAnsi="Arial"/>
                <w:sz w:val="18"/>
                <w:szCs w:val="18"/>
                <w:b w:val="1"/>
                <w:bCs w:val="1"/>
                <w:color w:val="auto"/>
              </w:rPr>
              <w:t>0.9</w:t>
            </w:r>
          </w:p>
        </w:tc>
        <w:tc>
          <w:tcPr>
            <w:tcW w:w="320" w:type="dxa"/>
            <w:vAlign w:val="bottom"/>
          </w:tcPr>
          <w:p>
            <w:pPr>
              <w:spacing w:after="0"/>
              <w:rPr>
                <w:sz w:val="20"/>
                <w:szCs w:val="20"/>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b w:val="1"/>
                <w:bCs w:val="1"/>
                <w:color w:val="auto"/>
              </w:rPr>
              <w:t>14,179</w:t>
            </w:r>
          </w:p>
        </w:tc>
        <w:tc>
          <w:tcPr>
            <w:tcW w:w="500" w:type="dxa"/>
            <w:vAlign w:val="bottom"/>
          </w:tcPr>
          <w:p>
            <w:pPr>
              <w:spacing w:after="0"/>
              <w:rPr>
                <w:sz w:val="20"/>
                <w:szCs w:val="20"/>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b w:val="1"/>
                <w:bCs w:val="1"/>
                <w:color w:val="auto"/>
              </w:rPr>
              <w:t>13,931</w:t>
            </w:r>
          </w:p>
        </w:tc>
        <w:tc>
          <w:tcPr>
            <w:tcW w:w="1380" w:type="dxa"/>
            <w:vAlign w:val="bottom"/>
          </w:tcPr>
          <w:p>
            <w:pPr>
              <w:jc w:val="right"/>
              <w:ind w:right="174"/>
              <w:spacing w:after="0"/>
              <w:rPr>
                <w:sz w:val="20"/>
                <w:szCs w:val="20"/>
                <w:color w:val="auto"/>
              </w:rPr>
            </w:pPr>
            <w:r>
              <w:rPr>
                <w:rFonts w:ascii="Arial" w:cs="Arial" w:eastAsia="Arial" w:hAnsi="Arial"/>
                <w:sz w:val="18"/>
                <w:szCs w:val="18"/>
                <w:b w:val="1"/>
                <w:bCs w:val="1"/>
                <w:color w:val="auto"/>
              </w:rPr>
              <w:t>1.8</w:t>
            </w:r>
          </w:p>
        </w:tc>
      </w:tr>
      <w:tr>
        <w:trPr>
          <w:trHeight w:val="270"/>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70"/>
        </w:trPr>
        <w:tc>
          <w:tcPr>
            <w:tcW w:w="318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260" w:type="dxa"/>
            <w:vAlign w:val="bottom"/>
          </w:tcPr>
          <w:p>
            <w:pPr>
              <w:spacing w:after="0"/>
              <w:rPr>
                <w:sz w:val="23"/>
                <w:szCs w:val="23"/>
                <w:color w:val="auto"/>
              </w:rPr>
            </w:pPr>
          </w:p>
        </w:tc>
        <w:tc>
          <w:tcPr>
            <w:tcW w:w="980" w:type="dxa"/>
            <w:vAlign w:val="bottom"/>
          </w:tcPr>
          <w:p>
            <w:pPr>
              <w:jc w:val="right"/>
              <w:ind w:right="56"/>
              <w:spacing w:after="0"/>
              <w:rPr>
                <w:sz w:val="20"/>
                <w:szCs w:val="20"/>
                <w:color w:val="auto"/>
              </w:rPr>
            </w:pPr>
            <w:r>
              <w:rPr>
                <w:rFonts w:ascii="Arial" w:cs="Arial" w:eastAsia="Arial" w:hAnsi="Arial"/>
                <w:sz w:val="18"/>
                <w:szCs w:val="18"/>
                <w:color w:val="auto"/>
              </w:rPr>
              <w:t>2,003</w:t>
            </w:r>
          </w:p>
        </w:tc>
        <w:tc>
          <w:tcPr>
            <w:tcW w:w="500" w:type="dxa"/>
            <w:vAlign w:val="bottom"/>
          </w:tcPr>
          <w:p>
            <w:pPr>
              <w:spacing w:after="0"/>
              <w:rPr>
                <w:sz w:val="23"/>
                <w:szCs w:val="23"/>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1,859</w:t>
            </w:r>
          </w:p>
        </w:tc>
        <w:tc>
          <w:tcPr>
            <w:tcW w:w="1440" w:type="dxa"/>
            <w:vAlign w:val="bottom"/>
          </w:tcPr>
          <w:p>
            <w:pPr>
              <w:jc w:val="right"/>
              <w:ind w:right="234"/>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23"/>
                <w:szCs w:val="23"/>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6,543</w:t>
            </w:r>
          </w:p>
        </w:tc>
        <w:tc>
          <w:tcPr>
            <w:tcW w:w="500" w:type="dxa"/>
            <w:vAlign w:val="bottom"/>
          </w:tcPr>
          <w:p>
            <w:pPr>
              <w:spacing w:after="0"/>
              <w:rPr>
                <w:sz w:val="23"/>
                <w:szCs w:val="23"/>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6,057</w:t>
            </w:r>
          </w:p>
        </w:tc>
        <w:tc>
          <w:tcPr>
            <w:tcW w:w="1380" w:type="dxa"/>
            <w:vAlign w:val="bottom"/>
          </w:tcPr>
          <w:p>
            <w:pPr>
              <w:jc w:val="right"/>
              <w:ind w:right="174"/>
              <w:spacing w:after="0"/>
              <w:rPr>
                <w:sz w:val="20"/>
                <w:szCs w:val="20"/>
                <w:color w:val="auto"/>
              </w:rPr>
            </w:pPr>
            <w:r>
              <w:rPr>
                <w:rFonts w:ascii="Arial" w:cs="Arial" w:eastAsia="Arial" w:hAnsi="Arial"/>
                <w:sz w:val="18"/>
                <w:szCs w:val="18"/>
                <w:color w:val="auto"/>
              </w:rPr>
              <w:t>7.9</w:t>
            </w:r>
          </w:p>
        </w:tc>
      </w:tr>
      <w:tr>
        <w:trPr>
          <w:trHeight w:val="270"/>
        </w:trPr>
        <w:tc>
          <w:tcPr>
            <w:tcW w:w="3180" w:type="dxa"/>
            <w:vAlign w:val="bottom"/>
          </w:tcPr>
          <w:p>
            <w:pPr>
              <w:ind w:left="180"/>
              <w:spacing w:after="0"/>
              <w:rPr>
                <w:sz w:val="20"/>
                <w:szCs w:val="20"/>
                <w:color w:val="auto"/>
              </w:rPr>
            </w:pPr>
            <w:r>
              <w:rPr>
                <w:rFonts w:ascii="Arial" w:cs="Arial" w:eastAsia="Arial" w:hAnsi="Arial"/>
                <w:sz w:val="18"/>
                <w:szCs w:val="18"/>
                <w:color w:val="auto"/>
              </w:rPr>
              <w:t>Direct network costs</w:t>
            </w:r>
          </w:p>
        </w:tc>
        <w:tc>
          <w:tcPr>
            <w:tcW w:w="260" w:type="dxa"/>
            <w:vAlign w:val="bottom"/>
          </w:tcPr>
          <w:p>
            <w:pPr>
              <w:spacing w:after="0"/>
              <w:rPr>
                <w:sz w:val="23"/>
                <w:szCs w:val="23"/>
                <w:color w:val="auto"/>
              </w:rPr>
            </w:pPr>
          </w:p>
        </w:tc>
        <w:tc>
          <w:tcPr>
            <w:tcW w:w="980" w:type="dxa"/>
            <w:vAlign w:val="bottom"/>
          </w:tcPr>
          <w:p>
            <w:pPr>
              <w:jc w:val="right"/>
              <w:ind w:right="56"/>
              <w:spacing w:after="0"/>
              <w:rPr>
                <w:sz w:val="20"/>
                <w:szCs w:val="20"/>
                <w:color w:val="auto"/>
              </w:rPr>
            </w:pPr>
            <w:r>
              <w:rPr>
                <w:rFonts w:ascii="Arial" w:cs="Arial" w:eastAsia="Arial" w:hAnsi="Arial"/>
                <w:sz w:val="18"/>
                <w:szCs w:val="18"/>
                <w:color w:val="auto"/>
              </w:rPr>
              <w:t>419</w:t>
            </w:r>
          </w:p>
        </w:tc>
        <w:tc>
          <w:tcPr>
            <w:tcW w:w="500" w:type="dxa"/>
            <w:vAlign w:val="bottom"/>
          </w:tcPr>
          <w:p>
            <w:pPr>
              <w:spacing w:after="0"/>
              <w:rPr>
                <w:sz w:val="23"/>
                <w:szCs w:val="23"/>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384</w:t>
            </w:r>
          </w:p>
        </w:tc>
        <w:tc>
          <w:tcPr>
            <w:tcW w:w="1440" w:type="dxa"/>
            <w:vAlign w:val="bottom"/>
          </w:tcPr>
          <w:p>
            <w:pPr>
              <w:jc w:val="right"/>
              <w:ind w:right="234"/>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23"/>
                <w:szCs w:val="23"/>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1,218</w:t>
            </w:r>
          </w:p>
        </w:tc>
        <w:tc>
          <w:tcPr>
            <w:tcW w:w="500" w:type="dxa"/>
            <w:vAlign w:val="bottom"/>
          </w:tcPr>
          <w:p>
            <w:pPr>
              <w:spacing w:after="0"/>
              <w:rPr>
                <w:sz w:val="23"/>
                <w:szCs w:val="23"/>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1,137</w:t>
            </w:r>
          </w:p>
        </w:tc>
        <w:tc>
          <w:tcPr>
            <w:tcW w:w="1380" w:type="dxa"/>
            <w:vAlign w:val="bottom"/>
          </w:tcPr>
          <w:p>
            <w:pPr>
              <w:jc w:val="right"/>
              <w:ind w:right="174"/>
              <w:spacing w:after="0"/>
              <w:rPr>
                <w:sz w:val="20"/>
                <w:szCs w:val="20"/>
                <w:color w:val="auto"/>
              </w:rPr>
            </w:pPr>
            <w:r>
              <w:rPr>
                <w:rFonts w:ascii="Arial" w:cs="Arial" w:eastAsia="Arial" w:hAnsi="Arial"/>
                <w:sz w:val="18"/>
                <w:szCs w:val="18"/>
                <w:color w:val="auto"/>
              </w:rPr>
              <w:t>7.2</w:t>
            </w:r>
          </w:p>
        </w:tc>
      </w:tr>
      <w:tr>
        <w:trPr>
          <w:trHeight w:val="270"/>
        </w:trPr>
        <w:tc>
          <w:tcPr>
            <w:tcW w:w="3180" w:type="dxa"/>
            <w:vAlign w:val="bottom"/>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3"/>
                <w:szCs w:val="23"/>
                <w:color w:val="auto"/>
              </w:rPr>
            </w:pPr>
          </w:p>
        </w:tc>
        <w:tc>
          <w:tcPr>
            <w:tcW w:w="980" w:type="dxa"/>
            <w:vAlign w:val="bottom"/>
          </w:tcPr>
          <w:p>
            <w:pPr>
              <w:jc w:val="right"/>
              <w:ind w:right="56"/>
              <w:spacing w:after="0"/>
              <w:rPr>
                <w:sz w:val="20"/>
                <w:szCs w:val="20"/>
                <w:color w:val="auto"/>
              </w:rPr>
            </w:pPr>
            <w:r>
              <w:rPr>
                <w:rFonts w:ascii="Arial" w:cs="Arial" w:eastAsia="Arial" w:hAnsi="Arial"/>
                <w:sz w:val="18"/>
                <w:szCs w:val="18"/>
                <w:color w:val="auto"/>
              </w:rPr>
              <w:t>1,233</w:t>
            </w:r>
          </w:p>
        </w:tc>
        <w:tc>
          <w:tcPr>
            <w:tcW w:w="500" w:type="dxa"/>
            <w:vAlign w:val="bottom"/>
          </w:tcPr>
          <w:p>
            <w:pPr>
              <w:spacing w:after="0"/>
              <w:rPr>
                <w:sz w:val="23"/>
                <w:szCs w:val="23"/>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1,652</w:t>
            </w:r>
          </w:p>
        </w:tc>
        <w:tc>
          <w:tcPr>
            <w:tcW w:w="1440" w:type="dxa"/>
            <w:vAlign w:val="bottom"/>
          </w:tcPr>
          <w:p>
            <w:pPr>
              <w:jc w:val="right"/>
              <w:ind w:right="174"/>
              <w:spacing w:after="0"/>
              <w:rPr>
                <w:sz w:val="20"/>
                <w:szCs w:val="20"/>
                <w:color w:val="auto"/>
              </w:rPr>
            </w:pPr>
            <w:r>
              <w:rPr>
                <w:rFonts w:ascii="Arial" w:cs="Arial" w:eastAsia="Arial" w:hAnsi="Arial"/>
                <w:sz w:val="18"/>
                <w:szCs w:val="18"/>
                <w:color w:val="auto"/>
              </w:rPr>
              <w:t>(25.3)</w:t>
            </w:r>
          </w:p>
        </w:tc>
        <w:tc>
          <w:tcPr>
            <w:tcW w:w="320" w:type="dxa"/>
            <w:vAlign w:val="bottom"/>
          </w:tcPr>
          <w:p>
            <w:pPr>
              <w:spacing w:after="0"/>
              <w:rPr>
                <w:sz w:val="23"/>
                <w:szCs w:val="23"/>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4,084</w:t>
            </w:r>
          </w:p>
        </w:tc>
        <w:tc>
          <w:tcPr>
            <w:tcW w:w="500" w:type="dxa"/>
            <w:vAlign w:val="bottom"/>
          </w:tcPr>
          <w:p>
            <w:pPr>
              <w:spacing w:after="0"/>
              <w:rPr>
                <w:sz w:val="23"/>
                <w:szCs w:val="23"/>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4,732</w:t>
            </w:r>
          </w:p>
        </w:tc>
        <w:tc>
          <w:tcPr>
            <w:tcW w:w="1380" w:type="dxa"/>
            <w:vAlign w:val="bottom"/>
          </w:tcPr>
          <w:p>
            <w:pPr>
              <w:jc w:val="right"/>
              <w:ind w:right="114"/>
              <w:spacing w:after="0"/>
              <w:rPr>
                <w:sz w:val="20"/>
                <w:szCs w:val="20"/>
                <w:color w:val="auto"/>
              </w:rPr>
            </w:pPr>
            <w:r>
              <w:rPr>
                <w:rFonts w:ascii="Arial" w:cs="Arial" w:eastAsia="Arial" w:hAnsi="Arial"/>
                <w:sz w:val="18"/>
                <w:szCs w:val="18"/>
                <w:color w:val="auto"/>
              </w:rPr>
              <w:t>(13.7)</w:t>
            </w:r>
          </w:p>
        </w:tc>
      </w:tr>
      <w:tr>
        <w:trPr>
          <w:trHeight w:val="27"/>
        </w:trPr>
        <w:tc>
          <w:tcPr>
            <w:tcW w:w="3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260" w:type="dxa"/>
            <w:vAlign w:val="bottom"/>
          </w:tcPr>
          <w:p>
            <w:pPr>
              <w:spacing w:after="0"/>
              <w:rPr>
                <w:sz w:val="20"/>
                <w:szCs w:val="20"/>
                <w:color w:val="auto"/>
              </w:rPr>
            </w:pPr>
          </w:p>
        </w:tc>
        <w:tc>
          <w:tcPr>
            <w:tcW w:w="980" w:type="dxa"/>
            <w:vAlign w:val="bottom"/>
          </w:tcPr>
          <w:p>
            <w:pPr>
              <w:jc w:val="right"/>
              <w:ind w:right="56"/>
              <w:spacing w:after="0"/>
              <w:rPr>
                <w:sz w:val="20"/>
                <w:szCs w:val="20"/>
                <w:color w:val="auto"/>
              </w:rPr>
            </w:pPr>
            <w:r>
              <w:rPr>
                <w:rFonts w:ascii="Arial" w:cs="Arial" w:eastAsia="Arial" w:hAnsi="Arial"/>
                <w:sz w:val="18"/>
                <w:szCs w:val="18"/>
                <w:color w:val="auto"/>
              </w:rPr>
              <w:t>3,655</w:t>
            </w:r>
          </w:p>
        </w:tc>
        <w:tc>
          <w:tcPr>
            <w:tcW w:w="500" w:type="dxa"/>
            <w:vAlign w:val="bottom"/>
          </w:tcPr>
          <w:p>
            <w:pPr>
              <w:spacing w:after="0"/>
              <w:rPr>
                <w:sz w:val="20"/>
                <w:szCs w:val="20"/>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3,895</w:t>
            </w:r>
          </w:p>
        </w:tc>
        <w:tc>
          <w:tcPr>
            <w:tcW w:w="1440" w:type="dxa"/>
            <w:vAlign w:val="bottom"/>
          </w:tcPr>
          <w:p>
            <w:pPr>
              <w:jc w:val="right"/>
              <w:ind w:right="174"/>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20"/>
                <w:szCs w:val="20"/>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11,845</w:t>
            </w:r>
          </w:p>
        </w:tc>
        <w:tc>
          <w:tcPr>
            <w:tcW w:w="500" w:type="dxa"/>
            <w:vAlign w:val="bottom"/>
          </w:tcPr>
          <w:p>
            <w:pPr>
              <w:spacing w:after="0"/>
              <w:rPr>
                <w:sz w:val="20"/>
                <w:szCs w:val="20"/>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11,926</w:t>
            </w:r>
          </w:p>
        </w:tc>
        <w:tc>
          <w:tcPr>
            <w:tcW w:w="1380" w:type="dxa"/>
            <w:vAlign w:val="bottom"/>
          </w:tcPr>
          <w:p>
            <w:pPr>
              <w:jc w:val="right"/>
              <w:ind w:right="114"/>
              <w:spacing w:after="0"/>
              <w:rPr>
                <w:sz w:val="20"/>
                <w:szCs w:val="20"/>
                <w:color w:val="auto"/>
              </w:rPr>
            </w:pPr>
            <w:r>
              <w:rPr>
                <w:rFonts w:ascii="Arial" w:cs="Arial" w:eastAsia="Arial" w:hAnsi="Arial"/>
                <w:sz w:val="18"/>
                <w:szCs w:val="18"/>
                <w:color w:val="auto"/>
              </w:rPr>
              <w:t>(0.7)</w:t>
            </w:r>
          </w:p>
        </w:tc>
      </w:tr>
      <w:tr>
        <w:trPr>
          <w:trHeight w:val="27"/>
        </w:trPr>
        <w:tc>
          <w:tcPr>
            <w:tcW w:w="3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56"/>
              <w:spacing w:after="0"/>
              <w:rPr>
                <w:sz w:val="20"/>
                <w:szCs w:val="20"/>
                <w:color w:val="auto"/>
              </w:rPr>
            </w:pPr>
            <w:r>
              <w:rPr>
                <w:rFonts w:ascii="Arial" w:cs="Arial" w:eastAsia="Arial" w:hAnsi="Arial"/>
                <w:sz w:val="18"/>
                <w:szCs w:val="18"/>
                <w:b w:val="1"/>
                <w:bCs w:val="1"/>
                <w:color w:val="auto"/>
              </w:rPr>
              <w:t>899</w:t>
            </w:r>
          </w:p>
        </w:tc>
        <w:tc>
          <w:tcPr>
            <w:tcW w:w="500" w:type="dxa"/>
            <w:vAlign w:val="bottom"/>
          </w:tcPr>
          <w:p>
            <w:pPr>
              <w:jc w:val="right"/>
              <w:ind w:right="216"/>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12"/>
              <w:spacing w:after="0"/>
              <w:rPr>
                <w:sz w:val="20"/>
                <w:szCs w:val="20"/>
                <w:color w:val="auto"/>
              </w:rPr>
            </w:pPr>
            <w:r>
              <w:rPr>
                <w:rFonts w:ascii="Arial" w:cs="Arial" w:eastAsia="Arial" w:hAnsi="Arial"/>
                <w:sz w:val="18"/>
                <w:szCs w:val="18"/>
                <w:b w:val="1"/>
                <w:bCs w:val="1"/>
                <w:color w:val="auto"/>
              </w:rPr>
              <w:t>617</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46.0 %</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6"/>
              <w:spacing w:after="0"/>
              <w:rPr>
                <w:sz w:val="20"/>
                <w:szCs w:val="20"/>
                <w:color w:val="auto"/>
              </w:rPr>
            </w:pPr>
            <w:r>
              <w:rPr>
                <w:rFonts w:ascii="Arial" w:cs="Arial" w:eastAsia="Arial" w:hAnsi="Arial"/>
                <w:sz w:val="18"/>
                <w:szCs w:val="18"/>
                <w:b w:val="1"/>
                <w:bCs w:val="1"/>
                <w:color w:val="auto"/>
              </w:rPr>
              <w:t>2,334</w:t>
            </w:r>
          </w:p>
        </w:tc>
        <w:tc>
          <w:tcPr>
            <w:tcW w:w="500" w:type="dxa"/>
            <w:vAlign w:val="bottom"/>
          </w:tcPr>
          <w:p>
            <w:pPr>
              <w:jc w:val="right"/>
              <w:ind w:right="216"/>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12"/>
              <w:spacing w:after="0"/>
              <w:rPr>
                <w:sz w:val="20"/>
                <w:szCs w:val="20"/>
                <w:color w:val="auto"/>
              </w:rPr>
            </w:pPr>
            <w:r>
              <w:rPr>
                <w:rFonts w:ascii="Arial" w:cs="Arial" w:eastAsia="Arial" w:hAnsi="Arial"/>
                <w:sz w:val="18"/>
                <w:szCs w:val="18"/>
                <w:b w:val="1"/>
                <w:bCs w:val="1"/>
                <w:color w:val="auto"/>
              </w:rPr>
              <w:t>2,005</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16.7 %</w:t>
            </w:r>
          </w:p>
        </w:tc>
      </w:tr>
      <w:tr>
        <w:trPr>
          <w:trHeight w:val="34"/>
        </w:trPr>
        <w:tc>
          <w:tcPr>
            <w:tcW w:w="3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75"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75" w:right="2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facilities; and our ability to obtain future external financing. We anticipate that we will continue to use a substantial portion of our cash flows in repaying our debt obligations, funding our capital expenditures, investing in business opportunities and returning capital to shareholders.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40" w:type="dxa"/>
            <w:vAlign w:val="bottom"/>
          </w:tcPr>
          <w:p>
            <w:pPr>
              <w:spacing w:after="0"/>
              <w:rPr>
                <w:sz w:val="14"/>
                <w:szCs w:val="14"/>
                <w:color w:val="auto"/>
              </w:rPr>
            </w:pPr>
          </w:p>
        </w:tc>
      </w:tr>
      <w:tr>
        <w:trPr>
          <w:trHeight w:val="188"/>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color w:val="auto"/>
              </w:rPr>
              <w:t>2019</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2018</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15,878</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14,495</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Depreciation, amortization and other operating gains</w:t>
            </w:r>
          </w:p>
        </w:tc>
        <w:tc>
          <w:tcPr>
            <w:tcW w:w="360" w:type="dxa"/>
            <w:vAlign w:val="bottom"/>
          </w:tcPr>
          <w:p>
            <w:pPr>
              <w:spacing w:after="0"/>
              <w:rPr>
                <w:sz w:val="23"/>
                <w:szCs w:val="23"/>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9,776</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7,479</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Noncash share-based compensation</w:t>
            </w:r>
          </w:p>
        </w:tc>
        <w:tc>
          <w:tcPr>
            <w:tcW w:w="360" w:type="dxa"/>
            <w:vAlign w:val="bottom"/>
          </w:tcPr>
          <w:p>
            <w:pPr>
              <w:spacing w:after="0"/>
              <w:rPr>
                <w:sz w:val="23"/>
                <w:szCs w:val="23"/>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790</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607</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3"/>
                <w:szCs w:val="23"/>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(1,670)</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(511)</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Payments of interest</w:t>
            </w:r>
          </w:p>
        </w:tc>
        <w:tc>
          <w:tcPr>
            <w:tcW w:w="360" w:type="dxa"/>
            <w:vAlign w:val="bottom"/>
          </w:tcPr>
          <w:p>
            <w:pPr>
              <w:spacing w:after="0"/>
              <w:rPr>
                <w:sz w:val="23"/>
                <w:szCs w:val="23"/>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(3,167)</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(2,240)</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Payments of income taxes</w:t>
            </w:r>
          </w:p>
        </w:tc>
        <w:tc>
          <w:tcPr>
            <w:tcW w:w="360" w:type="dxa"/>
            <w:vAlign w:val="bottom"/>
          </w:tcPr>
          <w:p>
            <w:pPr>
              <w:spacing w:after="0"/>
              <w:rPr>
                <w:sz w:val="23"/>
                <w:szCs w:val="23"/>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(2,490)</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(1,533)</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345</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210</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5"/>
              <w:spacing w:after="0"/>
              <w:rPr>
                <w:sz w:val="20"/>
                <w:szCs w:val="20"/>
                <w:color w:val="auto"/>
              </w:rPr>
            </w:pPr>
            <w:r>
              <w:rPr>
                <w:rFonts w:ascii="Arial" w:cs="Arial" w:eastAsia="Arial" w:hAnsi="Arial"/>
                <w:sz w:val="18"/>
                <w:szCs w:val="18"/>
                <w:b w:val="1"/>
                <w:bCs w:val="1"/>
                <w:color w:val="auto"/>
              </w:rPr>
              <w:t>19,462</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18,507</w:t>
            </w:r>
          </w:p>
        </w:tc>
      </w:tr>
      <w:tr>
        <w:trPr>
          <w:trHeight w:val="34"/>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variance in changes in operating assets and liabilities for the nine months ended September 30, 2019 compared to the same period in 2018 was primarily due to the timing of film and television costs at NBCUniversal and Sky, our broadcast of the 2018 Super Bowl in the prior year period, partially offset by the timing of collection on our receivables, our broadcast of the 2018 PyeongChang Olympics in the prior year period and a reduction in Cable Communications wireless inventory.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investing activities for the nine months ended September 30, 2019 consisted primarily of capital expenditures, purchases of investments, cash paid for intangible assets and the construction of Universal Beijing Resort. Capital expenditures increased for the nine months ended September 30, 2019 compared to the same period in 2018 primarily due to the inclusion of spending at Sky and an increase in spending by our Theme Parks segment, partially offset by a decrease in spending by our Cable Communications segment due to lower spending on scalable infrastructure and customer premise equipment. Purchases of investments for the nine months ended September 30, 2019 consisted primarily of our cash capital contributions of $903 million to Hulu and $475 million to Atairos.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cash used in financing activities for the nine months ended September 30, 2019 consisted primarily of repayments of debt, dividend payments and repurchases of common stock under our employee plans, partially offset by proceeds from a collateralized obligation. In August 2019, we received proceeds of $5.2 billion under a term loan facility, which is fully secured, primarily by the minimum guaranteed proceeds from Disney under the put/call provisions related to our investment in Hulu. The proceeds from the collateralized obligation were used to redeem $3.4 billion of 5.15% senior notes due 2020, and to repay $906 million of our sterling-denominated term loan and our outstanding commercial paper. See Note 9 to Comcast’s condensed consolidated financial statements and Note 8 to NBCUniversal’s condensed consolidated financial statements for additional information.</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repayments of our term loans and repurchases or exchanges of our outstanding public notes and debentures, depending on various factors, such as market conditions. See Notes 5 and 6 to Comcast’s condensed consolidated financial statements and Notes 4 and 5 to NBCUniversal’s condensed consolidated financial statements for additional information on our financing activities, including details of our debt repayments and borrowings.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Credit Facilities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We also maintain significant availability under our commercial paper programs and revolving credit facilities to meet our short-term liquidity requirements.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75"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Paper Programs</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2019, we made net repayments of $673 million under our commercial paper programs. As of September 30, 2019, we had no commercial paper outstanding.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Facilities</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nine months ended September 30, 2019, we made net repayments of $615 million under Sky’s £1 billion revolving credit facility, which was terminated in February 2019. In June 2019, we amended the terms of our Comcast and NBCUniversal Enterprise revolving credit facilities to extend both facilities’ expiration dates from May 26, 2021 to May 26, 2022. As of September 30, 2019, there were no amounts outstanding under our revolving credit facilities. Amounts available under our revolving credit facilities, net of amounts outstanding under our commercial paper programs and outstanding letters of credit and bank guarantees, totaled $9.2 billion.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January 1, 2017, our Board of Directors increased our share repurchase program authorization to $12 billion, which does not have an expiration date. Under the authorization, we may repurchase shares in the open market or in private transactions. We have paused our share repurchase program for 2019 in order to accelerate the reduction of indebtedness we incurred in connection with the acquisition of Sky and no common stock share repurchases were made under this authorization for the nine months ended September 30, 2019.</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paid $431 million for the nine months ended September 30, 2019 related to employee taxes associated with the administration of our share-based compensation plans.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2019, our Board of Directors approved a 10% increase in our dividend to $0.84 per share on an annualized basis. In July 2019, our Board of Directors approved our third quarter dividend of $0.21 per share to be paid in October 2019. We expect to continue to pay quarterly dividends, although each dividend is subject to approval by our Board of Directors. On July 24, 2019, we paid dividends totaling $955 million.</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our judgments and related estimates associated with the valuation and impairment testing of our cable franchise rights and accounting for film and television costs are critical in the preparation of our condensed consolidated financial statements. We performed our annual impairment testing of our cable franchise rights as of July 1, 2019 and no impairment charge was required.</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2018 Annual Report on Form 10-K.</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7 to Comcast’s condensed consolidated financial statements and Note 6 to NBCUniversal’s condensed consolidated financial statements for additional information related to recent accounting pronouncements.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evaluated the information required under this item that was disclosed in our 2018 Annual Report on Form 10-K and there have been no significant changes to this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Comcast Corporation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principal executive and principal financial officers, after evaluating the effectiveness of Comcast’s disclosure controls and procedures (as defined in Exchange Act Rules 13a-15(e) and 15d-15(e)) as of the end of the period covered by this report, have</w:t>
      </w:r>
    </w:p>
    <w:p>
      <w:pPr>
        <w:sectPr>
          <w:pgSz w:w="11900" w:h="16838" w:orient="portrait"/>
          <w:cols w:equalWidth="0" w:num="1">
            <w:col w:w="11420"/>
          </w:cols>
          <w:pgMar w:left="240" w:top="17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75" w:right="2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concluded that, based on the evaluation of these controls and procedures required by paragraph (b) of Exchange Act Rules 13a-15 or 15d-15, Comcast’s disclosure controls and procedures were effective.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were no changes in Comcast’s internal control over financial reporting identified in connection with the evaluation required by paragraph (d) of Exchange Act Rules 13a-15 or 15d-15 that occurred during Comcast’s last fiscal quarter that have materially affected, or are reasonably likely to materially affect, Comcast’s internal control over financial reporting, except as noted below. On October 9, 2018, we acquired a controlling interest in Sky. See Note 6 to Comcast’s condensed consolidated financial statements for additional information. In connection with the integration of Sky, we are in the process of analyzing and evaluating our internal controls over financial reporting. This process may result in additions or changes to our internal control over financial reporting.</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Media, LLC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executive and principal financial officers, after evaluating the effectiveness of NBCUniversal’s disclosure controls and procedures (as defined in Rules 13a-15(e) and 15d-15(e) of the Exchange Act) as of the end of the period covered by this report, have concluded that, based on the evaluation of these controls and procedures required by paragraph (b) of Exchange Act Rules 13a-15 or 15d-15, NBCUniversal’s disclosure controls and procedures were effective.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in NBCUniversal’s internal control over financial reporting identified in connection with the evaluation required by paragraph (d) of Exchange Act Rules 13a-15 or 15d-15 that occurred during NBCUniversal’s last fiscal quarter that have materially affected, or are reasonably likely to materially affect, NBCUniversal’s internal control over financial reporting.</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75"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12 to Comcast’s condensed consolidated financial statements included in this Quarterly Report on Form 10-Q for a discussion of legal proceedings.</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NBCUniversal is subject to legal proceedings and claims that arise in the ordinary course of its business and does not expect the final disposition of these matters to have a material adverse effect on its results of operations, cash flows or financial condition, although any such matters could be time-consuming and costly and could injure its reputation.</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2018 Annual Report on Form 10-K.</w:t>
      </w: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color w:val="auto"/>
                <w:w w:val="99"/>
              </w:rPr>
              <w:t>Exhibit</w:t>
            </w:r>
          </w:p>
        </w:tc>
        <w:tc>
          <w:tcPr>
            <w:tcW w:w="10640" w:type="dxa"/>
            <w:vAlign w:val="bottom"/>
          </w:tcPr>
          <w:p>
            <w:pPr>
              <w:spacing w:after="0"/>
              <w:rPr>
                <w:sz w:val="14"/>
                <w:szCs w:val="14"/>
                <w:color w:val="auto"/>
              </w:rPr>
            </w:pPr>
          </w:p>
        </w:tc>
      </w:tr>
      <w:tr>
        <w:trPr>
          <w:trHeight w:val="188"/>
        </w:trPr>
        <w:tc>
          <w:tcPr>
            <w:tcW w:w="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No.</w:t>
            </w:r>
          </w:p>
        </w:tc>
        <w:tc>
          <w:tcPr>
            <w:tcW w:w="106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Description</w:t>
            </w:r>
          </w:p>
        </w:tc>
      </w:tr>
      <w:tr>
        <w:trPr>
          <w:trHeight w:val="202"/>
        </w:trPr>
        <w:tc>
          <w:tcPr>
            <w:tcW w:w="360" w:type="dxa"/>
            <w:vAlign w:val="bottom"/>
            <w:gridSpan w:val="2"/>
          </w:tcPr>
          <w:p>
            <w:pPr>
              <w:jc w:val="right"/>
              <w:spacing w:after="0" w:line="202" w:lineRule="exact"/>
              <w:rPr>
                <w:rFonts w:ascii="Arial" w:cs="Arial" w:eastAsia="Arial" w:hAnsi="Arial"/>
                <w:sz w:val="18"/>
                <w:szCs w:val="18"/>
                <w:color w:val="0000FF"/>
                <w:w w:val="96"/>
              </w:rPr>
            </w:pPr>
            <w:hyperlink w:anchor="page69">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1</w:t>
              </w:r>
            </w:hyperlink>
          </w:p>
        </w:tc>
        <w:tc>
          <w:tcPr>
            <w:tcW w:w="420" w:type="dxa"/>
            <w:vAlign w:val="bottom"/>
          </w:tcPr>
          <w:p>
            <w:pPr>
              <w:spacing w:after="0"/>
              <w:rPr>
                <w:sz w:val="17"/>
                <w:szCs w:val="17"/>
                <w:color w:val="auto"/>
              </w:rPr>
            </w:pPr>
          </w:p>
        </w:tc>
        <w:tc>
          <w:tcPr>
            <w:tcW w:w="10640" w:type="dxa"/>
            <w:vAlign w:val="bottom"/>
          </w:tcPr>
          <w:p>
            <w:pPr>
              <w:ind w:left="180"/>
              <w:spacing w:after="0" w:line="202" w:lineRule="exact"/>
              <w:rPr>
                <w:sz w:val="20"/>
                <w:szCs w:val="20"/>
                <w:color w:val="auto"/>
              </w:rPr>
            </w:pPr>
            <w:r>
              <w:rPr>
                <w:rFonts w:ascii="Arial" w:cs="Arial" w:eastAsia="Arial" w:hAnsi="Arial"/>
                <w:sz w:val="18"/>
                <w:szCs w:val="18"/>
                <w:color w:val="auto"/>
              </w:rPr>
              <w:t>Certification of Chief Executive Officer and Chief Financial Officer pursuant to Section 302 of the Sarbanes-Oxley Act of 2002.</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r>
      <w:tr>
        <w:trPr>
          <w:trHeight w:val="250"/>
        </w:trPr>
        <w:tc>
          <w:tcPr>
            <w:tcW w:w="360" w:type="dxa"/>
            <w:vAlign w:val="bottom"/>
            <w:gridSpan w:val="2"/>
          </w:tcPr>
          <w:p>
            <w:pPr>
              <w:jc w:val="right"/>
              <w:spacing w:after="0"/>
              <w:rPr>
                <w:rFonts w:ascii="Arial" w:cs="Arial" w:eastAsia="Arial" w:hAnsi="Arial"/>
                <w:sz w:val="18"/>
                <w:szCs w:val="18"/>
                <w:color w:val="0000FF"/>
                <w:w w:val="96"/>
              </w:rPr>
            </w:pPr>
            <w:hyperlink w:anchor="page73">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1</w:t>
              </w:r>
            </w:hyperlink>
          </w:p>
        </w:tc>
        <w:tc>
          <w:tcPr>
            <w:tcW w:w="420" w:type="dxa"/>
            <w:vAlign w:val="bottom"/>
          </w:tcPr>
          <w:p>
            <w:pPr>
              <w:spacing w:after="0"/>
              <w:rPr>
                <w:sz w:val="21"/>
                <w:szCs w:val="21"/>
                <w:color w:val="auto"/>
              </w:rPr>
            </w:pPr>
          </w:p>
        </w:tc>
        <w:tc>
          <w:tcPr>
            <w:tcW w:w="10640" w:type="dxa"/>
            <w:vAlign w:val="bottom"/>
          </w:tcPr>
          <w:p>
            <w:pPr>
              <w:ind w:left="180"/>
              <w:spacing w:after="0"/>
              <w:rPr>
                <w:sz w:val="20"/>
                <w:szCs w:val="20"/>
                <w:color w:val="auto"/>
              </w:rPr>
            </w:pPr>
            <w:r>
              <w:rPr>
                <w:rFonts w:ascii="Arial" w:cs="Arial" w:eastAsia="Arial" w:hAnsi="Arial"/>
                <w:sz w:val="18"/>
                <w:szCs w:val="18"/>
                <w:color w:val="auto"/>
              </w:rPr>
              <w:t>Certification of Chief Executive Officer and Chief Financial Officer pursuant to Section 906 of the Sarbanes-Oxley Act of 2002.</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left="960" w:right="20" w:hanging="925"/>
        <w:spacing w:after="0" w:line="276" w:lineRule="auto"/>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following financial statements from Comcast Corporation’s Quarterly Report on Form 10-Q for the three and nine months ended September 30, 2019, filed with the Securities and Exchange Commission on October 24, 2019, formatted in XBRL (eXtensible Business Reporting Language): (i) the Condensed Consolidated Statement of Income; (ii) the Condensed Consolidated Statement of Comprehensive Income; (iii) the Condensed Consolidated Statement of Cash Flows; (iv) the Condensed Consolidated Balance Sheet; (v) the Condensed Consolidated Statement of Changes in Equity;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color w:val="auto"/>
                <w:w w:val="99"/>
              </w:rPr>
              <w:t>Exhibit</w:t>
            </w:r>
          </w:p>
        </w:tc>
        <w:tc>
          <w:tcPr>
            <w:tcW w:w="10640" w:type="dxa"/>
            <w:vAlign w:val="bottom"/>
          </w:tcPr>
          <w:p>
            <w:pPr>
              <w:spacing w:after="0"/>
              <w:rPr>
                <w:sz w:val="14"/>
                <w:szCs w:val="14"/>
                <w:color w:val="auto"/>
              </w:rPr>
            </w:pPr>
          </w:p>
        </w:tc>
      </w:tr>
      <w:tr>
        <w:trPr>
          <w:trHeight w:val="188"/>
        </w:trPr>
        <w:tc>
          <w:tcPr>
            <w:tcW w:w="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No.</w:t>
            </w:r>
          </w:p>
        </w:tc>
        <w:tc>
          <w:tcPr>
            <w:tcW w:w="106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Description</w:t>
            </w:r>
          </w:p>
        </w:tc>
      </w:tr>
      <w:tr>
        <w:trPr>
          <w:trHeight w:val="202"/>
        </w:trPr>
        <w:tc>
          <w:tcPr>
            <w:tcW w:w="360" w:type="dxa"/>
            <w:vAlign w:val="bottom"/>
            <w:gridSpan w:val="2"/>
          </w:tcPr>
          <w:p>
            <w:pPr>
              <w:jc w:val="right"/>
              <w:spacing w:after="0" w:line="202" w:lineRule="exact"/>
              <w:rPr>
                <w:rFonts w:ascii="Arial" w:cs="Arial" w:eastAsia="Arial" w:hAnsi="Arial"/>
                <w:sz w:val="18"/>
                <w:szCs w:val="18"/>
                <w:color w:val="0000FF"/>
                <w:w w:val="96"/>
              </w:rPr>
            </w:pPr>
            <w:hyperlink w:anchor="page71">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w:t>
              </w:r>
            </w:hyperlink>
          </w:p>
        </w:tc>
        <w:tc>
          <w:tcPr>
            <w:tcW w:w="420" w:type="dxa"/>
            <w:vAlign w:val="bottom"/>
          </w:tcPr>
          <w:p>
            <w:pPr>
              <w:spacing w:after="0"/>
              <w:rPr>
                <w:sz w:val="17"/>
                <w:szCs w:val="17"/>
                <w:color w:val="auto"/>
              </w:rPr>
            </w:pPr>
          </w:p>
        </w:tc>
        <w:tc>
          <w:tcPr>
            <w:tcW w:w="10640" w:type="dxa"/>
            <w:vAlign w:val="bottom"/>
          </w:tcPr>
          <w:p>
            <w:pPr>
              <w:ind w:left="180"/>
              <w:spacing w:after="0" w:line="202" w:lineRule="exact"/>
              <w:rPr>
                <w:sz w:val="20"/>
                <w:szCs w:val="20"/>
                <w:color w:val="auto"/>
              </w:rPr>
            </w:pPr>
            <w:r>
              <w:rPr>
                <w:rFonts w:ascii="Arial" w:cs="Arial" w:eastAsia="Arial" w:hAnsi="Arial"/>
                <w:sz w:val="18"/>
                <w:szCs w:val="18"/>
                <w:color w:val="auto"/>
                <w:w w:val="99"/>
              </w:rPr>
              <w:t>Certification of Principal Executive Officer and Principal Financial Officer pursuant to Section 302 of the Sarbanes-Oxley Act of 2002.</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r>
      <w:tr>
        <w:trPr>
          <w:trHeight w:val="250"/>
        </w:trPr>
        <w:tc>
          <w:tcPr>
            <w:tcW w:w="360" w:type="dxa"/>
            <w:vAlign w:val="bottom"/>
            <w:gridSpan w:val="2"/>
          </w:tcPr>
          <w:p>
            <w:pPr>
              <w:jc w:val="right"/>
              <w:spacing w:after="0"/>
              <w:rPr>
                <w:rFonts w:ascii="Arial" w:cs="Arial" w:eastAsia="Arial" w:hAnsi="Arial"/>
                <w:sz w:val="18"/>
                <w:szCs w:val="18"/>
                <w:color w:val="0000FF"/>
                <w:w w:val="96"/>
              </w:rPr>
            </w:pPr>
            <w:hyperlink w:anchor="page74">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2</w:t>
              </w:r>
            </w:hyperlink>
          </w:p>
        </w:tc>
        <w:tc>
          <w:tcPr>
            <w:tcW w:w="420" w:type="dxa"/>
            <w:vAlign w:val="bottom"/>
          </w:tcPr>
          <w:p>
            <w:pPr>
              <w:spacing w:after="0"/>
              <w:rPr>
                <w:sz w:val="21"/>
                <w:szCs w:val="21"/>
                <w:color w:val="auto"/>
              </w:rPr>
            </w:pPr>
          </w:p>
        </w:tc>
        <w:tc>
          <w:tcPr>
            <w:tcW w:w="10640" w:type="dxa"/>
            <w:vAlign w:val="bottom"/>
          </w:tcPr>
          <w:p>
            <w:pPr>
              <w:ind w:left="180"/>
              <w:spacing w:after="0"/>
              <w:rPr>
                <w:sz w:val="20"/>
                <w:szCs w:val="20"/>
                <w:color w:val="auto"/>
              </w:rPr>
            </w:pPr>
            <w:r>
              <w:rPr>
                <w:rFonts w:ascii="Arial" w:cs="Arial" w:eastAsia="Arial" w:hAnsi="Arial"/>
                <w:sz w:val="18"/>
                <w:szCs w:val="18"/>
                <w:color w:val="auto"/>
                <w:w w:val="99"/>
              </w:rPr>
              <w:t>Certification of Principal Executive Officer and Principal Financial Officer pursuant to Section 906 of the Sarbanes-Oxley Act of 2002.</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left="960" w:right="20" w:hanging="925"/>
        <w:spacing w:after="0" w:line="276" w:lineRule="auto"/>
        <w:tabs>
          <w:tab w:leader="none" w:pos="9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following financial statements from NBCUniversal Media, LLC’s Quarterly Report on Form 10-Q for the three and nine months ended September 30, 2019, filed with the Securities and Exchange Commission on October 24, 2019, formatted in XBRL (eXtensible Business Reporting Language): (i) the Condensed Consolidated Statement of Income; (ii) the Condensed Consolidated Statement of Comprehensive Income; (iii) the Condensed Consolidated Statement of Cash Flows; (iv) the Condensed Consolidated Balance Sheet; (v) the Condensed Consolidated Statement of Changes in Equity;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75"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Comcast</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COMCAST CORPORATION</w:t>
      </w:r>
    </w:p>
    <w:p>
      <w:pPr>
        <w:spacing w:after="0" w:line="185" w:lineRule="exact"/>
        <w:rPr>
          <w:sz w:val="20"/>
          <w:szCs w:val="20"/>
          <w:color w:val="auto"/>
        </w:rPr>
      </w:pPr>
    </w:p>
    <w:p>
      <w:pPr>
        <w:ind w:left="5900"/>
        <w:spacing w:after="0"/>
        <w:tabs>
          <w:tab w:leader="none" w:pos="6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31750</wp:posOffset>
            </wp:positionV>
            <wp:extent cx="31642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5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Daniel C. Murdock</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Senior Vice President, Chief Accounting Officer and Controller</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(Principal Accounting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24, 2019</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NBCUNIVERSAL MEDIA, LLC</w:t>
      </w:r>
    </w:p>
    <w:p>
      <w:pPr>
        <w:spacing w:after="0" w:line="185" w:lineRule="exact"/>
        <w:rPr>
          <w:sz w:val="20"/>
          <w:szCs w:val="20"/>
          <w:color w:val="auto"/>
        </w:rPr>
      </w:pPr>
    </w:p>
    <w:p>
      <w:pPr>
        <w:ind w:left="5900"/>
        <w:spacing w:after="0"/>
        <w:tabs>
          <w:tab w:leader="none" w:pos="6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31750</wp:posOffset>
            </wp:positionV>
            <wp:extent cx="31642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5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Daniel C. Murdock</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(Principal Accounting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24,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75"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NBCUniversal Media, LLC Financial Statements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8060" w:type="dxa"/>
            <w:vAlign w:val="bottom"/>
            <w:gridSpan w:val="7"/>
          </w:tcPr>
          <w:p>
            <w:pPr>
              <w:spacing w:after="0"/>
              <w:rPr>
                <w:sz w:val="20"/>
                <w:szCs w:val="20"/>
                <w:color w:val="auto"/>
              </w:rPr>
            </w:pPr>
            <w:r>
              <w:rPr>
                <w:rFonts w:ascii="Arial" w:cs="Arial" w:eastAsia="Arial" w:hAnsi="Arial"/>
                <w:sz w:val="18"/>
                <w:szCs w:val="18"/>
                <w:color w:val="auto"/>
              </w:rPr>
              <w:t>Index</w:t>
            </w:r>
          </w:p>
        </w:tc>
        <w:tc>
          <w:tcPr>
            <w:tcW w:w="3320" w:type="dxa"/>
            <w:vAlign w:val="bottom"/>
          </w:tcPr>
          <w:p>
            <w:pPr>
              <w:jc w:val="center"/>
              <w:ind w:left="2210"/>
              <w:spacing w:after="0"/>
              <w:rPr>
                <w:sz w:val="20"/>
                <w:szCs w:val="20"/>
                <w:color w:val="auto"/>
              </w:rPr>
            </w:pPr>
            <w:r>
              <w:rPr>
                <w:rFonts w:ascii="Arial" w:cs="Arial" w:eastAsia="Arial" w:hAnsi="Arial"/>
                <w:sz w:val="18"/>
                <w:szCs w:val="18"/>
                <w:color w:val="auto"/>
                <w:w w:val="80"/>
              </w:rPr>
              <w:t>Page</w:t>
            </w:r>
          </w:p>
        </w:tc>
      </w:tr>
      <w:tr>
        <w:trPr>
          <w:trHeight w:val="27"/>
        </w:trPr>
        <w:tc>
          <w:tcPr>
            <w:tcW w:w="4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8060" w:type="dxa"/>
            <w:vAlign w:val="bottom"/>
            <w:gridSpan w:val="7"/>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Condensed Consolidated Statement of Income (Unaudited)</w:t>
              </w:r>
            </w:hyperlink>
          </w:p>
        </w:tc>
        <w:tc>
          <w:tcPr>
            <w:tcW w:w="3320" w:type="dxa"/>
            <w:vAlign w:val="bottom"/>
          </w:tcPr>
          <w:p>
            <w:pPr>
              <w:jc w:val="center"/>
              <w:ind w:left="2210"/>
              <w:spacing w:after="0" w:line="196" w:lineRule="exact"/>
              <w:rPr>
                <w:rFonts w:ascii="Arial" w:cs="Arial" w:eastAsia="Arial" w:hAnsi="Arial"/>
                <w:sz w:val="18"/>
                <w:szCs w:val="18"/>
                <w:color w:val="2C2C2C"/>
                <w:w w:val="89"/>
              </w:rPr>
            </w:pPr>
            <w:hyperlink w:anchor="page55">
              <w:r>
                <w:rPr>
                  <w:rFonts w:ascii="Arial" w:cs="Arial" w:eastAsia="Arial" w:hAnsi="Arial"/>
                  <w:sz w:val="18"/>
                  <w:szCs w:val="18"/>
                  <w:color w:val="2C2C2C"/>
                  <w:w w:val="89"/>
                </w:rPr>
                <w:t>52</w:t>
              </w:r>
            </w:hyperlink>
          </w:p>
        </w:tc>
      </w:tr>
      <w:tr>
        <w:trPr>
          <w:trHeight w:val="20"/>
        </w:trPr>
        <w:tc>
          <w:tcPr>
            <w:tcW w:w="40" w:type="dxa"/>
            <w:vAlign w:val="bottom"/>
          </w:tcPr>
          <w:p>
            <w:pPr>
              <w:spacing w:after="0" w:line="20" w:lineRule="exact"/>
              <w:rPr>
                <w:sz w:val="1"/>
                <w:szCs w:val="1"/>
                <w:color w:val="auto"/>
              </w:rPr>
            </w:pPr>
          </w:p>
        </w:tc>
        <w:tc>
          <w:tcPr>
            <w:tcW w:w="37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060" w:type="dxa"/>
            <w:vAlign w:val="bottom"/>
            <w:gridSpan w:val="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Condensed Consolidated Statement of Comprehensive Income (Unaudited)</w:t>
              </w:r>
            </w:hyperlink>
          </w:p>
        </w:tc>
        <w:tc>
          <w:tcPr>
            <w:tcW w:w="3320" w:type="dxa"/>
            <w:vAlign w:val="bottom"/>
          </w:tcPr>
          <w:p>
            <w:pPr>
              <w:jc w:val="center"/>
              <w:ind w:left="2210"/>
              <w:spacing w:after="0"/>
              <w:rPr>
                <w:rFonts w:ascii="Arial" w:cs="Arial" w:eastAsia="Arial" w:hAnsi="Arial"/>
                <w:sz w:val="18"/>
                <w:szCs w:val="18"/>
                <w:color w:val="2C2C2C"/>
                <w:w w:val="89"/>
              </w:rPr>
            </w:pPr>
            <w:hyperlink w:anchor="page56">
              <w:r>
                <w:rPr>
                  <w:rFonts w:ascii="Arial" w:cs="Arial" w:eastAsia="Arial" w:hAnsi="Arial"/>
                  <w:sz w:val="18"/>
                  <w:szCs w:val="18"/>
                  <w:color w:val="2C2C2C"/>
                  <w:w w:val="89"/>
                </w:rPr>
                <w:t>53</w:t>
              </w:r>
            </w:hyperlink>
          </w:p>
        </w:tc>
      </w:tr>
      <w:tr>
        <w:trPr>
          <w:trHeight w:val="250"/>
        </w:trPr>
        <w:tc>
          <w:tcPr>
            <w:tcW w:w="40" w:type="dxa"/>
            <w:vAlign w:val="bottom"/>
          </w:tcPr>
          <w:p>
            <w:pPr>
              <w:spacing w:after="0"/>
              <w:rPr>
                <w:sz w:val="21"/>
                <w:szCs w:val="21"/>
                <w:color w:val="auto"/>
              </w:rPr>
            </w:pPr>
          </w:p>
        </w:tc>
        <w:tc>
          <w:tcPr>
            <w:tcW w:w="4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Condensed Consolidated Statement of Cash Flows (Unaudited)</w:t>
              </w:r>
            </w:hyperlink>
          </w:p>
        </w:tc>
        <w:tc>
          <w:tcPr>
            <w:tcW w:w="860" w:type="dxa"/>
            <w:vAlign w:val="bottom"/>
            <w:tcBorders>
              <w:top w:val="single" w:sz="8" w:color="0000EE"/>
            </w:tcBorders>
            <w:gridSpan w:val="3"/>
          </w:tcPr>
          <w:p>
            <w:pPr>
              <w:spacing w:after="0"/>
              <w:rPr>
                <w:sz w:val="21"/>
                <w:szCs w:val="21"/>
                <w:color w:val="auto"/>
              </w:rPr>
            </w:pPr>
          </w:p>
        </w:tc>
        <w:tc>
          <w:tcPr>
            <w:tcW w:w="2640" w:type="dxa"/>
            <w:vAlign w:val="bottom"/>
          </w:tcPr>
          <w:p>
            <w:pPr>
              <w:spacing w:after="0"/>
              <w:rPr>
                <w:sz w:val="21"/>
                <w:szCs w:val="21"/>
                <w:color w:val="auto"/>
              </w:rPr>
            </w:pPr>
          </w:p>
        </w:tc>
        <w:tc>
          <w:tcPr>
            <w:tcW w:w="3320" w:type="dxa"/>
            <w:vAlign w:val="bottom"/>
          </w:tcPr>
          <w:p>
            <w:pPr>
              <w:jc w:val="center"/>
              <w:ind w:left="2210"/>
              <w:spacing w:after="0"/>
              <w:rPr>
                <w:rFonts w:ascii="Arial" w:cs="Arial" w:eastAsia="Arial" w:hAnsi="Arial"/>
                <w:sz w:val="18"/>
                <w:szCs w:val="18"/>
                <w:color w:val="2C2C2C"/>
                <w:w w:val="89"/>
              </w:rPr>
            </w:pPr>
            <w:hyperlink w:anchor="page57">
              <w:r>
                <w:rPr>
                  <w:rFonts w:ascii="Arial" w:cs="Arial" w:eastAsia="Arial" w:hAnsi="Arial"/>
                  <w:sz w:val="18"/>
                  <w:szCs w:val="18"/>
                  <w:color w:val="2C2C2C"/>
                  <w:w w:val="89"/>
                </w:rPr>
                <w:t>54</w:t>
              </w:r>
            </w:hyperlink>
          </w:p>
        </w:tc>
      </w:tr>
      <w:tr>
        <w:trPr>
          <w:trHeight w:val="250"/>
        </w:trPr>
        <w:tc>
          <w:tcPr>
            <w:tcW w:w="40" w:type="dxa"/>
            <w:vAlign w:val="bottom"/>
          </w:tcPr>
          <w:p>
            <w:pPr>
              <w:spacing w:after="0"/>
              <w:rPr>
                <w:sz w:val="21"/>
                <w:szCs w:val="21"/>
                <w:color w:val="auto"/>
              </w:rPr>
            </w:pPr>
          </w:p>
        </w:tc>
        <w:tc>
          <w:tcPr>
            <w:tcW w:w="3780" w:type="dxa"/>
            <w:vAlign w:val="bottom"/>
            <w:tcBorders>
              <w:bottom w:val="single" w:sz="8" w:color="0000EE"/>
            </w:tcBorders>
          </w:tcPr>
          <w:p>
            <w:pPr>
              <w:spacing w:after="0"/>
              <w:rPr>
                <w:rFonts w:ascii="Arial" w:cs="Arial" w:eastAsia="Arial" w:hAnsi="Arial"/>
                <w:sz w:val="18"/>
                <w:szCs w:val="18"/>
                <w:color w:val="0000EE"/>
                <w:w w:val="88"/>
              </w:rPr>
            </w:pPr>
            <w:hyperlink w:anchor="page58">
              <w:r>
                <w:rPr>
                  <w:rFonts w:ascii="Arial" w:cs="Arial" w:eastAsia="Arial" w:hAnsi="Arial"/>
                  <w:sz w:val="18"/>
                  <w:szCs w:val="18"/>
                  <w:color w:val="0000EE"/>
                  <w:w w:val="88"/>
                </w:rPr>
                <w:t>Condensed Consolidated Balance Sheet (Unaudited)</w:t>
              </w:r>
            </w:hyperlink>
          </w:p>
        </w:tc>
        <w:tc>
          <w:tcPr>
            <w:tcW w:w="4280" w:type="dxa"/>
            <w:vAlign w:val="bottom"/>
            <w:gridSpan w:val="6"/>
          </w:tcPr>
          <w:p>
            <w:pPr>
              <w:spacing w:after="0"/>
              <w:rPr>
                <w:sz w:val="21"/>
                <w:szCs w:val="21"/>
                <w:color w:val="auto"/>
              </w:rPr>
            </w:pPr>
          </w:p>
        </w:tc>
        <w:tc>
          <w:tcPr>
            <w:tcW w:w="3320" w:type="dxa"/>
            <w:vAlign w:val="bottom"/>
          </w:tcPr>
          <w:p>
            <w:pPr>
              <w:jc w:val="center"/>
              <w:ind w:left="2210"/>
              <w:spacing w:after="0"/>
              <w:rPr>
                <w:rFonts w:ascii="Arial" w:cs="Arial" w:eastAsia="Arial" w:hAnsi="Arial"/>
                <w:sz w:val="18"/>
                <w:szCs w:val="18"/>
                <w:color w:val="2C2C2C"/>
                <w:w w:val="89"/>
              </w:rPr>
            </w:pPr>
            <w:hyperlink w:anchor="page58">
              <w:r>
                <w:rPr>
                  <w:rFonts w:ascii="Arial" w:cs="Arial" w:eastAsia="Arial" w:hAnsi="Arial"/>
                  <w:sz w:val="18"/>
                  <w:szCs w:val="18"/>
                  <w:color w:val="2C2C2C"/>
                  <w:w w:val="89"/>
                </w:rPr>
                <w:t>55</w:t>
              </w:r>
            </w:hyperlink>
          </w:p>
        </w:tc>
      </w:tr>
      <w:tr>
        <w:trPr>
          <w:trHeight w:val="250"/>
        </w:trPr>
        <w:tc>
          <w:tcPr>
            <w:tcW w:w="40" w:type="dxa"/>
            <w:vAlign w:val="bottom"/>
          </w:tcPr>
          <w:p>
            <w:pPr>
              <w:spacing w:after="0"/>
              <w:rPr>
                <w:sz w:val="21"/>
                <w:szCs w:val="21"/>
                <w:color w:val="auto"/>
              </w:rPr>
            </w:pPr>
          </w:p>
        </w:tc>
        <w:tc>
          <w:tcPr>
            <w:tcW w:w="504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Condensed Consolidated Statement of Changes in Equity (Unaudited)</w:t>
              </w:r>
            </w:hyperlink>
          </w:p>
        </w:tc>
        <w:tc>
          <w:tcPr>
            <w:tcW w:w="3020" w:type="dxa"/>
            <w:vAlign w:val="bottom"/>
            <w:gridSpan w:val="2"/>
          </w:tcPr>
          <w:p>
            <w:pPr>
              <w:spacing w:after="0"/>
              <w:rPr>
                <w:sz w:val="21"/>
                <w:szCs w:val="21"/>
                <w:color w:val="auto"/>
              </w:rPr>
            </w:pPr>
          </w:p>
        </w:tc>
        <w:tc>
          <w:tcPr>
            <w:tcW w:w="3320" w:type="dxa"/>
            <w:vAlign w:val="bottom"/>
          </w:tcPr>
          <w:p>
            <w:pPr>
              <w:jc w:val="center"/>
              <w:ind w:left="2210"/>
              <w:spacing w:after="0"/>
              <w:rPr>
                <w:rFonts w:ascii="Arial" w:cs="Arial" w:eastAsia="Arial" w:hAnsi="Arial"/>
                <w:sz w:val="18"/>
                <w:szCs w:val="18"/>
                <w:color w:val="2C2C2C"/>
                <w:w w:val="89"/>
              </w:rPr>
            </w:pPr>
            <w:hyperlink w:anchor="page59">
              <w:r>
                <w:rPr>
                  <w:rFonts w:ascii="Arial" w:cs="Arial" w:eastAsia="Arial" w:hAnsi="Arial"/>
                  <w:sz w:val="18"/>
                  <w:szCs w:val="18"/>
                  <w:color w:val="2C2C2C"/>
                  <w:w w:val="89"/>
                </w:rPr>
                <w:t>56</w:t>
              </w:r>
            </w:hyperlink>
          </w:p>
        </w:tc>
      </w:tr>
      <w:tr>
        <w:trPr>
          <w:trHeight w:val="250"/>
        </w:trPr>
        <w:tc>
          <w:tcPr>
            <w:tcW w:w="40" w:type="dxa"/>
            <w:vAlign w:val="bottom"/>
          </w:tcPr>
          <w:p>
            <w:pPr>
              <w:spacing w:after="0"/>
              <w:rPr>
                <w:sz w:val="21"/>
                <w:szCs w:val="21"/>
                <w:color w:val="auto"/>
              </w:rPr>
            </w:pPr>
          </w:p>
        </w:tc>
        <w:tc>
          <w:tcPr>
            <w:tcW w:w="8060" w:type="dxa"/>
            <w:vAlign w:val="bottom"/>
            <w:gridSpan w:val="7"/>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Notes to Condensed Consolidated Financial Statements (Unaudited)</w:t>
              </w:r>
            </w:hyperlink>
          </w:p>
        </w:tc>
        <w:tc>
          <w:tcPr>
            <w:tcW w:w="3320" w:type="dxa"/>
            <w:vAlign w:val="bottom"/>
          </w:tcPr>
          <w:p>
            <w:pPr>
              <w:jc w:val="center"/>
              <w:ind w:left="2210"/>
              <w:spacing w:after="0"/>
              <w:rPr>
                <w:rFonts w:ascii="Arial" w:cs="Arial" w:eastAsia="Arial" w:hAnsi="Arial"/>
                <w:sz w:val="18"/>
                <w:szCs w:val="18"/>
                <w:color w:val="2C2C2C"/>
                <w:w w:val="89"/>
              </w:rPr>
            </w:pPr>
            <w:hyperlink w:anchor="page60">
              <w:r>
                <w:rPr>
                  <w:rFonts w:ascii="Arial" w:cs="Arial" w:eastAsia="Arial" w:hAnsi="Arial"/>
                  <w:sz w:val="18"/>
                  <w:szCs w:val="18"/>
                  <w:color w:val="2C2C2C"/>
                  <w:w w:val="89"/>
                </w:rPr>
                <w:t>57</w:t>
              </w:r>
            </w:hyperlink>
          </w:p>
        </w:tc>
      </w:tr>
      <w:tr>
        <w:trPr>
          <w:trHeight w:val="48"/>
        </w:trPr>
        <w:tc>
          <w:tcPr>
            <w:tcW w:w="40" w:type="dxa"/>
            <w:vAlign w:val="bottom"/>
            <w:tcBorders>
              <w:bottom w:val="single" w:sz="8" w:color="auto"/>
            </w:tcBorders>
          </w:tcPr>
          <w:p>
            <w:pPr>
              <w:spacing w:after="0"/>
              <w:rPr>
                <w:sz w:val="4"/>
                <w:szCs w:val="4"/>
                <w:color w:val="auto"/>
              </w:rPr>
            </w:pPr>
          </w:p>
        </w:tc>
        <w:tc>
          <w:tcPr>
            <w:tcW w:w="3780" w:type="dxa"/>
            <w:vAlign w:val="bottom"/>
            <w:tcBorders>
              <w:top w:val="single" w:sz="8" w:color="0000EE"/>
              <w:bottom w:val="single" w:sz="8" w:color="auto"/>
            </w:tcBorders>
          </w:tcPr>
          <w:p>
            <w:pPr>
              <w:spacing w:after="0"/>
              <w:rPr>
                <w:sz w:val="4"/>
                <w:szCs w:val="4"/>
                <w:color w:val="auto"/>
              </w:rPr>
            </w:pPr>
          </w:p>
        </w:tc>
        <w:tc>
          <w:tcPr>
            <w:tcW w:w="460" w:type="dxa"/>
            <w:vAlign w:val="bottom"/>
            <w:tcBorders>
              <w:top w:val="single" w:sz="8" w:color="0000EE"/>
              <w:bottom w:val="single" w:sz="8" w:color="auto"/>
            </w:tcBorders>
          </w:tcPr>
          <w:p>
            <w:pPr>
              <w:spacing w:after="0"/>
              <w:rPr>
                <w:sz w:val="4"/>
                <w:szCs w:val="4"/>
                <w:color w:val="auto"/>
              </w:rPr>
            </w:pPr>
          </w:p>
        </w:tc>
        <w:tc>
          <w:tcPr>
            <w:tcW w:w="320" w:type="dxa"/>
            <w:vAlign w:val="bottom"/>
            <w:tcBorders>
              <w:top w:val="single" w:sz="8" w:color="0000EE"/>
              <w:bottom w:val="single" w:sz="8" w:color="auto"/>
            </w:tcBorders>
          </w:tcPr>
          <w:p>
            <w:pPr>
              <w:spacing w:after="0"/>
              <w:rPr>
                <w:sz w:val="4"/>
                <w:szCs w:val="4"/>
                <w:color w:val="auto"/>
              </w:rPr>
            </w:pPr>
          </w:p>
        </w:tc>
        <w:tc>
          <w:tcPr>
            <w:tcW w:w="340" w:type="dxa"/>
            <w:vAlign w:val="bottom"/>
            <w:tcBorders>
              <w:top w:val="single" w:sz="8" w:color="0000EE"/>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75"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40" w:type="dxa"/>
            <w:vAlign w:val="bottom"/>
          </w:tcPr>
          <w:p>
            <w:pPr>
              <w:spacing w:after="0"/>
              <w:rPr>
                <w:sz w:val="14"/>
                <w:szCs w:val="14"/>
                <w:color w:val="auto"/>
              </w:rPr>
            </w:pPr>
          </w:p>
        </w:tc>
      </w:tr>
      <w:tr>
        <w:trPr>
          <w:trHeight w:val="188"/>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color w:val="auto"/>
              </w:rPr>
              <w:t>September 30</w:t>
            </w: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color w:val="auto"/>
              </w:rPr>
              <w:t>2019</w:t>
            </w: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rPr>
              <w:t>2018</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2019</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2018</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8,294</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8,625</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24,866</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26,468</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60" w:type="dxa"/>
            <w:vAlign w:val="bottom"/>
          </w:tcPr>
          <w:p>
            <w:pPr>
              <w:spacing w:after="0"/>
              <w:rPr>
                <w:sz w:val="23"/>
                <w:szCs w:val="23"/>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3,531</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3,896</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10,182</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11,947</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60" w:type="dxa"/>
            <w:vAlign w:val="bottom"/>
          </w:tcPr>
          <w:p>
            <w:pPr>
              <w:spacing w:after="0"/>
              <w:rPr>
                <w:sz w:val="23"/>
                <w:szCs w:val="23"/>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2,013</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1,959</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5,943</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5,886</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60" w:type="dxa"/>
            <w:vAlign w:val="bottom"/>
          </w:tcPr>
          <w:p>
            <w:pPr>
              <w:spacing w:after="0"/>
              <w:rPr>
                <w:sz w:val="23"/>
                <w:szCs w:val="23"/>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661</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704</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1,994</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2,124</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3"/>
                <w:szCs w:val="23"/>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259</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250</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755</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750</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3"/>
                <w:szCs w:val="23"/>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278</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264</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824</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827</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Other operating gains</w:t>
            </w:r>
          </w:p>
        </w:tc>
        <w:tc>
          <w:tcPr>
            <w:tcW w:w="360" w:type="dxa"/>
            <w:vAlign w:val="bottom"/>
          </w:tcPr>
          <w:p>
            <w:pPr>
              <w:spacing w:after="0"/>
              <w:rPr>
                <w:sz w:val="23"/>
                <w:szCs w:val="23"/>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(141)</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60" w:type="dxa"/>
            <w:vAlign w:val="bottom"/>
          </w:tcPr>
          <w:p>
            <w:pPr>
              <w:spacing w:after="0"/>
              <w:rPr>
                <w:sz w:val="20"/>
                <w:szCs w:val="20"/>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6,742</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6,932</w:t>
            </w:r>
          </w:p>
        </w:tc>
        <w:tc>
          <w:tcPr>
            <w:tcW w:w="48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19,698</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21,393</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Pr>
          <w:p>
            <w:pPr>
              <w:spacing w:after="0"/>
              <w:rPr>
                <w:sz w:val="20"/>
                <w:szCs w:val="20"/>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1,552</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1,693</w:t>
            </w:r>
          </w:p>
        </w:tc>
        <w:tc>
          <w:tcPr>
            <w:tcW w:w="48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5,168</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5,075</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3"/>
                <w:szCs w:val="23"/>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(348)</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(134)</w:t>
            </w:r>
          </w:p>
        </w:tc>
        <w:tc>
          <w:tcPr>
            <w:tcW w:w="48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(601)</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360" w:type="dxa"/>
            <w:vAlign w:val="bottom"/>
          </w:tcPr>
          <w:p>
            <w:pPr>
              <w:spacing w:after="0"/>
              <w:rPr>
                <w:sz w:val="23"/>
                <w:szCs w:val="23"/>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169</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(205)</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449</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(377)</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20"/>
                <w:szCs w:val="20"/>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1,373</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1,354</w:t>
            </w:r>
          </w:p>
        </w:tc>
        <w:tc>
          <w:tcPr>
            <w:tcW w:w="48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5,016</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4,304</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3"/>
                <w:szCs w:val="23"/>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(63)</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(112)</w:t>
            </w:r>
          </w:p>
        </w:tc>
        <w:tc>
          <w:tcPr>
            <w:tcW w:w="48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(239)</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20"/>
                <w:szCs w:val="20"/>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1,310</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1,242</w:t>
            </w:r>
          </w:p>
        </w:tc>
        <w:tc>
          <w:tcPr>
            <w:tcW w:w="48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4,777</w:t>
            </w:r>
          </w:p>
        </w:tc>
        <w:tc>
          <w:tcPr>
            <w:tcW w:w="6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4,013</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w w:val="96"/>
              </w:rPr>
              <w:t>Less: Net income (loss) attributable to noncontrolling interests</w:t>
            </w:r>
          </w:p>
        </w:tc>
        <w:tc>
          <w:tcPr>
            <w:tcW w:w="360" w:type="dxa"/>
            <w:vAlign w:val="bottom"/>
          </w:tcPr>
          <w:p>
            <w:pPr>
              <w:spacing w:after="0"/>
              <w:rPr>
                <w:sz w:val="23"/>
                <w:szCs w:val="23"/>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54</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166</w:t>
            </w:r>
          </w:p>
        </w:tc>
        <w:tc>
          <w:tcPr>
            <w:tcW w:w="66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22</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NBCUniversal</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3"/>
              <w:spacing w:after="0"/>
              <w:rPr>
                <w:sz w:val="20"/>
                <w:szCs w:val="20"/>
                <w:color w:val="auto"/>
              </w:rPr>
            </w:pPr>
            <w:r>
              <w:rPr>
                <w:rFonts w:ascii="Arial" w:cs="Arial" w:eastAsia="Arial" w:hAnsi="Arial"/>
                <w:sz w:val="18"/>
                <w:szCs w:val="18"/>
                <w:b w:val="1"/>
                <w:bCs w:val="1"/>
                <w:color w:val="auto"/>
              </w:rPr>
              <w:t>1,256</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b w:val="1"/>
                <w:bCs w:val="1"/>
                <w:color w:val="auto"/>
              </w:rPr>
              <w:t>1,231</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b w:val="1"/>
                <w:bCs w:val="1"/>
                <w:color w:val="auto"/>
              </w:rPr>
              <w:t>4,611</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3,991</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1"/>
        </w:trPr>
        <w:tc>
          <w:tcPr>
            <w:tcW w:w="480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539"/>
        </w:trPr>
        <w:tc>
          <w:tcPr>
            <w:tcW w:w="4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533"/>
              <w:spacing w:after="0"/>
              <w:rPr>
                <w:sz w:val="20"/>
                <w:szCs w:val="20"/>
                <w:color w:val="auto"/>
              </w:rPr>
            </w:pPr>
            <w:r>
              <w:rPr>
                <w:rFonts w:ascii="Arial" w:cs="Arial" w:eastAsia="Arial" w:hAnsi="Arial"/>
                <w:sz w:val="18"/>
                <w:szCs w:val="18"/>
                <w:color w:val="auto"/>
              </w:rPr>
              <w:t>52</w:t>
            </w: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40" w:type="dxa"/>
            <w:vAlign w:val="bottom"/>
          </w:tcPr>
          <w:p>
            <w:pPr>
              <w:spacing w:after="0"/>
              <w:rPr>
                <w:sz w:val="14"/>
                <w:szCs w:val="14"/>
                <w:color w:val="auto"/>
              </w:rPr>
            </w:pPr>
          </w:p>
        </w:tc>
      </w:tr>
      <w:tr>
        <w:trPr>
          <w:trHeight w:val="188"/>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color w:val="auto"/>
              </w:rPr>
              <w:t>September 30</w:t>
            </w: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color w:val="auto"/>
              </w:rPr>
              <w:t>2019</w:t>
            </w: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2018</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color w:val="auto"/>
              </w:rPr>
              <w:t>2019</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2018</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1,310</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1,242</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4,777</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4,013</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 net</w:t>
            </w:r>
          </w:p>
        </w:tc>
        <w:tc>
          <w:tcPr>
            <w:tcW w:w="360" w:type="dxa"/>
            <w:vAlign w:val="bottom"/>
          </w:tcPr>
          <w:p>
            <w:pPr>
              <w:spacing w:after="0"/>
              <w:rPr>
                <w:sz w:val="23"/>
                <w:szCs w:val="23"/>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3"/>
                <w:szCs w:val="23"/>
                <w:color w:val="auto"/>
              </w:rPr>
            </w:pP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(3)</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Employee benefit obligations, net</w:t>
            </w:r>
          </w:p>
        </w:tc>
        <w:tc>
          <w:tcPr>
            <w:tcW w:w="360" w:type="dxa"/>
            <w:vAlign w:val="bottom"/>
          </w:tcPr>
          <w:p>
            <w:pPr>
              <w:spacing w:after="0"/>
              <w:rPr>
                <w:sz w:val="23"/>
                <w:szCs w:val="23"/>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23"/>
                <w:szCs w:val="23"/>
                <w:color w:val="auto"/>
              </w:rPr>
            </w:pP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(9)</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Currency translation adjustments, net</w:t>
            </w:r>
          </w:p>
        </w:tc>
        <w:tc>
          <w:tcPr>
            <w:tcW w:w="360" w:type="dxa"/>
            <w:vAlign w:val="bottom"/>
          </w:tcPr>
          <w:p>
            <w:pPr>
              <w:spacing w:after="0"/>
              <w:rPr>
                <w:sz w:val="23"/>
                <w:szCs w:val="23"/>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(31)</w:t>
            </w:r>
          </w:p>
        </w:tc>
        <w:tc>
          <w:tcPr>
            <w:tcW w:w="68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(133)</w:t>
            </w:r>
          </w:p>
        </w:tc>
        <w:tc>
          <w:tcPr>
            <w:tcW w:w="480" w:type="dxa"/>
            <w:vAlign w:val="bottom"/>
          </w:tcPr>
          <w:p>
            <w:pPr>
              <w:spacing w:after="0"/>
              <w:rPr>
                <w:sz w:val="23"/>
                <w:szCs w:val="23"/>
                <w:color w:val="auto"/>
              </w:rPr>
            </w:pP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16</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Pr>
          <w:p>
            <w:pPr>
              <w:spacing w:after="0"/>
              <w:rPr>
                <w:sz w:val="20"/>
                <w:szCs w:val="20"/>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1,275</w:t>
            </w:r>
          </w:p>
        </w:tc>
        <w:tc>
          <w:tcPr>
            <w:tcW w:w="6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1,103</w:t>
            </w:r>
          </w:p>
        </w:tc>
        <w:tc>
          <w:tcPr>
            <w:tcW w:w="480" w:type="dxa"/>
            <w:vAlign w:val="bottom"/>
          </w:tcPr>
          <w:p>
            <w:pPr>
              <w:spacing w:after="0"/>
              <w:rPr>
                <w:sz w:val="20"/>
                <w:szCs w:val="20"/>
                <w:color w:val="auto"/>
              </w:rPr>
            </w:pP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4,781</w:t>
            </w:r>
          </w:p>
        </w:tc>
        <w:tc>
          <w:tcPr>
            <w:tcW w:w="66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3,854</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w w:val="96"/>
              </w:rPr>
              <w:t>Less: Net income (loss) attributable to noncontrolling interests</w:t>
            </w:r>
          </w:p>
        </w:tc>
        <w:tc>
          <w:tcPr>
            <w:tcW w:w="360" w:type="dxa"/>
            <w:vAlign w:val="bottom"/>
          </w:tcPr>
          <w:p>
            <w:pPr>
              <w:spacing w:after="0"/>
              <w:rPr>
                <w:sz w:val="23"/>
                <w:szCs w:val="23"/>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54</w:t>
            </w:r>
          </w:p>
        </w:tc>
        <w:tc>
          <w:tcPr>
            <w:tcW w:w="680" w:type="dxa"/>
            <w:vAlign w:val="bottom"/>
          </w:tcPr>
          <w:p>
            <w:pPr>
              <w:spacing w:after="0"/>
              <w:rPr>
                <w:sz w:val="23"/>
                <w:szCs w:val="23"/>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23"/>
                <w:szCs w:val="23"/>
                <w:color w:val="auto"/>
              </w:rPr>
            </w:pP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166</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22</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rPr>
              <w:t>Less: Other comprehensive income (loss) attributable to</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360" w:type="dxa"/>
            <w:vAlign w:val="bottom"/>
          </w:tcPr>
          <w:p>
            <w:pPr>
              <w:spacing w:after="0"/>
              <w:rPr>
                <w:sz w:val="20"/>
                <w:szCs w:val="20"/>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(23)</w:t>
            </w:r>
          </w:p>
        </w:tc>
        <w:tc>
          <w:tcPr>
            <w:tcW w:w="68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20"/>
                <w:szCs w:val="20"/>
                <w:color w:val="auto"/>
              </w:rPr>
            </w:pP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(25)</w:t>
            </w:r>
          </w:p>
        </w:tc>
        <w:tc>
          <w:tcPr>
            <w:tcW w:w="6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attributable to NBCUniversal</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4"/>
              <w:spacing w:after="0"/>
              <w:rPr>
                <w:sz w:val="20"/>
                <w:szCs w:val="20"/>
                <w:color w:val="auto"/>
              </w:rPr>
            </w:pPr>
            <w:r>
              <w:rPr>
                <w:rFonts w:ascii="Arial" w:cs="Arial" w:eastAsia="Arial" w:hAnsi="Arial"/>
                <w:sz w:val="18"/>
                <w:szCs w:val="18"/>
                <w:b w:val="1"/>
                <w:bCs w:val="1"/>
                <w:color w:val="auto"/>
              </w:rPr>
              <w:t>1,244</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b w:val="1"/>
                <w:bCs w:val="1"/>
                <w:color w:val="auto"/>
              </w:rPr>
              <w:t>1,112</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5"/>
              <w:spacing w:after="0"/>
              <w:rPr>
                <w:sz w:val="20"/>
                <w:szCs w:val="20"/>
                <w:color w:val="auto"/>
              </w:rPr>
            </w:pPr>
            <w:r>
              <w:rPr>
                <w:rFonts w:ascii="Arial" w:cs="Arial" w:eastAsia="Arial" w:hAnsi="Arial"/>
                <w:sz w:val="18"/>
                <w:szCs w:val="18"/>
                <w:b w:val="1"/>
                <w:bCs w:val="1"/>
                <w:color w:val="auto"/>
              </w:rPr>
              <w:t>4,640</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3,877</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1"/>
        </w:trPr>
        <w:tc>
          <w:tcPr>
            <w:tcW w:w="480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539"/>
        </w:trPr>
        <w:tc>
          <w:tcPr>
            <w:tcW w:w="4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534"/>
              <w:spacing w:after="0"/>
              <w:rPr>
                <w:sz w:val="20"/>
                <w:szCs w:val="20"/>
                <w:color w:val="auto"/>
              </w:rPr>
            </w:pPr>
            <w:r>
              <w:rPr>
                <w:rFonts w:ascii="Arial" w:cs="Arial" w:eastAsia="Arial" w:hAnsi="Arial"/>
                <w:sz w:val="18"/>
                <w:szCs w:val="18"/>
                <w:color w:val="auto"/>
              </w:rPr>
              <w:t>53</w:t>
            </w: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20" w:type="dxa"/>
            <w:vAlign w:val="bottom"/>
          </w:tcPr>
          <w:p>
            <w:pPr>
              <w:spacing w:after="0"/>
              <w:rPr>
                <w:sz w:val="14"/>
                <w:szCs w:val="14"/>
                <w:color w:val="auto"/>
              </w:rPr>
            </w:pPr>
          </w:p>
        </w:tc>
      </w:tr>
      <w:tr>
        <w:trPr>
          <w:trHeight w:val="188"/>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color w:val="auto"/>
              </w:rPr>
              <w:t>September 30</w:t>
            </w:r>
          </w:p>
        </w:tc>
        <w:tc>
          <w:tcPr>
            <w:tcW w:w="92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2019</w:t>
            </w: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w w:val="96"/>
              </w:rPr>
              <w:t>2018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4,777</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4,013</w:t>
            </w: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amortization and other operating gains</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1,579</w:t>
            </w:r>
          </w:p>
        </w:tc>
        <w:tc>
          <w:tcPr>
            <w:tcW w:w="6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1,436</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Net (gain) loss on investment activity and other</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6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497</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6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21</w:t>
            </w: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Current and noncurrent receivables, net</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284</w:t>
            </w:r>
          </w:p>
        </w:tc>
        <w:tc>
          <w:tcPr>
            <w:tcW w:w="6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90</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Film and television costs, net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(656)</w:t>
            </w:r>
          </w:p>
        </w:tc>
        <w:tc>
          <w:tcPr>
            <w:tcW w:w="6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69</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(180)</w:t>
            </w:r>
          </w:p>
        </w:tc>
        <w:tc>
          <w:tcPr>
            <w:tcW w:w="6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Other operating assets and liabilities</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(367)</w:t>
            </w:r>
          </w:p>
        </w:tc>
        <w:tc>
          <w:tcPr>
            <w:tcW w:w="6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Pr>
          <w:p>
            <w:pPr>
              <w:spacing w:after="0"/>
              <w:rPr>
                <w:sz w:val="20"/>
                <w:szCs w:val="20"/>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auto"/>
              </w:rPr>
              <w:t>5,412</w:t>
            </w:r>
          </w:p>
        </w:tc>
        <w:tc>
          <w:tcPr>
            <w:tcW w:w="6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5,838</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(1,431)</w:t>
            </w:r>
          </w:p>
        </w:tc>
        <w:tc>
          <w:tcPr>
            <w:tcW w:w="6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(1,135)</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Cash paid for intangible assets</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(199)</w:t>
            </w:r>
          </w:p>
        </w:tc>
        <w:tc>
          <w:tcPr>
            <w:tcW w:w="6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(374)</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Note receivable from Comcast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(3,238)</w:t>
            </w:r>
          </w:p>
        </w:tc>
        <w:tc>
          <w:tcPr>
            <w:tcW w:w="6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(1,522)</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Construction of Universal Beijing Resort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(736)</w:t>
            </w:r>
          </w:p>
        </w:tc>
        <w:tc>
          <w:tcPr>
            <w:tcW w:w="6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Purchases of investments</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(1,017)</w:t>
            </w:r>
          </w:p>
        </w:tc>
        <w:tc>
          <w:tcPr>
            <w:tcW w:w="6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(6,626)</w:t>
            </w:r>
          </w:p>
        </w:tc>
        <w:tc>
          <w:tcPr>
            <w:tcW w:w="6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(3,783)</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borrowings</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572</w:t>
            </w:r>
          </w:p>
        </w:tc>
        <w:tc>
          <w:tcPr>
            <w:tcW w:w="6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485</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collateralized obligation</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5,175</w:t>
            </w:r>
          </w:p>
        </w:tc>
        <w:tc>
          <w:tcPr>
            <w:tcW w:w="6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Repurchases and repayments of debt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(2,739)</w:t>
            </w:r>
          </w:p>
        </w:tc>
        <w:tc>
          <w:tcPr>
            <w:tcW w:w="6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(repayments of) borrowings from Comcast, net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w:t>
            </w:r>
          </w:p>
        </w:tc>
        <w:tc>
          <w:tcPr>
            <w:tcW w:w="6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(1,791)</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Distributions to member</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(1,775)</w:t>
            </w:r>
          </w:p>
        </w:tc>
        <w:tc>
          <w:tcPr>
            <w:tcW w:w="6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(1,228)</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Distributions to noncontrolling interests</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w:t>
            </w:r>
          </w:p>
        </w:tc>
        <w:tc>
          <w:tcPr>
            <w:tcW w:w="6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c>
          <w:tcPr>
            <w:tcW w:w="6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60" w:type="dxa"/>
            <w:vAlign w:val="bottom"/>
          </w:tcPr>
          <w:p>
            <w:pPr>
              <w:spacing w:after="0"/>
              <w:rPr>
                <w:sz w:val="20"/>
                <w:szCs w:val="20"/>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auto"/>
              </w:rPr>
              <w:t>927</w:t>
            </w:r>
          </w:p>
        </w:tc>
        <w:tc>
          <w:tcPr>
            <w:tcW w:w="6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(3,231)</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Increase (decrease) in cash, cash equivalents and restricted cash</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(287)</w:t>
            </w:r>
          </w:p>
        </w:tc>
        <w:tc>
          <w:tcPr>
            <w:tcW w:w="6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(1,176)</w:t>
            </w: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beginning of period</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1,464</w:t>
            </w:r>
          </w:p>
        </w:tc>
        <w:tc>
          <w:tcPr>
            <w:tcW w:w="6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2,377</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auto"/>
              </w:rPr>
              <w:t>1,177</w:t>
            </w:r>
          </w:p>
        </w:tc>
        <w:tc>
          <w:tcPr>
            <w:tcW w:w="62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1,201</w:t>
            </w:r>
          </w:p>
        </w:tc>
      </w:tr>
      <w:tr>
        <w:trPr>
          <w:trHeight w:val="34"/>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1"/>
        </w:trPr>
        <w:tc>
          <w:tcPr>
            <w:tcW w:w="834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957"/>
        </w:trPr>
        <w:tc>
          <w:tcPr>
            <w:tcW w:w="8340" w:type="dxa"/>
            <w:vAlign w:val="bottom"/>
          </w:tcPr>
          <w:p>
            <w:pPr>
              <w:ind w:left="5620"/>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jc w:val="right"/>
              <w:ind w:right="331"/>
              <w:spacing w:after="0"/>
              <w:rPr>
                <w:sz w:val="20"/>
                <w:szCs w:val="20"/>
                <w:color w:val="auto"/>
              </w:rPr>
            </w:pPr>
            <w:r>
              <w:rPr>
                <w:rFonts w:ascii="Arial" w:cs="Arial" w:eastAsia="Arial" w:hAnsi="Arial"/>
                <w:sz w:val="14"/>
                <w:szCs w:val="14"/>
                <w:color w:val="auto"/>
              </w:rPr>
              <w:t>September 30,</w:t>
            </w:r>
          </w:p>
        </w:tc>
        <w:tc>
          <w:tcPr>
            <w:tcW w:w="360" w:type="dxa"/>
            <w:vAlign w:val="bottom"/>
          </w:tcPr>
          <w:p>
            <w:pPr>
              <w:spacing w:after="0"/>
              <w:rPr>
                <w:sz w:val="14"/>
                <w:szCs w:val="14"/>
                <w:color w:val="auto"/>
              </w:rPr>
            </w:pPr>
          </w:p>
        </w:tc>
        <w:tc>
          <w:tcPr>
            <w:tcW w:w="1260" w:type="dxa"/>
            <w:vAlign w:val="bottom"/>
          </w:tcPr>
          <w:p>
            <w:pPr>
              <w:jc w:val="right"/>
              <w:ind w:right="271"/>
              <w:spacing w:after="0"/>
              <w:rPr>
                <w:sz w:val="20"/>
                <w:szCs w:val="20"/>
                <w:color w:val="auto"/>
              </w:rPr>
            </w:pPr>
            <w:r>
              <w:rPr>
                <w:rFonts w:ascii="Arial" w:cs="Arial" w:eastAsia="Arial" w:hAnsi="Arial"/>
                <w:sz w:val="14"/>
                <w:szCs w:val="14"/>
                <w:color w:val="auto"/>
              </w:rPr>
              <w:t>December 31,</w:t>
            </w:r>
          </w:p>
        </w:tc>
      </w:tr>
      <w:tr>
        <w:trPr>
          <w:trHeight w:val="188"/>
        </w:trPr>
        <w:tc>
          <w:tcPr>
            <w:tcW w:w="7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2019</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2018</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4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70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0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1,157</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1,444</w:t>
            </w:r>
          </w:p>
        </w:tc>
      </w:tr>
      <w:tr>
        <w:trPr>
          <w:trHeight w:val="270"/>
        </w:trPr>
        <w:tc>
          <w:tcPr>
            <w:tcW w:w="700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144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7,040</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7,293</w:t>
            </w:r>
          </w:p>
        </w:tc>
      </w:tr>
      <w:tr>
        <w:trPr>
          <w:trHeight w:val="270"/>
        </w:trPr>
        <w:tc>
          <w:tcPr>
            <w:tcW w:w="7000" w:type="dxa"/>
            <w:vAlign w:val="bottom"/>
          </w:tcPr>
          <w:p>
            <w:pPr>
              <w:ind w:left="380"/>
              <w:spacing w:after="0"/>
              <w:rPr>
                <w:sz w:val="20"/>
                <w:szCs w:val="20"/>
                <w:color w:val="auto"/>
              </w:rPr>
            </w:pPr>
            <w:r>
              <w:rPr>
                <w:rFonts w:ascii="Arial" w:cs="Arial" w:eastAsia="Arial" w:hAnsi="Arial"/>
                <w:sz w:val="18"/>
                <w:szCs w:val="18"/>
                <w:color w:val="auto"/>
              </w:rPr>
              <w:t>Programming rights</w:t>
            </w:r>
          </w:p>
        </w:tc>
        <w:tc>
          <w:tcPr>
            <w:tcW w:w="144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1,461</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1,323</w:t>
            </w:r>
          </w:p>
        </w:tc>
      </w:tr>
      <w:tr>
        <w:trPr>
          <w:trHeight w:val="270"/>
        </w:trPr>
        <w:tc>
          <w:tcPr>
            <w:tcW w:w="7000" w:type="dxa"/>
            <w:vAlign w:val="bottom"/>
          </w:tcPr>
          <w:p>
            <w:pPr>
              <w:ind w:left="380"/>
              <w:spacing w:after="0"/>
              <w:rPr>
                <w:sz w:val="20"/>
                <w:szCs w:val="20"/>
                <w:color w:val="auto"/>
              </w:rPr>
            </w:pPr>
            <w:r>
              <w:rPr>
                <w:rFonts w:ascii="Arial" w:cs="Arial" w:eastAsia="Arial" w:hAnsi="Arial"/>
                <w:sz w:val="18"/>
                <w:szCs w:val="18"/>
                <w:color w:val="auto"/>
              </w:rPr>
              <w:t>Notes receivable from Comcast</w:t>
            </w:r>
          </w:p>
        </w:tc>
        <w:tc>
          <w:tcPr>
            <w:tcW w:w="144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4,192</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2,054</w:t>
            </w:r>
          </w:p>
        </w:tc>
      </w:tr>
      <w:tr>
        <w:trPr>
          <w:trHeight w:val="270"/>
        </w:trPr>
        <w:tc>
          <w:tcPr>
            <w:tcW w:w="700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144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1,126</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1,133</w:t>
            </w:r>
          </w:p>
        </w:tc>
      </w:tr>
      <w:tr>
        <w:trPr>
          <w:trHeight w:val="27"/>
        </w:trPr>
        <w:tc>
          <w:tcPr>
            <w:tcW w:w="70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0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440" w:type="dxa"/>
            <w:vAlign w:val="bottom"/>
          </w:tcPr>
          <w:p>
            <w:pPr>
              <w:spacing w:after="0"/>
              <w:rPr>
                <w:sz w:val="20"/>
                <w:szCs w:val="20"/>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14,976</w:t>
            </w:r>
          </w:p>
        </w:tc>
        <w:tc>
          <w:tcPr>
            <w:tcW w:w="36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13,247</w:t>
            </w:r>
          </w:p>
        </w:tc>
      </w:tr>
      <w:tr>
        <w:trPr>
          <w:trHeight w:val="270"/>
        </w:trPr>
        <w:tc>
          <w:tcPr>
            <w:tcW w:w="700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144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7,776</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7,292</w:t>
            </w:r>
          </w:p>
        </w:tc>
      </w:tr>
      <w:tr>
        <w:trPr>
          <w:trHeight w:val="270"/>
        </w:trPr>
        <w:tc>
          <w:tcPr>
            <w:tcW w:w="700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44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1,993</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1,680</w:t>
            </w:r>
          </w:p>
        </w:tc>
      </w:tr>
      <w:tr>
        <w:trPr>
          <w:trHeight w:val="270"/>
        </w:trPr>
        <w:tc>
          <w:tcPr>
            <w:tcW w:w="7000" w:type="dxa"/>
            <w:vAlign w:val="bottom"/>
          </w:tcPr>
          <w:p>
            <w:pPr>
              <w:ind w:left="40"/>
              <w:spacing w:after="0"/>
              <w:rPr>
                <w:sz w:val="20"/>
                <w:szCs w:val="20"/>
                <w:color w:val="auto"/>
              </w:rPr>
            </w:pPr>
            <w:r>
              <w:rPr>
                <w:rFonts w:ascii="Arial" w:cs="Arial" w:eastAsia="Arial" w:hAnsi="Arial"/>
                <w:sz w:val="18"/>
                <w:szCs w:val="18"/>
                <w:color w:val="auto"/>
              </w:rPr>
              <w:t>Investment securing collateralized obligation</w:t>
            </w:r>
          </w:p>
        </w:tc>
        <w:tc>
          <w:tcPr>
            <w:tcW w:w="144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816</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7000" w:type="dxa"/>
            <w:vAlign w:val="bottom"/>
          </w:tcPr>
          <w:p>
            <w:pPr>
              <w:ind w:left="40"/>
              <w:spacing w:after="0"/>
              <w:rPr>
                <w:sz w:val="20"/>
                <w:szCs w:val="20"/>
                <w:color w:val="auto"/>
              </w:rPr>
            </w:pPr>
            <w:r>
              <w:rPr>
                <w:rFonts w:ascii="Arial" w:cs="Arial" w:eastAsia="Arial" w:hAnsi="Arial"/>
                <w:sz w:val="18"/>
                <w:szCs w:val="18"/>
                <w:color w:val="auto"/>
              </w:rPr>
              <w:t>Note receivable from Comcast</w:t>
            </w:r>
          </w:p>
        </w:tc>
        <w:tc>
          <w:tcPr>
            <w:tcW w:w="144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1,101</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700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of $5,639 and $4,994</w:t>
            </w:r>
          </w:p>
        </w:tc>
        <w:tc>
          <w:tcPr>
            <w:tcW w:w="144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14,853</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13,189</w:t>
            </w:r>
          </w:p>
        </w:tc>
      </w:tr>
      <w:tr>
        <w:trPr>
          <w:trHeight w:val="270"/>
        </w:trPr>
        <w:tc>
          <w:tcPr>
            <w:tcW w:w="70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44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24,128</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24,118</w:t>
            </w:r>
          </w:p>
        </w:tc>
      </w:tr>
      <w:tr>
        <w:trPr>
          <w:trHeight w:val="270"/>
        </w:trPr>
        <w:tc>
          <w:tcPr>
            <w:tcW w:w="7000" w:type="dxa"/>
            <w:vAlign w:val="bottom"/>
          </w:tcPr>
          <w:p>
            <w:pPr>
              <w:ind w:left="40"/>
              <w:spacing w:after="0"/>
              <w:rPr>
                <w:sz w:val="20"/>
                <w:szCs w:val="20"/>
                <w:color w:val="auto"/>
              </w:rPr>
            </w:pPr>
            <w:r>
              <w:rPr>
                <w:rFonts w:ascii="Arial" w:cs="Arial" w:eastAsia="Arial" w:hAnsi="Arial"/>
                <w:sz w:val="18"/>
                <w:szCs w:val="18"/>
                <w:color w:val="auto"/>
              </w:rPr>
              <w:t>Intangible assets, net of accumulated amortization of $9,420 and $8,590</w:t>
            </w:r>
          </w:p>
        </w:tc>
        <w:tc>
          <w:tcPr>
            <w:tcW w:w="144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13,100</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13,666</w:t>
            </w:r>
          </w:p>
        </w:tc>
      </w:tr>
      <w:tr>
        <w:trPr>
          <w:trHeight w:val="270"/>
        </w:trPr>
        <w:tc>
          <w:tcPr>
            <w:tcW w:w="700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144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3,444</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1,822</w:t>
            </w:r>
          </w:p>
        </w:tc>
      </w:tr>
      <w:tr>
        <w:trPr>
          <w:trHeight w:val="27"/>
        </w:trPr>
        <w:tc>
          <w:tcPr>
            <w:tcW w:w="70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91"/>
              <w:spacing w:after="0"/>
              <w:rPr>
                <w:sz w:val="20"/>
                <w:szCs w:val="20"/>
                <w:color w:val="auto"/>
              </w:rPr>
            </w:pPr>
            <w:r>
              <w:rPr>
                <w:rFonts w:ascii="Arial" w:cs="Arial" w:eastAsia="Arial" w:hAnsi="Arial"/>
                <w:sz w:val="18"/>
                <w:szCs w:val="18"/>
                <w:b w:val="1"/>
                <w:bCs w:val="1"/>
                <w:color w:val="auto"/>
              </w:rPr>
              <w:t>82,187</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75,014</w:t>
            </w:r>
          </w:p>
        </w:tc>
      </w:tr>
      <w:tr>
        <w:trPr>
          <w:trHeight w:val="34"/>
        </w:trPr>
        <w:tc>
          <w:tcPr>
            <w:tcW w:w="70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4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70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00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1,944</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1,933</w:t>
            </w:r>
          </w:p>
        </w:tc>
      </w:tr>
      <w:tr>
        <w:trPr>
          <w:trHeight w:val="270"/>
        </w:trPr>
        <w:tc>
          <w:tcPr>
            <w:tcW w:w="7000" w:type="dxa"/>
            <w:vAlign w:val="bottom"/>
          </w:tcPr>
          <w:p>
            <w:pPr>
              <w:ind w:left="380"/>
              <w:spacing w:after="0"/>
              <w:rPr>
                <w:sz w:val="20"/>
                <w:szCs w:val="20"/>
                <w:color w:val="auto"/>
              </w:rPr>
            </w:pPr>
            <w:r>
              <w:rPr>
                <w:rFonts w:ascii="Arial" w:cs="Arial" w:eastAsia="Arial" w:hAnsi="Arial"/>
                <w:sz w:val="18"/>
                <w:szCs w:val="18"/>
                <w:color w:val="auto"/>
              </w:rPr>
              <w:t>Accrued participations and residuals</w:t>
            </w:r>
          </w:p>
        </w:tc>
        <w:tc>
          <w:tcPr>
            <w:tcW w:w="144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1,615</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1,808</w:t>
            </w:r>
          </w:p>
        </w:tc>
      </w:tr>
      <w:tr>
        <w:trPr>
          <w:trHeight w:val="270"/>
        </w:trPr>
        <w:tc>
          <w:tcPr>
            <w:tcW w:w="7000" w:type="dxa"/>
            <w:vAlign w:val="bottom"/>
          </w:tcPr>
          <w:p>
            <w:pPr>
              <w:ind w:left="380"/>
              <w:spacing w:after="0"/>
              <w:rPr>
                <w:sz w:val="20"/>
                <w:szCs w:val="20"/>
                <w:color w:val="auto"/>
              </w:rPr>
            </w:pPr>
            <w:r>
              <w:rPr>
                <w:rFonts w:ascii="Arial" w:cs="Arial" w:eastAsia="Arial" w:hAnsi="Arial"/>
                <w:sz w:val="18"/>
                <w:szCs w:val="18"/>
                <w:color w:val="auto"/>
              </w:rPr>
              <w:t>Program obligations</w:t>
            </w:r>
          </w:p>
        </w:tc>
        <w:tc>
          <w:tcPr>
            <w:tcW w:w="144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608</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965</w:t>
            </w:r>
          </w:p>
        </w:tc>
      </w:tr>
      <w:tr>
        <w:trPr>
          <w:trHeight w:val="270"/>
        </w:trPr>
        <w:tc>
          <w:tcPr>
            <w:tcW w:w="70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144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1,820</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1,118</w:t>
            </w:r>
          </w:p>
        </w:tc>
      </w:tr>
      <w:tr>
        <w:trPr>
          <w:trHeight w:val="270"/>
        </w:trPr>
        <w:tc>
          <w:tcPr>
            <w:tcW w:w="70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44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2,052</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2,195</w:t>
            </w:r>
          </w:p>
        </w:tc>
      </w:tr>
      <w:tr>
        <w:trPr>
          <w:trHeight w:val="270"/>
        </w:trPr>
        <w:tc>
          <w:tcPr>
            <w:tcW w:w="7000" w:type="dxa"/>
            <w:vAlign w:val="bottom"/>
          </w:tcPr>
          <w:p>
            <w:pPr>
              <w:ind w:left="380"/>
              <w:spacing w:after="0"/>
              <w:rPr>
                <w:sz w:val="20"/>
                <w:szCs w:val="20"/>
                <w:color w:val="auto"/>
              </w:rPr>
            </w:pPr>
            <w:r>
              <w:rPr>
                <w:rFonts w:ascii="Arial" w:cs="Arial" w:eastAsia="Arial" w:hAnsi="Arial"/>
                <w:sz w:val="18"/>
                <w:szCs w:val="18"/>
                <w:color w:val="auto"/>
              </w:rPr>
              <w:t>Notes payable to Comcast</w:t>
            </w:r>
          </w:p>
        </w:tc>
        <w:tc>
          <w:tcPr>
            <w:tcW w:w="144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91</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54</w:t>
            </w:r>
          </w:p>
        </w:tc>
      </w:tr>
      <w:tr>
        <w:trPr>
          <w:trHeight w:val="270"/>
        </w:trPr>
        <w:tc>
          <w:tcPr>
            <w:tcW w:w="700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144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246</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151</w:t>
            </w:r>
          </w:p>
        </w:tc>
      </w:tr>
      <w:tr>
        <w:trPr>
          <w:trHeight w:val="27"/>
        </w:trPr>
        <w:tc>
          <w:tcPr>
            <w:tcW w:w="70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0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440" w:type="dxa"/>
            <w:vAlign w:val="bottom"/>
          </w:tcPr>
          <w:p>
            <w:pPr>
              <w:spacing w:after="0"/>
              <w:rPr>
                <w:sz w:val="20"/>
                <w:szCs w:val="20"/>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8,376</w:t>
            </w:r>
          </w:p>
        </w:tc>
        <w:tc>
          <w:tcPr>
            <w:tcW w:w="36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8,224</w:t>
            </w:r>
          </w:p>
        </w:tc>
      </w:tr>
      <w:tr>
        <w:trPr>
          <w:trHeight w:val="270"/>
        </w:trPr>
        <w:tc>
          <w:tcPr>
            <w:tcW w:w="700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144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10,574</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12,731</w:t>
            </w:r>
          </w:p>
        </w:tc>
      </w:tr>
      <w:tr>
        <w:trPr>
          <w:trHeight w:val="270"/>
        </w:trPr>
        <w:tc>
          <w:tcPr>
            <w:tcW w:w="7000" w:type="dxa"/>
            <w:vAlign w:val="bottom"/>
          </w:tcPr>
          <w:p>
            <w:pPr>
              <w:ind w:left="40"/>
              <w:spacing w:after="0"/>
              <w:rPr>
                <w:sz w:val="20"/>
                <w:szCs w:val="20"/>
                <w:color w:val="auto"/>
              </w:rPr>
            </w:pPr>
            <w:r>
              <w:rPr>
                <w:rFonts w:ascii="Arial" w:cs="Arial" w:eastAsia="Arial" w:hAnsi="Arial"/>
                <w:sz w:val="18"/>
                <w:szCs w:val="18"/>
                <w:color w:val="auto"/>
              </w:rPr>
              <w:t>Collateralized obligation</w:t>
            </w:r>
          </w:p>
        </w:tc>
        <w:tc>
          <w:tcPr>
            <w:tcW w:w="144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5,165</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7000" w:type="dxa"/>
            <w:vAlign w:val="bottom"/>
          </w:tcPr>
          <w:p>
            <w:pPr>
              <w:ind w:left="40"/>
              <w:spacing w:after="0"/>
              <w:rPr>
                <w:sz w:val="20"/>
                <w:szCs w:val="20"/>
                <w:color w:val="auto"/>
              </w:rPr>
            </w:pPr>
            <w:r>
              <w:rPr>
                <w:rFonts w:ascii="Arial" w:cs="Arial" w:eastAsia="Arial" w:hAnsi="Arial"/>
                <w:sz w:val="18"/>
                <w:szCs w:val="18"/>
                <w:color w:val="auto"/>
              </w:rPr>
              <w:t>Accrued participations, residuals and program obligations</w:t>
            </w:r>
          </w:p>
        </w:tc>
        <w:tc>
          <w:tcPr>
            <w:tcW w:w="144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1,674</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1,712</w:t>
            </w:r>
          </w:p>
        </w:tc>
      </w:tr>
      <w:tr>
        <w:trPr>
          <w:trHeight w:val="270"/>
        </w:trPr>
        <w:tc>
          <w:tcPr>
            <w:tcW w:w="70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44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6,451</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5,177</w:t>
            </w:r>
          </w:p>
        </w:tc>
      </w:tr>
      <w:tr>
        <w:trPr>
          <w:trHeight w:val="270"/>
        </w:trPr>
        <w:tc>
          <w:tcPr>
            <w:tcW w:w="700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1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000" w:type="dxa"/>
            <w:vAlign w:val="bottom"/>
          </w:tcPr>
          <w:p>
            <w:pPr>
              <w:ind w:left="40"/>
              <w:spacing w:after="0"/>
              <w:rPr>
                <w:sz w:val="20"/>
                <w:szCs w:val="20"/>
                <w:color w:val="auto"/>
              </w:rPr>
            </w:pPr>
            <w:r>
              <w:rPr>
                <w:rFonts w:ascii="Arial" w:cs="Arial" w:eastAsia="Arial" w:hAnsi="Arial"/>
                <w:sz w:val="18"/>
                <w:szCs w:val="18"/>
                <w:color w:val="auto"/>
              </w:rPr>
              <w:t>Redeemable noncontrolling interests</w:t>
            </w:r>
          </w:p>
        </w:tc>
        <w:tc>
          <w:tcPr>
            <w:tcW w:w="144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442</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389</w:t>
            </w:r>
          </w:p>
        </w:tc>
      </w:tr>
      <w:tr>
        <w:trPr>
          <w:trHeight w:val="270"/>
        </w:trPr>
        <w:tc>
          <w:tcPr>
            <w:tcW w:w="7000" w:type="dxa"/>
            <w:vAlign w:val="bottom"/>
          </w:tcPr>
          <w:p>
            <w:pPr>
              <w:ind w:left="40"/>
              <w:spacing w:after="0"/>
              <w:rPr>
                <w:sz w:val="20"/>
                <w:szCs w:val="20"/>
                <w:color w:val="auto"/>
              </w:rPr>
            </w:pPr>
            <w:r>
              <w:rPr>
                <w:rFonts w:ascii="Arial" w:cs="Arial" w:eastAsia="Arial" w:hAnsi="Arial"/>
                <w:sz w:val="18"/>
                <w:szCs w:val="18"/>
                <w:color w:val="auto"/>
              </w:rPr>
              <w:t>Equity:</w:t>
            </w:r>
          </w:p>
        </w:tc>
        <w:tc>
          <w:tcPr>
            <w:tcW w:w="1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000" w:type="dxa"/>
            <w:vAlign w:val="bottom"/>
          </w:tcPr>
          <w:p>
            <w:pPr>
              <w:ind w:left="380"/>
              <w:spacing w:after="0"/>
              <w:rPr>
                <w:sz w:val="20"/>
                <w:szCs w:val="20"/>
                <w:color w:val="auto"/>
              </w:rPr>
            </w:pPr>
            <w:r>
              <w:rPr>
                <w:rFonts w:ascii="Arial" w:cs="Arial" w:eastAsia="Arial" w:hAnsi="Arial"/>
                <w:sz w:val="18"/>
                <w:szCs w:val="18"/>
                <w:color w:val="auto"/>
              </w:rPr>
              <w:t>Member’s capital</w:t>
            </w:r>
          </w:p>
        </w:tc>
        <w:tc>
          <w:tcPr>
            <w:tcW w:w="144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48,209</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45,618</w:t>
            </w:r>
          </w:p>
        </w:tc>
      </w:tr>
      <w:tr>
        <w:trPr>
          <w:trHeight w:val="270"/>
        </w:trPr>
        <w:tc>
          <w:tcPr>
            <w:tcW w:w="700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144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283</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254</w:t>
            </w:r>
          </w:p>
        </w:tc>
      </w:tr>
      <w:tr>
        <w:trPr>
          <w:trHeight w:val="27"/>
        </w:trPr>
        <w:tc>
          <w:tcPr>
            <w:tcW w:w="70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00" w:type="dxa"/>
            <w:vAlign w:val="bottom"/>
          </w:tcPr>
          <w:p>
            <w:pPr>
              <w:ind w:left="40"/>
              <w:spacing w:after="0"/>
              <w:rPr>
                <w:sz w:val="20"/>
                <w:szCs w:val="20"/>
                <w:color w:val="auto"/>
              </w:rPr>
            </w:pPr>
            <w:r>
              <w:rPr>
                <w:rFonts w:ascii="Arial" w:cs="Arial" w:eastAsia="Arial" w:hAnsi="Arial"/>
                <w:sz w:val="18"/>
                <w:szCs w:val="18"/>
                <w:color w:val="auto"/>
              </w:rPr>
              <w:t>Total NBCUniversal member’s equity</w:t>
            </w:r>
          </w:p>
        </w:tc>
        <w:tc>
          <w:tcPr>
            <w:tcW w:w="1440" w:type="dxa"/>
            <w:vAlign w:val="bottom"/>
          </w:tcPr>
          <w:p>
            <w:pPr>
              <w:spacing w:after="0"/>
              <w:rPr>
                <w:sz w:val="20"/>
                <w:szCs w:val="20"/>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48,492</w:t>
            </w:r>
          </w:p>
        </w:tc>
        <w:tc>
          <w:tcPr>
            <w:tcW w:w="36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45,872</w:t>
            </w:r>
          </w:p>
        </w:tc>
      </w:tr>
      <w:tr>
        <w:trPr>
          <w:trHeight w:val="270"/>
        </w:trPr>
        <w:tc>
          <w:tcPr>
            <w:tcW w:w="70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1440" w:type="dxa"/>
            <w:vAlign w:val="bottom"/>
          </w:tcPr>
          <w:p>
            <w:pPr>
              <w:spacing w:after="0"/>
              <w:rPr>
                <w:sz w:val="23"/>
                <w:szCs w:val="23"/>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1,013</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909</w:t>
            </w:r>
          </w:p>
        </w:tc>
      </w:tr>
      <w:tr>
        <w:trPr>
          <w:trHeight w:val="27"/>
        </w:trPr>
        <w:tc>
          <w:tcPr>
            <w:tcW w:w="70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0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1440" w:type="dxa"/>
            <w:vAlign w:val="bottom"/>
          </w:tcPr>
          <w:p>
            <w:pPr>
              <w:spacing w:after="0"/>
              <w:rPr>
                <w:sz w:val="20"/>
                <w:szCs w:val="20"/>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49,505</w:t>
            </w:r>
          </w:p>
        </w:tc>
        <w:tc>
          <w:tcPr>
            <w:tcW w:w="36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46,781</w:t>
            </w:r>
          </w:p>
        </w:tc>
      </w:tr>
      <w:tr>
        <w:trPr>
          <w:trHeight w:val="27"/>
        </w:trPr>
        <w:tc>
          <w:tcPr>
            <w:tcW w:w="70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91"/>
              <w:spacing w:after="0"/>
              <w:rPr>
                <w:sz w:val="20"/>
                <w:szCs w:val="20"/>
                <w:color w:val="auto"/>
              </w:rPr>
            </w:pPr>
            <w:r>
              <w:rPr>
                <w:rFonts w:ascii="Arial" w:cs="Arial" w:eastAsia="Arial" w:hAnsi="Arial"/>
                <w:sz w:val="18"/>
                <w:szCs w:val="18"/>
                <w:b w:val="1"/>
                <w:bCs w:val="1"/>
                <w:color w:val="auto"/>
              </w:rPr>
              <w:t>82,187</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75,014</w:t>
            </w:r>
          </w:p>
        </w:tc>
      </w:tr>
      <w:tr>
        <w:trPr>
          <w:trHeight w:val="34"/>
        </w:trPr>
        <w:tc>
          <w:tcPr>
            <w:tcW w:w="70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1"/>
        </w:trPr>
        <w:tc>
          <w:tcPr>
            <w:tcW w:w="700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1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21" w:right="2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9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gridSpan w:val="3"/>
          </w:tcPr>
          <w:p>
            <w:pPr>
              <w:jc w:val="right"/>
              <w:ind w:right="851"/>
              <w:spacing w:after="0"/>
              <w:rPr>
                <w:sz w:val="20"/>
                <w:szCs w:val="20"/>
                <w:color w:val="auto"/>
              </w:rPr>
            </w:pPr>
            <w:r>
              <w:rPr>
                <w:rFonts w:ascii="Arial" w:cs="Arial" w:eastAsia="Arial" w:hAnsi="Arial"/>
                <w:sz w:val="14"/>
                <w:szCs w:val="14"/>
                <w:color w:val="auto"/>
              </w:rPr>
              <w:t>Three Months Ended</w:t>
            </w:r>
          </w:p>
        </w:tc>
        <w:tc>
          <w:tcPr>
            <w:tcW w:w="480" w:type="dxa"/>
            <w:vAlign w:val="bottom"/>
          </w:tcPr>
          <w:p>
            <w:pPr>
              <w:spacing w:after="0"/>
              <w:rPr>
                <w:sz w:val="14"/>
                <w:szCs w:val="14"/>
                <w:color w:val="auto"/>
              </w:rPr>
            </w:pPr>
          </w:p>
        </w:tc>
        <w:tc>
          <w:tcPr>
            <w:tcW w:w="2560" w:type="dxa"/>
            <w:vAlign w:val="bottom"/>
            <w:gridSpan w:val="3"/>
          </w:tcPr>
          <w:p>
            <w:pPr>
              <w:jc w:val="right"/>
              <w:ind w:right="771"/>
              <w:spacing w:after="0"/>
              <w:rPr>
                <w:sz w:val="20"/>
                <w:szCs w:val="20"/>
                <w:color w:val="auto"/>
              </w:rPr>
            </w:pPr>
            <w:r>
              <w:rPr>
                <w:rFonts w:ascii="Arial" w:cs="Arial" w:eastAsia="Arial" w:hAnsi="Arial"/>
                <w:sz w:val="14"/>
                <w:szCs w:val="14"/>
                <w:color w:val="auto"/>
              </w:rPr>
              <w:t>Nine Months Ended</w:t>
            </w:r>
          </w:p>
        </w:tc>
      </w:tr>
      <w:tr>
        <w:trPr>
          <w:trHeight w:val="188"/>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0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960" w:type="dxa"/>
            <w:vAlign w:val="bottom"/>
            <w:tcBorders>
              <w:bottom w:val="single" w:sz="8" w:color="auto"/>
            </w:tcBorders>
          </w:tcPr>
          <w:p>
            <w:pPr>
              <w:spacing w:after="0"/>
              <w:rPr>
                <w:sz w:val="16"/>
                <w:szCs w:val="16"/>
                <w:color w:val="auto"/>
              </w:rPr>
            </w:pPr>
          </w:p>
        </w:tc>
      </w:tr>
      <w:tr>
        <w:trPr>
          <w:trHeight w:val="264"/>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2019</w:t>
            </w: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2018</w:t>
            </w: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2019</w:t>
            </w: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2018</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b w:val="1"/>
                <w:bCs w:val="1"/>
                <w:color w:val="auto"/>
              </w:rPr>
              <w:t>Redeemable Noncontrolling Interests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0"/>
        </w:trPr>
        <w:tc>
          <w:tcPr>
            <w:tcW w:w="5200" w:type="dxa"/>
            <w:vAlign w:val="bottom"/>
          </w:tcPr>
          <w:p>
            <w:pPr>
              <w:ind w:left="280"/>
              <w:spacing w:after="0"/>
              <w:rPr>
                <w:sz w:val="20"/>
                <w:szCs w:val="20"/>
                <w:color w:val="auto"/>
              </w:rPr>
            </w:pPr>
            <w:r>
              <w:rPr>
                <w:rFonts w:ascii="Arial" w:cs="Arial" w:eastAsia="Arial" w:hAnsi="Arial"/>
                <w:sz w:val="18"/>
                <w:szCs w:val="18"/>
                <w:color w:val="auto"/>
              </w:rPr>
              <w:t>Balance, beginning of period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401</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391</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389</w:t>
            </w: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409</w:t>
            </w:r>
          </w:p>
        </w:tc>
      </w:tr>
      <w:tr>
        <w:trPr>
          <w:trHeight w:val="270"/>
        </w:trPr>
        <w:tc>
          <w:tcPr>
            <w:tcW w:w="5200" w:type="dxa"/>
            <w:vAlign w:val="bottom"/>
          </w:tcPr>
          <w:p>
            <w:pPr>
              <w:ind w:left="280"/>
              <w:spacing w:after="0"/>
              <w:rPr>
                <w:sz w:val="20"/>
                <w:szCs w:val="20"/>
                <w:color w:val="auto"/>
              </w:rPr>
            </w:pPr>
            <w:r>
              <w:rPr>
                <w:rFonts w:ascii="Arial" w:cs="Arial" w:eastAsia="Arial" w:hAnsi="Arial"/>
                <w:sz w:val="18"/>
                <w:szCs w:val="18"/>
                <w:color w:val="auto"/>
                <w:w w:val="96"/>
              </w:rPr>
              <w:t>Contributions from (distributions to) noncontrolling interests, net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500" w:type="dxa"/>
            <w:vAlign w:val="bottom"/>
          </w:tcPr>
          <w:p>
            <w:pPr>
              <w:spacing w:after="0"/>
              <w:rPr>
                <w:sz w:val="23"/>
                <w:szCs w:val="23"/>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5200" w:type="dxa"/>
            <w:vAlign w:val="bottom"/>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520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50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w:t>
            </w:r>
          </w:p>
        </w:tc>
      </w:tr>
      <w:tr>
        <w:trPr>
          <w:trHeight w:val="27"/>
        </w:trPr>
        <w:tc>
          <w:tcPr>
            <w:tcW w:w="5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ind w:left="280"/>
              <w:spacing w:after="0"/>
              <w:rPr>
                <w:sz w:val="20"/>
                <w:szCs w:val="20"/>
                <w:color w:val="auto"/>
              </w:rPr>
            </w:pPr>
            <w:r>
              <w:rPr>
                <w:rFonts w:ascii="Arial" w:cs="Arial" w:eastAsia="Arial" w:hAnsi="Arial"/>
                <w:sz w:val="18"/>
                <w:szCs w:val="18"/>
                <w:b w:val="1"/>
                <w:bCs w:val="1"/>
                <w:color w:val="auto"/>
              </w:rPr>
              <w:t>Balance, end of period</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b w:val="1"/>
                <w:bCs w:val="1"/>
                <w:color w:val="auto"/>
              </w:rPr>
              <w:t>442</w:t>
            </w:r>
          </w:p>
        </w:tc>
        <w:tc>
          <w:tcPr>
            <w:tcW w:w="5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387</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442</w:t>
            </w:r>
          </w:p>
        </w:tc>
        <w:tc>
          <w:tcPr>
            <w:tcW w:w="52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387</w:t>
            </w:r>
          </w:p>
        </w:tc>
      </w:tr>
      <w:tr>
        <w:trPr>
          <w:trHeight w:val="34"/>
        </w:trPr>
        <w:tc>
          <w:tcPr>
            <w:tcW w:w="5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78"/>
        </w:trPr>
        <w:tc>
          <w:tcPr>
            <w:tcW w:w="5200" w:type="dxa"/>
            <w:vAlign w:val="bottom"/>
          </w:tcPr>
          <w:p>
            <w:pPr>
              <w:ind w:left="40"/>
              <w:spacing w:after="0"/>
              <w:rPr>
                <w:sz w:val="20"/>
                <w:szCs w:val="20"/>
                <w:color w:val="auto"/>
              </w:rPr>
            </w:pPr>
            <w:r>
              <w:rPr>
                <w:rFonts w:ascii="Arial" w:cs="Arial" w:eastAsia="Arial" w:hAnsi="Arial"/>
                <w:sz w:val="18"/>
                <w:szCs w:val="18"/>
                <w:b w:val="1"/>
                <w:bCs w:val="1"/>
                <w:color w:val="auto"/>
              </w:rPr>
              <w:t>Member</w:t>
            </w:r>
            <w:r>
              <w:rPr>
                <w:rFonts w:ascii="Arial" w:cs="Arial" w:eastAsia="Arial" w:hAnsi="Arial"/>
                <w:sz w:val="18"/>
                <w:szCs w:val="18"/>
                <w:color w:val="auto"/>
              </w:rPr>
              <w:t>’</w:t>
            </w:r>
            <w:r>
              <w:rPr>
                <w:rFonts w:ascii="Arial" w:cs="Arial" w:eastAsia="Arial" w:hAnsi="Arial"/>
                <w:sz w:val="18"/>
                <w:szCs w:val="18"/>
                <w:b w:val="1"/>
                <w:bCs w:val="1"/>
                <w:color w:val="auto"/>
              </w:rPr>
              <w:t>s Capital</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5200" w:type="dxa"/>
            <w:vAlign w:val="bottom"/>
          </w:tcPr>
          <w:p>
            <w:pPr>
              <w:ind w:left="280"/>
              <w:spacing w:after="0"/>
              <w:rPr>
                <w:sz w:val="20"/>
                <w:szCs w:val="20"/>
                <w:color w:val="auto"/>
              </w:rPr>
            </w:pPr>
            <w:r>
              <w:rPr>
                <w:rFonts w:ascii="Arial" w:cs="Arial" w:eastAsia="Arial" w:hAnsi="Arial"/>
                <w:sz w:val="18"/>
                <w:szCs w:val="18"/>
                <w:color w:val="auto"/>
              </w:rPr>
              <w:t>Balance, beginning of period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47,529</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43,777</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45,618</w:t>
            </w: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42,148</w:t>
            </w:r>
          </w:p>
        </w:tc>
      </w:tr>
      <w:tr>
        <w:trPr>
          <w:trHeight w:val="270"/>
        </w:trPr>
        <w:tc>
          <w:tcPr>
            <w:tcW w:w="5200" w:type="dxa"/>
            <w:vAlign w:val="bottom"/>
          </w:tcPr>
          <w:p>
            <w:pPr>
              <w:ind w:left="280"/>
              <w:spacing w:after="0"/>
              <w:rPr>
                <w:sz w:val="20"/>
                <w:szCs w:val="20"/>
                <w:color w:val="auto"/>
              </w:rPr>
            </w:pPr>
            <w:r>
              <w:rPr>
                <w:rFonts w:ascii="Arial" w:cs="Arial" w:eastAsia="Arial" w:hAnsi="Arial"/>
                <w:sz w:val="18"/>
                <w:szCs w:val="18"/>
                <w:color w:val="auto"/>
              </w:rPr>
              <w:t>Cumulative effects of adoption of accounting standards</w:t>
            </w:r>
          </w:p>
        </w:tc>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70"/>
        </w:trPr>
        <w:tc>
          <w:tcPr>
            <w:tcW w:w="5200" w:type="dxa"/>
            <w:vAlign w:val="bottom"/>
          </w:tcPr>
          <w:p>
            <w:pPr>
              <w:ind w:left="280"/>
              <w:spacing w:after="0"/>
              <w:rPr>
                <w:sz w:val="20"/>
                <w:szCs w:val="20"/>
                <w:color w:val="auto"/>
              </w:rPr>
            </w:pPr>
            <w:r>
              <w:rPr>
                <w:rFonts w:ascii="Arial" w:cs="Arial" w:eastAsia="Arial" w:hAnsi="Arial"/>
                <w:sz w:val="18"/>
                <w:szCs w:val="18"/>
                <w:color w:val="auto"/>
              </w:rPr>
              <w:t>Distributions to member</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(576)</w:t>
            </w:r>
          </w:p>
        </w:tc>
        <w:tc>
          <w:tcPr>
            <w:tcW w:w="500" w:type="dxa"/>
            <w:vAlign w:val="bottom"/>
          </w:tcPr>
          <w:p>
            <w:pPr>
              <w:spacing w:after="0"/>
              <w:rPr>
                <w:sz w:val="23"/>
                <w:szCs w:val="23"/>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(238)</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(1,228)</w:t>
            </w:r>
          </w:p>
        </w:tc>
      </w:tr>
      <w:tr>
        <w:trPr>
          <w:trHeight w:val="270"/>
        </w:trPr>
        <w:tc>
          <w:tcPr>
            <w:tcW w:w="5200" w:type="dxa"/>
            <w:vAlign w:val="bottom"/>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92</w:t>
            </w:r>
          </w:p>
        </w:tc>
      </w:tr>
      <w:tr>
        <w:trPr>
          <w:trHeight w:val="270"/>
        </w:trPr>
        <w:tc>
          <w:tcPr>
            <w:tcW w:w="520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1,256</w:t>
            </w:r>
          </w:p>
        </w:tc>
        <w:tc>
          <w:tcPr>
            <w:tcW w:w="50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1,231</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4,611</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3,991</w:t>
            </w:r>
          </w:p>
        </w:tc>
      </w:tr>
      <w:tr>
        <w:trPr>
          <w:trHeight w:val="27"/>
        </w:trPr>
        <w:tc>
          <w:tcPr>
            <w:tcW w:w="5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ind w:left="280"/>
              <w:spacing w:after="0"/>
              <w:rPr>
                <w:sz w:val="20"/>
                <w:szCs w:val="20"/>
                <w:color w:val="auto"/>
              </w:rPr>
            </w:pPr>
            <w:r>
              <w:rPr>
                <w:rFonts w:ascii="Arial" w:cs="Arial" w:eastAsia="Arial" w:hAnsi="Arial"/>
                <w:sz w:val="18"/>
                <w:szCs w:val="18"/>
                <w:b w:val="1"/>
                <w:bCs w:val="1"/>
                <w:color w:val="auto"/>
              </w:rPr>
              <w:t>Balance, end of period</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b w:val="1"/>
                <w:bCs w:val="1"/>
                <w:color w:val="auto"/>
              </w:rPr>
              <w:t>48,209</w:t>
            </w:r>
          </w:p>
        </w:tc>
        <w:tc>
          <w:tcPr>
            <w:tcW w:w="5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44,771</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48,209</w:t>
            </w:r>
          </w:p>
        </w:tc>
        <w:tc>
          <w:tcPr>
            <w:tcW w:w="52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44,771</w:t>
            </w:r>
          </w:p>
        </w:tc>
      </w:tr>
      <w:tr>
        <w:trPr>
          <w:trHeight w:val="34"/>
        </w:trPr>
        <w:tc>
          <w:tcPr>
            <w:tcW w:w="5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65"/>
        </w:trPr>
        <w:tc>
          <w:tcPr>
            <w:tcW w:w="520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Income (Loss)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5200" w:type="dxa"/>
            <w:vAlign w:val="bottom"/>
          </w:tcPr>
          <w:p>
            <w:pPr>
              <w:ind w:left="280"/>
              <w:spacing w:after="0"/>
              <w:rPr>
                <w:sz w:val="20"/>
                <w:szCs w:val="20"/>
                <w:color w:val="auto"/>
              </w:rPr>
            </w:pPr>
            <w:r>
              <w:rPr>
                <w:rFonts w:ascii="Arial" w:cs="Arial" w:eastAsia="Arial" w:hAnsi="Arial"/>
                <w:sz w:val="18"/>
                <w:szCs w:val="18"/>
                <w:color w:val="auto"/>
              </w:rPr>
              <w:t>Balance, beginning of period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295</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218</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254</w:t>
            </w: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5200" w:type="dxa"/>
            <w:vAlign w:val="bottom"/>
          </w:tcPr>
          <w:p>
            <w:pPr>
              <w:ind w:left="280"/>
              <w:spacing w:after="0"/>
              <w:rPr>
                <w:sz w:val="20"/>
                <w:szCs w:val="20"/>
                <w:color w:val="auto"/>
              </w:rPr>
            </w:pPr>
            <w:r>
              <w:rPr>
                <w:rFonts w:ascii="Arial" w:cs="Arial" w:eastAsia="Arial" w:hAnsi="Arial"/>
                <w:sz w:val="18"/>
                <w:szCs w:val="18"/>
                <w:color w:val="auto"/>
              </w:rPr>
              <w:t>Cumulative effects of adoption of accounting standards</w:t>
            </w:r>
          </w:p>
        </w:tc>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232</w:t>
            </w:r>
          </w:p>
        </w:tc>
      </w:tr>
      <w:tr>
        <w:trPr>
          <w:trHeight w:val="270"/>
        </w:trPr>
        <w:tc>
          <w:tcPr>
            <w:tcW w:w="5200" w:type="dxa"/>
            <w:vAlign w:val="bottom"/>
          </w:tcPr>
          <w:p>
            <w:pPr>
              <w:ind w:left="28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23"/>
                <w:szCs w:val="23"/>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(120)</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5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ind w:left="280"/>
              <w:spacing w:after="0"/>
              <w:rPr>
                <w:sz w:val="20"/>
                <w:szCs w:val="20"/>
                <w:color w:val="auto"/>
              </w:rPr>
            </w:pPr>
            <w:r>
              <w:rPr>
                <w:rFonts w:ascii="Arial" w:cs="Arial" w:eastAsia="Arial" w:hAnsi="Arial"/>
                <w:sz w:val="18"/>
                <w:szCs w:val="18"/>
                <w:b w:val="1"/>
                <w:bCs w:val="1"/>
                <w:color w:val="auto"/>
              </w:rPr>
              <w:t>Balance, end of period</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b w:val="1"/>
                <w:bCs w:val="1"/>
                <w:color w:val="auto"/>
              </w:rPr>
              <w:t>283</w:t>
            </w:r>
          </w:p>
        </w:tc>
        <w:tc>
          <w:tcPr>
            <w:tcW w:w="5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98</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283</w:t>
            </w:r>
          </w:p>
        </w:tc>
        <w:tc>
          <w:tcPr>
            <w:tcW w:w="52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98</w:t>
            </w:r>
          </w:p>
        </w:tc>
      </w:tr>
      <w:tr>
        <w:trPr>
          <w:trHeight w:val="34"/>
        </w:trPr>
        <w:tc>
          <w:tcPr>
            <w:tcW w:w="5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65"/>
        </w:trPr>
        <w:tc>
          <w:tcPr>
            <w:tcW w:w="5200" w:type="dxa"/>
            <w:vAlign w:val="bottom"/>
          </w:tcPr>
          <w:p>
            <w:pPr>
              <w:ind w:left="40"/>
              <w:spacing w:after="0"/>
              <w:rPr>
                <w:sz w:val="20"/>
                <w:szCs w:val="20"/>
                <w:color w:val="auto"/>
              </w:rPr>
            </w:pPr>
            <w:r>
              <w:rPr>
                <w:rFonts w:ascii="Arial" w:cs="Arial" w:eastAsia="Arial" w:hAnsi="Arial"/>
                <w:sz w:val="18"/>
                <w:szCs w:val="18"/>
                <w:b w:val="1"/>
                <w:bCs w:val="1"/>
                <w:color w:val="auto"/>
              </w:rPr>
              <w:t>Noncontrolling Interests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5200" w:type="dxa"/>
            <w:vAlign w:val="bottom"/>
          </w:tcPr>
          <w:p>
            <w:pPr>
              <w:ind w:left="280"/>
              <w:spacing w:after="0"/>
              <w:rPr>
                <w:sz w:val="20"/>
                <w:szCs w:val="20"/>
                <w:color w:val="auto"/>
              </w:rPr>
            </w:pPr>
            <w:r>
              <w:rPr>
                <w:rFonts w:ascii="Arial" w:cs="Arial" w:eastAsia="Arial" w:hAnsi="Arial"/>
                <w:sz w:val="18"/>
                <w:szCs w:val="18"/>
                <w:color w:val="auto"/>
              </w:rPr>
              <w:t>Balance, beginning of period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988</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1,090</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909</w:t>
            </w: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913</w:t>
            </w:r>
          </w:p>
        </w:tc>
      </w:tr>
      <w:tr>
        <w:trPr>
          <w:trHeight w:val="270"/>
        </w:trPr>
        <w:tc>
          <w:tcPr>
            <w:tcW w:w="5200" w:type="dxa"/>
            <w:vAlign w:val="bottom"/>
          </w:tcPr>
          <w:p>
            <w:pPr>
              <w:ind w:left="280"/>
              <w:spacing w:after="0"/>
              <w:rPr>
                <w:sz w:val="20"/>
                <w:szCs w:val="20"/>
                <w:color w:val="auto"/>
              </w:rPr>
            </w:pPr>
            <w:r>
              <w:rPr>
                <w:rFonts w:ascii="Arial" w:cs="Arial" w:eastAsia="Arial" w:hAnsi="Arial"/>
                <w:sz w:val="18"/>
                <w:szCs w:val="18"/>
                <w:color w:val="auto"/>
                <w:w w:val="96"/>
              </w:rPr>
              <w:t>Contributions from (distributions to) noncontrolling interests, net</w:t>
            </w:r>
          </w:p>
        </w:tc>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500" w:type="dxa"/>
            <w:vAlign w:val="bottom"/>
          </w:tcPr>
          <w:p>
            <w:pPr>
              <w:spacing w:after="0"/>
              <w:rPr>
                <w:sz w:val="23"/>
                <w:szCs w:val="23"/>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272</w:t>
            </w:r>
          </w:p>
        </w:tc>
      </w:tr>
      <w:tr>
        <w:trPr>
          <w:trHeight w:val="270"/>
        </w:trPr>
        <w:tc>
          <w:tcPr>
            <w:tcW w:w="5200" w:type="dxa"/>
            <w:vAlign w:val="bottom"/>
          </w:tcPr>
          <w:p>
            <w:pPr>
              <w:ind w:left="28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23"/>
                <w:szCs w:val="23"/>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5200" w:type="dxa"/>
            <w:vAlign w:val="bottom"/>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23"/>
                <w:szCs w:val="23"/>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(191)</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70"/>
        </w:trPr>
        <w:tc>
          <w:tcPr>
            <w:tcW w:w="520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34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w:t>
            </w: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5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ind w:left="280"/>
              <w:spacing w:after="0"/>
              <w:rPr>
                <w:sz w:val="20"/>
                <w:szCs w:val="20"/>
                <w:color w:val="auto"/>
              </w:rPr>
            </w:pPr>
            <w:r>
              <w:rPr>
                <w:rFonts w:ascii="Arial" w:cs="Arial" w:eastAsia="Arial" w:hAnsi="Arial"/>
                <w:sz w:val="18"/>
                <w:szCs w:val="18"/>
                <w:b w:val="1"/>
                <w:bCs w:val="1"/>
                <w:color w:val="auto"/>
              </w:rPr>
              <w:t>Balance, end of period</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b w:val="1"/>
                <w:bCs w:val="1"/>
                <w:color w:val="auto"/>
              </w:rPr>
              <w:t>1,013</w:t>
            </w:r>
          </w:p>
        </w:tc>
        <w:tc>
          <w:tcPr>
            <w:tcW w:w="5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843</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1,013</w:t>
            </w:r>
          </w:p>
        </w:tc>
        <w:tc>
          <w:tcPr>
            <w:tcW w:w="52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843</w:t>
            </w:r>
          </w:p>
        </w:tc>
      </w:tr>
      <w:tr>
        <w:trPr>
          <w:trHeight w:val="34"/>
        </w:trPr>
        <w:tc>
          <w:tcPr>
            <w:tcW w:w="5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65"/>
        </w:trPr>
        <w:tc>
          <w:tcPr>
            <w:tcW w:w="5200" w:type="dxa"/>
            <w:vAlign w:val="bottom"/>
          </w:tcPr>
          <w:p>
            <w:pPr>
              <w:ind w:left="40"/>
              <w:spacing w:after="0"/>
              <w:rPr>
                <w:sz w:val="20"/>
                <w:szCs w:val="20"/>
                <w:color w:val="auto"/>
              </w:rPr>
            </w:pPr>
            <w:r>
              <w:rPr>
                <w:rFonts w:ascii="Arial" w:cs="Arial" w:eastAsia="Arial" w:hAnsi="Arial"/>
                <w:sz w:val="18"/>
                <w:szCs w:val="18"/>
                <w:b w:val="1"/>
                <w:bCs w:val="1"/>
                <w:color w:val="auto"/>
              </w:rPr>
              <w:t>Total equity</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b w:val="1"/>
                <w:bCs w:val="1"/>
                <w:color w:val="auto"/>
              </w:rPr>
              <w:t>49,505</w:t>
            </w:r>
          </w:p>
        </w:tc>
        <w:tc>
          <w:tcPr>
            <w:tcW w:w="5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45,712</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49,505</w:t>
            </w:r>
          </w:p>
        </w:tc>
        <w:tc>
          <w:tcPr>
            <w:tcW w:w="52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45,712</w:t>
            </w:r>
          </w:p>
        </w:tc>
      </w:tr>
      <w:tr>
        <w:trPr>
          <w:trHeight w:val="34"/>
        </w:trPr>
        <w:tc>
          <w:tcPr>
            <w:tcW w:w="5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40"/>
          </w:cols>
          <w:pgMar w:left="240" w:top="121" w:right="3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10" w:lineRule="exact"/>
        <w:rPr>
          <w:sz w:val="20"/>
          <w:szCs w:val="20"/>
          <w:color w:val="auto"/>
        </w:rPr>
      </w:pPr>
    </w:p>
    <w:p>
      <w:pPr>
        <w:ind w:right="4380"/>
        <w:spacing w:after="0" w:line="274"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Unless indicated otherwise, throughout these notes to the condensed consolidated financial statements, we refer to NBCUniversal and its consolidated subsidiaries as “we,” “us” and “our.” 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cash flows and financial condition for the periods shown, including normal, recurring accruals and other items. The consolidated results of operations for the interim periods presented are not necessarily indicative of results for the full year.</w:t>
      </w:r>
    </w:p>
    <w:p>
      <w:pPr>
        <w:spacing w:after="0" w:line="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2018 Annual Report on Form 10-K and the notes within this Form 10-Q.</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See Note 6 for a discussion of the effects of the adoption of new accounting pronouncements on our condensed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Segment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four reportable business segments:</w:t>
      </w:r>
    </w:p>
    <w:p>
      <w:pPr>
        <w:spacing w:after="0" w:line="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Cable Networks segment consists primarily of our national cable networks that provide a variety of entertainment, news and information, and sports content; our regional sports and news networks; our international cable networks; our cable television studio production operations and various digital properties.</w:t>
      </w:r>
    </w:p>
    <w:p>
      <w:pPr>
        <w:spacing w:after="0" w:line="33"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Our Broadcast Television segment consists primarily of the NBC and Telemundo broadcast networks, our NBC and Telemundo owned local broadcast television stations, the NBC Universo national cable network, our broadcast television studio production operations, and various digital properties.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Filmed Entertainment segment consists primarily of the operations of Universal Pictures, which produces, acquires, markets and distributes filmed entertainment worldwide; our films are also produced under the Illumination, DreamWorks Animation and Focus Features names.</w:t>
      </w:r>
    </w:p>
    <w:p>
      <w:pPr>
        <w:spacing w:after="0" w:line="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Theme Parks segment consists primarily of our Universal theme parks in Orlando, Florida; Hollywood, California; and Osaka, Japan. In addition, along with a consortium of Chinese state-owned companies, we are developing a Universal theme park and resort in Beijing, China.</w:t>
      </w:r>
    </w:p>
    <w:p>
      <w:pPr>
        <w:spacing w:after="0" w:line="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Adjusted EBITDA to evaluate the profitability of our operating segments and the components of net income attributable to NBCUniversal excluded from Adjusted EBITDA are not separately evaluated. To be consistent with our current management reporting presentation, 2018 operating results were reclassified related to certain NBCUniversal businesses now presented in Headquarters and Other. Our financial data by business segment is presented in the tables below.</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5"/>
          </w:tcPr>
          <w:p>
            <w:pPr>
              <w:jc w:val="center"/>
              <w:ind w:right="274"/>
              <w:spacing w:after="0"/>
              <w:rPr>
                <w:sz w:val="20"/>
                <w:szCs w:val="20"/>
                <w:color w:val="auto"/>
              </w:rPr>
            </w:pPr>
            <w:r>
              <w:rPr>
                <w:rFonts w:ascii="Arial" w:cs="Arial" w:eastAsia="Arial" w:hAnsi="Arial"/>
                <w:sz w:val="14"/>
                <w:szCs w:val="14"/>
                <w:color w:val="auto"/>
                <w:w w:val="91"/>
              </w:rPr>
              <w:t>Three Months Ended September 30, 2019</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56"/>
        </w:trPr>
        <w:tc>
          <w:tcPr>
            <w:tcW w:w="5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14"/>
              <w:spacing w:after="0" w:line="157" w:lineRule="exact"/>
              <w:rPr>
                <w:sz w:val="20"/>
                <w:szCs w:val="20"/>
                <w:color w:val="auto"/>
              </w:rPr>
            </w:pPr>
            <w:r>
              <w:rPr>
                <w:rFonts w:ascii="Arial" w:cs="Arial" w:eastAsia="Arial" w:hAnsi="Arial"/>
                <w:sz w:val="14"/>
                <w:szCs w:val="14"/>
                <w:color w:val="auto"/>
                <w:w w:val="92"/>
              </w:rPr>
              <w:t>Depreciation and</w:t>
            </w:r>
          </w:p>
        </w:tc>
        <w:tc>
          <w:tcPr>
            <w:tcW w:w="240" w:type="dxa"/>
            <w:vAlign w:val="bottom"/>
          </w:tcPr>
          <w:p>
            <w:pPr>
              <w:spacing w:after="0"/>
              <w:rPr>
                <w:sz w:val="13"/>
                <w:szCs w:val="13"/>
                <w:color w:val="auto"/>
              </w:rPr>
            </w:pPr>
          </w:p>
        </w:tc>
        <w:tc>
          <w:tcPr>
            <w:tcW w:w="1020" w:type="dxa"/>
            <w:vAlign w:val="bottom"/>
          </w:tcPr>
          <w:p>
            <w:pPr>
              <w:jc w:val="right"/>
              <w:ind w:right="314"/>
              <w:spacing w:after="0" w:line="157" w:lineRule="exact"/>
              <w:rPr>
                <w:sz w:val="20"/>
                <w:szCs w:val="20"/>
                <w:color w:val="auto"/>
              </w:rPr>
            </w:pPr>
            <w:r>
              <w:rPr>
                <w:rFonts w:ascii="Arial" w:cs="Arial" w:eastAsia="Arial" w:hAnsi="Arial"/>
                <w:sz w:val="14"/>
                <w:szCs w:val="14"/>
                <w:color w:val="auto"/>
              </w:rPr>
              <w:t>Capital</w:t>
            </w:r>
          </w:p>
        </w:tc>
        <w:tc>
          <w:tcPr>
            <w:tcW w:w="160" w:type="dxa"/>
            <w:vAlign w:val="bottom"/>
          </w:tcPr>
          <w:p>
            <w:pPr>
              <w:spacing w:after="0"/>
              <w:rPr>
                <w:sz w:val="13"/>
                <w:szCs w:val="13"/>
                <w:color w:val="auto"/>
              </w:rPr>
            </w:pPr>
          </w:p>
        </w:tc>
        <w:tc>
          <w:tcPr>
            <w:tcW w:w="1140" w:type="dxa"/>
            <w:vAlign w:val="bottom"/>
          </w:tcPr>
          <w:p>
            <w:pPr>
              <w:jc w:val="right"/>
              <w:ind w:right="154"/>
              <w:spacing w:after="0" w:line="157" w:lineRule="exact"/>
              <w:rPr>
                <w:sz w:val="20"/>
                <w:szCs w:val="20"/>
                <w:color w:val="auto"/>
              </w:rPr>
            </w:pPr>
            <w:r>
              <w:rPr>
                <w:rFonts w:ascii="Arial" w:cs="Arial" w:eastAsia="Arial" w:hAnsi="Arial"/>
                <w:sz w:val="14"/>
                <w:szCs w:val="14"/>
                <w:color w:val="auto"/>
              </w:rPr>
              <w:t>Cash Paid for</w:t>
            </w:r>
          </w:p>
        </w:tc>
      </w:tr>
      <w:tr>
        <w:trPr>
          <w:trHeight w:val="18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Revenue</w:t>
            </w: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(c)</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7"/>
              </w:rPr>
              <w:t>Amortization</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w w:val="97"/>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w w:val="91"/>
              </w:rPr>
              <w:t>Intangible Assets</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Cable Networks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2,771</w:t>
            </w:r>
          </w:p>
        </w:tc>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955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Broadcast Television</w:t>
            </w:r>
          </w:p>
        </w:tc>
        <w:tc>
          <w:tcPr>
            <w:tcW w:w="24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2,230</w:t>
            </w:r>
          </w:p>
        </w:tc>
        <w:tc>
          <w:tcPr>
            <w:tcW w:w="44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338</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Filmed Entertainment</w:t>
            </w:r>
          </w:p>
        </w:tc>
        <w:tc>
          <w:tcPr>
            <w:tcW w:w="24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1,706</w:t>
            </w:r>
          </w:p>
        </w:tc>
        <w:tc>
          <w:tcPr>
            <w:tcW w:w="44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Theme Parks</w:t>
            </w:r>
          </w:p>
        </w:tc>
        <w:tc>
          <w:tcPr>
            <w:tcW w:w="24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1,631</w:t>
            </w:r>
          </w:p>
        </w:tc>
        <w:tc>
          <w:tcPr>
            <w:tcW w:w="44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731</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182</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8</w:t>
            </w:r>
          </w:p>
        </w:tc>
      </w:tr>
      <w:tr>
        <w:trPr>
          <w:trHeight w:val="310"/>
        </w:trPr>
        <w:tc>
          <w:tcPr>
            <w:tcW w:w="5040" w:type="dxa"/>
            <w:vAlign w:val="bottom"/>
          </w:tcPr>
          <w:p>
            <w:pPr>
              <w:ind w:left="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4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43</w:t>
            </w:r>
          </w:p>
        </w:tc>
      </w:tr>
      <w:tr>
        <w:trPr>
          <w:trHeight w:val="257"/>
        </w:trPr>
        <w:tc>
          <w:tcPr>
            <w:tcW w:w="504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8,294</w:t>
            </w:r>
          </w:p>
        </w:tc>
        <w:tc>
          <w:tcPr>
            <w:tcW w:w="44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rPr>
              <w:t>2,089</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537</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505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b w:val="1"/>
                <w:bCs w:val="1"/>
                <w:color w:val="auto"/>
              </w:rPr>
              <w:t>63</w:t>
            </w:r>
          </w:p>
        </w:tc>
      </w:tr>
      <w:tr>
        <w:trPr>
          <w:trHeight w:val="34"/>
        </w:trPr>
        <w:tc>
          <w:tcPr>
            <w:tcW w:w="5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513"/>
        </w:trPr>
        <w:tc>
          <w:tcPr>
            <w:tcW w:w="5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392"/>
              <w:spacing w:after="0"/>
              <w:rPr>
                <w:sz w:val="20"/>
                <w:szCs w:val="20"/>
                <w:color w:val="auto"/>
              </w:rPr>
            </w:pPr>
            <w:r>
              <w:rPr>
                <w:rFonts w:ascii="Arial" w:cs="Arial" w:eastAsia="Arial" w:hAnsi="Arial"/>
                <w:sz w:val="18"/>
                <w:szCs w:val="18"/>
                <w:color w:val="auto"/>
              </w:rPr>
              <w:t>57</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5"/>
          </w:tcPr>
          <w:p>
            <w:pPr>
              <w:jc w:val="center"/>
              <w:ind w:right="54"/>
              <w:spacing w:after="0"/>
              <w:rPr>
                <w:sz w:val="20"/>
                <w:szCs w:val="20"/>
                <w:color w:val="auto"/>
              </w:rPr>
            </w:pPr>
            <w:r>
              <w:rPr>
                <w:rFonts w:ascii="Arial" w:cs="Arial" w:eastAsia="Arial" w:hAnsi="Arial"/>
                <w:sz w:val="14"/>
                <w:szCs w:val="14"/>
                <w:color w:val="auto"/>
                <w:w w:val="91"/>
              </w:rPr>
              <w:t>Three Months Ended September 30, 2018</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56"/>
        </w:trPr>
        <w:tc>
          <w:tcPr>
            <w:tcW w:w="5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14"/>
              <w:spacing w:after="0" w:line="157" w:lineRule="exact"/>
              <w:rPr>
                <w:sz w:val="20"/>
                <w:szCs w:val="20"/>
                <w:color w:val="auto"/>
              </w:rPr>
            </w:pPr>
            <w:r>
              <w:rPr>
                <w:rFonts w:ascii="Arial" w:cs="Arial" w:eastAsia="Arial" w:hAnsi="Arial"/>
                <w:sz w:val="14"/>
                <w:szCs w:val="14"/>
                <w:color w:val="auto"/>
                <w:w w:val="92"/>
              </w:rPr>
              <w:t>Depreciation and</w:t>
            </w:r>
          </w:p>
        </w:tc>
        <w:tc>
          <w:tcPr>
            <w:tcW w:w="240" w:type="dxa"/>
            <w:vAlign w:val="bottom"/>
          </w:tcPr>
          <w:p>
            <w:pPr>
              <w:spacing w:after="0"/>
              <w:rPr>
                <w:sz w:val="13"/>
                <w:szCs w:val="13"/>
                <w:color w:val="auto"/>
              </w:rPr>
            </w:pPr>
          </w:p>
        </w:tc>
        <w:tc>
          <w:tcPr>
            <w:tcW w:w="1020" w:type="dxa"/>
            <w:vAlign w:val="bottom"/>
          </w:tcPr>
          <w:p>
            <w:pPr>
              <w:jc w:val="center"/>
              <w:ind w:right="94"/>
              <w:spacing w:after="0" w:line="157" w:lineRule="exact"/>
              <w:rPr>
                <w:sz w:val="20"/>
                <w:szCs w:val="20"/>
                <w:color w:val="auto"/>
              </w:rPr>
            </w:pPr>
            <w:r>
              <w:rPr>
                <w:rFonts w:ascii="Arial" w:cs="Arial" w:eastAsia="Arial" w:hAnsi="Arial"/>
                <w:sz w:val="14"/>
                <w:szCs w:val="14"/>
                <w:color w:val="auto"/>
                <w:w w:val="91"/>
              </w:rPr>
              <w:t>Capital</w:t>
            </w:r>
          </w:p>
        </w:tc>
        <w:tc>
          <w:tcPr>
            <w:tcW w:w="160" w:type="dxa"/>
            <w:vAlign w:val="bottom"/>
          </w:tcPr>
          <w:p>
            <w:pPr>
              <w:spacing w:after="0"/>
              <w:rPr>
                <w:sz w:val="13"/>
                <w:szCs w:val="13"/>
                <w:color w:val="auto"/>
              </w:rPr>
            </w:pPr>
          </w:p>
        </w:tc>
        <w:tc>
          <w:tcPr>
            <w:tcW w:w="1140" w:type="dxa"/>
            <w:vAlign w:val="bottom"/>
          </w:tcPr>
          <w:p>
            <w:pPr>
              <w:jc w:val="center"/>
              <w:ind w:right="34"/>
              <w:spacing w:after="0" w:line="157" w:lineRule="exact"/>
              <w:rPr>
                <w:sz w:val="20"/>
                <w:szCs w:val="20"/>
                <w:color w:val="auto"/>
              </w:rPr>
            </w:pPr>
            <w:r>
              <w:rPr>
                <w:rFonts w:ascii="Arial" w:cs="Arial" w:eastAsia="Arial" w:hAnsi="Arial"/>
                <w:sz w:val="14"/>
                <w:szCs w:val="14"/>
                <w:color w:val="auto"/>
                <w:w w:val="91"/>
              </w:rPr>
              <w:t>Cash Paid for</w:t>
            </w:r>
          </w:p>
        </w:tc>
      </w:tr>
      <w:tr>
        <w:trPr>
          <w:trHeight w:val="18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Revenue</w:t>
            </w: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(c)</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7"/>
              </w:rPr>
              <w:t>Amortization</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1"/>
              </w:rPr>
              <w:t>Intangible Assets</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Cable Networks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2,850</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959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Broadcast Television</w:t>
            </w:r>
          </w:p>
        </w:tc>
        <w:tc>
          <w:tcPr>
            <w:tcW w:w="24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2,452</w:t>
            </w:r>
          </w:p>
        </w:tc>
        <w:tc>
          <w:tcPr>
            <w:tcW w:w="2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Filmed Entertainment</w:t>
            </w:r>
          </w:p>
        </w:tc>
        <w:tc>
          <w:tcPr>
            <w:tcW w:w="24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1,819</w:t>
            </w:r>
          </w:p>
        </w:tc>
        <w:tc>
          <w:tcPr>
            <w:tcW w:w="2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214</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Theme Parks</w:t>
            </w:r>
          </w:p>
        </w:tc>
        <w:tc>
          <w:tcPr>
            <w:tcW w:w="24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1,528</w:t>
            </w:r>
          </w:p>
        </w:tc>
        <w:tc>
          <w:tcPr>
            <w:tcW w:w="2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725</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23</w:t>
            </w:r>
          </w:p>
        </w:tc>
      </w:tr>
      <w:tr>
        <w:trPr>
          <w:trHeight w:val="310"/>
        </w:trPr>
        <w:tc>
          <w:tcPr>
            <w:tcW w:w="5040" w:type="dxa"/>
            <w:vAlign w:val="bottom"/>
          </w:tcPr>
          <w:p>
            <w:pPr>
              <w:ind w:left="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4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43</w:t>
            </w:r>
          </w:p>
        </w:tc>
      </w:tr>
      <w:tr>
        <w:trPr>
          <w:trHeight w:val="257"/>
        </w:trPr>
        <w:tc>
          <w:tcPr>
            <w:tcW w:w="504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8,625</w:t>
            </w:r>
          </w:p>
        </w:tc>
        <w:tc>
          <w:tcPr>
            <w:tcW w:w="22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2,066</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514</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405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b w:val="1"/>
                <w:bCs w:val="1"/>
                <w:color w:val="auto"/>
              </w:rPr>
              <w:t>78</w:t>
            </w:r>
          </w:p>
        </w:tc>
      </w:tr>
      <w:tr>
        <w:trPr>
          <w:trHeight w:val="34"/>
        </w:trPr>
        <w:tc>
          <w:tcPr>
            <w:tcW w:w="5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86"/>
        </w:trPr>
        <w:tc>
          <w:tcPr>
            <w:tcW w:w="5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5"/>
          </w:tcPr>
          <w:p>
            <w:pPr>
              <w:jc w:val="center"/>
              <w:ind w:right="54"/>
              <w:spacing w:after="0"/>
              <w:rPr>
                <w:sz w:val="20"/>
                <w:szCs w:val="20"/>
                <w:color w:val="auto"/>
              </w:rPr>
            </w:pPr>
            <w:r>
              <w:rPr>
                <w:rFonts w:ascii="Arial" w:cs="Arial" w:eastAsia="Arial" w:hAnsi="Arial"/>
                <w:sz w:val="14"/>
                <w:szCs w:val="14"/>
                <w:color w:val="auto"/>
                <w:w w:val="93"/>
              </w:rPr>
              <w:t>Nine Months Ended September 30, 2019</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6"/>
        </w:trPr>
        <w:tc>
          <w:tcPr>
            <w:tcW w:w="5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center"/>
              <w:ind w:right="114"/>
              <w:spacing w:after="0" w:line="157" w:lineRule="exact"/>
              <w:rPr>
                <w:sz w:val="20"/>
                <w:szCs w:val="20"/>
                <w:color w:val="auto"/>
              </w:rPr>
            </w:pPr>
            <w:r>
              <w:rPr>
                <w:rFonts w:ascii="Arial" w:cs="Arial" w:eastAsia="Arial" w:hAnsi="Arial"/>
                <w:sz w:val="14"/>
                <w:szCs w:val="14"/>
                <w:color w:val="auto"/>
                <w:w w:val="95"/>
              </w:rPr>
              <w:t>Adjusted</w:t>
            </w:r>
          </w:p>
        </w:tc>
        <w:tc>
          <w:tcPr>
            <w:tcW w:w="160" w:type="dxa"/>
            <w:vAlign w:val="bottom"/>
          </w:tcPr>
          <w:p>
            <w:pPr>
              <w:spacing w:after="0"/>
              <w:rPr>
                <w:sz w:val="13"/>
                <w:szCs w:val="13"/>
                <w:color w:val="auto"/>
              </w:rPr>
            </w:pPr>
          </w:p>
        </w:tc>
        <w:tc>
          <w:tcPr>
            <w:tcW w:w="1160" w:type="dxa"/>
            <w:vAlign w:val="bottom"/>
          </w:tcPr>
          <w:p>
            <w:pPr>
              <w:jc w:val="center"/>
              <w:ind w:right="14"/>
              <w:spacing w:after="0" w:line="157" w:lineRule="exact"/>
              <w:rPr>
                <w:sz w:val="20"/>
                <w:szCs w:val="20"/>
                <w:color w:val="auto"/>
              </w:rPr>
            </w:pPr>
            <w:r>
              <w:rPr>
                <w:rFonts w:ascii="Arial" w:cs="Arial" w:eastAsia="Arial" w:hAnsi="Arial"/>
                <w:sz w:val="14"/>
                <w:szCs w:val="14"/>
                <w:color w:val="auto"/>
                <w:w w:val="92"/>
              </w:rPr>
              <w:t>Depreciation and</w:t>
            </w:r>
          </w:p>
        </w:tc>
        <w:tc>
          <w:tcPr>
            <w:tcW w:w="240" w:type="dxa"/>
            <w:vAlign w:val="bottom"/>
          </w:tcPr>
          <w:p>
            <w:pPr>
              <w:spacing w:after="0"/>
              <w:rPr>
                <w:sz w:val="13"/>
                <w:szCs w:val="13"/>
                <w:color w:val="auto"/>
              </w:rPr>
            </w:pPr>
          </w:p>
        </w:tc>
        <w:tc>
          <w:tcPr>
            <w:tcW w:w="1020" w:type="dxa"/>
            <w:vAlign w:val="bottom"/>
          </w:tcPr>
          <w:p>
            <w:pPr>
              <w:jc w:val="center"/>
              <w:ind w:right="74"/>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40" w:type="dxa"/>
            <w:vAlign w:val="bottom"/>
          </w:tcPr>
          <w:p>
            <w:pPr>
              <w:jc w:val="center"/>
              <w:ind w:right="34"/>
              <w:spacing w:after="0" w:line="157" w:lineRule="exact"/>
              <w:rPr>
                <w:sz w:val="20"/>
                <w:szCs w:val="20"/>
                <w:color w:val="auto"/>
              </w:rPr>
            </w:pPr>
            <w:r>
              <w:rPr>
                <w:rFonts w:ascii="Arial" w:cs="Arial" w:eastAsia="Arial" w:hAnsi="Arial"/>
                <w:sz w:val="14"/>
                <w:szCs w:val="14"/>
                <w:color w:val="auto"/>
                <w:w w:val="91"/>
              </w:rPr>
              <w:t>Cash Paid for</w:t>
            </w:r>
          </w:p>
        </w:tc>
      </w:tr>
      <w:tr>
        <w:trPr>
          <w:trHeight w:val="18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Revenue</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color w:val="auto"/>
              </w:rPr>
              <w:t>EBITDA</w:t>
            </w:r>
            <w:r>
              <w:rPr>
                <w:rFonts w:ascii="Arial" w:cs="Arial" w:eastAsia="Arial" w:hAnsi="Arial"/>
                <w:sz w:val="12"/>
                <w:szCs w:val="12"/>
                <w:color w:val="auto"/>
              </w:rPr>
              <w:t>(c)</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7"/>
              </w:rPr>
              <w:t>Amortization</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1"/>
              </w:rPr>
              <w:t>Intangible Assets</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Cable Networks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8,586</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3,418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10</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Broadcast Television</w:t>
            </w:r>
          </w:p>
        </w:tc>
        <w:tc>
          <w:tcPr>
            <w:tcW w:w="24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7,099</w:t>
            </w:r>
          </w:p>
        </w:tc>
        <w:tc>
          <w:tcPr>
            <w:tcW w:w="2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1,259</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Filmed Entertainment</w:t>
            </w:r>
          </w:p>
        </w:tc>
        <w:tc>
          <w:tcPr>
            <w:tcW w:w="24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4,931</w:t>
            </w:r>
          </w:p>
        </w:tc>
        <w:tc>
          <w:tcPr>
            <w:tcW w:w="2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742</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16</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Theme Parks</w:t>
            </w:r>
          </w:p>
        </w:tc>
        <w:tc>
          <w:tcPr>
            <w:tcW w:w="24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4,371</w:t>
            </w:r>
          </w:p>
        </w:tc>
        <w:tc>
          <w:tcPr>
            <w:tcW w:w="2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1,819</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514</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1,172</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44</w:t>
            </w:r>
          </w:p>
        </w:tc>
      </w:tr>
      <w:tr>
        <w:trPr>
          <w:trHeight w:val="310"/>
        </w:trPr>
        <w:tc>
          <w:tcPr>
            <w:tcW w:w="5040" w:type="dxa"/>
            <w:vAlign w:val="bottom"/>
          </w:tcPr>
          <w:p>
            <w:pPr>
              <w:ind w:left="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4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(492)</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341</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120</w:t>
            </w:r>
          </w:p>
        </w:tc>
      </w:tr>
      <w:tr>
        <w:trPr>
          <w:trHeight w:val="257"/>
        </w:trPr>
        <w:tc>
          <w:tcPr>
            <w:tcW w:w="504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24,866</w:t>
            </w:r>
          </w:p>
        </w:tc>
        <w:tc>
          <w:tcPr>
            <w:tcW w:w="22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6,747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1,579</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1,431</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b w:val="1"/>
                <w:bCs w:val="1"/>
                <w:color w:val="auto"/>
              </w:rPr>
              <w:t>199</w:t>
            </w:r>
          </w:p>
        </w:tc>
      </w:tr>
      <w:tr>
        <w:trPr>
          <w:trHeight w:val="34"/>
        </w:trPr>
        <w:tc>
          <w:tcPr>
            <w:tcW w:w="5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602"/>
        </w:trPr>
        <w:tc>
          <w:tcPr>
            <w:tcW w:w="5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5"/>
          </w:tcPr>
          <w:p>
            <w:pPr>
              <w:jc w:val="center"/>
              <w:ind w:right="54"/>
              <w:spacing w:after="0"/>
              <w:rPr>
                <w:sz w:val="20"/>
                <w:szCs w:val="20"/>
                <w:color w:val="auto"/>
              </w:rPr>
            </w:pPr>
            <w:r>
              <w:rPr>
                <w:rFonts w:ascii="Arial" w:cs="Arial" w:eastAsia="Arial" w:hAnsi="Arial"/>
                <w:sz w:val="14"/>
                <w:szCs w:val="14"/>
                <w:color w:val="auto"/>
                <w:w w:val="93"/>
              </w:rPr>
              <w:t>Nine Months Ended September 30, 2018</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6"/>
        </w:trPr>
        <w:tc>
          <w:tcPr>
            <w:tcW w:w="5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center"/>
              <w:ind w:right="114"/>
              <w:spacing w:after="0" w:line="157" w:lineRule="exact"/>
              <w:rPr>
                <w:sz w:val="20"/>
                <w:szCs w:val="20"/>
                <w:color w:val="auto"/>
              </w:rPr>
            </w:pPr>
            <w:r>
              <w:rPr>
                <w:rFonts w:ascii="Arial" w:cs="Arial" w:eastAsia="Arial" w:hAnsi="Arial"/>
                <w:sz w:val="14"/>
                <w:szCs w:val="14"/>
                <w:color w:val="auto"/>
                <w:w w:val="95"/>
              </w:rPr>
              <w:t>Adjusted</w:t>
            </w:r>
          </w:p>
        </w:tc>
        <w:tc>
          <w:tcPr>
            <w:tcW w:w="160" w:type="dxa"/>
            <w:vAlign w:val="bottom"/>
          </w:tcPr>
          <w:p>
            <w:pPr>
              <w:spacing w:after="0"/>
              <w:rPr>
                <w:sz w:val="13"/>
                <w:szCs w:val="13"/>
                <w:color w:val="auto"/>
              </w:rPr>
            </w:pPr>
          </w:p>
        </w:tc>
        <w:tc>
          <w:tcPr>
            <w:tcW w:w="1160" w:type="dxa"/>
            <w:vAlign w:val="bottom"/>
          </w:tcPr>
          <w:p>
            <w:pPr>
              <w:jc w:val="center"/>
              <w:ind w:right="14"/>
              <w:spacing w:after="0" w:line="157" w:lineRule="exact"/>
              <w:rPr>
                <w:sz w:val="20"/>
                <w:szCs w:val="20"/>
                <w:color w:val="auto"/>
              </w:rPr>
            </w:pPr>
            <w:r>
              <w:rPr>
                <w:rFonts w:ascii="Arial" w:cs="Arial" w:eastAsia="Arial" w:hAnsi="Arial"/>
                <w:sz w:val="14"/>
                <w:szCs w:val="14"/>
                <w:color w:val="auto"/>
                <w:w w:val="92"/>
              </w:rPr>
              <w:t>Depreciation and</w:t>
            </w:r>
          </w:p>
        </w:tc>
        <w:tc>
          <w:tcPr>
            <w:tcW w:w="240" w:type="dxa"/>
            <w:vAlign w:val="bottom"/>
          </w:tcPr>
          <w:p>
            <w:pPr>
              <w:spacing w:after="0"/>
              <w:rPr>
                <w:sz w:val="13"/>
                <w:szCs w:val="13"/>
                <w:color w:val="auto"/>
              </w:rPr>
            </w:pPr>
          </w:p>
        </w:tc>
        <w:tc>
          <w:tcPr>
            <w:tcW w:w="1020" w:type="dxa"/>
            <w:vAlign w:val="bottom"/>
          </w:tcPr>
          <w:p>
            <w:pPr>
              <w:jc w:val="center"/>
              <w:ind w:right="74"/>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40" w:type="dxa"/>
            <w:vAlign w:val="bottom"/>
          </w:tcPr>
          <w:p>
            <w:pPr>
              <w:jc w:val="center"/>
              <w:ind w:right="34"/>
              <w:spacing w:after="0" w:line="157" w:lineRule="exact"/>
              <w:rPr>
                <w:sz w:val="20"/>
                <w:szCs w:val="20"/>
                <w:color w:val="auto"/>
              </w:rPr>
            </w:pPr>
            <w:r>
              <w:rPr>
                <w:rFonts w:ascii="Arial" w:cs="Arial" w:eastAsia="Arial" w:hAnsi="Arial"/>
                <w:sz w:val="14"/>
                <w:szCs w:val="14"/>
                <w:color w:val="auto"/>
                <w:w w:val="91"/>
              </w:rPr>
              <w:t>Cash Paid for</w:t>
            </w:r>
          </w:p>
        </w:tc>
      </w:tr>
      <w:tr>
        <w:trPr>
          <w:trHeight w:val="18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Revenue</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color w:val="auto"/>
              </w:rPr>
              <w:t>EBITDA</w:t>
            </w:r>
            <w:r>
              <w:rPr>
                <w:rFonts w:ascii="Arial" w:cs="Arial" w:eastAsia="Arial" w:hAnsi="Arial"/>
                <w:sz w:val="12"/>
                <w:szCs w:val="12"/>
                <w:color w:val="auto"/>
              </w:rPr>
              <w:t>(c)</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7"/>
              </w:rPr>
              <w:t>Amortization</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1"/>
              </w:rPr>
              <w:t>Intangible Assets</w:t>
            </w:r>
          </w:p>
        </w:tc>
      </w:tr>
      <w:tr>
        <w:trPr>
          <w:trHeight w:val="282"/>
        </w:trPr>
        <w:tc>
          <w:tcPr>
            <w:tcW w:w="5040" w:type="dxa"/>
            <w:vAlign w:val="bottom"/>
          </w:tcPr>
          <w:p>
            <w:pPr>
              <w:ind w:left="40"/>
              <w:spacing w:after="0" w:line="282" w:lineRule="exact"/>
              <w:rPr>
                <w:sz w:val="20"/>
                <w:szCs w:val="20"/>
                <w:color w:val="auto"/>
              </w:rPr>
            </w:pPr>
            <w:r>
              <w:rPr>
                <w:rFonts w:ascii="Arial" w:cs="Arial" w:eastAsia="Arial" w:hAnsi="Arial"/>
                <w:sz w:val="18"/>
                <w:szCs w:val="18"/>
                <w:color w:val="auto"/>
              </w:rPr>
              <w:t>Cable Networks</w:t>
            </w:r>
            <w:r>
              <w:rPr>
                <w:rFonts w:ascii="Arial" w:cs="Arial" w:eastAsia="Arial" w:hAnsi="Arial"/>
                <w:sz w:val="25"/>
                <w:szCs w:val="25"/>
                <w:color w:val="auto"/>
                <w:vertAlign w:val="superscript"/>
              </w:rPr>
              <w:t>(d)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8,881</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3,389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15</w:t>
            </w:r>
          </w:p>
        </w:tc>
      </w:tr>
      <w:tr>
        <w:trPr>
          <w:trHeight w:val="270"/>
        </w:trPr>
        <w:tc>
          <w:tcPr>
            <w:tcW w:w="5040" w:type="dxa"/>
            <w:vAlign w:val="bottom"/>
          </w:tcPr>
          <w:p>
            <w:pPr>
              <w:ind w:left="40"/>
              <w:spacing w:after="0" w:line="270" w:lineRule="exact"/>
              <w:rPr>
                <w:sz w:val="20"/>
                <w:szCs w:val="20"/>
                <w:color w:val="auto"/>
              </w:rPr>
            </w:pPr>
            <w:r>
              <w:rPr>
                <w:rFonts w:ascii="Arial" w:cs="Arial" w:eastAsia="Arial" w:hAnsi="Arial"/>
                <w:sz w:val="18"/>
                <w:szCs w:val="18"/>
                <w:color w:val="auto"/>
              </w:rPr>
              <w:t>Broadcast Television</w:t>
            </w:r>
            <w:r>
              <w:rPr>
                <w:rFonts w:ascii="Arial" w:cs="Arial" w:eastAsia="Arial" w:hAnsi="Arial"/>
                <w:sz w:val="25"/>
                <w:szCs w:val="25"/>
                <w:color w:val="auto"/>
                <w:vertAlign w:val="superscript"/>
              </w:rPr>
              <w:t>(d)</w:t>
            </w:r>
          </w:p>
        </w:tc>
        <w:tc>
          <w:tcPr>
            <w:tcW w:w="24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8,340</w:t>
            </w:r>
          </w:p>
        </w:tc>
        <w:tc>
          <w:tcPr>
            <w:tcW w:w="2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1,245</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75</w:t>
            </w:r>
          </w:p>
        </w:tc>
      </w:tr>
      <w:tr>
        <w:trPr>
          <w:trHeight w:val="230"/>
        </w:trPr>
        <w:tc>
          <w:tcPr>
            <w:tcW w:w="5040" w:type="dxa"/>
            <w:vAlign w:val="bottom"/>
          </w:tcPr>
          <w:p>
            <w:pPr>
              <w:ind w:left="40"/>
              <w:spacing w:after="0"/>
              <w:rPr>
                <w:sz w:val="20"/>
                <w:szCs w:val="20"/>
                <w:color w:val="auto"/>
              </w:rPr>
            </w:pPr>
            <w:r>
              <w:rPr>
                <w:rFonts w:ascii="Arial" w:cs="Arial" w:eastAsia="Arial" w:hAnsi="Arial"/>
                <w:sz w:val="18"/>
                <w:szCs w:val="18"/>
                <w:color w:val="auto"/>
              </w:rPr>
              <w:t>Filmed Entertainment</w:t>
            </w:r>
          </w:p>
        </w:tc>
        <w:tc>
          <w:tcPr>
            <w:tcW w:w="24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5,176</w:t>
            </w:r>
          </w:p>
        </w:tc>
        <w:tc>
          <w:tcPr>
            <w:tcW w:w="2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555</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20</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Theme Parks</w:t>
            </w:r>
          </w:p>
        </w:tc>
        <w:tc>
          <w:tcPr>
            <w:tcW w:w="24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4,170</w:t>
            </w:r>
          </w:p>
        </w:tc>
        <w:tc>
          <w:tcPr>
            <w:tcW w:w="2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1,789</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492</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811</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158</w:t>
            </w:r>
          </w:p>
        </w:tc>
      </w:tr>
      <w:tr>
        <w:trPr>
          <w:trHeight w:val="310"/>
        </w:trPr>
        <w:tc>
          <w:tcPr>
            <w:tcW w:w="5040" w:type="dxa"/>
            <w:vAlign w:val="bottom"/>
          </w:tcPr>
          <w:p>
            <w:pPr>
              <w:ind w:left="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4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(464)</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314</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106</w:t>
            </w:r>
          </w:p>
        </w:tc>
      </w:tr>
      <w:tr>
        <w:trPr>
          <w:trHeight w:val="257"/>
        </w:trPr>
        <w:tc>
          <w:tcPr>
            <w:tcW w:w="504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(b)(d)</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26,468</w:t>
            </w:r>
          </w:p>
        </w:tc>
        <w:tc>
          <w:tcPr>
            <w:tcW w:w="22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6,511</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1,577</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1,135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b w:val="1"/>
                <w:bCs w:val="1"/>
                <w:color w:val="auto"/>
              </w:rPr>
              <w:t>374</w:t>
            </w:r>
          </w:p>
        </w:tc>
      </w:tr>
      <w:tr>
        <w:trPr>
          <w:trHeight w:val="34"/>
        </w:trPr>
        <w:tc>
          <w:tcPr>
            <w:tcW w:w="5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Headquarters and Other activities include costs associated with overhead, allocations, personnel costs and headquarter initiatives.</w:t>
      </w:r>
    </w:p>
    <w:p>
      <w:pPr>
        <w:spacing w:after="0" w:line="68" w:lineRule="exact"/>
        <w:rPr>
          <w:rFonts w:ascii="Arial" w:cs="Arial" w:eastAsia="Arial" w:hAnsi="Arial"/>
          <w:sz w:val="14"/>
          <w:szCs w:val="14"/>
          <w:color w:val="auto"/>
        </w:rPr>
      </w:pPr>
    </w:p>
    <w:p>
      <w:pPr>
        <w:jc w:val="both"/>
        <w:ind w:left="340" w:hanging="332"/>
        <w:spacing w:after="0" w:line="257"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which consisted primarily of the licensing of film and television content from our Filmed Entertainment and Broadcast Television segments to our Cable Networks segment; for segment reporting, this revenue is recognized as the programming rights asset for the licensed content is amortized based on third party revenue.</w:t>
      </w:r>
    </w:p>
    <w:p>
      <w:pPr>
        <w:spacing w:after="0" w:line="36" w:lineRule="exact"/>
        <w:rPr>
          <w:rFonts w:ascii="Arial" w:cs="Arial" w:eastAsia="Arial" w:hAnsi="Arial"/>
          <w:sz w:val="14"/>
          <w:szCs w:val="14"/>
          <w:color w:val="auto"/>
        </w:rPr>
      </w:pPr>
    </w:p>
    <w:p>
      <w:pPr>
        <w:jc w:val="both"/>
        <w:ind w:left="340" w:hanging="332"/>
        <w:spacing w:after="0" w:line="273" w:lineRule="auto"/>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We use Adjusted EBITDA as the measure of profit or loss for our operating segments. Adjusted EBITDA is defined as net income attributable to NBCUniversal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Our reconciliation of the aggregate amount of Adjusted EBITDA for our reportable segments to consolidated income before income taxes is presented in the table below.</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40" w:type="dxa"/>
            <w:vAlign w:val="bottom"/>
            <w:gridSpan w:val="2"/>
          </w:tcPr>
          <w:p>
            <w:pPr>
              <w:jc w:val="right"/>
              <w:ind w:right="248"/>
              <w:spacing w:after="0"/>
              <w:rPr>
                <w:sz w:val="20"/>
                <w:szCs w:val="20"/>
                <w:color w:val="auto"/>
              </w:rPr>
            </w:pPr>
            <w:r>
              <w:rPr>
                <w:rFonts w:ascii="Arial" w:cs="Arial" w:eastAsia="Arial" w:hAnsi="Arial"/>
                <w:sz w:val="14"/>
                <w:szCs w:val="14"/>
                <w:color w:val="auto"/>
                <w:w w:val="91"/>
              </w:rPr>
              <w:t>Three Months Ended</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gridSpan w:val="2"/>
          </w:tcPr>
          <w:p>
            <w:pPr>
              <w:jc w:val="right"/>
              <w:ind w:right="228"/>
              <w:spacing w:after="0"/>
              <w:rPr>
                <w:sz w:val="20"/>
                <w:szCs w:val="20"/>
                <w:color w:val="auto"/>
              </w:rPr>
            </w:pPr>
            <w:r>
              <w:rPr>
                <w:rFonts w:ascii="Arial" w:cs="Arial" w:eastAsia="Arial" w:hAnsi="Arial"/>
                <w:sz w:val="14"/>
                <w:szCs w:val="14"/>
                <w:color w:val="auto"/>
                <w:w w:val="94"/>
              </w:rPr>
              <w:t>Nine Months Ended</w:t>
            </w:r>
          </w:p>
        </w:tc>
        <w:tc>
          <w:tcPr>
            <w:tcW w:w="460" w:type="dxa"/>
            <w:vAlign w:val="bottom"/>
          </w:tcPr>
          <w:p>
            <w:pPr>
              <w:spacing w:after="0"/>
              <w:rPr>
                <w:sz w:val="14"/>
                <w:szCs w:val="14"/>
                <w:color w:val="auto"/>
              </w:rPr>
            </w:pPr>
          </w:p>
        </w:tc>
      </w:tr>
      <w:tr>
        <w:trPr>
          <w:trHeight w:val="188"/>
        </w:trPr>
        <w:tc>
          <w:tcPr>
            <w:tcW w:w="49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4"/>
                <w:szCs w:val="14"/>
                <w:color w:val="auto"/>
              </w:rPr>
              <w:t>September 30</w:t>
            </w: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color w:val="auto"/>
              </w:rPr>
              <w:t>September 30</w:t>
            </w:r>
          </w:p>
        </w:tc>
        <w:tc>
          <w:tcPr>
            <w:tcW w:w="460" w:type="dxa"/>
            <w:vAlign w:val="bottom"/>
            <w:tcBorders>
              <w:bottom w:val="single" w:sz="8" w:color="auto"/>
            </w:tcBorders>
          </w:tcPr>
          <w:p>
            <w:pPr>
              <w:spacing w:after="0"/>
              <w:rPr>
                <w:sz w:val="16"/>
                <w:szCs w:val="16"/>
                <w:color w:val="auto"/>
              </w:rPr>
            </w:pPr>
          </w:p>
        </w:tc>
      </w:tr>
      <w:tr>
        <w:trPr>
          <w:trHeight w:val="264"/>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460" w:type="dxa"/>
            <w:vAlign w:val="bottom"/>
            <w:tcBorders>
              <w:bottom w:val="single" w:sz="8" w:color="auto"/>
            </w:tcBorders>
          </w:tcPr>
          <w:p>
            <w:pPr>
              <w:spacing w:after="0"/>
              <w:rPr>
                <w:sz w:val="22"/>
                <w:szCs w:val="22"/>
                <w:color w:val="auto"/>
              </w:rPr>
            </w:pPr>
          </w:p>
        </w:tc>
      </w:tr>
      <w:tr>
        <w:trPr>
          <w:trHeight w:val="258"/>
        </w:trPr>
        <w:tc>
          <w:tcPr>
            <w:tcW w:w="490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2,089</w:t>
            </w:r>
          </w:p>
        </w:tc>
        <w:tc>
          <w:tcPr>
            <w:tcW w:w="96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w w:val="96"/>
              </w:rPr>
              <w:t>2,066</w:t>
            </w:r>
          </w:p>
        </w:tc>
        <w:tc>
          <w:tcPr>
            <w:tcW w:w="90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6,747</w:t>
            </w:r>
          </w:p>
        </w:tc>
        <w:tc>
          <w:tcPr>
            <w:tcW w:w="92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w w:val="96"/>
              </w:rPr>
              <w:t>6,511</w:t>
            </w:r>
          </w:p>
        </w:tc>
      </w:tr>
      <w:tr>
        <w:trPr>
          <w:trHeight w:val="270"/>
        </w:trPr>
        <w:tc>
          <w:tcPr>
            <w:tcW w:w="490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800" w:type="dxa"/>
            <w:vAlign w:val="bottom"/>
          </w:tcPr>
          <w:p>
            <w:pPr>
              <w:spacing w:after="0"/>
              <w:rPr>
                <w:sz w:val="23"/>
                <w:szCs w:val="23"/>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(259)</w:t>
            </w:r>
          </w:p>
        </w:tc>
        <w:tc>
          <w:tcPr>
            <w:tcW w:w="960" w:type="dxa"/>
            <w:vAlign w:val="bottom"/>
          </w:tcPr>
          <w:p>
            <w:pPr>
              <w:spacing w:after="0"/>
              <w:rPr>
                <w:sz w:val="23"/>
                <w:szCs w:val="23"/>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(250)</w:t>
            </w:r>
          </w:p>
        </w:tc>
        <w:tc>
          <w:tcPr>
            <w:tcW w:w="900" w:type="dxa"/>
            <w:vAlign w:val="bottom"/>
          </w:tcPr>
          <w:p>
            <w:pPr>
              <w:spacing w:after="0"/>
              <w:rPr>
                <w:sz w:val="23"/>
                <w:szCs w:val="23"/>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(755)</w:t>
            </w:r>
          </w:p>
        </w:tc>
        <w:tc>
          <w:tcPr>
            <w:tcW w:w="9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(750)</w:t>
            </w:r>
          </w:p>
        </w:tc>
      </w:tr>
      <w:tr>
        <w:trPr>
          <w:trHeight w:val="270"/>
        </w:trPr>
        <w:tc>
          <w:tcPr>
            <w:tcW w:w="490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800" w:type="dxa"/>
            <w:vAlign w:val="bottom"/>
          </w:tcPr>
          <w:p>
            <w:pPr>
              <w:spacing w:after="0"/>
              <w:rPr>
                <w:sz w:val="23"/>
                <w:szCs w:val="23"/>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(278)</w:t>
            </w:r>
          </w:p>
        </w:tc>
        <w:tc>
          <w:tcPr>
            <w:tcW w:w="960" w:type="dxa"/>
            <w:vAlign w:val="bottom"/>
          </w:tcPr>
          <w:p>
            <w:pPr>
              <w:spacing w:after="0"/>
              <w:rPr>
                <w:sz w:val="23"/>
                <w:szCs w:val="23"/>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(264)</w:t>
            </w:r>
          </w:p>
        </w:tc>
        <w:tc>
          <w:tcPr>
            <w:tcW w:w="900" w:type="dxa"/>
            <w:vAlign w:val="bottom"/>
          </w:tcPr>
          <w:p>
            <w:pPr>
              <w:spacing w:after="0"/>
              <w:rPr>
                <w:sz w:val="23"/>
                <w:szCs w:val="23"/>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(824)</w:t>
            </w:r>
          </w:p>
        </w:tc>
        <w:tc>
          <w:tcPr>
            <w:tcW w:w="9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(827)</w:t>
            </w:r>
          </w:p>
        </w:tc>
      </w:tr>
      <w:tr>
        <w:trPr>
          <w:trHeight w:val="270"/>
        </w:trPr>
        <w:tc>
          <w:tcPr>
            <w:tcW w:w="4900" w:type="dxa"/>
            <w:vAlign w:val="bottom"/>
          </w:tcPr>
          <w:p>
            <w:pPr>
              <w:ind w:left="20"/>
              <w:spacing w:after="0"/>
              <w:rPr>
                <w:sz w:val="20"/>
                <w:szCs w:val="20"/>
                <w:color w:val="auto"/>
              </w:rPr>
            </w:pPr>
            <w:r>
              <w:rPr>
                <w:rFonts w:ascii="Arial" w:cs="Arial" w:eastAsia="Arial" w:hAnsi="Arial"/>
                <w:sz w:val="14"/>
                <w:szCs w:val="14"/>
                <w:color w:val="auto"/>
              </w:rPr>
              <w:t>Other operating gains</w:t>
            </w:r>
          </w:p>
        </w:tc>
        <w:tc>
          <w:tcPr>
            <w:tcW w:w="800" w:type="dxa"/>
            <w:vAlign w:val="bottom"/>
          </w:tcPr>
          <w:p>
            <w:pPr>
              <w:spacing w:after="0"/>
              <w:rPr>
                <w:sz w:val="23"/>
                <w:szCs w:val="23"/>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23"/>
                <w:szCs w:val="23"/>
                <w:color w:val="auto"/>
              </w:rPr>
            </w:pP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141</w:t>
            </w:r>
          </w:p>
        </w:tc>
        <w:tc>
          <w:tcPr>
            <w:tcW w:w="900" w:type="dxa"/>
            <w:vAlign w:val="bottom"/>
          </w:tcPr>
          <w:p>
            <w:pPr>
              <w:spacing w:after="0"/>
              <w:rPr>
                <w:sz w:val="23"/>
                <w:szCs w:val="23"/>
                <w:color w:val="auto"/>
              </w:rPr>
            </w:pP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23"/>
                <w:szCs w:val="23"/>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141</w:t>
            </w:r>
          </w:p>
        </w:tc>
      </w:tr>
      <w:tr>
        <w:trPr>
          <w:trHeight w:val="270"/>
        </w:trPr>
        <w:tc>
          <w:tcPr>
            <w:tcW w:w="49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800" w:type="dxa"/>
            <w:vAlign w:val="bottom"/>
          </w:tcPr>
          <w:p>
            <w:pPr>
              <w:spacing w:after="0"/>
              <w:rPr>
                <w:sz w:val="23"/>
                <w:szCs w:val="23"/>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(348)</w:t>
            </w:r>
          </w:p>
        </w:tc>
        <w:tc>
          <w:tcPr>
            <w:tcW w:w="960" w:type="dxa"/>
            <w:vAlign w:val="bottom"/>
          </w:tcPr>
          <w:p>
            <w:pPr>
              <w:spacing w:after="0"/>
              <w:rPr>
                <w:sz w:val="23"/>
                <w:szCs w:val="23"/>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(134)</w:t>
            </w:r>
          </w:p>
        </w:tc>
        <w:tc>
          <w:tcPr>
            <w:tcW w:w="900" w:type="dxa"/>
            <w:vAlign w:val="bottom"/>
          </w:tcPr>
          <w:p>
            <w:pPr>
              <w:spacing w:after="0"/>
              <w:rPr>
                <w:sz w:val="23"/>
                <w:szCs w:val="23"/>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(601)</w:t>
            </w:r>
          </w:p>
        </w:tc>
        <w:tc>
          <w:tcPr>
            <w:tcW w:w="9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(394)</w:t>
            </w:r>
          </w:p>
        </w:tc>
      </w:tr>
      <w:tr>
        <w:trPr>
          <w:trHeight w:val="276"/>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Investment and other income (loss), net</w:t>
            </w:r>
          </w:p>
        </w:tc>
        <w:tc>
          <w:tcPr>
            <w:tcW w:w="8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169</w:t>
            </w:r>
          </w:p>
        </w:tc>
        <w:tc>
          <w:tcPr>
            <w:tcW w:w="9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(205)</w:t>
            </w:r>
          </w:p>
        </w:tc>
        <w:tc>
          <w:tcPr>
            <w:tcW w:w="9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449</w:t>
            </w:r>
          </w:p>
        </w:tc>
        <w:tc>
          <w:tcPr>
            <w:tcW w:w="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w:t>
            </w:r>
          </w:p>
        </w:tc>
      </w:tr>
      <w:tr>
        <w:trPr>
          <w:trHeight w:val="277"/>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before income taxes</w:t>
            </w:r>
          </w:p>
        </w:tc>
        <w:tc>
          <w:tcPr>
            <w:tcW w:w="8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1,373</w:t>
            </w:r>
          </w:p>
        </w:tc>
        <w:tc>
          <w:tcPr>
            <w:tcW w:w="9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96"/>
              </w:rPr>
              <w:t>1,354</w:t>
            </w:r>
          </w:p>
        </w:tc>
        <w:tc>
          <w:tcPr>
            <w:tcW w:w="9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5,016</w:t>
            </w:r>
          </w:p>
        </w:tc>
        <w:tc>
          <w:tcPr>
            <w:tcW w:w="9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4,304</w:t>
            </w:r>
          </w:p>
        </w:tc>
      </w:tr>
    </w:tbl>
    <w:p>
      <w:pPr>
        <w:spacing w:after="0" w:line="265" w:lineRule="exact"/>
        <w:rPr>
          <w:sz w:val="20"/>
          <w:szCs w:val="20"/>
          <w:color w:val="auto"/>
        </w:rPr>
      </w:pPr>
    </w:p>
    <w:p>
      <w:pPr>
        <w:jc w:val="both"/>
        <w:ind w:left="340" w:hanging="332"/>
        <w:spacing w:after="0" w:line="257"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revenue and operating costs and expenses associated with our broadcast of the 2018 PyeongChang Olympics were reported in our Cable Networks and Broadcast Television segments. The revenue and operating costs and expenses associated with our broadcast of the 2018 Super Bowl were reported in our Broadcast Television segment. Included in Eliminations are transactions relating to these events that our Broadcast Television and Cable Networks segments entered into with our other segments.</w:t>
      </w:r>
    </w:p>
    <w:p>
      <w:pPr>
        <w:sectPr>
          <w:pgSz w:w="11900" w:h="16838" w:orient="portrait"/>
          <w:cols w:equalWidth="0" w:num="1">
            <w:col w:w="11420"/>
          </w:cols>
          <w:pgMar w:left="240" w:top="121" w:right="239" w:bottom="1081" w:gutter="0" w:footer="0" w:header="0"/>
        </w:sect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21" w:right="239" w:bottom="1081"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Revenue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860" w:type="dxa"/>
            <w:vAlign w:val="bottom"/>
          </w:tcPr>
          <w:p>
            <w:pPr>
              <w:spacing w:after="0"/>
              <w:rPr>
                <w:sz w:val="14"/>
                <w:szCs w:val="14"/>
                <w:color w:val="auto"/>
              </w:rPr>
            </w:pPr>
          </w:p>
        </w:tc>
      </w:tr>
      <w:tr>
        <w:trPr>
          <w:trHeight w:val="188"/>
        </w:trPr>
        <w:tc>
          <w:tcPr>
            <w:tcW w:w="5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color w:val="auto"/>
              </w:rPr>
              <w:t>September 30</w:t>
            </w: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color w:val="auto"/>
              </w:rPr>
              <w:t>September 30</w:t>
            </w:r>
          </w:p>
        </w:tc>
        <w:tc>
          <w:tcPr>
            <w:tcW w:w="860" w:type="dxa"/>
            <w:vAlign w:val="bottom"/>
            <w:tcBorders>
              <w:bottom w:val="single" w:sz="8" w:color="auto"/>
            </w:tcBorders>
          </w:tcPr>
          <w:p>
            <w:pPr>
              <w:spacing w:after="0"/>
              <w:rPr>
                <w:sz w:val="16"/>
                <w:szCs w:val="16"/>
                <w:color w:val="auto"/>
              </w:rPr>
            </w:pPr>
          </w:p>
        </w:tc>
      </w:tr>
      <w:tr>
        <w:trPr>
          <w:trHeight w:val="264"/>
        </w:trPr>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color w:val="auto"/>
              </w:rPr>
              <w:t>2019</w:t>
            </w:r>
          </w:p>
        </w:tc>
        <w:tc>
          <w:tcPr>
            <w:tcW w:w="6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w w:val="89"/>
              </w:rPr>
              <w:t>2018</w:t>
            </w: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2019</w:t>
            </w:r>
          </w:p>
        </w:tc>
        <w:tc>
          <w:tcPr>
            <w:tcW w:w="6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color w:val="auto"/>
                <w:w w:val="96"/>
              </w:rPr>
              <w:t>2018</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1,681</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1,655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5,123</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5,166</w:t>
            </w:r>
          </w:p>
        </w:tc>
      </w:tr>
      <w:tr>
        <w:trPr>
          <w:trHeight w:val="270"/>
        </w:trPr>
        <w:tc>
          <w:tcPr>
            <w:tcW w:w="536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809</w:t>
            </w:r>
          </w:p>
        </w:tc>
        <w:tc>
          <w:tcPr>
            <w:tcW w:w="640" w:type="dxa"/>
            <w:vAlign w:val="bottom"/>
          </w:tcPr>
          <w:p>
            <w:pPr>
              <w:spacing w:after="0"/>
              <w:rPr>
                <w:sz w:val="23"/>
                <w:szCs w:val="23"/>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812</w:t>
            </w:r>
          </w:p>
        </w:tc>
        <w:tc>
          <w:tcPr>
            <w:tcW w:w="400" w:type="dxa"/>
            <w:vAlign w:val="bottom"/>
          </w:tcPr>
          <w:p>
            <w:pPr>
              <w:spacing w:after="0"/>
              <w:rPr>
                <w:sz w:val="23"/>
                <w:szCs w:val="23"/>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2,592</w:t>
            </w:r>
          </w:p>
        </w:tc>
        <w:tc>
          <w:tcPr>
            <w:tcW w:w="62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2,718</w:t>
            </w:r>
          </w:p>
        </w:tc>
      </w:tr>
      <w:tr>
        <w:trPr>
          <w:trHeight w:val="270"/>
        </w:trPr>
        <w:tc>
          <w:tcPr>
            <w:tcW w:w="5360" w:type="dxa"/>
            <w:vAlign w:val="bottom"/>
          </w:tcPr>
          <w:p>
            <w:pPr>
              <w:ind w:left="40"/>
              <w:spacing w:after="0"/>
              <w:rPr>
                <w:sz w:val="20"/>
                <w:szCs w:val="20"/>
                <w:color w:val="auto"/>
              </w:rPr>
            </w:pPr>
            <w:r>
              <w:rPr>
                <w:rFonts w:ascii="Arial" w:cs="Arial" w:eastAsia="Arial" w:hAnsi="Arial"/>
                <w:sz w:val="18"/>
                <w:szCs w:val="18"/>
                <w:color w:val="auto"/>
              </w:rPr>
              <w:t>Content licensing and other</w:t>
            </w:r>
          </w:p>
        </w:tc>
        <w:tc>
          <w:tcPr>
            <w:tcW w:w="340" w:type="dxa"/>
            <w:vAlign w:val="bottom"/>
          </w:tcPr>
          <w:p>
            <w:pPr>
              <w:spacing w:after="0"/>
              <w:rPr>
                <w:sz w:val="23"/>
                <w:szCs w:val="23"/>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281</w:t>
            </w:r>
          </w:p>
        </w:tc>
        <w:tc>
          <w:tcPr>
            <w:tcW w:w="640" w:type="dxa"/>
            <w:vAlign w:val="bottom"/>
          </w:tcPr>
          <w:p>
            <w:pPr>
              <w:spacing w:after="0"/>
              <w:rPr>
                <w:sz w:val="23"/>
                <w:szCs w:val="23"/>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383</w:t>
            </w:r>
          </w:p>
        </w:tc>
        <w:tc>
          <w:tcPr>
            <w:tcW w:w="400" w:type="dxa"/>
            <w:vAlign w:val="bottom"/>
          </w:tcPr>
          <w:p>
            <w:pPr>
              <w:spacing w:after="0"/>
              <w:rPr>
                <w:sz w:val="23"/>
                <w:szCs w:val="23"/>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871</w:t>
            </w:r>
          </w:p>
        </w:tc>
        <w:tc>
          <w:tcPr>
            <w:tcW w:w="62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997</w:t>
            </w:r>
          </w:p>
        </w:tc>
      </w:tr>
      <w:tr>
        <w:trPr>
          <w:trHeight w:val="27"/>
        </w:trPr>
        <w:tc>
          <w:tcPr>
            <w:tcW w:w="5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Total Cable Networks</w:t>
            </w:r>
          </w:p>
        </w:tc>
        <w:tc>
          <w:tcPr>
            <w:tcW w:w="340" w:type="dxa"/>
            <w:vAlign w:val="bottom"/>
          </w:tcPr>
          <w:p>
            <w:pPr>
              <w:spacing w:after="0"/>
              <w:rPr>
                <w:sz w:val="20"/>
                <w:szCs w:val="20"/>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2,771</w:t>
            </w:r>
          </w:p>
        </w:tc>
        <w:tc>
          <w:tcPr>
            <w:tcW w:w="640" w:type="dxa"/>
            <w:vAlign w:val="bottom"/>
          </w:tcPr>
          <w:p>
            <w:pPr>
              <w:spacing w:after="0"/>
              <w:rPr>
                <w:sz w:val="20"/>
                <w:szCs w:val="20"/>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2,850</w:t>
            </w:r>
          </w:p>
        </w:tc>
        <w:tc>
          <w:tcPr>
            <w:tcW w:w="400" w:type="dxa"/>
            <w:vAlign w:val="bottom"/>
          </w:tcPr>
          <w:p>
            <w:pPr>
              <w:spacing w:after="0"/>
              <w:rPr>
                <w:sz w:val="20"/>
                <w:szCs w:val="20"/>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8,586</w:t>
            </w:r>
          </w:p>
        </w:tc>
        <w:tc>
          <w:tcPr>
            <w:tcW w:w="62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8,881</w:t>
            </w:r>
          </w:p>
        </w:tc>
      </w:tr>
      <w:tr>
        <w:trPr>
          <w:trHeight w:val="432"/>
        </w:trPr>
        <w:tc>
          <w:tcPr>
            <w:tcW w:w="536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4"/>
                <w:szCs w:val="24"/>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1,191</w:t>
            </w:r>
          </w:p>
        </w:tc>
        <w:tc>
          <w:tcPr>
            <w:tcW w:w="640" w:type="dxa"/>
            <w:vAlign w:val="bottom"/>
          </w:tcPr>
          <w:p>
            <w:pPr>
              <w:spacing w:after="0"/>
              <w:rPr>
                <w:sz w:val="24"/>
                <w:szCs w:val="24"/>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1,355</w:t>
            </w:r>
          </w:p>
        </w:tc>
        <w:tc>
          <w:tcPr>
            <w:tcW w:w="400" w:type="dxa"/>
            <w:vAlign w:val="bottom"/>
          </w:tcPr>
          <w:p>
            <w:pPr>
              <w:spacing w:after="0"/>
              <w:rPr>
                <w:sz w:val="24"/>
                <w:szCs w:val="24"/>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3,837</w:t>
            </w:r>
          </w:p>
        </w:tc>
        <w:tc>
          <w:tcPr>
            <w:tcW w:w="620" w:type="dxa"/>
            <w:vAlign w:val="bottom"/>
          </w:tcPr>
          <w:p>
            <w:pPr>
              <w:spacing w:after="0"/>
              <w:rPr>
                <w:sz w:val="24"/>
                <w:szCs w:val="24"/>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5,107</w:t>
            </w:r>
          </w:p>
        </w:tc>
      </w:tr>
      <w:tr>
        <w:trPr>
          <w:trHeight w:val="270"/>
        </w:trPr>
        <w:tc>
          <w:tcPr>
            <w:tcW w:w="5360" w:type="dxa"/>
            <w:vAlign w:val="bottom"/>
          </w:tcPr>
          <w:p>
            <w:pPr>
              <w:ind w:left="4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447</w:t>
            </w:r>
          </w:p>
        </w:tc>
        <w:tc>
          <w:tcPr>
            <w:tcW w:w="640" w:type="dxa"/>
            <w:vAlign w:val="bottom"/>
          </w:tcPr>
          <w:p>
            <w:pPr>
              <w:spacing w:after="0"/>
              <w:rPr>
                <w:sz w:val="23"/>
                <w:szCs w:val="23"/>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538</w:t>
            </w:r>
          </w:p>
        </w:tc>
        <w:tc>
          <w:tcPr>
            <w:tcW w:w="400" w:type="dxa"/>
            <w:vAlign w:val="bottom"/>
          </w:tcPr>
          <w:p>
            <w:pPr>
              <w:spacing w:after="0"/>
              <w:rPr>
                <w:sz w:val="23"/>
                <w:szCs w:val="23"/>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1,479</w:t>
            </w:r>
          </w:p>
        </w:tc>
        <w:tc>
          <w:tcPr>
            <w:tcW w:w="62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1,541</w:t>
            </w:r>
          </w:p>
        </w:tc>
      </w:tr>
      <w:tr>
        <w:trPr>
          <w:trHeight w:val="270"/>
        </w:trPr>
        <w:tc>
          <w:tcPr>
            <w:tcW w:w="5360" w:type="dxa"/>
            <w:vAlign w:val="bottom"/>
          </w:tcPr>
          <w:p>
            <w:pPr>
              <w:ind w:left="40"/>
              <w:spacing w:after="0"/>
              <w:rPr>
                <w:sz w:val="20"/>
                <w:szCs w:val="20"/>
                <w:color w:val="auto"/>
              </w:rPr>
            </w:pPr>
            <w:r>
              <w:rPr>
                <w:rFonts w:ascii="Arial" w:cs="Arial" w:eastAsia="Arial" w:hAnsi="Arial"/>
                <w:sz w:val="18"/>
                <w:szCs w:val="18"/>
                <w:color w:val="auto"/>
              </w:rPr>
              <w:t>Distribution and other</w:t>
            </w:r>
          </w:p>
        </w:tc>
        <w:tc>
          <w:tcPr>
            <w:tcW w:w="340" w:type="dxa"/>
            <w:vAlign w:val="bottom"/>
          </w:tcPr>
          <w:p>
            <w:pPr>
              <w:spacing w:after="0"/>
              <w:rPr>
                <w:sz w:val="23"/>
                <w:szCs w:val="23"/>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592</w:t>
            </w:r>
          </w:p>
        </w:tc>
        <w:tc>
          <w:tcPr>
            <w:tcW w:w="640" w:type="dxa"/>
            <w:vAlign w:val="bottom"/>
          </w:tcPr>
          <w:p>
            <w:pPr>
              <w:spacing w:after="0"/>
              <w:rPr>
                <w:sz w:val="23"/>
                <w:szCs w:val="23"/>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559</w:t>
            </w:r>
          </w:p>
        </w:tc>
        <w:tc>
          <w:tcPr>
            <w:tcW w:w="400" w:type="dxa"/>
            <w:vAlign w:val="bottom"/>
          </w:tcPr>
          <w:p>
            <w:pPr>
              <w:spacing w:after="0"/>
              <w:rPr>
                <w:sz w:val="23"/>
                <w:szCs w:val="23"/>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1,783</w:t>
            </w:r>
          </w:p>
        </w:tc>
        <w:tc>
          <w:tcPr>
            <w:tcW w:w="62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1,692</w:t>
            </w:r>
          </w:p>
        </w:tc>
      </w:tr>
      <w:tr>
        <w:trPr>
          <w:trHeight w:val="27"/>
        </w:trPr>
        <w:tc>
          <w:tcPr>
            <w:tcW w:w="5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Total Broadcast Television</w:t>
            </w:r>
          </w:p>
        </w:tc>
        <w:tc>
          <w:tcPr>
            <w:tcW w:w="340" w:type="dxa"/>
            <w:vAlign w:val="bottom"/>
          </w:tcPr>
          <w:p>
            <w:pPr>
              <w:spacing w:after="0"/>
              <w:rPr>
                <w:sz w:val="20"/>
                <w:szCs w:val="20"/>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2,230</w:t>
            </w:r>
          </w:p>
        </w:tc>
        <w:tc>
          <w:tcPr>
            <w:tcW w:w="640" w:type="dxa"/>
            <w:vAlign w:val="bottom"/>
          </w:tcPr>
          <w:p>
            <w:pPr>
              <w:spacing w:after="0"/>
              <w:rPr>
                <w:sz w:val="20"/>
                <w:szCs w:val="20"/>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2,452</w:t>
            </w:r>
          </w:p>
        </w:tc>
        <w:tc>
          <w:tcPr>
            <w:tcW w:w="400" w:type="dxa"/>
            <w:vAlign w:val="bottom"/>
          </w:tcPr>
          <w:p>
            <w:pPr>
              <w:spacing w:after="0"/>
              <w:rPr>
                <w:sz w:val="20"/>
                <w:szCs w:val="20"/>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7,099</w:t>
            </w:r>
          </w:p>
        </w:tc>
        <w:tc>
          <w:tcPr>
            <w:tcW w:w="62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8,340</w:t>
            </w:r>
          </w:p>
        </w:tc>
      </w:tr>
      <w:tr>
        <w:trPr>
          <w:trHeight w:val="432"/>
        </w:trPr>
        <w:tc>
          <w:tcPr>
            <w:tcW w:w="5360" w:type="dxa"/>
            <w:vAlign w:val="bottom"/>
          </w:tcPr>
          <w:p>
            <w:pPr>
              <w:ind w:left="40"/>
              <w:spacing w:after="0"/>
              <w:rPr>
                <w:sz w:val="20"/>
                <w:szCs w:val="20"/>
                <w:color w:val="auto"/>
              </w:rPr>
            </w:pPr>
            <w:r>
              <w:rPr>
                <w:rFonts w:ascii="Arial" w:cs="Arial" w:eastAsia="Arial" w:hAnsi="Arial"/>
                <w:sz w:val="18"/>
                <w:szCs w:val="18"/>
                <w:color w:val="auto"/>
              </w:rPr>
              <w:t>Theatrical</w:t>
            </w:r>
          </w:p>
        </w:tc>
        <w:tc>
          <w:tcPr>
            <w:tcW w:w="340" w:type="dxa"/>
            <w:vAlign w:val="bottom"/>
          </w:tcPr>
          <w:p>
            <w:pPr>
              <w:spacing w:after="0"/>
              <w:rPr>
                <w:sz w:val="24"/>
                <w:szCs w:val="24"/>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549</w:t>
            </w:r>
          </w:p>
        </w:tc>
        <w:tc>
          <w:tcPr>
            <w:tcW w:w="640" w:type="dxa"/>
            <w:vAlign w:val="bottom"/>
          </w:tcPr>
          <w:p>
            <w:pPr>
              <w:spacing w:after="0"/>
              <w:rPr>
                <w:sz w:val="24"/>
                <w:szCs w:val="24"/>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601</w:t>
            </w:r>
          </w:p>
        </w:tc>
        <w:tc>
          <w:tcPr>
            <w:tcW w:w="400" w:type="dxa"/>
            <w:vAlign w:val="bottom"/>
          </w:tcPr>
          <w:p>
            <w:pPr>
              <w:spacing w:after="0"/>
              <w:rPr>
                <w:sz w:val="24"/>
                <w:szCs w:val="24"/>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1,246</w:t>
            </w:r>
          </w:p>
        </w:tc>
        <w:tc>
          <w:tcPr>
            <w:tcW w:w="620" w:type="dxa"/>
            <w:vAlign w:val="bottom"/>
          </w:tcPr>
          <w:p>
            <w:pPr>
              <w:spacing w:after="0"/>
              <w:rPr>
                <w:sz w:val="24"/>
                <w:szCs w:val="24"/>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1,564</w:t>
            </w:r>
          </w:p>
        </w:tc>
      </w:tr>
      <w:tr>
        <w:trPr>
          <w:trHeight w:val="270"/>
        </w:trPr>
        <w:tc>
          <w:tcPr>
            <w:tcW w:w="5360" w:type="dxa"/>
            <w:vAlign w:val="bottom"/>
          </w:tcPr>
          <w:p>
            <w:pPr>
              <w:ind w:left="4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737</w:t>
            </w:r>
          </w:p>
        </w:tc>
        <w:tc>
          <w:tcPr>
            <w:tcW w:w="640" w:type="dxa"/>
            <w:vAlign w:val="bottom"/>
          </w:tcPr>
          <w:p>
            <w:pPr>
              <w:spacing w:after="0"/>
              <w:rPr>
                <w:sz w:val="23"/>
                <w:szCs w:val="23"/>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719</w:t>
            </w:r>
          </w:p>
        </w:tc>
        <w:tc>
          <w:tcPr>
            <w:tcW w:w="400" w:type="dxa"/>
            <w:vAlign w:val="bottom"/>
          </w:tcPr>
          <w:p>
            <w:pPr>
              <w:spacing w:after="0"/>
              <w:rPr>
                <w:sz w:val="23"/>
                <w:szCs w:val="23"/>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2,266</w:t>
            </w:r>
          </w:p>
        </w:tc>
        <w:tc>
          <w:tcPr>
            <w:tcW w:w="62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2,100</w:t>
            </w:r>
          </w:p>
        </w:tc>
      </w:tr>
      <w:tr>
        <w:trPr>
          <w:trHeight w:val="270"/>
        </w:trPr>
        <w:tc>
          <w:tcPr>
            <w:tcW w:w="5360" w:type="dxa"/>
            <w:vAlign w:val="bottom"/>
          </w:tcPr>
          <w:p>
            <w:pPr>
              <w:ind w:left="40"/>
              <w:spacing w:after="0"/>
              <w:rPr>
                <w:sz w:val="20"/>
                <w:szCs w:val="20"/>
                <w:color w:val="auto"/>
              </w:rPr>
            </w:pPr>
            <w:r>
              <w:rPr>
                <w:rFonts w:ascii="Arial" w:cs="Arial" w:eastAsia="Arial" w:hAnsi="Arial"/>
                <w:sz w:val="18"/>
                <w:szCs w:val="18"/>
                <w:color w:val="auto"/>
              </w:rPr>
              <w:t>Home entertainment</w:t>
            </w:r>
          </w:p>
        </w:tc>
        <w:tc>
          <w:tcPr>
            <w:tcW w:w="340" w:type="dxa"/>
            <w:vAlign w:val="bottom"/>
          </w:tcPr>
          <w:p>
            <w:pPr>
              <w:spacing w:after="0"/>
              <w:rPr>
                <w:sz w:val="23"/>
                <w:szCs w:val="23"/>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185</w:t>
            </w:r>
          </w:p>
        </w:tc>
        <w:tc>
          <w:tcPr>
            <w:tcW w:w="640" w:type="dxa"/>
            <w:vAlign w:val="bottom"/>
          </w:tcPr>
          <w:p>
            <w:pPr>
              <w:spacing w:after="0"/>
              <w:rPr>
                <w:sz w:val="23"/>
                <w:szCs w:val="23"/>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260</w:t>
            </w:r>
          </w:p>
        </w:tc>
        <w:tc>
          <w:tcPr>
            <w:tcW w:w="400" w:type="dxa"/>
            <w:vAlign w:val="bottom"/>
          </w:tcPr>
          <w:p>
            <w:pPr>
              <w:spacing w:after="0"/>
              <w:rPr>
                <w:sz w:val="23"/>
                <w:szCs w:val="23"/>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681</w:t>
            </w:r>
          </w:p>
        </w:tc>
        <w:tc>
          <w:tcPr>
            <w:tcW w:w="62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733</w:t>
            </w:r>
          </w:p>
        </w:tc>
      </w:tr>
      <w:tr>
        <w:trPr>
          <w:trHeight w:val="270"/>
        </w:trPr>
        <w:tc>
          <w:tcPr>
            <w:tcW w:w="536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235</w:t>
            </w:r>
          </w:p>
        </w:tc>
        <w:tc>
          <w:tcPr>
            <w:tcW w:w="640" w:type="dxa"/>
            <w:vAlign w:val="bottom"/>
          </w:tcPr>
          <w:p>
            <w:pPr>
              <w:spacing w:after="0"/>
              <w:rPr>
                <w:sz w:val="23"/>
                <w:szCs w:val="23"/>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239</w:t>
            </w:r>
          </w:p>
        </w:tc>
        <w:tc>
          <w:tcPr>
            <w:tcW w:w="400" w:type="dxa"/>
            <w:vAlign w:val="bottom"/>
          </w:tcPr>
          <w:p>
            <w:pPr>
              <w:spacing w:after="0"/>
              <w:rPr>
                <w:sz w:val="23"/>
                <w:szCs w:val="23"/>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738</w:t>
            </w:r>
          </w:p>
        </w:tc>
        <w:tc>
          <w:tcPr>
            <w:tcW w:w="62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779</w:t>
            </w:r>
          </w:p>
        </w:tc>
      </w:tr>
      <w:tr>
        <w:trPr>
          <w:trHeight w:val="27"/>
        </w:trPr>
        <w:tc>
          <w:tcPr>
            <w:tcW w:w="5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Total Filmed Entertainment</w:t>
            </w:r>
          </w:p>
        </w:tc>
        <w:tc>
          <w:tcPr>
            <w:tcW w:w="340" w:type="dxa"/>
            <w:vAlign w:val="bottom"/>
          </w:tcPr>
          <w:p>
            <w:pPr>
              <w:spacing w:after="0"/>
              <w:rPr>
                <w:sz w:val="20"/>
                <w:szCs w:val="20"/>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1,706</w:t>
            </w:r>
          </w:p>
        </w:tc>
        <w:tc>
          <w:tcPr>
            <w:tcW w:w="640" w:type="dxa"/>
            <w:vAlign w:val="bottom"/>
          </w:tcPr>
          <w:p>
            <w:pPr>
              <w:spacing w:after="0"/>
              <w:rPr>
                <w:sz w:val="20"/>
                <w:szCs w:val="20"/>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1,819</w:t>
            </w:r>
          </w:p>
        </w:tc>
        <w:tc>
          <w:tcPr>
            <w:tcW w:w="400" w:type="dxa"/>
            <w:vAlign w:val="bottom"/>
          </w:tcPr>
          <w:p>
            <w:pPr>
              <w:spacing w:after="0"/>
              <w:rPr>
                <w:sz w:val="20"/>
                <w:szCs w:val="20"/>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4,931</w:t>
            </w:r>
          </w:p>
        </w:tc>
        <w:tc>
          <w:tcPr>
            <w:tcW w:w="62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5,176</w:t>
            </w:r>
          </w:p>
        </w:tc>
      </w:tr>
      <w:tr>
        <w:trPr>
          <w:trHeight w:val="432"/>
        </w:trPr>
        <w:tc>
          <w:tcPr>
            <w:tcW w:w="5360" w:type="dxa"/>
            <w:vAlign w:val="bottom"/>
          </w:tcPr>
          <w:p>
            <w:pPr>
              <w:ind w:left="40"/>
              <w:spacing w:after="0"/>
              <w:rPr>
                <w:sz w:val="20"/>
                <w:szCs w:val="20"/>
                <w:color w:val="auto"/>
              </w:rPr>
            </w:pPr>
            <w:r>
              <w:rPr>
                <w:rFonts w:ascii="Arial" w:cs="Arial" w:eastAsia="Arial" w:hAnsi="Arial"/>
                <w:sz w:val="18"/>
                <w:szCs w:val="18"/>
                <w:color w:val="auto"/>
              </w:rPr>
              <w:t>Total Theme Parks</w:t>
            </w:r>
          </w:p>
        </w:tc>
        <w:tc>
          <w:tcPr>
            <w:tcW w:w="340" w:type="dxa"/>
            <w:vAlign w:val="bottom"/>
          </w:tcPr>
          <w:p>
            <w:pPr>
              <w:spacing w:after="0"/>
              <w:rPr>
                <w:sz w:val="24"/>
                <w:szCs w:val="24"/>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1,631</w:t>
            </w:r>
          </w:p>
        </w:tc>
        <w:tc>
          <w:tcPr>
            <w:tcW w:w="640" w:type="dxa"/>
            <w:vAlign w:val="bottom"/>
          </w:tcPr>
          <w:p>
            <w:pPr>
              <w:spacing w:after="0"/>
              <w:rPr>
                <w:sz w:val="24"/>
                <w:szCs w:val="24"/>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1,528</w:t>
            </w:r>
          </w:p>
        </w:tc>
        <w:tc>
          <w:tcPr>
            <w:tcW w:w="400" w:type="dxa"/>
            <w:vAlign w:val="bottom"/>
          </w:tcPr>
          <w:p>
            <w:pPr>
              <w:spacing w:after="0"/>
              <w:rPr>
                <w:sz w:val="24"/>
                <w:szCs w:val="24"/>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4,371</w:t>
            </w:r>
          </w:p>
        </w:tc>
        <w:tc>
          <w:tcPr>
            <w:tcW w:w="620" w:type="dxa"/>
            <w:vAlign w:val="bottom"/>
          </w:tcPr>
          <w:p>
            <w:pPr>
              <w:spacing w:after="0"/>
              <w:rPr>
                <w:sz w:val="24"/>
                <w:szCs w:val="24"/>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4,170</w:t>
            </w:r>
          </w:p>
        </w:tc>
      </w:tr>
      <w:tr>
        <w:trPr>
          <w:trHeight w:val="270"/>
        </w:trPr>
        <w:tc>
          <w:tcPr>
            <w:tcW w:w="5360" w:type="dxa"/>
            <w:vAlign w:val="bottom"/>
          </w:tcPr>
          <w:p>
            <w:pPr>
              <w:ind w:left="40"/>
              <w:spacing w:after="0"/>
              <w:rPr>
                <w:sz w:val="20"/>
                <w:szCs w:val="20"/>
                <w:color w:val="auto"/>
              </w:rPr>
            </w:pPr>
            <w:r>
              <w:rPr>
                <w:rFonts w:ascii="Arial" w:cs="Arial" w:eastAsia="Arial" w:hAnsi="Arial"/>
                <w:sz w:val="18"/>
                <w:szCs w:val="18"/>
                <w:color w:val="auto"/>
              </w:rPr>
              <w:t>Headquarters and Other</w:t>
            </w:r>
          </w:p>
        </w:tc>
        <w:tc>
          <w:tcPr>
            <w:tcW w:w="340" w:type="dxa"/>
            <w:vAlign w:val="bottom"/>
          </w:tcPr>
          <w:p>
            <w:pPr>
              <w:spacing w:after="0"/>
              <w:rPr>
                <w:sz w:val="23"/>
                <w:szCs w:val="23"/>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21</w:t>
            </w:r>
          </w:p>
        </w:tc>
        <w:tc>
          <w:tcPr>
            <w:tcW w:w="640" w:type="dxa"/>
            <w:vAlign w:val="bottom"/>
          </w:tcPr>
          <w:p>
            <w:pPr>
              <w:spacing w:after="0"/>
              <w:rPr>
                <w:sz w:val="23"/>
                <w:szCs w:val="23"/>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49</w:t>
            </w:r>
          </w:p>
        </w:tc>
        <w:tc>
          <w:tcPr>
            <w:tcW w:w="400" w:type="dxa"/>
            <w:vAlign w:val="bottom"/>
          </w:tcPr>
          <w:p>
            <w:pPr>
              <w:spacing w:after="0"/>
              <w:rPr>
                <w:sz w:val="23"/>
                <w:szCs w:val="23"/>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117</w:t>
            </w:r>
          </w:p>
        </w:tc>
        <w:tc>
          <w:tcPr>
            <w:tcW w:w="62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157</w:t>
            </w:r>
          </w:p>
        </w:tc>
      </w:tr>
      <w:tr>
        <w:trPr>
          <w:trHeight w:val="297"/>
        </w:trPr>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(a)</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(65)</w:t>
            </w:r>
          </w:p>
        </w:tc>
        <w:tc>
          <w:tcPr>
            <w:tcW w:w="6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(238)</w:t>
            </w:r>
          </w:p>
        </w:tc>
        <w:tc>
          <w:tcPr>
            <w:tcW w:w="6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13"/>
              <w:spacing w:after="0"/>
              <w:rPr>
                <w:sz w:val="20"/>
                <w:szCs w:val="20"/>
                <w:color w:val="auto"/>
              </w:rPr>
            </w:pPr>
            <w:r>
              <w:rPr>
                <w:rFonts w:ascii="Arial" w:cs="Arial" w:eastAsia="Arial" w:hAnsi="Arial"/>
                <w:sz w:val="18"/>
                <w:szCs w:val="18"/>
                <w:b w:val="1"/>
                <w:bCs w:val="1"/>
                <w:color w:val="auto"/>
              </w:rPr>
              <w:t>8,294</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51"/>
              <w:spacing w:after="0"/>
              <w:rPr>
                <w:sz w:val="20"/>
                <w:szCs w:val="20"/>
                <w:color w:val="auto"/>
              </w:rPr>
            </w:pPr>
            <w:r>
              <w:rPr>
                <w:rFonts w:ascii="Arial" w:cs="Arial" w:eastAsia="Arial" w:hAnsi="Arial"/>
                <w:sz w:val="18"/>
                <w:szCs w:val="18"/>
                <w:b w:val="1"/>
                <w:bCs w:val="1"/>
                <w:color w:val="auto"/>
              </w:rPr>
              <w:t>8,625</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33"/>
              <w:spacing w:after="0"/>
              <w:rPr>
                <w:sz w:val="20"/>
                <w:szCs w:val="20"/>
                <w:color w:val="auto"/>
              </w:rPr>
            </w:pPr>
            <w:r>
              <w:rPr>
                <w:rFonts w:ascii="Arial" w:cs="Arial" w:eastAsia="Arial" w:hAnsi="Arial"/>
                <w:sz w:val="18"/>
                <w:szCs w:val="18"/>
                <w:b w:val="1"/>
                <w:bCs w:val="1"/>
                <w:color w:val="auto"/>
              </w:rPr>
              <w:t>24,866</w:t>
            </w:r>
          </w:p>
        </w:tc>
        <w:tc>
          <w:tcPr>
            <w:tcW w:w="62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b w:val="1"/>
                <w:bCs w:val="1"/>
                <w:color w:val="auto"/>
              </w:rPr>
              <w:t>26,468</w:t>
            </w:r>
          </w:p>
        </w:tc>
      </w:tr>
      <w:tr>
        <w:trPr>
          <w:trHeight w:val="34"/>
        </w:trPr>
        <w:tc>
          <w:tcPr>
            <w:tcW w:w="5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(a) Included in Eliminations are transactions that our segments enter into with one another. See Note 2 for a description of these transactions.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operate primarily in the United States, but also in select international markets primarily in Europe and Asia. The table below summarizes revenue by geographic location.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ind w:left="560"/>
              <w:spacing w:after="0"/>
              <w:rPr>
                <w:sz w:val="20"/>
                <w:szCs w:val="20"/>
                <w:color w:val="auto"/>
              </w:rPr>
            </w:pPr>
            <w:r>
              <w:rPr>
                <w:rFonts w:ascii="Arial" w:cs="Arial" w:eastAsia="Arial" w:hAnsi="Arial"/>
                <w:sz w:val="14"/>
                <w:szCs w:val="14"/>
                <w:color w:val="auto"/>
                <w:w w:val="93"/>
              </w:rPr>
              <w:t>Three Months Ended</w:t>
            </w: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860" w:type="dxa"/>
            <w:vAlign w:val="bottom"/>
          </w:tcPr>
          <w:p>
            <w:pPr>
              <w:spacing w:after="0"/>
              <w:rPr>
                <w:sz w:val="14"/>
                <w:szCs w:val="14"/>
                <w:color w:val="auto"/>
              </w:rPr>
            </w:pPr>
          </w:p>
        </w:tc>
      </w:tr>
      <w:tr>
        <w:trPr>
          <w:trHeight w:val="188"/>
        </w:trPr>
        <w:tc>
          <w:tcPr>
            <w:tcW w:w="5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color w:val="auto"/>
              </w:rPr>
              <w:t>September 30</w:t>
            </w:r>
          </w:p>
        </w:tc>
        <w:tc>
          <w:tcPr>
            <w:tcW w:w="8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color w:val="auto"/>
              </w:rPr>
              <w:t>September 30</w:t>
            </w:r>
          </w:p>
        </w:tc>
        <w:tc>
          <w:tcPr>
            <w:tcW w:w="860" w:type="dxa"/>
            <w:vAlign w:val="bottom"/>
            <w:tcBorders>
              <w:bottom w:val="single" w:sz="8" w:color="auto"/>
            </w:tcBorders>
          </w:tcPr>
          <w:p>
            <w:pPr>
              <w:spacing w:after="0"/>
              <w:rPr>
                <w:sz w:val="16"/>
                <w:szCs w:val="16"/>
                <w:color w:val="auto"/>
              </w:rPr>
            </w:pPr>
          </w:p>
        </w:tc>
      </w:tr>
      <w:tr>
        <w:trPr>
          <w:trHeight w:val="264"/>
        </w:trPr>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2019</w:t>
            </w:r>
          </w:p>
        </w:tc>
        <w:tc>
          <w:tcPr>
            <w:tcW w:w="6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w w:val="89"/>
              </w:rPr>
              <w:t>2018</w:t>
            </w: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color w:val="auto"/>
              </w:rPr>
              <w:t>2019</w:t>
            </w:r>
          </w:p>
        </w:tc>
        <w:tc>
          <w:tcPr>
            <w:tcW w:w="6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w w:val="96"/>
              </w:rPr>
              <w:t>2018</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ind w:left="540"/>
              <w:spacing w:after="0"/>
              <w:rPr>
                <w:sz w:val="20"/>
                <w:szCs w:val="20"/>
                <w:color w:val="auto"/>
              </w:rPr>
            </w:pPr>
            <w:r>
              <w:rPr>
                <w:rFonts w:ascii="Arial" w:cs="Arial" w:eastAsia="Arial" w:hAnsi="Arial"/>
                <w:sz w:val="18"/>
                <w:szCs w:val="18"/>
                <w:color w:val="auto"/>
              </w:rPr>
              <w:t>6,382</w:t>
            </w:r>
          </w:p>
        </w:tc>
        <w:tc>
          <w:tcPr>
            <w:tcW w:w="6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6,758</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9"/>
              <w:spacing w:after="0"/>
              <w:rPr>
                <w:sz w:val="20"/>
                <w:szCs w:val="20"/>
                <w:color w:val="auto"/>
              </w:rPr>
            </w:pPr>
            <w:r>
              <w:rPr>
                <w:rFonts w:ascii="Arial" w:cs="Arial" w:eastAsia="Arial" w:hAnsi="Arial"/>
                <w:sz w:val="18"/>
                <w:szCs w:val="18"/>
                <w:color w:val="auto"/>
              </w:rPr>
              <w:t>19,674</w:t>
            </w:r>
          </w:p>
        </w:tc>
        <w:tc>
          <w:tcPr>
            <w:tcW w:w="6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20,945</w:t>
            </w:r>
          </w:p>
        </w:tc>
      </w:tr>
      <w:tr>
        <w:trPr>
          <w:trHeight w:val="270"/>
        </w:trPr>
        <w:tc>
          <w:tcPr>
            <w:tcW w:w="5360" w:type="dxa"/>
            <w:vAlign w:val="bottom"/>
          </w:tcPr>
          <w:p>
            <w:pPr>
              <w:ind w:left="4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23"/>
                <w:szCs w:val="23"/>
                <w:color w:val="auto"/>
              </w:rPr>
            </w:pPr>
          </w:p>
        </w:tc>
        <w:tc>
          <w:tcPr>
            <w:tcW w:w="1120" w:type="dxa"/>
            <w:vAlign w:val="bottom"/>
          </w:tcPr>
          <w:p>
            <w:pPr>
              <w:ind w:left="540"/>
              <w:spacing w:after="0"/>
              <w:rPr>
                <w:sz w:val="20"/>
                <w:szCs w:val="20"/>
                <w:color w:val="auto"/>
              </w:rPr>
            </w:pPr>
            <w:r>
              <w:rPr>
                <w:rFonts w:ascii="Arial" w:cs="Arial" w:eastAsia="Arial" w:hAnsi="Arial"/>
                <w:sz w:val="18"/>
                <w:szCs w:val="18"/>
                <w:color w:val="auto"/>
              </w:rPr>
              <w:t>1,912</w:t>
            </w:r>
          </w:p>
        </w:tc>
        <w:tc>
          <w:tcPr>
            <w:tcW w:w="680" w:type="dxa"/>
            <w:vAlign w:val="bottom"/>
          </w:tcPr>
          <w:p>
            <w:pPr>
              <w:spacing w:after="0"/>
              <w:rPr>
                <w:sz w:val="23"/>
                <w:szCs w:val="23"/>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1,867</w:t>
            </w:r>
          </w:p>
        </w:tc>
        <w:tc>
          <w:tcPr>
            <w:tcW w:w="420" w:type="dxa"/>
            <w:vAlign w:val="bottom"/>
          </w:tcPr>
          <w:p>
            <w:pPr>
              <w:spacing w:after="0"/>
              <w:rPr>
                <w:sz w:val="23"/>
                <w:szCs w:val="23"/>
                <w:color w:val="auto"/>
              </w:rPr>
            </w:pPr>
          </w:p>
        </w:tc>
        <w:tc>
          <w:tcPr>
            <w:tcW w:w="1100" w:type="dxa"/>
            <w:vAlign w:val="bottom"/>
          </w:tcPr>
          <w:p>
            <w:pPr>
              <w:jc w:val="right"/>
              <w:ind w:right="99"/>
              <w:spacing w:after="0"/>
              <w:rPr>
                <w:sz w:val="20"/>
                <w:szCs w:val="20"/>
                <w:color w:val="auto"/>
              </w:rPr>
            </w:pPr>
            <w:r>
              <w:rPr>
                <w:rFonts w:ascii="Arial" w:cs="Arial" w:eastAsia="Arial" w:hAnsi="Arial"/>
                <w:sz w:val="18"/>
                <w:szCs w:val="18"/>
                <w:color w:val="auto"/>
              </w:rPr>
              <w:t>5,192</w:t>
            </w:r>
          </w:p>
        </w:tc>
        <w:tc>
          <w:tcPr>
            <w:tcW w:w="660" w:type="dxa"/>
            <w:vAlign w:val="bottom"/>
          </w:tcPr>
          <w:p>
            <w:pPr>
              <w:spacing w:after="0"/>
              <w:rPr>
                <w:sz w:val="23"/>
                <w:szCs w:val="23"/>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5,523</w:t>
            </w:r>
          </w:p>
        </w:tc>
      </w:tr>
      <w:tr>
        <w:trPr>
          <w:trHeight w:val="27"/>
        </w:trPr>
        <w:tc>
          <w:tcPr>
            <w:tcW w:w="5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ind w:left="540"/>
              <w:spacing w:after="0"/>
              <w:rPr>
                <w:sz w:val="20"/>
                <w:szCs w:val="20"/>
                <w:color w:val="auto"/>
              </w:rPr>
            </w:pPr>
            <w:r>
              <w:rPr>
                <w:rFonts w:ascii="Arial" w:cs="Arial" w:eastAsia="Arial" w:hAnsi="Arial"/>
                <w:sz w:val="18"/>
                <w:szCs w:val="18"/>
                <w:b w:val="1"/>
                <w:bCs w:val="1"/>
                <w:color w:val="auto"/>
              </w:rPr>
              <w:t>8,294</w:t>
            </w:r>
          </w:p>
        </w:tc>
        <w:tc>
          <w:tcPr>
            <w:tcW w:w="68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b w:val="1"/>
                <w:bCs w:val="1"/>
                <w:color w:val="auto"/>
              </w:rPr>
              <w:t>8,625</w:t>
            </w:r>
          </w:p>
        </w:tc>
        <w:tc>
          <w:tcPr>
            <w:tcW w:w="4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99"/>
              <w:spacing w:after="0"/>
              <w:rPr>
                <w:sz w:val="20"/>
                <w:szCs w:val="20"/>
                <w:color w:val="auto"/>
              </w:rPr>
            </w:pPr>
            <w:r>
              <w:rPr>
                <w:rFonts w:ascii="Arial" w:cs="Arial" w:eastAsia="Arial" w:hAnsi="Arial"/>
                <w:sz w:val="18"/>
                <w:szCs w:val="18"/>
                <w:b w:val="1"/>
                <w:bCs w:val="1"/>
                <w:color w:val="auto"/>
              </w:rPr>
              <w:t>24,866</w:t>
            </w:r>
          </w:p>
        </w:tc>
        <w:tc>
          <w:tcPr>
            <w:tcW w:w="66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b w:val="1"/>
                <w:bCs w:val="1"/>
                <w:color w:val="auto"/>
              </w:rPr>
              <w:t>26,468</w:t>
            </w:r>
          </w:p>
        </w:tc>
      </w:tr>
      <w:tr>
        <w:trPr>
          <w:trHeight w:val="34"/>
        </w:trPr>
        <w:tc>
          <w:tcPr>
            <w:tcW w:w="5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accounted for a significant amount of revenue in any period presented.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summarize our accounts receivable and other balances that are not separately presented in our condensed consolidated balance sheet that relate to the recognition of revenue and collection of the related cash.</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60" w:type="dxa"/>
            <w:vAlign w:val="bottom"/>
          </w:tcPr>
          <w:p>
            <w:pPr>
              <w:jc w:val="center"/>
              <w:ind w:right="238"/>
              <w:spacing w:after="0"/>
              <w:rPr>
                <w:sz w:val="20"/>
                <w:szCs w:val="20"/>
                <w:color w:val="auto"/>
              </w:rPr>
            </w:pPr>
            <w:r>
              <w:rPr>
                <w:rFonts w:ascii="Arial" w:cs="Arial" w:eastAsia="Arial" w:hAnsi="Arial"/>
                <w:sz w:val="14"/>
                <w:szCs w:val="14"/>
                <w:color w:val="auto"/>
                <w:w w:val="91"/>
              </w:rPr>
              <w:t>September 30,</w:t>
            </w:r>
          </w:p>
        </w:tc>
        <w:tc>
          <w:tcPr>
            <w:tcW w:w="360" w:type="dxa"/>
            <w:vAlign w:val="bottom"/>
          </w:tcPr>
          <w:p>
            <w:pPr>
              <w:spacing w:after="0"/>
              <w:rPr>
                <w:sz w:val="14"/>
                <w:szCs w:val="14"/>
                <w:color w:val="auto"/>
              </w:rPr>
            </w:pPr>
          </w:p>
        </w:tc>
        <w:tc>
          <w:tcPr>
            <w:tcW w:w="1260" w:type="dxa"/>
            <w:vAlign w:val="bottom"/>
          </w:tcPr>
          <w:p>
            <w:pPr>
              <w:jc w:val="center"/>
              <w:ind w:right="178"/>
              <w:spacing w:after="0"/>
              <w:rPr>
                <w:sz w:val="20"/>
                <w:szCs w:val="20"/>
                <w:color w:val="auto"/>
              </w:rPr>
            </w:pPr>
            <w:r>
              <w:rPr>
                <w:rFonts w:ascii="Arial" w:cs="Arial" w:eastAsia="Arial" w:hAnsi="Arial"/>
                <w:sz w:val="14"/>
                <w:szCs w:val="14"/>
                <w:color w:val="auto"/>
                <w:w w:val="90"/>
              </w:rPr>
              <w:t>December 31,</w:t>
            </w:r>
          </w:p>
        </w:tc>
      </w:tr>
      <w:tr>
        <w:trPr>
          <w:trHeight w:val="188"/>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8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color w:val="auto"/>
                <w:w w:val="89"/>
              </w:rPr>
              <w:t>2019</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color w:val="auto"/>
                <w:w w:val="89"/>
              </w:rPr>
              <w:t>2018</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Receivables, gross</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8"/>
              <w:spacing w:after="0"/>
              <w:rPr>
                <w:sz w:val="20"/>
                <w:szCs w:val="20"/>
                <w:color w:val="auto"/>
              </w:rPr>
            </w:pPr>
            <w:r>
              <w:rPr>
                <w:rFonts w:ascii="Arial" w:cs="Arial" w:eastAsia="Arial" w:hAnsi="Arial"/>
                <w:sz w:val="18"/>
                <w:szCs w:val="18"/>
                <w:color w:val="auto"/>
              </w:rPr>
              <w:t>7,139</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7,392</w:t>
            </w:r>
          </w:p>
        </w:tc>
      </w:tr>
      <w:tr>
        <w:trPr>
          <w:trHeight w:val="270"/>
        </w:trPr>
        <w:tc>
          <w:tcPr>
            <w:tcW w:w="6640" w:type="dxa"/>
            <w:vAlign w:val="bottom"/>
          </w:tcPr>
          <w:p>
            <w:pPr>
              <w:ind w:left="40"/>
              <w:spacing w:after="0"/>
              <w:rPr>
                <w:sz w:val="20"/>
                <w:szCs w:val="20"/>
                <w:color w:val="auto"/>
              </w:rPr>
            </w:pPr>
            <w:r>
              <w:rPr>
                <w:rFonts w:ascii="Arial" w:cs="Arial" w:eastAsia="Arial" w:hAnsi="Arial"/>
                <w:sz w:val="18"/>
                <w:szCs w:val="18"/>
                <w:color w:val="auto"/>
              </w:rPr>
              <w:t>Less: Allowance for doubtful accounts</w:t>
            </w:r>
          </w:p>
        </w:tc>
        <w:tc>
          <w:tcPr>
            <w:tcW w:w="1800" w:type="dxa"/>
            <w:vAlign w:val="bottom"/>
          </w:tcPr>
          <w:p>
            <w:pPr>
              <w:spacing w:after="0"/>
              <w:rPr>
                <w:sz w:val="23"/>
                <w:szCs w:val="23"/>
                <w:color w:val="auto"/>
              </w:rPr>
            </w:pPr>
          </w:p>
        </w:tc>
        <w:tc>
          <w:tcPr>
            <w:tcW w:w="1360" w:type="dxa"/>
            <w:vAlign w:val="bottom"/>
          </w:tcPr>
          <w:p>
            <w:pPr>
              <w:jc w:val="right"/>
              <w:ind w:right="98"/>
              <w:spacing w:after="0"/>
              <w:rPr>
                <w:sz w:val="20"/>
                <w:szCs w:val="20"/>
                <w:color w:val="auto"/>
              </w:rPr>
            </w:pPr>
            <w:r>
              <w:rPr>
                <w:rFonts w:ascii="Arial" w:cs="Arial" w:eastAsia="Arial" w:hAnsi="Arial"/>
                <w:sz w:val="18"/>
                <w:szCs w:val="18"/>
                <w:color w:val="auto"/>
              </w:rPr>
              <w:t>99</w:t>
            </w:r>
          </w:p>
        </w:tc>
        <w:tc>
          <w:tcPr>
            <w:tcW w:w="360" w:type="dxa"/>
            <w:vAlign w:val="bottom"/>
          </w:tcPr>
          <w:p>
            <w:pPr>
              <w:spacing w:after="0"/>
              <w:rPr>
                <w:sz w:val="23"/>
                <w:szCs w:val="23"/>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99</w:t>
            </w:r>
          </w:p>
        </w:tc>
      </w:tr>
      <w:tr>
        <w:trPr>
          <w:trHeight w:val="27"/>
        </w:trPr>
        <w:tc>
          <w:tcPr>
            <w:tcW w:w="66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Receivables, net</w:t>
            </w:r>
          </w:p>
        </w:tc>
        <w:tc>
          <w:tcPr>
            <w:tcW w:w="18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98"/>
              <w:spacing w:after="0"/>
              <w:rPr>
                <w:sz w:val="20"/>
                <w:szCs w:val="20"/>
                <w:color w:val="auto"/>
              </w:rPr>
            </w:pPr>
            <w:r>
              <w:rPr>
                <w:rFonts w:ascii="Arial" w:cs="Arial" w:eastAsia="Arial" w:hAnsi="Arial"/>
                <w:sz w:val="18"/>
                <w:szCs w:val="18"/>
                <w:b w:val="1"/>
                <w:bCs w:val="1"/>
                <w:color w:val="auto"/>
              </w:rPr>
              <w:t>7,040</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8"/>
              <w:spacing w:after="0"/>
              <w:rPr>
                <w:sz w:val="20"/>
                <w:szCs w:val="20"/>
                <w:color w:val="auto"/>
              </w:rPr>
            </w:pPr>
            <w:r>
              <w:rPr>
                <w:rFonts w:ascii="Arial" w:cs="Arial" w:eastAsia="Arial" w:hAnsi="Arial"/>
                <w:sz w:val="18"/>
                <w:szCs w:val="18"/>
                <w:b w:val="1"/>
                <w:bCs w:val="1"/>
                <w:color w:val="auto"/>
              </w:rPr>
              <w:t>7,293</w:t>
            </w:r>
          </w:p>
        </w:tc>
      </w:tr>
      <w:tr>
        <w:trPr>
          <w:trHeight w:val="34"/>
        </w:trPr>
        <w:tc>
          <w:tcPr>
            <w:tcW w:w="66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684"/>
        </w:trPr>
        <w:tc>
          <w:tcPr>
            <w:tcW w:w="66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60" w:type="dxa"/>
            <w:vAlign w:val="bottom"/>
          </w:tcPr>
          <w:p>
            <w:pPr>
              <w:jc w:val="center"/>
              <w:ind w:right="238"/>
              <w:spacing w:after="0"/>
              <w:rPr>
                <w:sz w:val="20"/>
                <w:szCs w:val="20"/>
                <w:color w:val="auto"/>
              </w:rPr>
            </w:pPr>
            <w:r>
              <w:rPr>
                <w:rFonts w:ascii="Arial" w:cs="Arial" w:eastAsia="Arial" w:hAnsi="Arial"/>
                <w:sz w:val="14"/>
                <w:szCs w:val="14"/>
                <w:color w:val="auto"/>
                <w:w w:val="91"/>
              </w:rPr>
              <w:t>September 30,</w:t>
            </w:r>
          </w:p>
        </w:tc>
        <w:tc>
          <w:tcPr>
            <w:tcW w:w="360" w:type="dxa"/>
            <w:vAlign w:val="bottom"/>
          </w:tcPr>
          <w:p>
            <w:pPr>
              <w:spacing w:after="0"/>
              <w:rPr>
                <w:sz w:val="24"/>
                <w:szCs w:val="24"/>
                <w:color w:val="auto"/>
              </w:rPr>
            </w:pPr>
          </w:p>
        </w:tc>
        <w:tc>
          <w:tcPr>
            <w:tcW w:w="1260" w:type="dxa"/>
            <w:vAlign w:val="bottom"/>
          </w:tcPr>
          <w:p>
            <w:pPr>
              <w:jc w:val="center"/>
              <w:ind w:right="178"/>
              <w:spacing w:after="0"/>
              <w:rPr>
                <w:sz w:val="20"/>
                <w:szCs w:val="20"/>
                <w:color w:val="auto"/>
              </w:rPr>
            </w:pPr>
            <w:r>
              <w:rPr>
                <w:rFonts w:ascii="Arial" w:cs="Arial" w:eastAsia="Arial" w:hAnsi="Arial"/>
                <w:sz w:val="14"/>
                <w:szCs w:val="14"/>
                <w:color w:val="auto"/>
                <w:w w:val="90"/>
              </w:rPr>
              <w:t>December 31,</w:t>
            </w:r>
          </w:p>
        </w:tc>
      </w:tr>
      <w:tr>
        <w:trPr>
          <w:trHeight w:val="188"/>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8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color w:val="auto"/>
                <w:w w:val="89"/>
              </w:rPr>
              <w:t>2019</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color w:val="auto"/>
                <w:w w:val="89"/>
              </w:rPr>
              <w:t>2018</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Noncurrent receivables, net (included in other noncurrent assets, net)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8"/>
              <w:spacing w:after="0"/>
              <w:rPr>
                <w:sz w:val="20"/>
                <w:szCs w:val="20"/>
                <w:color w:val="auto"/>
              </w:rPr>
            </w:pPr>
            <w:r>
              <w:rPr>
                <w:rFonts w:ascii="Arial" w:cs="Arial" w:eastAsia="Arial" w:hAnsi="Arial"/>
                <w:sz w:val="18"/>
                <w:szCs w:val="18"/>
                <w:color w:val="auto"/>
              </w:rPr>
              <w:t>1,097</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1,180</w:t>
            </w:r>
          </w:p>
        </w:tc>
      </w:tr>
      <w:tr>
        <w:trPr>
          <w:trHeight w:val="270"/>
        </w:trPr>
        <w:tc>
          <w:tcPr>
            <w:tcW w:w="6640" w:type="dxa"/>
            <w:vAlign w:val="bottom"/>
          </w:tcPr>
          <w:p>
            <w:pPr>
              <w:ind w:left="40"/>
              <w:spacing w:after="0"/>
              <w:rPr>
                <w:sz w:val="20"/>
                <w:szCs w:val="20"/>
                <w:color w:val="auto"/>
              </w:rPr>
            </w:pPr>
            <w:r>
              <w:rPr>
                <w:rFonts w:ascii="Arial" w:cs="Arial" w:eastAsia="Arial" w:hAnsi="Arial"/>
                <w:sz w:val="18"/>
                <w:szCs w:val="18"/>
                <w:color w:val="auto"/>
              </w:rPr>
              <w:t>Noncurrent deferred revenue (included in other noncurrent liabilities)</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8"/>
              <w:spacing w:after="0"/>
              <w:rPr>
                <w:sz w:val="20"/>
                <w:szCs w:val="20"/>
                <w:color w:val="auto"/>
              </w:rPr>
            </w:pPr>
            <w:r>
              <w:rPr>
                <w:rFonts w:ascii="Arial" w:cs="Arial" w:eastAsia="Arial" w:hAnsi="Arial"/>
                <w:sz w:val="18"/>
                <w:szCs w:val="18"/>
                <w:color w:val="auto"/>
              </w:rPr>
              <w:t>422</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481</w:t>
            </w:r>
          </w:p>
        </w:tc>
      </w:tr>
      <w:tr>
        <w:trPr>
          <w:trHeight w:val="27"/>
        </w:trPr>
        <w:tc>
          <w:tcPr>
            <w:tcW w:w="66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865"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21" w:right="239" w:bottom="865"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Long-Term Debt</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2019, our debt, excluding our revolving credit agreement with Comcast, had a carrying value of $10.8 billion and an estimated fair value of $11.8 billion. The estimated fair value of our publicly traded debt was primarily based on Level 1 inputs that use quoted market values for the debt. The estimated fair value of debt for which there are no quoted market prices was based on Level 2 inputs that use interest rates available to us for debt with similar terms and remaining maturities.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Borrowings and Repayments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2019, we had borrowings of $572 million primarily related to the Universal Beijing Resort term loans.</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September 30, 2019, we made repayments of $2.7 billion including the early redemptions of $2.0 billion of senior notes due 2020 and $610 million of notes due 2049 to Comcast. The early redemptions were funded using proceeds from our collateralized obligation (see Note 8) and were accounted for as debt extinguishments, resulting in a charge of $213 million to interest expense in the third quarter of 2019, of which $178 million related to the notes due to Comcast.</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Structure</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Comcast and a 100% owned cable holding company subsidiary of Comcast (“CCCL Parent”) fully and unconditionally guarantee each other’s debt securities, including the $7.6 billion Comcast revolving credit facility due 2022. As of September 30, 2019, $80.6 billion principal amount of outstanding debt securities of Comcast and CCCL Parent were subject to the cross-guarantee structure.</w:t>
      </w:r>
    </w:p>
    <w:p>
      <w:pPr>
        <w:spacing w:after="0" w:line="1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do not, however, guarantee the obligations of NBCUniversal Enterprise with respect to its $1.5 billion outstanding debt securities, including its senior notes, revolving credit facility, commercial paper program nor its $725 million liquidation preference of Series A cumulative preferred stock.</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The Universal Studios Japan term loans are not subject to the cross-guarantee structure, however they have a separate guarantee from Comcast.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Universal Beijing Resort term loans are not guaranteed.</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Significant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Beijing Resort</w:t>
      </w:r>
    </w:p>
    <w:p>
      <w:pPr>
        <w:spacing w:after="0" w:line="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entered into an agreement with a consortium of Chinese state-owned companies to build and operate a Universal theme park and resort in Beijing, China (“Universal Beijing Resort”). We own a 30% interest in Universal Beijing Resort and the construction is being funded through a combination of debt financing and equity contributions from the investors in accordance with their equity interests. The debt financing, which is being provided by a syndicate of Chinese financial institutions, contains certain financial and operating covenants and a maximum borrowing limit of ¥26.6 billion RMB (approximately $4 billion). The debt financing is secured by the assets of Universal Beijing Resort and the equity interests of the investors. As of September 30, 2019, Universal Beijing Resort had $1 billion principal amount of term loans outstanding under the debt financing agreements.</w:t>
      </w:r>
    </w:p>
    <w:p>
      <w:pPr>
        <w:spacing w:after="0" w:line="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concluded that Universal Beijing Resort is a variable interest entity based on its governance structure, and we consolidate it because we have the power to direct activities that most significantly impact its economic performance. There are no liquidity arrangements, guarantees or other financial commitments between us and Universal Beijing Resort, and therefore our maximum risk of financial loss is our 30% interest. Universal Beijing Resort’s results of operations are reported in our Theme Parks segment. Our condensed consolidated statement of cash flows includes the costs of construction and related borrowings in the “construction of Universal Beijing Resort” and “proceeds from borrowings” captions, respectively, and equity contributions from our investing partner are included in other financing activities.</w:t>
      </w:r>
    </w:p>
    <w:p>
      <w:pPr>
        <w:spacing w:after="0" w:line="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2018, Universal Beijing Resort received initial equity investments through a combination of cash and noncash contributions from the investors. As of September 30, 2019, our condensed consolidated balance sheet included assets, primarily property and equipment, and liabilities, including the term loans, of Universal Beijing Resort totaling $2.4 billion and $1.7 billion,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2016, the Financial Accounting Standards Board (“FASB”) updated the accounting guidance related to leases. The most significant change in the updated accounting guidance requires lessees to recognize lease assets and liabilities on the balance sheet for all operating leases with the exception of short-term leases. The standard also expands the disclosures regarding the amount, timing and uncertainty of cash flows arising from leases. For a lessee, the recognition, measurement and presentation of</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93"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expenses and cash flows arising from a lease did not significantly change from previous guidance. We adopted the updated guidance on January 1, 2019 on a prospective basis and as a result, prior period amounts were not adjusted to reflect the impacts of the updated guidance. In addition, as permitted under the transition guidance within the new standard, prior scoping and classification conclusions were carried forward for leases existing as of the adoption date.</w:t>
      </w:r>
    </w:p>
    <w:p>
      <w:pPr>
        <w:spacing w:after="0" w:line="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Upon adoption, we recorded approximately $1.7 billion and $1.8 billion of operating lease assets and liabilities, respectively, which includes the impact of fair value adjustments, prepaid rent and lease incentives. The adoption of the updated accounting guidance did not impact our recognition of finance leases, which were previously described as capital leases. As of the date of adoption, our liabilities for finance leases were $332 million, which were recorded in long-term debt, and the related assets were recorded in property and equipment, net. Our finance leases were not considered material for further disclosure. The adoption of the new accounting guidance did not have a material impact on our consolidated results of operations or cash flows. See Note 9 for further information.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Costs</w:t>
      </w:r>
    </w:p>
    <w:p>
      <w:pPr>
        <w:spacing w:after="0" w:line="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2019, the FASB updated the accounting guidance related to film and television costs. The updated guidance aligns the accounting for production costs of episodic television series with those of films, allowing for costs to be capitalized in excess of amounts of revenue contracted for each episode. The updated guidance also updates certain presentation and disclosure requirements for capitalized film and television costs, and requires impairment testing to be performed at a group level for capitalized film and television costs when the content is predominantly monetized with other owned or licensed content. The updated guidance is effective for us as of January 1, 2020 and early adoption is permitted. We are currently in the process of determining the impact that the updated accounting guidance will have on our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Film and Television Costs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360" w:type="dxa"/>
            <w:vAlign w:val="bottom"/>
          </w:tcPr>
          <w:p>
            <w:pPr>
              <w:jc w:val="right"/>
              <w:ind w:right="333"/>
              <w:spacing w:after="0"/>
              <w:rPr>
                <w:sz w:val="20"/>
                <w:szCs w:val="20"/>
                <w:color w:val="auto"/>
              </w:rPr>
            </w:pPr>
            <w:r>
              <w:rPr>
                <w:rFonts w:ascii="Arial" w:cs="Arial" w:eastAsia="Arial" w:hAnsi="Arial"/>
                <w:sz w:val="14"/>
                <w:szCs w:val="14"/>
                <w:color w:val="auto"/>
              </w:rPr>
              <w:t>September 30,</w:t>
            </w:r>
          </w:p>
        </w:tc>
        <w:tc>
          <w:tcPr>
            <w:tcW w:w="360" w:type="dxa"/>
            <w:vAlign w:val="bottom"/>
          </w:tcPr>
          <w:p>
            <w:pPr>
              <w:spacing w:after="0"/>
              <w:rPr>
                <w:sz w:val="14"/>
                <w:szCs w:val="14"/>
                <w:color w:val="auto"/>
              </w:rPr>
            </w:pPr>
          </w:p>
        </w:tc>
        <w:tc>
          <w:tcPr>
            <w:tcW w:w="1260" w:type="dxa"/>
            <w:vAlign w:val="bottom"/>
          </w:tcPr>
          <w:p>
            <w:pPr>
              <w:jc w:val="right"/>
              <w:ind w:right="273"/>
              <w:spacing w:after="0"/>
              <w:rPr>
                <w:sz w:val="20"/>
                <w:szCs w:val="20"/>
                <w:color w:val="auto"/>
              </w:rPr>
            </w:pPr>
            <w:r>
              <w:rPr>
                <w:rFonts w:ascii="Arial" w:cs="Arial" w:eastAsia="Arial" w:hAnsi="Arial"/>
                <w:sz w:val="14"/>
                <w:szCs w:val="14"/>
                <w:color w:val="auto"/>
              </w:rPr>
              <w:t>December 31,</w:t>
            </w:r>
          </w:p>
        </w:tc>
      </w:tr>
      <w:tr>
        <w:trPr>
          <w:trHeight w:val="188"/>
        </w:trPr>
        <w:tc>
          <w:tcPr>
            <w:tcW w:w="5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2019</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2018</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Film Costs:</w:t>
            </w:r>
          </w:p>
        </w:tc>
        <w:tc>
          <w:tcPr>
            <w:tcW w:w="26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Released, less amortization</w:t>
            </w:r>
          </w:p>
        </w:tc>
        <w:tc>
          <w:tcPr>
            <w:tcW w:w="2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1,615</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1,600</w:t>
            </w: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Completed, not released</w:t>
            </w:r>
          </w:p>
        </w:tc>
        <w:tc>
          <w:tcPr>
            <w:tcW w:w="2680" w:type="dxa"/>
            <w:vAlign w:val="bottom"/>
          </w:tcPr>
          <w:p>
            <w:pPr>
              <w:spacing w:after="0"/>
              <w:rPr>
                <w:sz w:val="23"/>
                <w:szCs w:val="23"/>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124</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144</w:t>
            </w: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In production and in development</w:t>
            </w:r>
          </w:p>
        </w:tc>
        <w:tc>
          <w:tcPr>
            <w:tcW w:w="2680" w:type="dxa"/>
            <w:vAlign w:val="bottom"/>
          </w:tcPr>
          <w:p>
            <w:pPr>
              <w:spacing w:after="0"/>
              <w:rPr>
                <w:sz w:val="23"/>
                <w:szCs w:val="23"/>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1,282</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1,063</w:t>
            </w:r>
          </w:p>
        </w:tc>
      </w:tr>
      <w:tr>
        <w:trPr>
          <w:trHeight w:val="27"/>
        </w:trPr>
        <w:tc>
          <w:tcPr>
            <w:tcW w:w="57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3,021</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2,807</w:t>
            </w:r>
          </w:p>
        </w:tc>
      </w:tr>
      <w:tr>
        <w:trPr>
          <w:trHeight w:val="270"/>
        </w:trPr>
        <w:tc>
          <w:tcPr>
            <w:tcW w:w="5760" w:type="dxa"/>
            <w:vAlign w:val="bottom"/>
          </w:tcPr>
          <w:p>
            <w:pPr>
              <w:ind w:left="40"/>
              <w:spacing w:after="0"/>
              <w:rPr>
                <w:sz w:val="20"/>
                <w:szCs w:val="20"/>
                <w:color w:val="auto"/>
              </w:rPr>
            </w:pPr>
            <w:r>
              <w:rPr>
                <w:rFonts w:ascii="Arial" w:cs="Arial" w:eastAsia="Arial" w:hAnsi="Arial"/>
                <w:sz w:val="18"/>
                <w:szCs w:val="18"/>
                <w:color w:val="auto"/>
              </w:rPr>
              <w:t>Television Costs:</w:t>
            </w:r>
          </w:p>
        </w:tc>
        <w:tc>
          <w:tcPr>
            <w:tcW w:w="26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Released, less amortization</w:t>
            </w:r>
          </w:p>
        </w:tc>
        <w:tc>
          <w:tcPr>
            <w:tcW w:w="2680" w:type="dxa"/>
            <w:vAlign w:val="bottom"/>
          </w:tcPr>
          <w:p>
            <w:pPr>
              <w:spacing w:after="0"/>
              <w:rPr>
                <w:sz w:val="23"/>
                <w:szCs w:val="23"/>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2,410</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2,161</w:t>
            </w: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In production and in development</w:t>
            </w:r>
          </w:p>
        </w:tc>
        <w:tc>
          <w:tcPr>
            <w:tcW w:w="2680" w:type="dxa"/>
            <w:vAlign w:val="bottom"/>
          </w:tcPr>
          <w:p>
            <w:pPr>
              <w:spacing w:after="0"/>
              <w:rPr>
                <w:sz w:val="23"/>
                <w:szCs w:val="23"/>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1,228</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953</w:t>
            </w:r>
          </w:p>
        </w:tc>
      </w:tr>
      <w:tr>
        <w:trPr>
          <w:trHeight w:val="27"/>
        </w:trPr>
        <w:tc>
          <w:tcPr>
            <w:tcW w:w="57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3,638</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3,114</w:t>
            </w:r>
          </w:p>
        </w:tc>
      </w:tr>
      <w:tr>
        <w:trPr>
          <w:trHeight w:val="270"/>
        </w:trPr>
        <w:tc>
          <w:tcPr>
            <w:tcW w:w="5760" w:type="dxa"/>
            <w:vAlign w:val="bottom"/>
          </w:tcPr>
          <w:p>
            <w:pPr>
              <w:ind w:left="40"/>
              <w:spacing w:after="0"/>
              <w:rPr>
                <w:sz w:val="20"/>
                <w:szCs w:val="20"/>
                <w:color w:val="auto"/>
              </w:rPr>
            </w:pPr>
            <w:r>
              <w:rPr>
                <w:rFonts w:ascii="Arial" w:cs="Arial" w:eastAsia="Arial" w:hAnsi="Arial"/>
                <w:sz w:val="18"/>
                <w:szCs w:val="18"/>
                <w:color w:val="auto"/>
              </w:rPr>
              <w:t>Programming rights, less amortization</w:t>
            </w:r>
          </w:p>
        </w:tc>
        <w:tc>
          <w:tcPr>
            <w:tcW w:w="2680" w:type="dxa"/>
            <w:vAlign w:val="bottom"/>
          </w:tcPr>
          <w:p>
            <w:pPr>
              <w:spacing w:after="0"/>
              <w:rPr>
                <w:sz w:val="23"/>
                <w:szCs w:val="23"/>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2,578</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2,694</w:t>
            </w:r>
          </w:p>
        </w:tc>
      </w:tr>
      <w:tr>
        <w:trPr>
          <w:trHeight w:val="27"/>
        </w:trPr>
        <w:tc>
          <w:tcPr>
            <w:tcW w:w="57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9,237</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8,615</w:t>
            </w:r>
          </w:p>
        </w:tc>
      </w:tr>
      <w:tr>
        <w:trPr>
          <w:trHeight w:val="270"/>
        </w:trPr>
        <w:tc>
          <w:tcPr>
            <w:tcW w:w="5760" w:type="dxa"/>
            <w:vAlign w:val="bottom"/>
          </w:tcPr>
          <w:p>
            <w:pPr>
              <w:ind w:left="40"/>
              <w:spacing w:after="0"/>
              <w:rPr>
                <w:sz w:val="20"/>
                <w:szCs w:val="20"/>
                <w:color w:val="auto"/>
              </w:rPr>
            </w:pPr>
            <w:r>
              <w:rPr>
                <w:rFonts w:ascii="Arial" w:cs="Arial" w:eastAsia="Arial" w:hAnsi="Arial"/>
                <w:sz w:val="18"/>
                <w:szCs w:val="18"/>
                <w:color w:val="auto"/>
              </w:rPr>
              <w:t>Less: Current portion of programming rights</w:t>
            </w:r>
          </w:p>
        </w:tc>
        <w:tc>
          <w:tcPr>
            <w:tcW w:w="2680" w:type="dxa"/>
            <w:vAlign w:val="bottom"/>
          </w:tcPr>
          <w:p>
            <w:pPr>
              <w:spacing w:after="0"/>
              <w:rPr>
                <w:sz w:val="23"/>
                <w:szCs w:val="23"/>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1,461</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1,323</w:t>
            </w:r>
          </w:p>
        </w:tc>
      </w:tr>
      <w:tr>
        <w:trPr>
          <w:trHeight w:val="27"/>
        </w:trPr>
        <w:tc>
          <w:tcPr>
            <w:tcW w:w="57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ind w:left="40"/>
              <w:spacing w:after="0"/>
              <w:rPr>
                <w:sz w:val="20"/>
                <w:szCs w:val="20"/>
                <w:color w:val="auto"/>
              </w:rPr>
            </w:pPr>
            <w:r>
              <w:rPr>
                <w:rFonts w:ascii="Arial" w:cs="Arial" w:eastAsia="Arial" w:hAnsi="Arial"/>
                <w:sz w:val="18"/>
                <w:szCs w:val="18"/>
                <w:b w:val="1"/>
                <w:bCs w:val="1"/>
                <w:color w:val="auto"/>
              </w:rPr>
              <w:t>Film and television costs</w:t>
            </w:r>
          </w:p>
        </w:tc>
        <w:tc>
          <w:tcPr>
            <w:tcW w:w="26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93"/>
              <w:spacing w:after="0"/>
              <w:rPr>
                <w:sz w:val="20"/>
                <w:szCs w:val="20"/>
                <w:color w:val="auto"/>
              </w:rPr>
            </w:pPr>
            <w:r>
              <w:rPr>
                <w:rFonts w:ascii="Arial" w:cs="Arial" w:eastAsia="Arial" w:hAnsi="Arial"/>
                <w:sz w:val="18"/>
                <w:szCs w:val="18"/>
                <w:b w:val="1"/>
                <w:bCs w:val="1"/>
                <w:color w:val="auto"/>
              </w:rPr>
              <w:t>7,776</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b w:val="1"/>
                <w:bCs w:val="1"/>
                <w:color w:val="auto"/>
              </w:rPr>
              <w:t>7,292</w:t>
            </w:r>
          </w:p>
        </w:tc>
      </w:tr>
      <w:tr>
        <w:trPr>
          <w:trHeight w:val="34"/>
        </w:trPr>
        <w:tc>
          <w:tcPr>
            <w:tcW w:w="57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Investments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and Other Income (Loss), Net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40" w:type="dxa"/>
            <w:vAlign w:val="bottom"/>
          </w:tcPr>
          <w:p>
            <w:pPr>
              <w:spacing w:after="0"/>
              <w:rPr>
                <w:sz w:val="14"/>
                <w:szCs w:val="14"/>
                <w:color w:val="auto"/>
              </w:rPr>
            </w:pPr>
          </w:p>
        </w:tc>
      </w:tr>
      <w:tr>
        <w:trPr>
          <w:trHeight w:val="188"/>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color w:val="auto"/>
              </w:rPr>
              <w:t>September 30</w:t>
            </w: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September 30</w:t>
            </w:r>
          </w:p>
        </w:tc>
        <w:tc>
          <w:tcPr>
            <w:tcW w:w="94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color w:val="auto"/>
              </w:rPr>
              <w:t>2019</w:t>
            </w: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rPr>
              <w:t>2018</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color w:val="auto"/>
              </w:rPr>
              <w:t>2019</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2018</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Equity in net income (losses) of investees, net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7"/>
              <w:spacing w:after="0"/>
              <w:rPr>
                <w:sz w:val="20"/>
                <w:szCs w:val="20"/>
                <w:color w:val="auto"/>
              </w:rPr>
            </w:pPr>
            <w:r>
              <w:rPr>
                <w:rFonts w:ascii="Arial" w:cs="Arial" w:eastAsia="Arial" w:hAnsi="Arial"/>
                <w:sz w:val="18"/>
                <w:szCs w:val="18"/>
                <w:color w:val="auto"/>
              </w:rPr>
              <w:t>(88)</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(119)</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8"/>
              <w:spacing w:after="0"/>
              <w:rPr>
                <w:sz w:val="20"/>
                <w:szCs w:val="20"/>
                <w:color w:val="auto"/>
              </w:rPr>
            </w:pPr>
            <w:r>
              <w:rPr>
                <w:rFonts w:ascii="Arial" w:cs="Arial" w:eastAsia="Arial" w:hAnsi="Arial"/>
                <w:sz w:val="18"/>
                <w:szCs w:val="18"/>
                <w:color w:val="auto"/>
              </w:rPr>
              <w:t>(299)</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w w:val="94"/>
              </w:rPr>
              <w:t>Realized and unrealized gains (losses) on equity securities, net</w:t>
            </w:r>
          </w:p>
        </w:tc>
        <w:tc>
          <w:tcPr>
            <w:tcW w:w="360" w:type="dxa"/>
            <w:vAlign w:val="bottom"/>
          </w:tcPr>
          <w:p>
            <w:pPr>
              <w:spacing w:after="0"/>
              <w:rPr>
                <w:sz w:val="23"/>
                <w:szCs w:val="23"/>
                <w:color w:val="auto"/>
              </w:rPr>
            </w:pPr>
          </w:p>
        </w:tc>
        <w:tc>
          <w:tcPr>
            <w:tcW w:w="1260" w:type="dxa"/>
            <w:vAlign w:val="bottom"/>
          </w:tcPr>
          <w:p>
            <w:pPr>
              <w:jc w:val="right"/>
              <w:ind w:right="137"/>
              <w:spacing w:after="0"/>
              <w:rPr>
                <w:sz w:val="20"/>
                <w:szCs w:val="20"/>
                <w:color w:val="auto"/>
              </w:rPr>
            </w:pPr>
            <w:r>
              <w:rPr>
                <w:rFonts w:ascii="Arial" w:cs="Arial" w:eastAsia="Arial" w:hAnsi="Arial"/>
                <w:sz w:val="18"/>
                <w:szCs w:val="18"/>
                <w:color w:val="auto"/>
              </w:rPr>
              <w:t>178</w:t>
            </w:r>
          </w:p>
        </w:tc>
        <w:tc>
          <w:tcPr>
            <w:tcW w:w="680" w:type="dxa"/>
            <w:vAlign w:val="bottom"/>
          </w:tcPr>
          <w:p>
            <w:pPr>
              <w:spacing w:after="0"/>
              <w:rPr>
                <w:sz w:val="23"/>
                <w:szCs w:val="23"/>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(91)</w:t>
            </w:r>
          </w:p>
        </w:tc>
        <w:tc>
          <w:tcPr>
            <w:tcW w:w="480" w:type="dxa"/>
            <w:vAlign w:val="bottom"/>
          </w:tcPr>
          <w:p>
            <w:pPr>
              <w:spacing w:after="0"/>
              <w:rPr>
                <w:sz w:val="23"/>
                <w:szCs w:val="23"/>
                <w:color w:val="auto"/>
              </w:rPr>
            </w:pPr>
          </w:p>
        </w:tc>
        <w:tc>
          <w:tcPr>
            <w:tcW w:w="1200" w:type="dxa"/>
            <w:vAlign w:val="bottom"/>
          </w:tcPr>
          <w:p>
            <w:pPr>
              <w:jc w:val="right"/>
              <w:ind w:right="118"/>
              <w:spacing w:after="0"/>
              <w:rPr>
                <w:sz w:val="20"/>
                <w:szCs w:val="20"/>
                <w:color w:val="auto"/>
              </w:rPr>
            </w:pPr>
            <w:r>
              <w:rPr>
                <w:rFonts w:ascii="Arial" w:cs="Arial" w:eastAsia="Arial" w:hAnsi="Arial"/>
                <w:sz w:val="18"/>
                <w:szCs w:val="18"/>
                <w:color w:val="auto"/>
              </w:rPr>
              <w:t>436</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Other income (loss), net</w:t>
            </w:r>
          </w:p>
        </w:tc>
        <w:tc>
          <w:tcPr>
            <w:tcW w:w="360" w:type="dxa"/>
            <w:vAlign w:val="bottom"/>
          </w:tcPr>
          <w:p>
            <w:pPr>
              <w:spacing w:after="0"/>
              <w:rPr>
                <w:sz w:val="23"/>
                <w:szCs w:val="23"/>
                <w:color w:val="auto"/>
              </w:rPr>
            </w:pPr>
          </w:p>
        </w:tc>
        <w:tc>
          <w:tcPr>
            <w:tcW w:w="1260" w:type="dxa"/>
            <w:vAlign w:val="bottom"/>
          </w:tcPr>
          <w:p>
            <w:pPr>
              <w:jc w:val="right"/>
              <w:ind w:right="137"/>
              <w:spacing w:after="0"/>
              <w:rPr>
                <w:sz w:val="20"/>
                <w:szCs w:val="20"/>
                <w:color w:val="auto"/>
              </w:rPr>
            </w:pPr>
            <w:r>
              <w:rPr>
                <w:rFonts w:ascii="Arial" w:cs="Arial" w:eastAsia="Arial" w:hAnsi="Arial"/>
                <w:sz w:val="18"/>
                <w:szCs w:val="18"/>
                <w:color w:val="auto"/>
              </w:rPr>
              <w:t>79</w:t>
            </w:r>
          </w:p>
        </w:tc>
        <w:tc>
          <w:tcPr>
            <w:tcW w:w="680" w:type="dxa"/>
            <w:vAlign w:val="bottom"/>
          </w:tcPr>
          <w:p>
            <w:pPr>
              <w:spacing w:after="0"/>
              <w:rPr>
                <w:sz w:val="23"/>
                <w:szCs w:val="23"/>
                <w:color w:val="auto"/>
              </w:rPr>
            </w:pP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23"/>
                <w:szCs w:val="23"/>
                <w:color w:val="auto"/>
              </w:rPr>
            </w:pPr>
          </w:p>
        </w:tc>
        <w:tc>
          <w:tcPr>
            <w:tcW w:w="1200" w:type="dxa"/>
            <w:vAlign w:val="bottom"/>
          </w:tcPr>
          <w:p>
            <w:pPr>
              <w:jc w:val="right"/>
              <w:ind w:right="118"/>
              <w:spacing w:after="0"/>
              <w:rPr>
                <w:sz w:val="20"/>
                <w:szCs w:val="20"/>
                <w:color w:val="auto"/>
              </w:rPr>
            </w:pPr>
            <w:r>
              <w:rPr>
                <w:rFonts w:ascii="Arial" w:cs="Arial" w:eastAsia="Arial" w:hAnsi="Arial"/>
                <w:sz w:val="18"/>
                <w:szCs w:val="18"/>
                <w:color w:val="auto"/>
              </w:rPr>
              <w:t>312</w:t>
            </w:r>
          </w:p>
        </w:tc>
        <w:tc>
          <w:tcPr>
            <w:tcW w:w="66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57</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Investment and other income (loss), net</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7"/>
              <w:spacing w:after="0"/>
              <w:rPr>
                <w:sz w:val="20"/>
                <w:szCs w:val="20"/>
                <w:color w:val="auto"/>
              </w:rPr>
            </w:pPr>
            <w:r>
              <w:rPr>
                <w:rFonts w:ascii="Arial" w:cs="Arial" w:eastAsia="Arial" w:hAnsi="Arial"/>
                <w:sz w:val="18"/>
                <w:szCs w:val="18"/>
                <w:b w:val="1"/>
                <w:bCs w:val="1"/>
                <w:color w:val="auto"/>
              </w:rPr>
              <w:t>169</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b w:val="1"/>
                <w:bCs w:val="1"/>
                <w:color w:val="auto"/>
              </w:rPr>
              <w:t>(205)</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8"/>
              <w:spacing w:after="0"/>
              <w:rPr>
                <w:sz w:val="20"/>
                <w:szCs w:val="20"/>
                <w:color w:val="auto"/>
              </w:rPr>
            </w:pPr>
            <w:r>
              <w:rPr>
                <w:rFonts w:ascii="Arial" w:cs="Arial" w:eastAsia="Arial" w:hAnsi="Arial"/>
                <w:sz w:val="18"/>
                <w:szCs w:val="18"/>
                <w:b w:val="1"/>
                <w:bCs w:val="1"/>
                <w:color w:val="auto"/>
              </w:rPr>
              <w:t>449</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(377)</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689"/>
        </w:trPr>
        <w:tc>
          <w:tcPr>
            <w:tcW w:w="4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537"/>
              <w:spacing w:after="0"/>
              <w:rPr>
                <w:sz w:val="20"/>
                <w:szCs w:val="20"/>
                <w:color w:val="auto"/>
              </w:rPr>
            </w:pPr>
            <w:r>
              <w:rPr>
                <w:rFonts w:ascii="Arial" w:cs="Arial" w:eastAsia="Arial" w:hAnsi="Arial"/>
                <w:sz w:val="18"/>
                <w:szCs w:val="18"/>
                <w:color w:val="auto"/>
              </w:rPr>
              <w:t>61</w:t>
            </w: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360" w:type="dxa"/>
            <w:vAlign w:val="bottom"/>
          </w:tcPr>
          <w:p>
            <w:pPr>
              <w:jc w:val="right"/>
              <w:ind w:right="334"/>
              <w:spacing w:after="0"/>
              <w:rPr>
                <w:sz w:val="20"/>
                <w:szCs w:val="20"/>
                <w:color w:val="auto"/>
              </w:rPr>
            </w:pPr>
            <w:r>
              <w:rPr>
                <w:rFonts w:ascii="Arial" w:cs="Arial" w:eastAsia="Arial" w:hAnsi="Arial"/>
                <w:sz w:val="14"/>
                <w:szCs w:val="14"/>
                <w:color w:val="auto"/>
              </w:rPr>
              <w:t>September 30,</w:t>
            </w:r>
          </w:p>
        </w:tc>
        <w:tc>
          <w:tcPr>
            <w:tcW w:w="360" w:type="dxa"/>
            <w:vAlign w:val="bottom"/>
          </w:tcPr>
          <w:p>
            <w:pPr>
              <w:spacing w:after="0"/>
              <w:rPr>
                <w:sz w:val="14"/>
                <w:szCs w:val="14"/>
                <w:color w:val="auto"/>
              </w:rPr>
            </w:pPr>
          </w:p>
        </w:tc>
        <w:tc>
          <w:tcPr>
            <w:tcW w:w="1260" w:type="dxa"/>
            <w:vAlign w:val="bottom"/>
          </w:tcPr>
          <w:p>
            <w:pPr>
              <w:jc w:val="right"/>
              <w:ind w:right="274"/>
              <w:spacing w:after="0"/>
              <w:rPr>
                <w:sz w:val="20"/>
                <w:szCs w:val="20"/>
                <w:color w:val="auto"/>
              </w:rPr>
            </w:pPr>
            <w:r>
              <w:rPr>
                <w:rFonts w:ascii="Arial" w:cs="Arial" w:eastAsia="Arial" w:hAnsi="Arial"/>
                <w:sz w:val="14"/>
                <w:szCs w:val="14"/>
                <w:color w:val="auto"/>
              </w:rPr>
              <w:t>December 31,</w:t>
            </w:r>
          </w:p>
        </w:tc>
      </w:tr>
      <w:tr>
        <w:trPr>
          <w:trHeight w:val="188"/>
        </w:trPr>
        <w:tc>
          <w:tcPr>
            <w:tcW w:w="5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4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2019</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2018</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Equity method</w:t>
            </w:r>
          </w:p>
        </w:tc>
        <w:tc>
          <w:tcPr>
            <w:tcW w:w="2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1,290</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707</w:t>
            </w:r>
          </w:p>
        </w:tc>
      </w:tr>
      <w:tr>
        <w:trPr>
          <w:trHeight w:val="270"/>
        </w:trPr>
        <w:tc>
          <w:tcPr>
            <w:tcW w:w="5980" w:type="dxa"/>
            <w:vAlign w:val="bottom"/>
          </w:tcPr>
          <w:p>
            <w:pPr>
              <w:ind w:left="40"/>
              <w:spacing w:after="0"/>
              <w:rPr>
                <w:sz w:val="20"/>
                <w:szCs w:val="20"/>
                <w:color w:val="auto"/>
              </w:rPr>
            </w:pPr>
            <w:r>
              <w:rPr>
                <w:rFonts w:ascii="Arial" w:cs="Arial" w:eastAsia="Arial" w:hAnsi="Arial"/>
                <w:sz w:val="18"/>
                <w:szCs w:val="18"/>
                <w:color w:val="auto"/>
              </w:rPr>
              <w:t>Marketable equity securities</w:t>
            </w:r>
          </w:p>
        </w:tc>
        <w:tc>
          <w:tcPr>
            <w:tcW w:w="2460" w:type="dxa"/>
            <w:vAlign w:val="bottom"/>
          </w:tcPr>
          <w:p>
            <w:pPr>
              <w:spacing w:after="0"/>
              <w:rPr>
                <w:sz w:val="23"/>
                <w:szCs w:val="23"/>
                <w:color w:val="auto"/>
              </w:rPr>
            </w:pP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725</w:t>
            </w:r>
          </w:p>
        </w:tc>
        <w:tc>
          <w:tcPr>
            <w:tcW w:w="36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162</w:t>
            </w:r>
          </w:p>
        </w:tc>
      </w:tr>
      <w:tr>
        <w:trPr>
          <w:trHeight w:val="270"/>
        </w:trPr>
        <w:tc>
          <w:tcPr>
            <w:tcW w:w="5980" w:type="dxa"/>
            <w:vAlign w:val="bottom"/>
          </w:tcPr>
          <w:p>
            <w:pPr>
              <w:ind w:left="40"/>
              <w:spacing w:after="0"/>
              <w:rPr>
                <w:sz w:val="20"/>
                <w:szCs w:val="20"/>
                <w:color w:val="auto"/>
              </w:rPr>
            </w:pPr>
            <w:r>
              <w:rPr>
                <w:rFonts w:ascii="Arial" w:cs="Arial" w:eastAsia="Arial" w:hAnsi="Arial"/>
                <w:sz w:val="18"/>
                <w:szCs w:val="18"/>
                <w:color w:val="auto"/>
              </w:rPr>
              <w:t>Nonmarketable equity securities</w:t>
            </w:r>
          </w:p>
        </w:tc>
        <w:tc>
          <w:tcPr>
            <w:tcW w:w="2460" w:type="dxa"/>
            <w:vAlign w:val="bottom"/>
          </w:tcPr>
          <w:p>
            <w:pPr>
              <w:spacing w:after="0"/>
              <w:rPr>
                <w:sz w:val="23"/>
                <w:szCs w:val="23"/>
                <w:color w:val="auto"/>
              </w:rPr>
            </w:pP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794</w:t>
            </w:r>
          </w:p>
        </w:tc>
        <w:tc>
          <w:tcPr>
            <w:tcW w:w="36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811</w:t>
            </w:r>
          </w:p>
        </w:tc>
      </w:tr>
      <w:tr>
        <w:trPr>
          <w:trHeight w:val="27"/>
        </w:trPr>
        <w:tc>
          <w:tcPr>
            <w:tcW w:w="59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98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2460" w:type="dxa"/>
            <w:vAlign w:val="bottom"/>
          </w:tcPr>
          <w:p>
            <w:pPr>
              <w:spacing w:after="0"/>
              <w:rPr>
                <w:sz w:val="20"/>
                <w:szCs w:val="20"/>
                <w:color w:val="auto"/>
              </w:rPr>
            </w:pP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2,809</w:t>
            </w:r>
          </w:p>
        </w:tc>
        <w:tc>
          <w:tcPr>
            <w:tcW w:w="36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1,680</w:t>
            </w:r>
          </w:p>
        </w:tc>
      </w:tr>
      <w:tr>
        <w:trPr>
          <w:trHeight w:val="270"/>
        </w:trPr>
        <w:tc>
          <w:tcPr>
            <w:tcW w:w="5980" w:type="dxa"/>
            <w:vAlign w:val="bottom"/>
          </w:tcPr>
          <w:p>
            <w:pPr>
              <w:ind w:left="40"/>
              <w:spacing w:after="0"/>
              <w:rPr>
                <w:sz w:val="20"/>
                <w:szCs w:val="20"/>
                <w:color w:val="auto"/>
              </w:rPr>
            </w:pPr>
            <w:r>
              <w:rPr>
                <w:rFonts w:ascii="Arial" w:cs="Arial" w:eastAsia="Arial" w:hAnsi="Arial"/>
                <w:sz w:val="18"/>
                <w:szCs w:val="18"/>
                <w:color w:val="auto"/>
              </w:rPr>
              <w:t>Less: Investment securing collateralized obligation</w:t>
            </w:r>
          </w:p>
        </w:tc>
        <w:tc>
          <w:tcPr>
            <w:tcW w:w="2460" w:type="dxa"/>
            <w:vAlign w:val="bottom"/>
          </w:tcPr>
          <w:p>
            <w:pPr>
              <w:spacing w:after="0"/>
              <w:rPr>
                <w:sz w:val="23"/>
                <w:szCs w:val="23"/>
                <w:color w:val="auto"/>
              </w:rPr>
            </w:pP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816</w:t>
            </w:r>
          </w:p>
        </w:tc>
        <w:tc>
          <w:tcPr>
            <w:tcW w:w="36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980" w:type="dxa"/>
            <w:vAlign w:val="bottom"/>
          </w:tcPr>
          <w:p>
            <w:pPr>
              <w:ind w:left="40"/>
              <w:spacing w:after="0"/>
              <w:rPr>
                <w:sz w:val="20"/>
                <w:szCs w:val="20"/>
                <w:color w:val="auto"/>
              </w:rPr>
            </w:pPr>
            <w:r>
              <w:rPr>
                <w:rFonts w:ascii="Arial" w:cs="Arial" w:eastAsia="Arial" w:hAnsi="Arial"/>
                <w:sz w:val="18"/>
                <w:szCs w:val="18"/>
                <w:b w:val="1"/>
                <w:bCs w:val="1"/>
                <w:color w:val="auto"/>
              </w:rPr>
              <w:t>Noncurrent investments</w:t>
            </w:r>
          </w:p>
        </w:tc>
        <w:tc>
          <w:tcPr>
            <w:tcW w:w="24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94"/>
              <w:spacing w:after="0"/>
              <w:rPr>
                <w:sz w:val="20"/>
                <w:szCs w:val="20"/>
                <w:color w:val="auto"/>
              </w:rPr>
            </w:pPr>
            <w:r>
              <w:rPr>
                <w:rFonts w:ascii="Arial" w:cs="Arial" w:eastAsia="Arial" w:hAnsi="Arial"/>
                <w:sz w:val="18"/>
                <w:szCs w:val="18"/>
                <w:b w:val="1"/>
                <w:bCs w:val="1"/>
                <w:color w:val="auto"/>
              </w:rPr>
              <w:t>1,993</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b w:val="1"/>
                <w:bCs w:val="1"/>
                <w:color w:val="auto"/>
              </w:rPr>
              <w:t>1,680</w:t>
            </w:r>
          </w:p>
        </w:tc>
      </w:tr>
      <w:tr>
        <w:trPr>
          <w:trHeight w:val="34"/>
        </w:trPr>
        <w:tc>
          <w:tcPr>
            <w:tcW w:w="59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Hulu and Collateralized Obligation</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2019, we entered into a series of agreements (the “Hulu Transaction”) with The Walt Disney Company and certain of its subsidiaries (“Disney”), whereby we relinquished our board seats and substantially all voting rights associated with our investment in Hulu, LLC (“Hulu”), and Disney assumed full operational control. We also acquired our proportionate share of the approximate 10% interest in Hulu previously held by AT&amp;T Inc. (“AT&amp;T”) for approximately $477 million, increasing our ownership interest to approximately 33% from approximately 30%.</w:t>
      </w:r>
    </w:p>
    <w:p>
      <w:pPr>
        <w:spacing w:after="0" w:line="1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Following the Hulu Transaction, future capital calls are limited to $1.5 billion in the aggregate each year, with any excess funding requirements funded with member loans. We have the right, but not the obligation, to fund our proportionate share of these capital calls, and if we elect not to fund our share of future equity capital calls, our ownership interest will be diluted, subject to an ownership floor of 21%. The Hulu Transaction agreements include put and call provisions regarding our ownership interest in Hulu, pursuant to which, as early as January 2024, we can require Disney to buy, and Disney can require us to sell our interest, in either case, for fair value at that future time subject to a minimum equity value of $27.5 billion for 100% of the equity of Hulu. The minimum total equity value and ownership floor guarantee minimum proceeds of approximately $5.8 billion upon exercise of the put or call.</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Hulu Transaction, we agreed to extend certain licenses of NBCUniversal content until late 2024. We can terminate most of our content license agreements with Hulu beginning in 2022, and beginning in 2020, we have the right to modify certain content licenses that are currently exclusive to Hulu, so that we can exhibit the content on our platforms in return for reducing the license fee.</w:t>
      </w:r>
    </w:p>
    <w:p>
      <w:pPr>
        <w:spacing w:after="0" w:line="1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August 2019, we entered into a financing arrangement with a syndicate of banks whereby we received proceeds of $5.2 billion under a term loan facility due March 2024. The principal amount of the term loan is secured by the proceeds guaranteed by Disney under the put/call provisions related to our investment in Hulu. The proceeds from the put/call provisions are available only for the repayment of the term loan and are not available to us unless and until the bank lenders are fully paid under the term loan provisions. The bank lenders have no rights to proceeds from the put/call provisions in excess of amounts owed under the term loan. As a result of this transaction, we now present our investment in Hulu and the term loan separately in our condensed consolidated balance sheet in the captions “investment securing collateralized obligation” and “collateralized obligation”, respectively. The recorded value of our investment reflects our historical cost in applying the equity method, and as a result, is less than its fair value. As of September 30, 2019, our collateralized obligation had a carrying value of $5.2 billion and an estimated fair value of $5.2 billion. The estimated fair value was based on Level 2 inputs that use interest rates for debt with similar terms and remaining maturities.</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account for our investment using the equity method. For the three and nine months ended September 30, 2019, we recognized losses of $101 million and $351 million, respectively, in equity in net income (losses) of investees, net. For the three and nine months ended September 30, 2018, we recognized losses of $132 million and $370 million, respectively. For the nine months ended September 30, 2019 and 2018, we made cash capital contributions totaling $903 million, inclusive of the funding for the acquisition of the AT&amp;T interest, and $341 million, respectively, to Hulu. As of September 30, 2019 and December 31, 2018, our investment was $816 million and $248 million, respectively.</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2016, Time Warner Inc., which was acquired by AT&amp;T in 2018, acquired a 10% interest in Hulu, diluting our interest at that time from approximately 33% to approximately 30%. Given the contingent nature of put and call options related to that interest, we recorded a deferred gain as a result of the dilution. In the first quarter of 2019, the put and call options expired unexercised and we recognized the previously deferred gain of $159 million in other income (loss), net.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Weather Channel</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In March 2018, we sold our investment in The Weather Channel cable network and recognized a pretax gain of $64 million in other income (loss), net.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Snap</w:t>
      </w:r>
    </w:p>
    <w:p>
      <w:pPr>
        <w:spacing w:after="0" w:line="7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the three and nine months ended September 30, 2019, we recognized unrealized gains of $45 million and $303 million, respectively, in realized and unrealized gains (losses) on equity securities, net. For the three and nine months ended September 30, 2018, we recognized unrealized losses of $135 million and $180 million, respectively. As of September 30, 2019 and December 31, 2018, our investment was $465 million and $162 million, respectively.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Peloton</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2019, as a result of Peloton’s initial public offering, we recognized unrealized gains of $150 million related to our investment in realized and unrealized gains (losses) on equity securities, net. Following the initial public offering, we now present our investment in marketable equity securities, which was previously presented in non-marketable equity securities. As of September 30, 2019 and December 31, 2018, our investment was $260 million and $110 million,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Supplemental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7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leases consist primarily of real estate and equipment. We determine if an arrangement is a lease at inception. Lease assets and liabilities are recognized upon commencement of the lease based on the present value of the future minimum lease payments over the lease term. The lease term includes options to extend the lease when it is reasonably certain that we will exercise that option. We generally utilize our incremental borrowing rate based on information available at the commencement of the lease in determining the present value of future payments. The lease asset also includes any lease payments made and initial direct costs incurred and excludes lease incentives. Lease assets and liabilities are not recorded for leases with an initial term of one year or less. Lease expense for operating leases recorded in the balance sheet is included in operating costs and expenses and is based on the future minimum lease payments recognized on a straight-line basis over the term of the lease plus any variable lease costs. Operating lease expenses, inclusive of short-term and variable lease expenses, recognized in our condensed consolidated statement of income for the three and nine months ended September 30, 2019 were $110 million and $331 million, respectively. These amounts do not include lease costs associated with production activities or other amounts capitalized in our condensed consolidated balance sheet, which are not material.</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operating lease assets and liabilities recorded in our condensed consolidated balance sheet.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60" w:type="dxa"/>
            <w:vAlign w:val="bottom"/>
          </w:tcPr>
          <w:p>
            <w:pPr>
              <w:spacing w:after="0"/>
              <w:rPr>
                <w:sz w:val="20"/>
                <w:szCs w:val="20"/>
                <w:color w:val="auto"/>
              </w:rPr>
            </w:pPr>
          </w:p>
        </w:tc>
        <w:tc>
          <w:tcPr>
            <w:tcW w:w="6240" w:type="dxa"/>
            <w:vAlign w:val="bottom"/>
          </w:tcPr>
          <w:p>
            <w:pPr>
              <w:jc w:val="right"/>
              <w:ind w:right="2370"/>
              <w:spacing w:after="0"/>
              <w:rPr>
                <w:sz w:val="20"/>
                <w:szCs w:val="20"/>
                <w:color w:val="auto"/>
              </w:rPr>
            </w:pPr>
            <w:r>
              <w:rPr>
                <w:rFonts w:ascii="Arial" w:cs="Arial" w:eastAsia="Arial" w:hAnsi="Arial"/>
                <w:sz w:val="18"/>
                <w:szCs w:val="18"/>
                <w:b w:val="1"/>
                <w:bCs w:val="1"/>
                <w:color w:val="auto"/>
              </w:rPr>
              <w:t>Condensed Consolidated Balance Sheet</w:t>
            </w:r>
          </w:p>
        </w:tc>
        <w:tc>
          <w:tcPr>
            <w:tcW w:w="1520" w:type="dxa"/>
            <w:vAlign w:val="bottom"/>
          </w:tcPr>
          <w:p>
            <w:pPr>
              <w:spacing w:after="0"/>
              <w:rPr>
                <w:sz w:val="20"/>
                <w:szCs w:val="20"/>
                <w:color w:val="auto"/>
              </w:rPr>
            </w:pPr>
          </w:p>
        </w:tc>
      </w:tr>
      <w:tr>
        <w:trPr>
          <w:trHeight w:val="265"/>
        </w:trPr>
        <w:tc>
          <w:tcPr>
            <w:tcW w:w="3660" w:type="dxa"/>
            <w:vAlign w:val="bottom"/>
          </w:tcPr>
          <w:p>
            <w:pPr>
              <w:spacing w:after="0"/>
              <w:rPr>
                <w:sz w:val="23"/>
                <w:szCs w:val="23"/>
                <w:color w:val="auto"/>
              </w:rPr>
            </w:pPr>
          </w:p>
        </w:tc>
        <w:tc>
          <w:tcPr>
            <w:tcW w:w="6240" w:type="dxa"/>
            <w:vAlign w:val="bottom"/>
          </w:tcPr>
          <w:p>
            <w:pPr>
              <w:spacing w:after="0"/>
              <w:rPr>
                <w:sz w:val="23"/>
                <w:szCs w:val="23"/>
                <w:color w:val="auto"/>
              </w:rPr>
            </w:pPr>
          </w:p>
        </w:tc>
        <w:tc>
          <w:tcPr>
            <w:tcW w:w="1520" w:type="dxa"/>
            <w:vAlign w:val="bottom"/>
          </w:tcPr>
          <w:p>
            <w:pPr>
              <w:jc w:val="right"/>
              <w:ind w:right="437"/>
              <w:spacing w:after="0"/>
              <w:rPr>
                <w:sz w:val="20"/>
                <w:szCs w:val="20"/>
                <w:color w:val="auto"/>
              </w:rPr>
            </w:pPr>
            <w:r>
              <w:rPr>
                <w:rFonts w:ascii="Arial" w:cs="Arial" w:eastAsia="Arial" w:hAnsi="Arial"/>
                <w:sz w:val="14"/>
                <w:szCs w:val="14"/>
                <w:color w:val="auto"/>
              </w:rPr>
              <w:t>September 30,</w:t>
            </w:r>
          </w:p>
        </w:tc>
      </w:tr>
      <w:tr>
        <w:trPr>
          <w:trHeight w:val="188"/>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6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color w:val="auto"/>
              </w:rPr>
              <w:t>2019</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62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7"/>
              <w:spacing w:after="0"/>
              <w:rPr>
                <w:sz w:val="20"/>
                <w:szCs w:val="20"/>
                <w:color w:val="auto"/>
              </w:rPr>
            </w:pPr>
            <w:r>
              <w:rPr>
                <w:rFonts w:ascii="Arial" w:cs="Arial" w:eastAsia="Arial" w:hAnsi="Arial"/>
                <w:sz w:val="18"/>
                <w:szCs w:val="18"/>
                <w:color w:val="auto"/>
              </w:rPr>
              <w:t>1,589</w:t>
            </w:r>
          </w:p>
        </w:tc>
      </w:tr>
      <w:tr>
        <w:trPr>
          <w:trHeight w:val="270"/>
        </w:trPr>
        <w:tc>
          <w:tcPr>
            <w:tcW w:w="3660" w:type="dxa"/>
            <w:vAlign w:val="bottom"/>
          </w:tcPr>
          <w:p>
            <w:pPr>
              <w:ind w:left="40"/>
              <w:spacing w:after="0"/>
              <w:rPr>
                <w:sz w:val="20"/>
                <w:szCs w:val="20"/>
                <w:color w:val="auto"/>
              </w:rPr>
            </w:pPr>
            <w:r>
              <w:rPr>
                <w:rFonts w:ascii="Arial" w:cs="Arial" w:eastAsia="Arial" w:hAnsi="Arial"/>
                <w:sz w:val="18"/>
                <w:szCs w:val="18"/>
                <w:color w:val="auto"/>
                <w:w w:val="99"/>
              </w:rPr>
              <w:t>Accrued expenses and other current liabilities</w:t>
            </w:r>
          </w:p>
        </w:tc>
        <w:tc>
          <w:tcPr>
            <w:tcW w:w="62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7"/>
              <w:spacing w:after="0"/>
              <w:rPr>
                <w:sz w:val="20"/>
                <w:szCs w:val="20"/>
                <w:color w:val="auto"/>
              </w:rPr>
            </w:pPr>
            <w:r>
              <w:rPr>
                <w:rFonts w:ascii="Arial" w:cs="Arial" w:eastAsia="Arial" w:hAnsi="Arial"/>
                <w:sz w:val="18"/>
                <w:szCs w:val="18"/>
                <w:color w:val="auto"/>
              </w:rPr>
              <w:t>183</w:t>
            </w:r>
          </w:p>
        </w:tc>
      </w:tr>
      <w:tr>
        <w:trPr>
          <w:trHeight w:val="270"/>
        </w:trPr>
        <w:tc>
          <w:tcPr>
            <w:tcW w:w="36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62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7"/>
              <w:spacing w:after="0"/>
              <w:rPr>
                <w:sz w:val="20"/>
                <w:szCs w:val="20"/>
                <w:color w:val="auto"/>
              </w:rPr>
            </w:pPr>
            <w:r>
              <w:rPr>
                <w:rFonts w:ascii="Arial" w:cs="Arial" w:eastAsia="Arial" w:hAnsi="Arial"/>
                <w:sz w:val="18"/>
                <w:szCs w:val="18"/>
                <w:color w:val="auto"/>
              </w:rPr>
              <w:t>1,514</w:t>
            </w:r>
          </w:p>
        </w:tc>
      </w:tr>
      <w:tr>
        <w:trPr>
          <w:trHeight w:val="27"/>
        </w:trPr>
        <w:tc>
          <w:tcPr>
            <w:tcW w:w="3660" w:type="dxa"/>
            <w:vAlign w:val="bottom"/>
            <w:tcBorders>
              <w:bottom w:val="single" w:sz="8" w:color="auto"/>
            </w:tcBorders>
          </w:tcPr>
          <w:p>
            <w:pPr>
              <w:spacing w:after="0"/>
              <w:rPr>
                <w:sz w:val="2"/>
                <w:szCs w:val="2"/>
                <w:color w:val="auto"/>
              </w:rPr>
            </w:pPr>
          </w:p>
        </w:tc>
        <w:tc>
          <w:tcPr>
            <w:tcW w:w="6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our future minimum rental commitments for operating leases as of September 30, 2019 applying the new accounting guidance.</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520" w:type="dxa"/>
            <w:vAlign w:val="bottom"/>
          </w:tcPr>
          <w:p>
            <w:pPr>
              <w:jc w:val="right"/>
              <w:ind w:right="433"/>
              <w:spacing w:after="0"/>
              <w:rPr>
                <w:sz w:val="20"/>
                <w:szCs w:val="20"/>
                <w:color w:val="auto"/>
              </w:rPr>
            </w:pPr>
            <w:r>
              <w:rPr>
                <w:rFonts w:ascii="Arial" w:cs="Arial" w:eastAsia="Arial" w:hAnsi="Arial"/>
                <w:sz w:val="14"/>
                <w:szCs w:val="14"/>
                <w:color w:val="auto"/>
              </w:rPr>
              <w:t>September 30,</w:t>
            </w:r>
          </w:p>
        </w:tc>
      </w:tr>
      <w:tr>
        <w:trPr>
          <w:trHeight w:val="188"/>
        </w:trPr>
        <w:tc>
          <w:tcPr>
            <w:tcW w:w="6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7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color w:val="auto"/>
              </w:rPr>
              <w:t>2019</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Remaining three months of 2019</w:t>
            </w:r>
          </w:p>
        </w:tc>
        <w:tc>
          <w:tcPr>
            <w:tcW w:w="3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56</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2020</w:t>
            </w:r>
          </w:p>
        </w:tc>
        <w:tc>
          <w:tcPr>
            <w:tcW w:w="370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258</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2021</w:t>
            </w:r>
          </w:p>
        </w:tc>
        <w:tc>
          <w:tcPr>
            <w:tcW w:w="370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223</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2022</w:t>
            </w:r>
          </w:p>
        </w:tc>
        <w:tc>
          <w:tcPr>
            <w:tcW w:w="370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185</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2023</w:t>
            </w:r>
          </w:p>
        </w:tc>
        <w:tc>
          <w:tcPr>
            <w:tcW w:w="370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159</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70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1,473</w:t>
            </w:r>
          </w:p>
        </w:tc>
      </w:tr>
      <w:tr>
        <w:trPr>
          <w:trHeight w:val="27"/>
        </w:trPr>
        <w:tc>
          <w:tcPr>
            <w:tcW w:w="620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color w:val="auto"/>
              </w:rPr>
              <w:t>Total future minimum lease payments</w:t>
            </w:r>
          </w:p>
        </w:tc>
        <w:tc>
          <w:tcPr>
            <w:tcW w:w="3700" w:type="dxa"/>
            <w:vAlign w:val="bottom"/>
          </w:tcPr>
          <w:p>
            <w:pPr>
              <w:spacing w:after="0"/>
              <w:rPr>
                <w:sz w:val="20"/>
                <w:szCs w:val="20"/>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2,354</w:t>
            </w:r>
          </w:p>
        </w:tc>
      </w:tr>
      <w:tr>
        <w:trPr>
          <w:trHeight w:val="270"/>
        </w:trPr>
        <w:tc>
          <w:tcPr>
            <w:tcW w:w="620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370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657</w:t>
            </w:r>
          </w:p>
        </w:tc>
      </w:tr>
      <w:tr>
        <w:trPr>
          <w:trHeight w:val="27"/>
        </w:trPr>
        <w:tc>
          <w:tcPr>
            <w:tcW w:w="620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Total liability</w:t>
            </w:r>
          </w:p>
        </w:tc>
        <w:tc>
          <w:tcPr>
            <w:tcW w:w="37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13"/>
              <w:spacing w:after="0"/>
              <w:rPr>
                <w:sz w:val="20"/>
                <w:szCs w:val="20"/>
                <w:color w:val="auto"/>
              </w:rPr>
            </w:pPr>
            <w:r>
              <w:rPr>
                <w:rFonts w:ascii="Arial" w:cs="Arial" w:eastAsia="Arial" w:hAnsi="Arial"/>
                <w:sz w:val="18"/>
                <w:szCs w:val="18"/>
                <w:b w:val="1"/>
                <w:bCs w:val="1"/>
                <w:color w:val="auto"/>
              </w:rPr>
              <w:t>1,697</w:t>
            </w:r>
          </w:p>
        </w:tc>
      </w:tr>
      <w:tr>
        <w:trPr>
          <w:trHeight w:val="34"/>
        </w:trPr>
        <w:tc>
          <w:tcPr>
            <w:tcW w:w="620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weighted average remaining lease term for operating leases and the weighted average discount rate used to calculate our operating lease liabilities as of September 30, 2019 were 15 years and 4.10%, respectively.</w:t>
      </w:r>
    </w:p>
    <w:p>
      <w:pPr>
        <w:sectPr>
          <w:pgSz w:w="11900" w:h="16838" w:orient="portrait"/>
          <w:cols w:equalWidth="0" w:num="1">
            <w:col w:w="11420"/>
          </w:cols>
          <w:pgMar w:left="240" w:top="121"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1" w:right="2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2019, cash payments for operating leases recorded in the condensed consolidated balance sheet were $199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Leases that have not yet commenced and lease assets and liabilities associated with leases entered into during the period were not material.</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tables below summarize our future minimum rental commitments for operating leases as of December 31, 2018 and rent expense for operating leases for the three and nine months ended September 30, 2018 using the accounting guidance in effect at that time.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color w:val="auto"/>
                <w:w w:val="90"/>
              </w:rPr>
              <w:t>December 31,</w:t>
            </w:r>
          </w:p>
        </w:tc>
      </w:tr>
      <w:tr>
        <w:trPr>
          <w:trHeight w:val="188"/>
        </w:trPr>
        <w:tc>
          <w:tcPr>
            <w:tcW w:w="2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58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33"/>
              <w:spacing w:after="0"/>
              <w:rPr>
                <w:sz w:val="20"/>
                <w:szCs w:val="20"/>
                <w:color w:val="auto"/>
              </w:rPr>
            </w:pPr>
            <w:r>
              <w:rPr>
                <w:rFonts w:ascii="Arial" w:cs="Arial" w:eastAsia="Arial" w:hAnsi="Arial"/>
                <w:sz w:val="14"/>
                <w:szCs w:val="14"/>
                <w:color w:val="auto"/>
                <w:w w:val="89"/>
              </w:rPr>
              <w:t>2018</w:t>
            </w:r>
          </w:p>
        </w:tc>
      </w:tr>
      <w:tr>
        <w:trPr>
          <w:trHeight w:val="243"/>
        </w:trPr>
        <w:tc>
          <w:tcPr>
            <w:tcW w:w="2440" w:type="dxa"/>
            <w:vAlign w:val="bottom"/>
          </w:tcPr>
          <w:p>
            <w:pPr>
              <w:ind w:left="40"/>
              <w:spacing w:after="0"/>
              <w:rPr>
                <w:sz w:val="20"/>
                <w:szCs w:val="20"/>
                <w:color w:val="auto"/>
              </w:rPr>
            </w:pPr>
            <w:r>
              <w:rPr>
                <w:rFonts w:ascii="Arial" w:cs="Arial" w:eastAsia="Arial" w:hAnsi="Arial"/>
                <w:sz w:val="18"/>
                <w:szCs w:val="18"/>
                <w:color w:val="auto"/>
              </w:rPr>
              <w:t>2019</w:t>
            </w:r>
          </w:p>
        </w:tc>
        <w:tc>
          <w:tcPr>
            <w:tcW w:w="5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jc w:val="right"/>
              <w:ind w:right="414"/>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248</w:t>
            </w:r>
          </w:p>
        </w:tc>
      </w:tr>
      <w:tr>
        <w:trPr>
          <w:trHeight w:val="270"/>
        </w:trPr>
        <w:tc>
          <w:tcPr>
            <w:tcW w:w="2440" w:type="dxa"/>
            <w:vAlign w:val="bottom"/>
          </w:tcPr>
          <w:p>
            <w:pPr>
              <w:ind w:left="40"/>
              <w:spacing w:after="0"/>
              <w:rPr>
                <w:sz w:val="20"/>
                <w:szCs w:val="20"/>
                <w:color w:val="auto"/>
              </w:rPr>
            </w:pPr>
            <w:r>
              <w:rPr>
                <w:rFonts w:ascii="Arial" w:cs="Arial" w:eastAsia="Arial" w:hAnsi="Arial"/>
                <w:sz w:val="18"/>
                <w:szCs w:val="18"/>
                <w:color w:val="auto"/>
              </w:rPr>
              <w:t>2020</w:t>
            </w:r>
          </w:p>
        </w:tc>
        <w:tc>
          <w:tcPr>
            <w:tcW w:w="5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00" w:type="dxa"/>
            <w:vAlign w:val="bottom"/>
          </w:tcPr>
          <w:p>
            <w:pPr>
              <w:jc w:val="right"/>
              <w:ind w:right="414"/>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232</w:t>
            </w:r>
          </w:p>
        </w:tc>
      </w:tr>
      <w:tr>
        <w:trPr>
          <w:trHeight w:val="270"/>
        </w:trPr>
        <w:tc>
          <w:tcPr>
            <w:tcW w:w="2440" w:type="dxa"/>
            <w:vAlign w:val="bottom"/>
          </w:tcPr>
          <w:p>
            <w:pPr>
              <w:ind w:left="40"/>
              <w:spacing w:after="0"/>
              <w:rPr>
                <w:sz w:val="20"/>
                <w:szCs w:val="20"/>
                <w:color w:val="auto"/>
              </w:rPr>
            </w:pPr>
            <w:r>
              <w:rPr>
                <w:rFonts w:ascii="Arial" w:cs="Arial" w:eastAsia="Arial" w:hAnsi="Arial"/>
                <w:sz w:val="18"/>
                <w:szCs w:val="18"/>
                <w:color w:val="auto"/>
              </w:rPr>
              <w:t>2021</w:t>
            </w:r>
          </w:p>
        </w:tc>
        <w:tc>
          <w:tcPr>
            <w:tcW w:w="5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00" w:type="dxa"/>
            <w:vAlign w:val="bottom"/>
          </w:tcPr>
          <w:p>
            <w:pPr>
              <w:jc w:val="right"/>
              <w:ind w:right="414"/>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199</w:t>
            </w:r>
          </w:p>
        </w:tc>
      </w:tr>
      <w:tr>
        <w:trPr>
          <w:trHeight w:val="270"/>
        </w:trPr>
        <w:tc>
          <w:tcPr>
            <w:tcW w:w="2440" w:type="dxa"/>
            <w:vAlign w:val="bottom"/>
          </w:tcPr>
          <w:p>
            <w:pPr>
              <w:ind w:left="40"/>
              <w:spacing w:after="0"/>
              <w:rPr>
                <w:sz w:val="20"/>
                <w:szCs w:val="20"/>
                <w:color w:val="auto"/>
              </w:rPr>
            </w:pPr>
            <w:r>
              <w:rPr>
                <w:rFonts w:ascii="Arial" w:cs="Arial" w:eastAsia="Arial" w:hAnsi="Arial"/>
                <w:sz w:val="18"/>
                <w:szCs w:val="18"/>
                <w:color w:val="auto"/>
              </w:rPr>
              <w:t>2022</w:t>
            </w:r>
          </w:p>
        </w:tc>
        <w:tc>
          <w:tcPr>
            <w:tcW w:w="5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00" w:type="dxa"/>
            <w:vAlign w:val="bottom"/>
          </w:tcPr>
          <w:p>
            <w:pPr>
              <w:jc w:val="right"/>
              <w:ind w:right="414"/>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168</w:t>
            </w:r>
          </w:p>
        </w:tc>
      </w:tr>
      <w:tr>
        <w:trPr>
          <w:trHeight w:val="270"/>
        </w:trPr>
        <w:tc>
          <w:tcPr>
            <w:tcW w:w="2440" w:type="dxa"/>
            <w:vAlign w:val="bottom"/>
          </w:tcPr>
          <w:p>
            <w:pPr>
              <w:ind w:left="40"/>
              <w:spacing w:after="0"/>
              <w:rPr>
                <w:sz w:val="20"/>
                <w:szCs w:val="20"/>
                <w:color w:val="auto"/>
              </w:rPr>
            </w:pPr>
            <w:r>
              <w:rPr>
                <w:rFonts w:ascii="Arial" w:cs="Arial" w:eastAsia="Arial" w:hAnsi="Arial"/>
                <w:sz w:val="18"/>
                <w:szCs w:val="18"/>
                <w:color w:val="auto"/>
              </w:rPr>
              <w:t>2023</w:t>
            </w:r>
          </w:p>
        </w:tc>
        <w:tc>
          <w:tcPr>
            <w:tcW w:w="5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00" w:type="dxa"/>
            <w:vAlign w:val="bottom"/>
          </w:tcPr>
          <w:p>
            <w:pPr>
              <w:jc w:val="right"/>
              <w:ind w:right="414"/>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144</w:t>
            </w:r>
          </w:p>
        </w:tc>
      </w:tr>
      <w:tr>
        <w:trPr>
          <w:trHeight w:val="270"/>
        </w:trPr>
        <w:tc>
          <w:tcPr>
            <w:tcW w:w="24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00" w:type="dxa"/>
            <w:vAlign w:val="bottom"/>
          </w:tcPr>
          <w:p>
            <w:pPr>
              <w:jc w:val="right"/>
              <w:ind w:right="414"/>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1,380</w:t>
            </w:r>
          </w:p>
        </w:tc>
      </w:tr>
      <w:tr>
        <w:trPr>
          <w:trHeight w:val="27"/>
        </w:trPr>
        <w:tc>
          <w:tcPr>
            <w:tcW w:w="2440" w:type="dxa"/>
            <w:vAlign w:val="bottom"/>
            <w:tcBorders>
              <w:bottom w:val="single" w:sz="8" w:color="auto"/>
            </w:tcBorders>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r>
      <w:tr>
        <w:trPr>
          <w:trHeight w:val="339"/>
        </w:trPr>
        <w:tc>
          <w:tcPr>
            <w:tcW w:w="2440" w:type="dxa"/>
            <w:vAlign w:val="bottom"/>
          </w:tcPr>
          <w:p>
            <w:pPr>
              <w:spacing w:after="0"/>
              <w:rPr>
                <w:sz w:val="24"/>
                <w:szCs w:val="24"/>
                <w:color w:val="auto"/>
              </w:rPr>
            </w:pPr>
          </w:p>
        </w:tc>
        <w:tc>
          <w:tcPr>
            <w:tcW w:w="7300" w:type="dxa"/>
            <w:vAlign w:val="bottom"/>
            <w:gridSpan w:val="3"/>
          </w:tcPr>
          <w:p>
            <w:pPr>
              <w:jc w:val="right"/>
              <w:ind w:right="239"/>
              <w:spacing w:after="0"/>
              <w:rPr>
                <w:sz w:val="20"/>
                <w:szCs w:val="20"/>
                <w:color w:val="auto"/>
              </w:rPr>
            </w:pPr>
            <w:r>
              <w:rPr>
                <w:rFonts w:ascii="Arial" w:cs="Arial" w:eastAsia="Arial" w:hAnsi="Arial"/>
                <w:sz w:val="14"/>
                <w:szCs w:val="14"/>
                <w:color w:val="auto"/>
              </w:rPr>
              <w:t>Three Months Ended</w:t>
            </w:r>
          </w:p>
        </w:tc>
        <w:tc>
          <w:tcPr>
            <w:tcW w:w="1680" w:type="dxa"/>
            <w:vAlign w:val="bottom"/>
            <w:gridSpan w:val="2"/>
          </w:tcPr>
          <w:p>
            <w:pPr>
              <w:jc w:val="center"/>
              <w:spacing w:after="0"/>
              <w:rPr>
                <w:sz w:val="20"/>
                <w:szCs w:val="20"/>
                <w:color w:val="auto"/>
              </w:rPr>
            </w:pPr>
            <w:r>
              <w:rPr>
                <w:rFonts w:ascii="Arial" w:cs="Arial" w:eastAsia="Arial" w:hAnsi="Arial"/>
                <w:sz w:val="14"/>
                <w:szCs w:val="14"/>
                <w:color w:val="auto"/>
                <w:w w:val="94"/>
              </w:rPr>
              <w:t>Nine Months Ended</w:t>
            </w:r>
          </w:p>
        </w:tc>
      </w:tr>
      <w:tr>
        <w:trPr>
          <w:trHeight w:val="188"/>
        </w:trPr>
        <w:tc>
          <w:tcPr>
            <w:tcW w:w="2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730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4"/>
                <w:szCs w:val="14"/>
                <w:color w:val="auto"/>
              </w:rPr>
              <w:t>September 30, 2018</w:t>
            </w: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1"/>
              </w:rPr>
              <w:t>September 30, 2018</w:t>
            </w:r>
          </w:p>
        </w:tc>
      </w:tr>
      <w:tr>
        <w:trPr>
          <w:trHeight w:val="243"/>
        </w:trPr>
        <w:tc>
          <w:tcPr>
            <w:tcW w:w="2440" w:type="dxa"/>
            <w:vAlign w:val="bottom"/>
          </w:tcPr>
          <w:p>
            <w:pPr>
              <w:ind w:left="40"/>
              <w:spacing w:after="0"/>
              <w:rPr>
                <w:sz w:val="20"/>
                <w:szCs w:val="20"/>
                <w:color w:val="auto"/>
              </w:rPr>
            </w:pPr>
            <w:r>
              <w:rPr>
                <w:rFonts w:ascii="Arial" w:cs="Arial" w:eastAsia="Arial" w:hAnsi="Arial"/>
                <w:sz w:val="18"/>
                <w:szCs w:val="18"/>
                <w:color w:val="auto"/>
              </w:rPr>
              <w:t>Rental expense</w:t>
            </w:r>
          </w:p>
        </w:tc>
        <w:tc>
          <w:tcPr>
            <w:tcW w:w="58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ind w:right="159"/>
              <w:spacing w:after="0"/>
              <w:rPr>
                <w:sz w:val="20"/>
                <w:szCs w:val="20"/>
                <w:color w:val="auto"/>
              </w:rPr>
            </w:pPr>
            <w:r>
              <w:rPr>
                <w:rFonts w:ascii="Arial" w:cs="Arial" w:eastAsia="Arial" w:hAnsi="Arial"/>
                <w:sz w:val="18"/>
                <w:szCs w:val="18"/>
                <w:color w:val="auto"/>
              </w:rPr>
              <w:t>69</w:t>
            </w:r>
          </w:p>
        </w:tc>
        <w:tc>
          <w:tcPr>
            <w:tcW w:w="700" w:type="dxa"/>
            <w:vAlign w:val="bottom"/>
          </w:tcPr>
          <w:p>
            <w:pPr>
              <w:jc w:val="right"/>
              <w:ind w:right="414"/>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212</w:t>
            </w:r>
          </w:p>
        </w:tc>
      </w:tr>
      <w:tr>
        <w:trPr>
          <w:trHeight w:val="27"/>
        </w:trPr>
        <w:tc>
          <w:tcPr>
            <w:tcW w:w="2440" w:type="dxa"/>
            <w:vAlign w:val="bottom"/>
            <w:tcBorders>
              <w:bottom w:val="single" w:sz="8" w:color="auto"/>
            </w:tcBorders>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655"/>
        </w:trPr>
        <w:tc>
          <w:tcPr>
            <w:tcW w:w="2440" w:type="dxa"/>
            <w:vAlign w:val="bottom"/>
          </w:tcPr>
          <w:p>
            <w:pPr>
              <w:spacing w:after="0"/>
              <w:rPr>
                <w:sz w:val="24"/>
                <w:szCs w:val="24"/>
                <w:color w:val="auto"/>
              </w:rPr>
            </w:pPr>
          </w:p>
        </w:tc>
        <w:tc>
          <w:tcPr>
            <w:tcW w:w="6160" w:type="dxa"/>
            <w:vAlign w:val="bottom"/>
            <w:gridSpan w:val="2"/>
          </w:tcPr>
          <w:p>
            <w:pPr>
              <w:jc w:val="right"/>
              <w:ind w:right="920"/>
              <w:spacing w:after="0"/>
              <w:rPr>
                <w:sz w:val="20"/>
                <w:szCs w:val="20"/>
                <w:color w:val="auto"/>
              </w:rPr>
            </w:pPr>
            <w:r>
              <w:rPr>
                <w:rFonts w:ascii="Arial" w:cs="Arial" w:eastAsia="Arial" w:hAnsi="Arial"/>
                <w:sz w:val="18"/>
                <w:szCs w:val="18"/>
                <w:b w:val="1"/>
                <w:bCs w:val="1"/>
                <w:color w:val="auto"/>
              </w:rPr>
              <w:t>Cash Payments for Interest and Income Taxes</w:t>
            </w: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6"/>
        </w:trPr>
        <w:tc>
          <w:tcPr>
            <w:tcW w:w="244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980" w:type="dxa"/>
            <w:vAlign w:val="bottom"/>
          </w:tcPr>
          <w:p>
            <w:pPr>
              <w:spacing w:after="0"/>
              <w:rPr>
                <w:sz w:val="24"/>
                <w:szCs w:val="24"/>
                <w:color w:val="auto"/>
              </w:rPr>
            </w:pPr>
          </w:p>
        </w:tc>
      </w:tr>
      <w:tr>
        <w:trPr>
          <w:trHeight w:val="188"/>
        </w:trPr>
        <w:tc>
          <w:tcPr>
            <w:tcW w:w="244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14"/>
                <w:szCs w:val="14"/>
                <w:color w:val="auto"/>
              </w:rPr>
              <w:t>September 30</w:t>
            </w:r>
          </w:p>
        </w:tc>
        <w:tc>
          <w:tcPr>
            <w:tcW w:w="980" w:type="dxa"/>
            <w:vAlign w:val="bottom"/>
            <w:tcBorders>
              <w:bottom w:val="single" w:sz="8" w:color="auto"/>
            </w:tcBorders>
          </w:tcPr>
          <w:p>
            <w:pPr>
              <w:spacing w:after="0"/>
              <w:rPr>
                <w:sz w:val="16"/>
                <w:szCs w:val="16"/>
                <w:color w:val="auto"/>
              </w:rPr>
            </w:pPr>
          </w:p>
        </w:tc>
      </w:tr>
      <w:tr>
        <w:trPr>
          <w:trHeight w:val="264"/>
        </w:trPr>
        <w:tc>
          <w:tcPr>
            <w:tcW w:w="2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58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color w:val="auto"/>
              </w:rPr>
              <w:t>2019</w:t>
            </w:r>
          </w:p>
        </w:tc>
        <w:tc>
          <w:tcPr>
            <w:tcW w:w="7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2018</w:t>
            </w:r>
          </w:p>
        </w:tc>
      </w:tr>
      <w:tr>
        <w:trPr>
          <w:trHeight w:val="243"/>
        </w:trPr>
        <w:tc>
          <w:tcPr>
            <w:tcW w:w="2440" w:type="dxa"/>
            <w:vAlign w:val="bottom"/>
          </w:tcPr>
          <w:p>
            <w:pPr>
              <w:ind w:left="40"/>
              <w:spacing w:after="0"/>
              <w:rPr>
                <w:sz w:val="20"/>
                <w:szCs w:val="20"/>
                <w:color w:val="auto"/>
              </w:rPr>
            </w:pPr>
            <w:r>
              <w:rPr>
                <w:rFonts w:ascii="Arial" w:cs="Arial" w:eastAsia="Arial" w:hAnsi="Arial"/>
                <w:sz w:val="18"/>
                <w:szCs w:val="18"/>
                <w:color w:val="auto"/>
              </w:rPr>
              <w:t>Interest</w:t>
            </w:r>
          </w:p>
        </w:tc>
        <w:tc>
          <w:tcPr>
            <w:tcW w:w="6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314</w:t>
            </w:r>
          </w:p>
        </w:tc>
        <w:tc>
          <w:tcPr>
            <w:tcW w:w="70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253</w:t>
            </w:r>
          </w:p>
        </w:tc>
      </w:tr>
      <w:tr>
        <w:trPr>
          <w:trHeight w:val="270"/>
        </w:trPr>
        <w:tc>
          <w:tcPr>
            <w:tcW w:w="244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6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292</w:t>
            </w:r>
          </w:p>
        </w:tc>
        <w:tc>
          <w:tcPr>
            <w:tcW w:w="70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373</w:t>
            </w:r>
          </w:p>
        </w:tc>
      </w:tr>
      <w:tr>
        <w:trPr>
          <w:trHeight w:val="27"/>
        </w:trPr>
        <w:tc>
          <w:tcPr>
            <w:tcW w:w="2440" w:type="dxa"/>
            <w:vAlign w:val="bottom"/>
            <w:tcBorders>
              <w:bottom w:val="single" w:sz="8" w:color="auto"/>
            </w:tcBorders>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Activities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2019, we acquired $755 million of property and equipment and intangible assets that were accrued but unpaid.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in the condensed consolidated balance sheet to the total of the amounts reported in our condensed consolidated statement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jc w:val="center"/>
              <w:ind w:right="237"/>
              <w:spacing w:after="0"/>
              <w:rPr>
                <w:sz w:val="20"/>
                <w:szCs w:val="20"/>
                <w:color w:val="auto"/>
              </w:rPr>
            </w:pPr>
            <w:r>
              <w:rPr>
                <w:rFonts w:ascii="Arial" w:cs="Arial" w:eastAsia="Arial" w:hAnsi="Arial"/>
                <w:sz w:val="14"/>
                <w:szCs w:val="14"/>
                <w:color w:val="auto"/>
                <w:w w:val="91"/>
              </w:rPr>
              <w:t>September 30,</w:t>
            </w:r>
          </w:p>
        </w:tc>
        <w:tc>
          <w:tcPr>
            <w:tcW w:w="360" w:type="dxa"/>
            <w:vAlign w:val="bottom"/>
          </w:tcPr>
          <w:p>
            <w:pPr>
              <w:spacing w:after="0"/>
              <w:rPr>
                <w:sz w:val="14"/>
                <w:szCs w:val="14"/>
                <w:color w:val="auto"/>
              </w:rPr>
            </w:pPr>
          </w:p>
        </w:tc>
        <w:tc>
          <w:tcPr>
            <w:tcW w:w="1260" w:type="dxa"/>
            <w:vAlign w:val="bottom"/>
          </w:tcPr>
          <w:p>
            <w:pPr>
              <w:jc w:val="center"/>
              <w:ind w:right="177"/>
              <w:spacing w:after="0"/>
              <w:rPr>
                <w:sz w:val="20"/>
                <w:szCs w:val="20"/>
                <w:color w:val="auto"/>
              </w:rPr>
            </w:pPr>
            <w:r>
              <w:rPr>
                <w:rFonts w:ascii="Arial" w:cs="Arial" w:eastAsia="Arial" w:hAnsi="Arial"/>
                <w:sz w:val="14"/>
                <w:szCs w:val="14"/>
                <w:color w:val="auto"/>
                <w:w w:val="90"/>
              </w:rPr>
              <w:t>December 31,</w:t>
            </w:r>
          </w:p>
        </w:tc>
      </w:tr>
      <w:tr>
        <w:trPr>
          <w:trHeight w:val="188"/>
        </w:trPr>
        <w:tc>
          <w:tcPr>
            <w:tcW w:w="8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color w:val="auto"/>
                <w:w w:val="89"/>
              </w:rPr>
              <w:t>2019</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color w:val="auto"/>
                <w:w w:val="89"/>
              </w:rPr>
              <w:t>2018</w:t>
            </w: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7"/>
              <w:spacing w:after="0"/>
              <w:rPr>
                <w:sz w:val="20"/>
                <w:szCs w:val="20"/>
                <w:color w:val="auto"/>
              </w:rPr>
            </w:pPr>
            <w:r>
              <w:rPr>
                <w:rFonts w:ascii="Arial" w:cs="Arial" w:eastAsia="Arial" w:hAnsi="Arial"/>
                <w:sz w:val="18"/>
                <w:szCs w:val="18"/>
                <w:color w:val="auto"/>
              </w:rPr>
              <w:t>1,157</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1,444</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Restricted cash included in other noncurrent assets, net</w:t>
            </w:r>
          </w:p>
        </w:tc>
        <w:tc>
          <w:tcPr>
            <w:tcW w:w="380" w:type="dxa"/>
            <w:vAlign w:val="bottom"/>
          </w:tcPr>
          <w:p>
            <w:pPr>
              <w:spacing w:after="0"/>
              <w:rPr>
                <w:sz w:val="23"/>
                <w:szCs w:val="23"/>
                <w:color w:val="auto"/>
              </w:rPr>
            </w:pPr>
          </w:p>
        </w:tc>
        <w:tc>
          <w:tcPr>
            <w:tcW w:w="1360" w:type="dxa"/>
            <w:vAlign w:val="bottom"/>
          </w:tcPr>
          <w:p>
            <w:pPr>
              <w:jc w:val="right"/>
              <w:ind w:right="97"/>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3"/>
                <w:szCs w:val="23"/>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20</w:t>
            </w:r>
          </w:p>
        </w:tc>
      </w:tr>
      <w:tr>
        <w:trPr>
          <w:trHeight w:val="27"/>
        </w:trPr>
        <w:tc>
          <w:tcPr>
            <w:tcW w:w="8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97"/>
              <w:spacing w:after="0"/>
              <w:rPr>
                <w:sz w:val="20"/>
                <w:szCs w:val="20"/>
                <w:color w:val="auto"/>
              </w:rPr>
            </w:pPr>
            <w:r>
              <w:rPr>
                <w:rFonts w:ascii="Arial" w:cs="Arial" w:eastAsia="Arial" w:hAnsi="Arial"/>
                <w:sz w:val="18"/>
                <w:szCs w:val="18"/>
                <w:b w:val="1"/>
                <w:bCs w:val="1"/>
                <w:color w:val="auto"/>
              </w:rPr>
              <w:t>1,177</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b w:val="1"/>
                <w:bCs w:val="1"/>
                <w:color w:val="auto"/>
              </w:rPr>
              <w:t>1,464</w:t>
            </w:r>
          </w:p>
        </w:tc>
      </w:tr>
      <w:tr>
        <w:trPr>
          <w:trHeight w:val="34"/>
        </w:trPr>
        <w:tc>
          <w:tcPr>
            <w:tcW w:w="8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621"/>
        </w:trPr>
        <w:tc>
          <w:tcPr>
            <w:tcW w:w="8060" w:type="dxa"/>
            <w:vAlign w:val="bottom"/>
          </w:tcPr>
          <w:p>
            <w:pPr>
              <w:ind w:left="3540"/>
              <w:spacing w:after="0"/>
              <w:rPr>
                <w:sz w:val="20"/>
                <w:szCs w:val="20"/>
                <w:color w:val="auto"/>
              </w:rPr>
            </w:pPr>
            <w:r>
              <w:rPr>
                <w:rFonts w:ascii="Arial" w:cs="Arial" w:eastAsia="Arial" w:hAnsi="Arial"/>
                <w:sz w:val="18"/>
                <w:szCs w:val="18"/>
                <w:b w:val="1"/>
                <w:bCs w:val="1"/>
                <w:color w:val="auto"/>
              </w:rPr>
              <w:t>Accumulated Other Comprehensive Income (Loss)</w:t>
            </w: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2"/>
        </w:trPr>
        <w:tc>
          <w:tcPr>
            <w:tcW w:w="8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jc w:val="center"/>
              <w:ind w:right="237"/>
              <w:spacing w:after="0"/>
              <w:rPr>
                <w:sz w:val="20"/>
                <w:szCs w:val="20"/>
                <w:color w:val="auto"/>
              </w:rPr>
            </w:pPr>
            <w:r>
              <w:rPr>
                <w:rFonts w:ascii="Arial" w:cs="Arial" w:eastAsia="Arial" w:hAnsi="Arial"/>
                <w:sz w:val="14"/>
                <w:szCs w:val="14"/>
                <w:color w:val="auto"/>
                <w:w w:val="91"/>
              </w:rPr>
              <w:t>September 30,</w:t>
            </w:r>
          </w:p>
        </w:tc>
        <w:tc>
          <w:tcPr>
            <w:tcW w:w="360" w:type="dxa"/>
            <w:vAlign w:val="bottom"/>
          </w:tcPr>
          <w:p>
            <w:pPr>
              <w:spacing w:after="0"/>
              <w:rPr>
                <w:sz w:val="24"/>
                <w:szCs w:val="24"/>
                <w:color w:val="auto"/>
              </w:rPr>
            </w:pPr>
          </w:p>
        </w:tc>
        <w:tc>
          <w:tcPr>
            <w:tcW w:w="1260" w:type="dxa"/>
            <w:vAlign w:val="bottom"/>
          </w:tcPr>
          <w:p>
            <w:pPr>
              <w:jc w:val="center"/>
              <w:ind w:right="157"/>
              <w:spacing w:after="0"/>
              <w:rPr>
                <w:sz w:val="20"/>
                <w:szCs w:val="20"/>
                <w:color w:val="auto"/>
              </w:rPr>
            </w:pPr>
            <w:r>
              <w:rPr>
                <w:rFonts w:ascii="Arial" w:cs="Arial" w:eastAsia="Arial" w:hAnsi="Arial"/>
                <w:sz w:val="14"/>
                <w:szCs w:val="14"/>
                <w:color w:val="auto"/>
                <w:w w:val="89"/>
              </w:rPr>
              <w:t>September 30,</w:t>
            </w:r>
          </w:p>
        </w:tc>
      </w:tr>
      <w:tr>
        <w:trPr>
          <w:trHeight w:val="188"/>
        </w:trPr>
        <w:tc>
          <w:tcPr>
            <w:tcW w:w="8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color w:val="auto"/>
                <w:w w:val="89"/>
              </w:rPr>
              <w:t>2019</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color w:val="auto"/>
                <w:w w:val="89"/>
              </w:rPr>
              <w:t>2018</w:t>
            </w: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7"/>
              <w:spacing w:after="0"/>
              <w:rPr>
                <w:sz w:val="20"/>
                <w:szCs w:val="20"/>
                <w:color w:val="auto"/>
              </w:rPr>
            </w:pPr>
            <w:r>
              <w:rPr>
                <w:rFonts w:ascii="Arial" w:cs="Arial" w:eastAsia="Arial" w:hAnsi="Arial"/>
                <w:sz w:val="18"/>
                <w:szCs w:val="18"/>
                <w:color w:val="auto"/>
              </w:rPr>
              <w:t>9</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5</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Unrecognized gains (losses) on employee benefit obligations</w:t>
            </w:r>
          </w:p>
        </w:tc>
        <w:tc>
          <w:tcPr>
            <w:tcW w:w="380" w:type="dxa"/>
            <w:vAlign w:val="bottom"/>
          </w:tcPr>
          <w:p>
            <w:pPr>
              <w:spacing w:after="0"/>
              <w:rPr>
                <w:sz w:val="23"/>
                <w:szCs w:val="23"/>
                <w:color w:val="auto"/>
              </w:rPr>
            </w:pPr>
          </w:p>
        </w:tc>
        <w:tc>
          <w:tcPr>
            <w:tcW w:w="1360" w:type="dxa"/>
            <w:vAlign w:val="bottom"/>
          </w:tcPr>
          <w:p>
            <w:pPr>
              <w:jc w:val="right"/>
              <w:ind w:right="97"/>
              <w:spacing w:after="0"/>
              <w:rPr>
                <w:sz w:val="20"/>
                <w:szCs w:val="20"/>
                <w:color w:val="auto"/>
              </w:rPr>
            </w:pPr>
            <w:r>
              <w:rPr>
                <w:rFonts w:ascii="Arial" w:cs="Arial" w:eastAsia="Arial" w:hAnsi="Arial"/>
                <w:sz w:val="18"/>
                <w:szCs w:val="18"/>
                <w:color w:val="auto"/>
              </w:rPr>
              <w:t>131</w:t>
            </w:r>
          </w:p>
        </w:tc>
        <w:tc>
          <w:tcPr>
            <w:tcW w:w="360" w:type="dxa"/>
            <w:vAlign w:val="bottom"/>
          </w:tcPr>
          <w:p>
            <w:pPr>
              <w:spacing w:after="0"/>
              <w:rPr>
                <w:sz w:val="23"/>
                <w:szCs w:val="23"/>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115</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Cumulative translation adjustments</w:t>
            </w:r>
          </w:p>
        </w:tc>
        <w:tc>
          <w:tcPr>
            <w:tcW w:w="380" w:type="dxa"/>
            <w:vAlign w:val="bottom"/>
          </w:tcPr>
          <w:p>
            <w:pPr>
              <w:spacing w:after="0"/>
              <w:rPr>
                <w:sz w:val="23"/>
                <w:szCs w:val="23"/>
                <w:color w:val="auto"/>
              </w:rPr>
            </w:pPr>
          </w:p>
        </w:tc>
        <w:tc>
          <w:tcPr>
            <w:tcW w:w="1360" w:type="dxa"/>
            <w:vAlign w:val="bottom"/>
          </w:tcPr>
          <w:p>
            <w:pPr>
              <w:jc w:val="right"/>
              <w:ind w:right="97"/>
              <w:spacing w:after="0"/>
              <w:rPr>
                <w:sz w:val="20"/>
                <w:szCs w:val="20"/>
                <w:color w:val="auto"/>
              </w:rPr>
            </w:pPr>
            <w:r>
              <w:rPr>
                <w:rFonts w:ascii="Arial" w:cs="Arial" w:eastAsia="Arial" w:hAnsi="Arial"/>
                <w:sz w:val="18"/>
                <w:szCs w:val="18"/>
                <w:color w:val="auto"/>
              </w:rPr>
              <w:t>143</w:t>
            </w: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8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income (loss)</w:t>
            </w: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97"/>
              <w:spacing w:after="0"/>
              <w:rPr>
                <w:sz w:val="20"/>
                <w:szCs w:val="20"/>
                <w:color w:val="auto"/>
              </w:rPr>
            </w:pPr>
            <w:r>
              <w:rPr>
                <w:rFonts w:ascii="Arial" w:cs="Arial" w:eastAsia="Arial" w:hAnsi="Arial"/>
                <w:sz w:val="18"/>
                <w:szCs w:val="18"/>
                <w:b w:val="1"/>
                <w:bCs w:val="1"/>
                <w:color w:val="auto"/>
              </w:rPr>
              <w:t>283</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b w:val="1"/>
                <w:bCs w:val="1"/>
                <w:color w:val="auto"/>
              </w:rPr>
              <w:t>98</w:t>
            </w:r>
          </w:p>
        </w:tc>
      </w:tr>
      <w:tr>
        <w:trPr>
          <w:trHeight w:val="34"/>
        </w:trPr>
        <w:tc>
          <w:tcPr>
            <w:tcW w:w="8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Related Party Transactions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 the ordinary course of our business, we enter into transactions with Comcast.</w:t>
      </w:r>
    </w:p>
    <w:p>
      <w:pPr>
        <w:spacing w:after="0" w:line="7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generate revenue from Comcast primarily from the distribution of our cable network programming, the fees received under retransmission consent agreements in our Broadcast Television segment and, to a lesser extent, the sale of advertising and our owned programming, and we incur expenses primarily related to advertising and various support services provided by Comcast to us.</w:t>
      </w:r>
    </w:p>
    <w:p>
      <w:pPr>
        <w:sectPr>
          <w:pgSz w:w="11900" w:h="16838" w:orient="portrait"/>
          <w:cols w:equalWidth="0" w:num="1">
            <w:col w:w="11420"/>
          </w:cols>
          <w:pgMar w:left="240" w:top="121" w:right="239" w:bottom="1440" w:gutter="0" w:footer="0" w:header="0"/>
        </w:sect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21" w:right="2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part of the Comcast cash management process, we and Comcast have a revolving credit agreement with a maturity date of 2026 that allows us to borrow from Comcast and for Comcast to borrow from us up to $5 billion. Depending on the receivable or payable position, amounts owed by us to Comcast or to us by Comcast under the revolving credit agreements are presented under the captions “notes payable to Comcast” and “notes receivable from Comcast,” respectively, in our condensed consolidated balance sheet and are presented as current since the amounts include daily borrowings and repayments throughout the year based on our working capital needs.</w:t>
      </w:r>
    </w:p>
    <w:p>
      <w:pPr>
        <w:spacing w:after="0" w:line="13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the third quarter of 2019, using a portion of the proceeds from a collateralized obligation, we issued $1.3 billion of non-interest bearing notes due 2024 to Comcast, repaid $1.0 billion under our revolving credit agreement with Comcast, and repaid the $610 million 4.00% notes due 2049 to Comcast.</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Comcast is also the counterparty to one of our contractual obligations. As of September 30, 2019, the carrying value of the liability associated with this contractual obligation was $383 million.</w:t>
      </w:r>
    </w:p>
    <w:p>
      <w:pPr>
        <w:spacing w:after="0" w:line="116" w:lineRule="exact"/>
        <w:rPr>
          <w:sz w:val="20"/>
          <w:szCs w:val="20"/>
          <w:color w:val="auto"/>
        </w:rPr>
      </w:pPr>
    </w:p>
    <w:p>
      <w:pPr>
        <w:jc w:val="center"/>
        <w:ind w:right="40"/>
        <w:spacing w:after="0" w:line="435" w:lineRule="auto"/>
        <w:rPr>
          <w:sz w:val="20"/>
          <w:szCs w:val="20"/>
          <w:color w:val="auto"/>
        </w:rPr>
      </w:pPr>
      <w:r>
        <w:rPr>
          <w:rFonts w:ascii="Arial" w:cs="Arial" w:eastAsia="Arial" w:hAnsi="Arial"/>
          <w:sz w:val="18"/>
          <w:szCs w:val="18"/>
          <w:color w:val="auto"/>
        </w:rPr>
        <w:t xml:space="preserve">The following tables present transactions with Comcast and its consolidated subsidiaries that are included in our condensed consolidated financial statements. </w:t>
      </w:r>
      <w:r>
        <w:rPr>
          <w:rFonts w:ascii="Arial" w:cs="Arial" w:eastAsia="Arial" w:hAnsi="Arial"/>
          <w:sz w:val="18"/>
          <w:szCs w:val="18"/>
          <w:b w:val="1"/>
          <w:bCs w:val="1"/>
          <w:color w:val="auto"/>
        </w:rPr>
        <w:t>Condensed Consolidated Statement of Income</w:t>
      </w:r>
    </w:p>
    <w:tbl>
      <w:tblPr>
        <w:tblLayout w:type="fixed"/>
        <w:tblInd w:w="0" w:type="dxa"/>
        <w:tblCellMar>
          <w:top w:w="0" w:type="dxa"/>
          <w:left w:w="0" w:type="dxa"/>
          <w:bottom w:w="0" w:type="dxa"/>
          <w:right w:w="0" w:type="dxa"/>
        </w:tblCellMar>
      </w:tblPr>
      <w:tr>
        <w:trPr>
          <w:trHeight w:val="150"/>
        </w:trPr>
        <w:tc>
          <w:tcPr>
            <w:tcW w:w="5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40" w:type="dxa"/>
            <w:vAlign w:val="bottom"/>
            <w:gridSpan w:val="2"/>
          </w:tcPr>
          <w:p>
            <w:pPr>
              <w:jc w:val="right"/>
              <w:ind w:right="234"/>
              <w:spacing w:after="0" w:line="150" w:lineRule="exact"/>
              <w:rPr>
                <w:sz w:val="20"/>
                <w:szCs w:val="20"/>
                <w:color w:val="auto"/>
              </w:rPr>
            </w:pPr>
            <w:r>
              <w:rPr>
                <w:rFonts w:ascii="Arial" w:cs="Arial" w:eastAsia="Arial" w:hAnsi="Arial"/>
                <w:sz w:val="14"/>
                <w:szCs w:val="14"/>
                <w:color w:val="auto"/>
                <w:w w:val="91"/>
              </w:rPr>
              <w:t>Three Months Ended</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80" w:type="dxa"/>
            <w:vAlign w:val="bottom"/>
            <w:gridSpan w:val="3"/>
          </w:tcPr>
          <w:p>
            <w:pPr>
              <w:jc w:val="right"/>
              <w:ind w:right="693"/>
              <w:spacing w:after="0" w:line="150" w:lineRule="exact"/>
              <w:rPr>
                <w:sz w:val="20"/>
                <w:szCs w:val="20"/>
                <w:color w:val="auto"/>
              </w:rPr>
            </w:pPr>
            <w:r>
              <w:rPr>
                <w:rFonts w:ascii="Arial" w:cs="Arial" w:eastAsia="Arial" w:hAnsi="Arial"/>
                <w:sz w:val="14"/>
                <w:szCs w:val="14"/>
                <w:color w:val="auto"/>
              </w:rPr>
              <w:t>Nine Months Ended</w:t>
            </w:r>
          </w:p>
        </w:tc>
      </w:tr>
      <w:tr>
        <w:trPr>
          <w:trHeight w:val="188"/>
        </w:trPr>
        <w:tc>
          <w:tcPr>
            <w:tcW w:w="57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454"/>
              <w:spacing w:after="0"/>
              <w:rPr>
                <w:sz w:val="20"/>
                <w:szCs w:val="20"/>
                <w:color w:val="auto"/>
              </w:rPr>
            </w:pPr>
            <w:r>
              <w:rPr>
                <w:rFonts w:ascii="Arial" w:cs="Arial" w:eastAsia="Arial" w:hAnsi="Arial"/>
                <w:sz w:val="14"/>
                <w:szCs w:val="14"/>
                <w:color w:val="auto"/>
              </w:rPr>
              <w:t>September 30</w:t>
            </w:r>
          </w:p>
        </w:tc>
        <w:tc>
          <w:tcPr>
            <w:tcW w:w="5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873"/>
              <w:spacing w:after="0"/>
              <w:rPr>
                <w:sz w:val="20"/>
                <w:szCs w:val="20"/>
                <w:color w:val="auto"/>
              </w:rPr>
            </w:pPr>
            <w:r>
              <w:rPr>
                <w:rFonts w:ascii="Arial" w:cs="Arial" w:eastAsia="Arial" w:hAnsi="Arial"/>
                <w:sz w:val="14"/>
                <w:szCs w:val="14"/>
                <w:color w:val="auto"/>
              </w:rPr>
              <w:t>September 30</w:t>
            </w:r>
          </w:p>
        </w:tc>
      </w:tr>
      <w:tr>
        <w:trPr>
          <w:trHeight w:val="264"/>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6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5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rPr>
              <w:t>2019</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2018</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Revenue</w:t>
            </w:r>
          </w:p>
        </w:tc>
        <w:tc>
          <w:tcPr>
            <w:tcW w:w="780" w:type="dxa"/>
            <w:vAlign w:val="bottom"/>
          </w:tcPr>
          <w:p>
            <w:pPr>
              <w:jc w:val="right"/>
              <w:ind w:right="57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7"/>
              <w:spacing w:after="0"/>
              <w:rPr>
                <w:sz w:val="20"/>
                <w:szCs w:val="20"/>
                <w:color w:val="auto"/>
              </w:rPr>
            </w:pPr>
            <w:r>
              <w:rPr>
                <w:rFonts w:ascii="Arial" w:cs="Arial" w:eastAsia="Arial" w:hAnsi="Arial"/>
                <w:sz w:val="18"/>
                <w:szCs w:val="18"/>
                <w:color w:val="auto"/>
              </w:rPr>
              <w:t>597</w:t>
            </w:r>
          </w:p>
        </w:tc>
        <w:tc>
          <w:tcPr>
            <w:tcW w:w="940" w:type="dxa"/>
            <w:vAlign w:val="bottom"/>
          </w:tcPr>
          <w:p>
            <w:pPr>
              <w:jc w:val="right"/>
              <w:ind w:right="614"/>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w w:val="99"/>
              </w:rPr>
              <w:t>506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1,808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1,580</w:t>
            </w: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Total costs and expenses</w:t>
            </w:r>
          </w:p>
        </w:tc>
        <w:tc>
          <w:tcPr>
            <w:tcW w:w="780" w:type="dxa"/>
            <w:vAlign w:val="bottom"/>
          </w:tcPr>
          <w:p>
            <w:pPr>
              <w:jc w:val="right"/>
              <w:ind w:right="57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57"/>
              <w:spacing w:after="0"/>
              <w:rPr>
                <w:sz w:val="20"/>
                <w:szCs w:val="20"/>
                <w:color w:val="auto"/>
              </w:rPr>
            </w:pPr>
            <w:r>
              <w:rPr>
                <w:rFonts w:ascii="Arial" w:cs="Arial" w:eastAsia="Arial" w:hAnsi="Arial"/>
                <w:sz w:val="18"/>
                <w:szCs w:val="18"/>
                <w:color w:val="auto"/>
              </w:rPr>
              <w:t>(73)</w:t>
            </w:r>
          </w:p>
        </w:tc>
        <w:tc>
          <w:tcPr>
            <w:tcW w:w="940" w:type="dxa"/>
            <w:vAlign w:val="bottom"/>
          </w:tcPr>
          <w:p>
            <w:pPr>
              <w:jc w:val="right"/>
              <w:ind w:right="614"/>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(59)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(198)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Interest expense and investment and other income (loss), net</w:t>
            </w:r>
          </w:p>
        </w:tc>
        <w:tc>
          <w:tcPr>
            <w:tcW w:w="780" w:type="dxa"/>
            <w:vAlign w:val="bottom"/>
          </w:tcPr>
          <w:p>
            <w:pPr>
              <w:jc w:val="right"/>
              <w:ind w:right="57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57"/>
              <w:spacing w:after="0"/>
              <w:rPr>
                <w:sz w:val="20"/>
                <w:szCs w:val="20"/>
                <w:color w:val="auto"/>
              </w:rPr>
            </w:pPr>
            <w:r>
              <w:rPr>
                <w:rFonts w:ascii="Arial" w:cs="Arial" w:eastAsia="Arial" w:hAnsi="Arial"/>
                <w:sz w:val="18"/>
                <w:szCs w:val="18"/>
                <w:color w:val="auto"/>
              </w:rPr>
              <w:t>(162)</w:t>
            </w:r>
          </w:p>
        </w:tc>
        <w:tc>
          <w:tcPr>
            <w:tcW w:w="940" w:type="dxa"/>
            <w:vAlign w:val="bottom"/>
          </w:tcPr>
          <w:p>
            <w:pPr>
              <w:jc w:val="right"/>
              <w:ind w:right="614"/>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(148)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8040" w:type="dxa"/>
            <w:vAlign w:val="bottom"/>
            <w:tcBorders>
              <w:bottom w:val="single" w:sz="8" w:color="auto"/>
            </w:tcBorders>
            <w:gridSpan w:val="4"/>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426"/>
        </w:trPr>
        <w:tc>
          <w:tcPr>
            <w:tcW w:w="8040" w:type="dxa"/>
            <w:vAlign w:val="bottom"/>
            <w:gridSpan w:val="4"/>
          </w:tcPr>
          <w:p>
            <w:pPr>
              <w:ind w:left="3980"/>
              <w:spacing w:after="0"/>
              <w:rPr>
                <w:sz w:val="20"/>
                <w:szCs w:val="20"/>
                <w:color w:val="auto"/>
              </w:rPr>
            </w:pPr>
            <w:r>
              <w:rPr>
                <w:rFonts w:ascii="Arial" w:cs="Arial" w:eastAsia="Arial" w:hAnsi="Arial"/>
                <w:sz w:val="18"/>
                <w:szCs w:val="18"/>
                <w:b w:val="1"/>
                <w:bCs w:val="1"/>
                <w:color w:val="auto"/>
              </w:rPr>
              <w:t>Condensed Consolidated Balance Sheet</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5"/>
        </w:trPr>
        <w:tc>
          <w:tcPr>
            <w:tcW w:w="5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235"/>
              <w:spacing w:after="0"/>
              <w:rPr>
                <w:sz w:val="20"/>
                <w:szCs w:val="20"/>
                <w:color w:val="auto"/>
              </w:rPr>
            </w:pPr>
            <w:r>
              <w:rPr>
                <w:rFonts w:ascii="Arial" w:cs="Arial" w:eastAsia="Arial" w:hAnsi="Arial"/>
                <w:sz w:val="14"/>
                <w:szCs w:val="14"/>
                <w:color w:val="auto"/>
                <w:w w:val="93"/>
              </w:rPr>
              <w:t>September 30,</w:t>
            </w:r>
          </w:p>
        </w:tc>
        <w:tc>
          <w:tcPr>
            <w:tcW w:w="280" w:type="dxa"/>
            <w:vAlign w:val="bottom"/>
          </w:tcPr>
          <w:p>
            <w:pPr>
              <w:spacing w:after="0"/>
              <w:rPr>
                <w:sz w:val="23"/>
                <w:szCs w:val="23"/>
                <w:color w:val="auto"/>
              </w:rPr>
            </w:pPr>
          </w:p>
        </w:tc>
        <w:tc>
          <w:tcPr>
            <w:tcW w:w="1100" w:type="dxa"/>
            <w:vAlign w:val="bottom"/>
          </w:tcPr>
          <w:p>
            <w:pPr>
              <w:jc w:val="right"/>
              <w:ind w:right="153"/>
              <w:spacing w:after="0"/>
              <w:rPr>
                <w:sz w:val="20"/>
                <w:szCs w:val="20"/>
                <w:color w:val="auto"/>
              </w:rPr>
            </w:pPr>
            <w:r>
              <w:rPr>
                <w:rFonts w:ascii="Arial" w:cs="Arial" w:eastAsia="Arial" w:hAnsi="Arial"/>
                <w:sz w:val="14"/>
                <w:szCs w:val="14"/>
                <w:color w:val="auto"/>
                <w:w w:val="95"/>
              </w:rPr>
              <w:t>December 31,</w:t>
            </w:r>
          </w:p>
        </w:tc>
      </w:tr>
      <w:tr>
        <w:trPr>
          <w:trHeight w:val="188"/>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7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rPr>
              <w:t>2019</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2018</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533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464</w:t>
            </w: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Notes receivable from Comcast, current</w:t>
            </w: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4,192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2,054</w:t>
            </w: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Film and television costs</w:t>
            </w: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21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27</w:t>
            </w: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Note receivable from Comcast, noncurrent</w:t>
            </w: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1,101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Other noncurrent assets, net</w:t>
            </w: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71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75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78</w:t>
            </w: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84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32</w:t>
            </w: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Notes payable to Comcast</w:t>
            </w: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91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54</w:t>
            </w: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Long-term debt (See Note 4)</w:t>
            </w: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158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701</w:t>
            </w: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459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410</w:t>
            </w:r>
          </w:p>
        </w:tc>
      </w:tr>
      <w:tr>
        <w:trPr>
          <w:trHeight w:val="27"/>
        </w:trPr>
        <w:tc>
          <w:tcPr>
            <w:tcW w:w="5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Comcast maintains share-based compensation plans that consist primarily of awards of restricted share units and stock options to certain employees and directors as part of its approach to long-term incentive compensation. Additionally, through its employee stock purchase plans, employees are able to purchase shares of Comcast common stock at a discount through payroll deductions. Certain of our employees participate in these plans and the expense associated with their participation is settled in cash with Comcast. For the three months ended September 30, 2019 and 2018, we recognized share-based compensation expense of $45 million and $37 million, respectively. For the nine months ended September 30, 2019 and 2018, we recognized share-based compensation expense of $141 million and $115 million, respectively.</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71"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420" w:hanging="644"/>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80" w:hanging="644"/>
        <w:spacing w:after="0" w:line="342"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24, 2019</w:t>
      </w:r>
    </w:p>
    <w:p>
      <w:pPr>
        <w:spacing w:after="0" w:line="17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35331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27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337"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I, Michael J. Cavanagh, certify that:</w:t>
      </w:r>
    </w:p>
    <w:p>
      <w:pPr>
        <w:spacing w:after="0" w:line="63"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171" w:lineRule="exact"/>
        <w:rPr>
          <w:rFonts w:ascii="Arial" w:cs="Arial" w:eastAsia="Arial" w:hAnsi="Arial"/>
          <w:sz w:val="18"/>
          <w:szCs w:val="18"/>
          <w:color w:val="auto"/>
        </w:rPr>
      </w:pPr>
    </w:p>
    <w:p>
      <w:pPr>
        <w:jc w:val="both"/>
        <w:ind w:left="660" w:right="18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40" w:hanging="652"/>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6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100" w:hanging="644"/>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260" w:hanging="644"/>
        <w:spacing w:after="0" w:line="342"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300" w:hanging="644"/>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60" w:hanging="652"/>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60" w:hanging="644"/>
        <w:spacing w:after="0" w:line="342"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40" w:hanging="644"/>
        <w:spacing w:after="0" w:line="27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24, 2019</w:t>
      </w:r>
    </w:p>
    <w:p>
      <w:pPr>
        <w:spacing w:after="0" w:line="33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35331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27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300"/>
          </w:cols>
          <w:pgMar w:left="240" w:top="557" w:right="35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71"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420" w:hanging="644"/>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80" w:hanging="644"/>
        <w:spacing w:after="0" w:line="342"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24, 2019</w:t>
      </w:r>
    </w:p>
    <w:p>
      <w:pPr>
        <w:spacing w:after="0" w:line="33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Title: Principal Executive Officer</w:t>
      </w:r>
    </w:p>
    <w:p>
      <w:pPr>
        <w:sectPr>
          <w:pgSz w:w="11900" w:h="16838" w:orient="portrait"/>
          <w:cols w:equalWidth="0" w:num="1">
            <w:col w:w="11420"/>
          </w:cols>
          <w:pgMar w:left="240" w:top="337"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I, Michael J. Cavanagh, certify that:</w:t>
      </w:r>
    </w:p>
    <w:p>
      <w:pPr>
        <w:spacing w:after="0" w:line="171"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171" w:lineRule="exact"/>
        <w:rPr>
          <w:rFonts w:ascii="Arial" w:cs="Arial" w:eastAsia="Arial" w:hAnsi="Arial"/>
          <w:sz w:val="18"/>
          <w:szCs w:val="18"/>
          <w:color w:val="auto"/>
        </w:rPr>
      </w:pPr>
    </w:p>
    <w:p>
      <w:pPr>
        <w:jc w:val="both"/>
        <w:ind w:left="660" w:right="180" w:hanging="652"/>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40" w:hanging="652"/>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60" w:hanging="652"/>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100" w:hanging="644"/>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260" w:hanging="644"/>
        <w:spacing w:after="0" w:line="342"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300" w:hanging="644"/>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60" w:hanging="652"/>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60" w:hanging="644"/>
        <w:spacing w:after="0" w:line="342"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40" w:hanging="644"/>
        <w:spacing w:after="0" w:line="277"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24, 2019</w:t>
      </w:r>
    </w:p>
    <w:p>
      <w:pPr>
        <w:spacing w:after="0" w:line="333" w:lineRule="exact"/>
        <w:rPr>
          <w:sz w:val="20"/>
          <w:szCs w:val="20"/>
          <w:color w:val="auto"/>
        </w:rPr>
      </w:pPr>
    </w:p>
    <w:p>
      <w:pPr>
        <w:jc w:val="center"/>
        <w:ind w:right="572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right="572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jc w:val="center"/>
        <w:ind w:right="5720"/>
        <w:spacing w:after="0"/>
        <w:rPr>
          <w:sz w:val="20"/>
          <w:szCs w:val="20"/>
          <w:color w:val="auto"/>
        </w:rPr>
      </w:pPr>
      <w:r>
        <w:rPr>
          <w:rFonts w:ascii="Arial" w:cs="Arial" w:eastAsia="Arial" w:hAnsi="Arial"/>
          <w:sz w:val="18"/>
          <w:szCs w:val="18"/>
          <w:color w:val="auto"/>
        </w:rPr>
        <w:t>Title: Principal Financial Officer</w:t>
      </w:r>
    </w:p>
    <w:p>
      <w:pPr>
        <w:sectPr>
          <w:pgSz w:w="11900" w:h="16838" w:orient="portrait"/>
          <w:cols w:equalWidth="0" w:num="1">
            <w:col w:w="11300"/>
          </w:cols>
          <w:pgMar w:left="240" w:top="773" w:right="35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24,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12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Brian L. Roberts, the Chief Executive Officer and Michael J. Cavanagh, the Chief Financial Officer of Comcast Corporation, each certifies that, to the best of his knowledge:</w:t>
      </w:r>
    </w:p>
    <w:p>
      <w:pPr>
        <w:spacing w:after="0" w:line="116"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660" w:right="680" w:hanging="652"/>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Comcast Corporation.</w:t>
      </w:r>
    </w:p>
    <w:p>
      <w:pPr>
        <w:spacing w:after="0" w:line="279"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Title: Chief Executive Officer</w:t>
      </w:r>
    </w:p>
    <w:p>
      <w:pPr>
        <w:spacing w:after="0" w:line="360"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337"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24,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NBCUniversal Media, LLC (the “Report”) for the purpose of complying with Rule 13a-14(b) or Rule 15d-14(b) of the Securities Exchange Act of 1934 (the “Exchange Act”) and Section 1350 of Chapter 63 of Title 18 of the United States Code.</w:t>
      </w:r>
    </w:p>
    <w:p>
      <w:pPr>
        <w:spacing w:after="0" w:line="12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Brian L. Roberts, the Principal Executive Officer and Michael J. Cavanagh, the Principal Financial Officer of NBCUniversal Media, LLC, each certifies that, to the best of his knowledge:</w:t>
      </w:r>
    </w:p>
    <w:p>
      <w:pPr>
        <w:spacing w:after="0" w:line="116"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660" w:right="24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NBCUniversal Media, LLC.</w:t>
      </w:r>
    </w:p>
    <w:p>
      <w:pPr>
        <w:spacing w:after="0" w:line="279"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Title: Principal Executive Officer</w:t>
      </w:r>
    </w:p>
    <w:p>
      <w:pPr>
        <w:spacing w:after="0" w:line="360"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Title: Principal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2"/>
    </w:lvl>
  </w:abstractNum>
  <w:abstractNum w:abstractNumId="2">
    <w:nsid w:val="1F16E9E8"/>
    <w:multiLevelType w:val="hybridMultilevel"/>
    <w:lvl w:ilvl="0">
      <w:lvlJc w:val="left"/>
      <w:lvlText w:val="(%1)"/>
      <w:numFmt w:val="lowerLetter"/>
      <w:start w:val="1"/>
    </w:lvl>
    <w:lvl w:ilvl="1">
      <w:lvlJc w:val="left"/>
      <w:lvlText w:val="•"/>
      <w:numFmt w:val="bullet"/>
      <w:start w:val="1"/>
    </w:lvl>
  </w:abstractNum>
  <w:abstractNum w:abstractNumId="3">
    <w:nsid w:val="1190CDE7"/>
    <w:multiLevelType w:val="hybridMultilevel"/>
    <w:lvl w:ilvl="0">
      <w:lvlJc w:val="left"/>
      <w:lvlText w:val="(%1)"/>
      <w:numFmt w:val="lowerLetter"/>
      <w:start w:val="5"/>
    </w:lvl>
  </w:abstractNum>
  <w:abstractNum w:abstractNumId="4">
    <w:nsid w:val="66EF438D"/>
    <w:multiLevelType w:val="hybridMultilevel"/>
    <w:lvl w:ilvl="0">
      <w:lvlJc w:val="left"/>
      <w:lvlText w:val="(%1)"/>
      <w:numFmt w:val="lowerLetter"/>
      <w:start w:val="1"/>
    </w:lvl>
  </w:abstractNum>
  <w:abstractNum w:abstractNumId="5">
    <w:nsid w:val="140E0F76"/>
    <w:multiLevelType w:val="hybridMultilevel"/>
    <w:lvl w:ilvl="0">
      <w:lvlJc w:val="left"/>
      <w:lvlText w:val="(%1)"/>
      <w:numFmt w:val="lowerLetter"/>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lowerLetter"/>
      <w:start w:val="1"/>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1"/>
      <w:numFmt w:val="decimal"/>
      <w:start w:val="101"/>
    </w:lvl>
  </w:abstractNum>
  <w:abstractNum w:abstractNumId="10">
    <w:nsid w:val="1BEFD79F"/>
    <w:multiLevelType w:val="hybridMultilevel"/>
    <w:lvl w:ilvl="0">
      <w:lvlJc w:val="left"/>
      <w:lvlText w:val="%1"/>
      <w:numFmt w:val="decimal"/>
      <w:start w:val="10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4"/>
    </w:lvl>
  </w:abstractNum>
  <w:abstractNum w:abstractNumId="13">
    <w:nsid w:val="4E6AFB66"/>
    <w:multiLevelType w:val="hybridMultilevel"/>
    <w:lvl w:ilvl="0">
      <w:lvlJc w:val="left"/>
      <w:lvlText w:val="%1."/>
      <w:numFmt w:val="decimal"/>
      <w:start w:val="1"/>
    </w:lvl>
    <w:lvl w:ilvl="1">
      <w:lvlJc w:val="left"/>
      <w:lvlText w:val="%2)"/>
      <w:numFmt w:val="lowerLetter"/>
      <w:start w:val="1"/>
    </w:lvl>
  </w:abstractNum>
  <w:abstractNum w:abstractNumId="14">
    <w:nsid w:val="25E45D32"/>
    <w:multiLevelType w:val="hybridMultilevel"/>
    <w:lvl w:ilvl="0">
      <w:lvlJc w:val="left"/>
      <w:lvlText w:val="%1."/>
      <w:numFmt w:val="decimal"/>
      <w:start w:val="1"/>
    </w:lvl>
    <w:lvl w:ilvl="1">
      <w:lvlJc w:val="left"/>
      <w:lvlText w:val="%2)"/>
      <w:numFmt w:val="lowerLetter"/>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2019-12-28T05:11:27Z</dcterms:created>
  <dcterms:modified xsi:type="dcterms:W3CDTF">2019-12-28T05:11:27Z</dcterms:modified>
</cp:coreProperties>
</file>