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295910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304800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PELOTON INTERACTIVE,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Class A Common Stock, par value $0.000025</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70614W100</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2019</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296545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04"/>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04"/>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04"/>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4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Arial" w:cs="Arial" w:eastAsia="Arial" w:hAnsi="Arial"/>
          <w:sz w:val="17"/>
          <w:szCs w:val="17"/>
          <w:color w:val="auto"/>
        </w:rPr>
        <w:t>The information required in the remainder of this cover page shall not be deemed to be “filed” for the purpose of Section 18 of the Securities</w:t>
      </w:r>
    </w:p>
    <w:p>
      <w:pPr>
        <w:spacing w:after="0" w:line="35" w:lineRule="exact"/>
        <w:rPr>
          <w:sz w:val="24"/>
          <w:szCs w:val="24"/>
          <w:color w:val="auto"/>
        </w:rPr>
      </w:pPr>
    </w:p>
    <w:p>
      <w:pPr>
        <w:ind w:right="460"/>
        <w:spacing w:after="0" w:line="261" w:lineRule="auto"/>
        <w:rPr>
          <w:sz w:val="20"/>
          <w:szCs w:val="20"/>
          <w:color w:val="auto"/>
        </w:rPr>
      </w:pPr>
      <w:r>
        <w:rPr>
          <w:rFonts w:ascii="Arial" w:cs="Arial" w:eastAsia="Arial" w:hAnsi="Arial"/>
          <w:sz w:val="18"/>
          <w:szCs w:val="18"/>
          <w:color w:val="auto"/>
        </w:rPr>
        <w:t xml:space="preserve">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84" w:lineRule="exact"/>
        <w:rPr>
          <w:sz w:val="24"/>
          <w:szCs w:val="24"/>
          <w:color w:val="auto"/>
        </w:rPr>
      </w:pPr>
    </w:p>
    <w:p>
      <w:pPr>
        <w:ind w:right="60" w:firstLine="441"/>
        <w:spacing w:after="0" w:line="277" w:lineRule="auto"/>
        <w:rPr>
          <w:sz w:val="20"/>
          <w:szCs w:val="20"/>
          <w:color w:val="auto"/>
        </w:rPr>
      </w:pPr>
      <w:r>
        <w:rPr>
          <w:rFonts w:ascii="Arial" w:cs="Arial" w:eastAsia="Arial" w:hAnsi="Arial"/>
          <w:sz w:val="18"/>
          <w:szCs w:val="18"/>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186055</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517"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70614W100</w:t>
      </w:r>
    </w:p>
    <w:p>
      <w:pPr>
        <w:spacing w:after="0" w:line="140" w:lineRule="exact"/>
        <w:rPr>
          <w:sz w:val="20"/>
          <w:szCs w:val="20"/>
          <w:color w:val="auto"/>
        </w:rPr>
      </w:pPr>
    </w:p>
    <w:p>
      <w:pPr>
        <w:ind w:left="260"/>
        <w:spacing w:after="0"/>
        <w:tabs>
          <w:tab w:leader="none" w:pos="6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006590" cy="5240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6590" cy="5240020"/>
                    </a:xfrm>
                    <a:prstGeom prst="rect">
                      <a:avLst/>
                    </a:prstGeom>
                    <a:noFill/>
                  </pic:spPr>
                </pic:pic>
              </a:graphicData>
            </a:graphic>
          </wp:anchor>
        </w:drawing>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50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Comcast Corporation</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4"/>
                <w:szCs w:val="14"/>
                <w:color w:val="auto"/>
              </w:rPr>
            </w:pPr>
          </w:p>
        </w:tc>
        <w:tc>
          <w:tcPr>
            <w:tcW w:w="1050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81"/>
              </w:rPr>
              <w:t>(b)</w:t>
            </w:r>
          </w:p>
        </w:tc>
        <w:tc>
          <w:tcPr>
            <w:tcW w:w="934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1050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38"/>
        </w:trPr>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1050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50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Pennsylvania</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60" w:type="dxa"/>
            <w:vAlign w:val="bottom"/>
            <w:tcBorders>
              <w:right w:val="single" w:sz="8" w:color="auto"/>
            </w:tcBorders>
          </w:tcPr>
          <w:p>
            <w:pPr>
              <w:spacing w:after="0"/>
              <w:rPr>
                <w:sz w:val="19"/>
                <w:szCs w:val="19"/>
                <w:color w:val="auto"/>
              </w:rPr>
            </w:pPr>
          </w:p>
        </w:tc>
        <w:tc>
          <w:tcPr>
            <w:tcW w:w="92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0"/>
        </w:trPr>
        <w:tc>
          <w:tcPr>
            <w:tcW w:w="1420" w:type="dxa"/>
            <w:vAlign w:val="bottom"/>
            <w:tcBorders>
              <w:right w:val="single" w:sz="8" w:color="auto"/>
            </w:tcBorders>
            <w:gridSpan w:val="3"/>
            <w:vMerge w:val="restart"/>
          </w:tcPr>
          <w:p>
            <w:pPr>
              <w:jc w:val="center"/>
              <w:ind w:left="10"/>
              <w:spacing w:after="0"/>
              <w:rPr>
                <w:sz w:val="20"/>
                <w:szCs w:val="20"/>
                <w:color w:val="auto"/>
              </w:rPr>
            </w:pPr>
            <w:r>
              <w:rPr>
                <w:rFonts w:ascii="Arial" w:cs="Arial" w:eastAsia="Arial" w:hAnsi="Arial"/>
                <w:sz w:val="18"/>
                <w:szCs w:val="18"/>
                <w:color w:val="auto"/>
                <w:w w:val="96"/>
              </w:rPr>
              <w:t>NUMBER OF</w:t>
            </w: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2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420" w:type="dxa"/>
            <w:vAlign w:val="bottom"/>
            <w:tcBorders>
              <w:right w:val="single" w:sz="8" w:color="auto"/>
            </w:tcBorders>
            <w:gridSpan w:val="3"/>
            <w:vMerge w:val="continue"/>
          </w:tcPr>
          <w:p>
            <w:pPr>
              <w:spacing w:after="0"/>
              <w:rPr>
                <w:sz w:val="4"/>
                <w:szCs w:val="4"/>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60" w:type="dxa"/>
            <w:vAlign w:val="bottom"/>
            <w:tcBorders>
              <w:right w:val="single" w:sz="8" w:color="auto"/>
            </w:tcBorders>
          </w:tcPr>
          <w:p>
            <w:pPr>
              <w:spacing w:after="0"/>
              <w:rPr>
                <w:sz w:val="4"/>
                <w:szCs w:val="4"/>
                <w:color w:val="auto"/>
              </w:rPr>
            </w:pPr>
          </w:p>
        </w:tc>
        <w:tc>
          <w:tcPr>
            <w:tcW w:w="928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1020" w:type="dxa"/>
            <w:vAlign w:val="bottom"/>
            <w:tcBorders>
              <w:right w:val="single" w:sz="8" w:color="auto"/>
            </w:tcBorders>
            <w:gridSpan w:val="2"/>
            <w:vMerge w:val="restart"/>
          </w:tcPr>
          <w:p>
            <w:pPr>
              <w:jc w:val="center"/>
              <w:ind w:right="184"/>
              <w:spacing w:after="0"/>
              <w:rPr>
                <w:sz w:val="20"/>
                <w:szCs w:val="20"/>
                <w:color w:val="auto"/>
              </w:rPr>
            </w:pPr>
            <w:r>
              <w:rPr>
                <w:rFonts w:ascii="Arial" w:cs="Arial" w:eastAsia="Arial" w:hAnsi="Arial"/>
                <w:sz w:val="18"/>
                <w:szCs w:val="18"/>
                <w:color w:val="auto"/>
                <w:w w:val="94"/>
              </w:rPr>
              <w:t>SHARES</w:t>
            </w:r>
          </w:p>
        </w:tc>
        <w:tc>
          <w:tcPr>
            <w:tcW w:w="260" w:type="dxa"/>
            <w:vAlign w:val="bottom"/>
            <w:vMerge w:val="continue"/>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9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1020" w:type="dxa"/>
            <w:vAlign w:val="bottom"/>
            <w:tcBorders>
              <w:right w:val="single" w:sz="8" w:color="auto"/>
            </w:tcBorders>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9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9"/>
              </w:rPr>
              <w:t>BENEFICIALLY</w:t>
            </w:r>
          </w:p>
        </w:tc>
        <w:tc>
          <w:tcPr>
            <w:tcW w:w="2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280" w:type="dxa"/>
            <w:vAlign w:val="bottom"/>
            <w:vMerge w:val="restart"/>
          </w:tcPr>
          <w:p>
            <w:pPr>
              <w:ind w:left="100"/>
              <w:spacing w:after="0"/>
              <w:rPr>
                <w:sz w:val="20"/>
                <w:szCs w:val="20"/>
                <w:color w:val="auto"/>
              </w:rPr>
            </w:pPr>
            <w:r>
              <w:rPr>
                <w:rFonts w:ascii="Arial" w:cs="Arial" w:eastAsia="Arial" w:hAnsi="Arial"/>
                <w:sz w:val="22"/>
                <w:szCs w:val="22"/>
                <w:color w:val="auto"/>
              </w:rPr>
              <w:t>10,340,864* (</w:t>
            </w:r>
            <w:r>
              <w:rPr>
                <w:rFonts w:ascii="Arial" w:cs="Arial" w:eastAsia="Arial" w:hAnsi="Arial"/>
                <w:sz w:val="22"/>
                <w:szCs w:val="22"/>
                <w:i w:val="1"/>
                <w:iCs w:val="1"/>
                <w:color w:val="auto"/>
              </w:rPr>
              <w:t>See Item 4</w:t>
            </w: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0"/>
        </w:trPr>
        <w:tc>
          <w:tcPr>
            <w:tcW w:w="14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7"/>
              </w:rPr>
              <w:t>OWNED BY</w:t>
            </w: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2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right w:val="single" w:sz="8" w:color="auto"/>
            </w:tcBorders>
          </w:tcPr>
          <w:p>
            <w:pPr>
              <w:jc w:val="center"/>
              <w:ind w:right="324"/>
              <w:spacing w:after="0" w:line="182" w:lineRule="exact"/>
              <w:rPr>
                <w:sz w:val="20"/>
                <w:szCs w:val="20"/>
                <w:color w:val="auto"/>
              </w:rPr>
            </w:pPr>
            <w:r>
              <w:rPr>
                <w:rFonts w:ascii="Arial" w:cs="Arial" w:eastAsia="Arial" w:hAnsi="Arial"/>
                <w:sz w:val="18"/>
                <w:szCs w:val="18"/>
                <w:color w:val="auto"/>
                <w:w w:val="95"/>
              </w:rPr>
              <w:t>EACH</w:t>
            </w:r>
          </w:p>
        </w:tc>
        <w:tc>
          <w:tcPr>
            <w:tcW w:w="320" w:type="dxa"/>
            <w:vAlign w:val="bottom"/>
            <w:tcBorders>
              <w:right w:val="single" w:sz="8" w:color="auto"/>
            </w:tcBorders>
            <w:gridSpan w:val="2"/>
          </w:tcPr>
          <w:p>
            <w:pPr>
              <w:jc w:val="right"/>
              <w:ind w:right="10"/>
              <w:spacing w:after="0" w:line="182" w:lineRule="exact"/>
              <w:rPr>
                <w:sz w:val="20"/>
                <w:szCs w:val="20"/>
                <w:color w:val="auto"/>
              </w:rPr>
            </w:pPr>
            <w:r>
              <w:rPr>
                <w:rFonts w:ascii="Arial" w:cs="Arial" w:eastAsia="Arial" w:hAnsi="Arial"/>
                <w:sz w:val="18"/>
                <w:szCs w:val="18"/>
                <w:b w:val="1"/>
                <w:bCs w:val="1"/>
                <w:color w:val="auto"/>
              </w:rPr>
              <w:t>7.</w:t>
            </w:r>
          </w:p>
        </w:tc>
        <w:tc>
          <w:tcPr>
            <w:tcW w:w="928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3"/>
              </w:rPr>
              <w:t>REPORTING</w:t>
            </w:r>
          </w:p>
        </w:tc>
        <w:tc>
          <w:tcPr>
            <w:tcW w:w="2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1020" w:type="dxa"/>
            <w:vAlign w:val="bottom"/>
            <w:tcBorders>
              <w:right w:val="single" w:sz="8" w:color="auto"/>
            </w:tcBorders>
            <w:gridSpan w:val="2"/>
          </w:tcPr>
          <w:p>
            <w:pPr>
              <w:jc w:val="center"/>
              <w:ind w:right="184"/>
              <w:spacing w:after="0"/>
              <w:rPr>
                <w:sz w:val="20"/>
                <w:szCs w:val="20"/>
                <w:color w:val="auto"/>
              </w:rPr>
            </w:pPr>
            <w:r>
              <w:rPr>
                <w:rFonts w:ascii="Arial" w:cs="Arial" w:eastAsia="Arial" w:hAnsi="Arial"/>
                <w:sz w:val="18"/>
                <w:szCs w:val="18"/>
                <w:color w:val="auto"/>
                <w:w w:val="92"/>
              </w:rPr>
              <w:t>PERSON</w:t>
            </w:r>
          </w:p>
        </w:tc>
        <w:tc>
          <w:tcPr>
            <w:tcW w:w="2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9280" w:type="dxa"/>
            <w:vAlign w:val="bottom"/>
          </w:tcPr>
          <w:p>
            <w:pPr>
              <w:ind w:left="10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900" w:type="dxa"/>
            <w:vAlign w:val="bottom"/>
            <w:tcBorders>
              <w:right w:val="single" w:sz="8" w:color="auto"/>
            </w:tcBorders>
            <w:vMerge w:val="restart"/>
          </w:tcPr>
          <w:p>
            <w:pPr>
              <w:jc w:val="center"/>
              <w:ind w:right="304"/>
              <w:spacing w:after="0"/>
              <w:rPr>
                <w:sz w:val="20"/>
                <w:szCs w:val="20"/>
                <w:color w:val="auto"/>
              </w:rPr>
            </w:pPr>
            <w:r>
              <w:rPr>
                <w:rFonts w:ascii="Arial" w:cs="Arial" w:eastAsia="Arial" w:hAnsi="Arial"/>
                <w:sz w:val="18"/>
                <w:szCs w:val="18"/>
                <w:color w:val="auto"/>
                <w:w w:val="99"/>
              </w:rPr>
              <w:t>WITH</w:t>
            </w:r>
          </w:p>
        </w:tc>
        <w:tc>
          <w:tcPr>
            <w:tcW w:w="260" w:type="dxa"/>
            <w:vAlign w:val="bottom"/>
            <w:tcBorders>
              <w:bottom w:val="single" w:sz="8" w:color="auto"/>
            </w:tcBorders>
          </w:tcPr>
          <w:p>
            <w:pPr>
              <w:spacing w:after="0"/>
              <w:rPr>
                <w:sz w:val="6"/>
                <w:szCs w:val="6"/>
                <w:color w:val="auto"/>
              </w:rPr>
            </w:pPr>
          </w:p>
        </w:tc>
        <w:tc>
          <w:tcPr>
            <w:tcW w:w="60" w:type="dxa"/>
            <w:vAlign w:val="bottom"/>
            <w:tcBorders>
              <w:bottom w:val="single" w:sz="8" w:color="auto"/>
              <w:right w:val="single" w:sz="8" w:color="auto"/>
            </w:tcBorders>
          </w:tcPr>
          <w:p>
            <w:pPr>
              <w:spacing w:after="0"/>
              <w:rPr>
                <w:sz w:val="6"/>
                <w:szCs w:val="6"/>
                <w:color w:val="auto"/>
              </w:rPr>
            </w:pPr>
          </w:p>
        </w:tc>
        <w:tc>
          <w:tcPr>
            <w:tcW w:w="9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900" w:type="dxa"/>
            <w:vAlign w:val="bottom"/>
            <w:tcBorders>
              <w:right w:val="single" w:sz="8" w:color="auto"/>
            </w:tcBorders>
            <w:vMerge w:val="continue"/>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60" w:type="dxa"/>
            <w:vAlign w:val="bottom"/>
            <w:tcBorders>
              <w:right w:val="single" w:sz="8" w:color="auto"/>
            </w:tcBorders>
          </w:tcPr>
          <w:p>
            <w:pPr>
              <w:spacing w:after="0"/>
              <w:rPr>
                <w:sz w:val="11"/>
                <w:szCs w:val="11"/>
                <w:color w:val="auto"/>
              </w:rPr>
            </w:pPr>
          </w:p>
        </w:tc>
        <w:tc>
          <w:tcPr>
            <w:tcW w:w="928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7"/>
        </w:trPr>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260" w:type="dxa"/>
            <w:vAlign w:val="bottom"/>
            <w:vMerge w:val="continue"/>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9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2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10,340,864* (</w:t>
            </w:r>
            <w:r>
              <w:rPr>
                <w:rFonts w:ascii="Arial" w:cs="Arial" w:eastAsia="Arial" w:hAnsi="Arial"/>
                <w:sz w:val="22"/>
                <w:szCs w:val="22"/>
                <w:i w:val="1"/>
                <w:iCs w:val="1"/>
                <w:color w:val="auto"/>
              </w:rPr>
              <w:t>See Item 4</w:t>
            </w: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0"/>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Borders>
              <w:right w:val="single" w:sz="8" w:color="auto"/>
            </w:tcBorders>
          </w:tcPr>
          <w:p>
            <w:pPr>
              <w:spacing w:after="0"/>
              <w:rPr>
                <w:sz w:val="19"/>
                <w:szCs w:val="19"/>
                <w:color w:val="auto"/>
              </w:rPr>
            </w:pPr>
          </w:p>
        </w:tc>
        <w:tc>
          <w:tcPr>
            <w:tcW w:w="1220" w:type="dxa"/>
            <w:vAlign w:val="bottom"/>
            <w:gridSpan w:val="3"/>
          </w:tcPr>
          <w:p>
            <w:pPr>
              <w:ind w:left="80"/>
              <w:spacing w:after="0"/>
              <w:rPr>
                <w:sz w:val="20"/>
                <w:szCs w:val="20"/>
                <w:color w:val="auto"/>
              </w:rPr>
            </w:pPr>
            <w:r>
              <w:rPr>
                <w:rFonts w:ascii="Arial" w:cs="Arial" w:eastAsia="Arial" w:hAnsi="Arial"/>
                <w:sz w:val="18"/>
                <w:szCs w:val="18"/>
                <w:color w:val="auto"/>
                <w:w w:val="96"/>
              </w:rPr>
              <w:t>AGGREGATE</w:t>
            </w:r>
          </w:p>
        </w:tc>
        <w:tc>
          <w:tcPr>
            <w:tcW w:w="928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50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10,340,864* (</w:t>
            </w:r>
            <w:r>
              <w:rPr>
                <w:rFonts w:ascii="Arial" w:cs="Arial" w:eastAsia="Arial" w:hAnsi="Arial"/>
                <w:sz w:val="22"/>
                <w:szCs w:val="22"/>
                <w:i w:val="1"/>
                <w:iCs w:val="1"/>
                <w:color w:val="auto"/>
              </w:rPr>
              <w:t>See Item 4</w:t>
            </w: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right w:val="single" w:sz="8" w:color="auto"/>
            </w:tcBorders>
          </w:tcPr>
          <w:p>
            <w:pPr>
              <w:spacing w:after="0"/>
              <w:rPr>
                <w:sz w:val="24"/>
                <w:szCs w:val="24"/>
                <w:color w:val="auto"/>
              </w:rPr>
            </w:pPr>
          </w:p>
        </w:tc>
        <w:tc>
          <w:tcPr>
            <w:tcW w:w="1050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500" w:type="dxa"/>
            <w:vAlign w:val="bottom"/>
            <w:tcBorders>
              <w:bottom w:val="single" w:sz="8" w:color="auto"/>
            </w:tcBorders>
            <w:gridSpan w:val="4"/>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right w:val="single" w:sz="8" w:color="auto"/>
            </w:tcBorders>
          </w:tcPr>
          <w:p>
            <w:pPr>
              <w:spacing w:after="0"/>
              <w:rPr>
                <w:sz w:val="19"/>
                <w:szCs w:val="19"/>
                <w:color w:val="auto"/>
              </w:rPr>
            </w:pPr>
          </w:p>
        </w:tc>
        <w:tc>
          <w:tcPr>
            <w:tcW w:w="1050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50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19.1%* (</w:t>
            </w:r>
            <w:r>
              <w:rPr>
                <w:rFonts w:ascii="Arial" w:cs="Arial" w:eastAsia="Arial" w:hAnsi="Arial"/>
                <w:sz w:val="22"/>
                <w:szCs w:val="22"/>
                <w:i w:val="1"/>
                <w:iCs w:val="1"/>
                <w:color w:val="auto"/>
              </w:rPr>
              <w:t>See Item 4</w:t>
            </w: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0"/>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right w:val="single" w:sz="8" w:color="auto"/>
            </w:tcBorders>
          </w:tcPr>
          <w:p>
            <w:pPr>
              <w:spacing w:after="0"/>
              <w:rPr>
                <w:sz w:val="19"/>
                <w:szCs w:val="19"/>
                <w:color w:val="auto"/>
              </w:rPr>
            </w:pPr>
          </w:p>
        </w:tc>
        <w:tc>
          <w:tcPr>
            <w:tcW w:w="1050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CO</w:t>
            </w: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right="60" w:hanging="216"/>
        <w:spacing w:after="0" w:line="259"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December 31, 2019. Represents 10,340,864 shares of Class B Common Stock, which are convertible into an equal number of shares of Class A Common Stock. Based on the Issuer’s Form S-1/A filed with the Securities and Exchange Commission on September 10, 2019, the Reporting Persons’ shares of Class B Common Stock represent less than 5% of the total equity and voting power of all shares of the Issuer’s Class A Common Stock and Class B Common Stock on a combined basis.</w:t>
      </w:r>
    </w:p>
    <w:p>
      <w:pPr>
        <w:sectPr>
          <w:pgSz w:w="11900" w:h="16838" w:orient="portrait"/>
          <w:cols w:equalWidth="0" w:num="1">
            <w:col w:w="11040"/>
          </w:cols>
          <w:pgMar w:left="440" w:top="274" w:right="4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70614W100</w:t>
      </w:r>
    </w:p>
    <w:p>
      <w:pPr>
        <w:spacing w:after="0" w:line="140" w:lineRule="exact"/>
        <w:rPr>
          <w:sz w:val="20"/>
          <w:szCs w:val="20"/>
          <w:color w:val="auto"/>
        </w:rPr>
      </w:pPr>
    </w:p>
    <w:p>
      <w:pPr>
        <w:ind w:left="260"/>
        <w:spacing w:after="0"/>
        <w:tabs>
          <w:tab w:leader="none" w:pos="6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006590" cy="5240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6590" cy="5240020"/>
                    </a:xfrm>
                    <a:prstGeom prst="rect">
                      <a:avLst/>
                    </a:prstGeom>
                    <a:noFill/>
                  </pic:spPr>
                </pic:pic>
              </a:graphicData>
            </a:graphic>
          </wp:anchor>
        </w:drawing>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50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NBCUniversal, LLC</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4"/>
                <w:szCs w:val="14"/>
                <w:color w:val="auto"/>
              </w:rPr>
            </w:pPr>
          </w:p>
        </w:tc>
        <w:tc>
          <w:tcPr>
            <w:tcW w:w="1050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81"/>
              </w:rPr>
              <w:t>(b)</w:t>
            </w:r>
          </w:p>
        </w:tc>
        <w:tc>
          <w:tcPr>
            <w:tcW w:w="934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1050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38"/>
        </w:trPr>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1050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Delaware</w:t>
            </w:r>
          </w:p>
        </w:tc>
        <w:tc>
          <w:tcPr>
            <w:tcW w:w="60" w:type="dxa"/>
            <w:vAlign w:val="bottom"/>
            <w:tcBorders>
              <w:bottom w:val="single" w:sz="8" w:color="auto"/>
            </w:tcBorders>
          </w:tcPr>
          <w:p>
            <w:pPr>
              <w:spacing w:after="0"/>
              <w:rPr>
                <w:sz w:val="24"/>
                <w:szCs w:val="24"/>
                <w:color w:val="auto"/>
              </w:rPr>
            </w:pPr>
          </w:p>
        </w:tc>
        <w:tc>
          <w:tcPr>
            <w:tcW w:w="9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60" w:type="dxa"/>
            <w:vAlign w:val="bottom"/>
            <w:tcBorders>
              <w:right w:val="single" w:sz="8" w:color="auto"/>
            </w:tcBorders>
          </w:tcPr>
          <w:p>
            <w:pPr>
              <w:spacing w:after="0"/>
              <w:rPr>
                <w:sz w:val="19"/>
                <w:szCs w:val="19"/>
                <w:color w:val="auto"/>
              </w:rPr>
            </w:pPr>
          </w:p>
        </w:tc>
        <w:tc>
          <w:tcPr>
            <w:tcW w:w="92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0"/>
        </w:trPr>
        <w:tc>
          <w:tcPr>
            <w:tcW w:w="1420" w:type="dxa"/>
            <w:vAlign w:val="bottom"/>
            <w:tcBorders>
              <w:right w:val="single" w:sz="8" w:color="auto"/>
            </w:tcBorders>
            <w:gridSpan w:val="3"/>
            <w:vMerge w:val="restart"/>
          </w:tcPr>
          <w:p>
            <w:pPr>
              <w:jc w:val="center"/>
              <w:ind w:left="10"/>
              <w:spacing w:after="0"/>
              <w:rPr>
                <w:sz w:val="20"/>
                <w:szCs w:val="20"/>
                <w:color w:val="auto"/>
              </w:rPr>
            </w:pPr>
            <w:r>
              <w:rPr>
                <w:rFonts w:ascii="Arial" w:cs="Arial" w:eastAsia="Arial" w:hAnsi="Arial"/>
                <w:sz w:val="18"/>
                <w:szCs w:val="18"/>
                <w:color w:val="auto"/>
                <w:w w:val="96"/>
              </w:rPr>
              <w:t>NUMBER OF</w:t>
            </w: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2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420" w:type="dxa"/>
            <w:vAlign w:val="bottom"/>
            <w:tcBorders>
              <w:right w:val="single" w:sz="8" w:color="auto"/>
            </w:tcBorders>
            <w:gridSpan w:val="3"/>
            <w:vMerge w:val="continue"/>
          </w:tcPr>
          <w:p>
            <w:pPr>
              <w:spacing w:after="0"/>
              <w:rPr>
                <w:sz w:val="4"/>
                <w:szCs w:val="4"/>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60" w:type="dxa"/>
            <w:vAlign w:val="bottom"/>
            <w:tcBorders>
              <w:right w:val="single" w:sz="8" w:color="auto"/>
            </w:tcBorders>
          </w:tcPr>
          <w:p>
            <w:pPr>
              <w:spacing w:after="0"/>
              <w:rPr>
                <w:sz w:val="4"/>
                <w:szCs w:val="4"/>
                <w:color w:val="auto"/>
              </w:rPr>
            </w:pPr>
          </w:p>
        </w:tc>
        <w:tc>
          <w:tcPr>
            <w:tcW w:w="928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1020" w:type="dxa"/>
            <w:vAlign w:val="bottom"/>
            <w:tcBorders>
              <w:right w:val="single" w:sz="8" w:color="auto"/>
            </w:tcBorders>
            <w:gridSpan w:val="2"/>
            <w:vMerge w:val="restart"/>
          </w:tcPr>
          <w:p>
            <w:pPr>
              <w:jc w:val="center"/>
              <w:ind w:right="184"/>
              <w:spacing w:after="0"/>
              <w:rPr>
                <w:sz w:val="20"/>
                <w:szCs w:val="20"/>
                <w:color w:val="auto"/>
              </w:rPr>
            </w:pPr>
            <w:r>
              <w:rPr>
                <w:rFonts w:ascii="Arial" w:cs="Arial" w:eastAsia="Arial" w:hAnsi="Arial"/>
                <w:sz w:val="18"/>
                <w:szCs w:val="18"/>
                <w:color w:val="auto"/>
                <w:w w:val="94"/>
              </w:rPr>
              <w:t>SHARES</w:t>
            </w:r>
          </w:p>
        </w:tc>
        <w:tc>
          <w:tcPr>
            <w:tcW w:w="260" w:type="dxa"/>
            <w:vAlign w:val="bottom"/>
            <w:vMerge w:val="continue"/>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9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1020" w:type="dxa"/>
            <w:vAlign w:val="bottom"/>
            <w:tcBorders>
              <w:right w:val="single" w:sz="8" w:color="auto"/>
            </w:tcBorders>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9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9"/>
              </w:rPr>
              <w:t>BENEFICIALLY</w:t>
            </w:r>
          </w:p>
        </w:tc>
        <w:tc>
          <w:tcPr>
            <w:tcW w:w="2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280" w:type="dxa"/>
            <w:vAlign w:val="bottom"/>
            <w:vMerge w:val="restart"/>
          </w:tcPr>
          <w:p>
            <w:pPr>
              <w:ind w:left="100"/>
              <w:spacing w:after="0"/>
              <w:rPr>
                <w:sz w:val="20"/>
                <w:szCs w:val="20"/>
                <w:color w:val="auto"/>
              </w:rPr>
            </w:pPr>
            <w:r>
              <w:rPr>
                <w:rFonts w:ascii="Arial" w:cs="Arial" w:eastAsia="Arial" w:hAnsi="Arial"/>
                <w:sz w:val="22"/>
                <w:szCs w:val="22"/>
                <w:color w:val="auto"/>
              </w:rPr>
              <w:t>10,340,864* (</w:t>
            </w:r>
            <w:r>
              <w:rPr>
                <w:rFonts w:ascii="Arial" w:cs="Arial" w:eastAsia="Arial" w:hAnsi="Arial"/>
                <w:sz w:val="22"/>
                <w:szCs w:val="22"/>
                <w:i w:val="1"/>
                <w:iCs w:val="1"/>
                <w:color w:val="auto"/>
              </w:rPr>
              <w:t>See Item 4</w:t>
            </w: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0"/>
        </w:trPr>
        <w:tc>
          <w:tcPr>
            <w:tcW w:w="14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7"/>
              </w:rPr>
              <w:t>OWNED BY</w:t>
            </w: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2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right w:val="single" w:sz="8" w:color="auto"/>
            </w:tcBorders>
          </w:tcPr>
          <w:p>
            <w:pPr>
              <w:jc w:val="center"/>
              <w:ind w:right="324"/>
              <w:spacing w:after="0" w:line="182" w:lineRule="exact"/>
              <w:rPr>
                <w:sz w:val="20"/>
                <w:szCs w:val="20"/>
                <w:color w:val="auto"/>
              </w:rPr>
            </w:pPr>
            <w:r>
              <w:rPr>
                <w:rFonts w:ascii="Arial" w:cs="Arial" w:eastAsia="Arial" w:hAnsi="Arial"/>
                <w:sz w:val="18"/>
                <w:szCs w:val="18"/>
                <w:color w:val="auto"/>
                <w:w w:val="95"/>
              </w:rPr>
              <w:t>EACH</w:t>
            </w:r>
          </w:p>
        </w:tc>
        <w:tc>
          <w:tcPr>
            <w:tcW w:w="320" w:type="dxa"/>
            <w:vAlign w:val="bottom"/>
            <w:tcBorders>
              <w:right w:val="single" w:sz="8" w:color="auto"/>
            </w:tcBorders>
            <w:gridSpan w:val="2"/>
          </w:tcPr>
          <w:p>
            <w:pPr>
              <w:jc w:val="right"/>
              <w:ind w:right="10"/>
              <w:spacing w:after="0" w:line="182" w:lineRule="exact"/>
              <w:rPr>
                <w:sz w:val="20"/>
                <w:szCs w:val="20"/>
                <w:color w:val="auto"/>
              </w:rPr>
            </w:pPr>
            <w:r>
              <w:rPr>
                <w:rFonts w:ascii="Arial" w:cs="Arial" w:eastAsia="Arial" w:hAnsi="Arial"/>
                <w:sz w:val="18"/>
                <w:szCs w:val="18"/>
                <w:b w:val="1"/>
                <w:bCs w:val="1"/>
                <w:color w:val="auto"/>
              </w:rPr>
              <w:t>7.</w:t>
            </w:r>
          </w:p>
        </w:tc>
        <w:tc>
          <w:tcPr>
            <w:tcW w:w="928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3"/>
              </w:rPr>
              <w:t>REPORTING</w:t>
            </w:r>
          </w:p>
        </w:tc>
        <w:tc>
          <w:tcPr>
            <w:tcW w:w="2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1020" w:type="dxa"/>
            <w:vAlign w:val="bottom"/>
            <w:tcBorders>
              <w:right w:val="single" w:sz="8" w:color="auto"/>
            </w:tcBorders>
            <w:gridSpan w:val="2"/>
          </w:tcPr>
          <w:p>
            <w:pPr>
              <w:jc w:val="center"/>
              <w:ind w:right="184"/>
              <w:spacing w:after="0"/>
              <w:rPr>
                <w:sz w:val="20"/>
                <w:szCs w:val="20"/>
                <w:color w:val="auto"/>
              </w:rPr>
            </w:pPr>
            <w:r>
              <w:rPr>
                <w:rFonts w:ascii="Arial" w:cs="Arial" w:eastAsia="Arial" w:hAnsi="Arial"/>
                <w:sz w:val="18"/>
                <w:szCs w:val="18"/>
                <w:color w:val="auto"/>
                <w:w w:val="92"/>
              </w:rPr>
              <w:t>PERSON</w:t>
            </w:r>
          </w:p>
        </w:tc>
        <w:tc>
          <w:tcPr>
            <w:tcW w:w="2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9280" w:type="dxa"/>
            <w:vAlign w:val="bottom"/>
          </w:tcPr>
          <w:p>
            <w:pPr>
              <w:ind w:left="10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900" w:type="dxa"/>
            <w:vAlign w:val="bottom"/>
            <w:tcBorders>
              <w:right w:val="single" w:sz="8" w:color="auto"/>
            </w:tcBorders>
            <w:vMerge w:val="restart"/>
          </w:tcPr>
          <w:p>
            <w:pPr>
              <w:jc w:val="center"/>
              <w:ind w:right="304"/>
              <w:spacing w:after="0"/>
              <w:rPr>
                <w:sz w:val="20"/>
                <w:szCs w:val="20"/>
                <w:color w:val="auto"/>
              </w:rPr>
            </w:pPr>
            <w:r>
              <w:rPr>
                <w:rFonts w:ascii="Arial" w:cs="Arial" w:eastAsia="Arial" w:hAnsi="Arial"/>
                <w:sz w:val="18"/>
                <w:szCs w:val="18"/>
                <w:color w:val="auto"/>
                <w:w w:val="99"/>
              </w:rPr>
              <w:t>WITH</w:t>
            </w:r>
          </w:p>
        </w:tc>
        <w:tc>
          <w:tcPr>
            <w:tcW w:w="260" w:type="dxa"/>
            <w:vAlign w:val="bottom"/>
            <w:tcBorders>
              <w:bottom w:val="single" w:sz="8" w:color="auto"/>
            </w:tcBorders>
          </w:tcPr>
          <w:p>
            <w:pPr>
              <w:spacing w:after="0"/>
              <w:rPr>
                <w:sz w:val="6"/>
                <w:szCs w:val="6"/>
                <w:color w:val="auto"/>
              </w:rPr>
            </w:pPr>
          </w:p>
        </w:tc>
        <w:tc>
          <w:tcPr>
            <w:tcW w:w="60" w:type="dxa"/>
            <w:vAlign w:val="bottom"/>
            <w:tcBorders>
              <w:bottom w:val="single" w:sz="8" w:color="auto"/>
              <w:right w:val="single" w:sz="8" w:color="auto"/>
            </w:tcBorders>
          </w:tcPr>
          <w:p>
            <w:pPr>
              <w:spacing w:after="0"/>
              <w:rPr>
                <w:sz w:val="6"/>
                <w:szCs w:val="6"/>
                <w:color w:val="auto"/>
              </w:rPr>
            </w:pPr>
          </w:p>
        </w:tc>
        <w:tc>
          <w:tcPr>
            <w:tcW w:w="9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900" w:type="dxa"/>
            <w:vAlign w:val="bottom"/>
            <w:tcBorders>
              <w:right w:val="single" w:sz="8" w:color="auto"/>
            </w:tcBorders>
            <w:vMerge w:val="continue"/>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60" w:type="dxa"/>
            <w:vAlign w:val="bottom"/>
            <w:tcBorders>
              <w:right w:val="single" w:sz="8" w:color="auto"/>
            </w:tcBorders>
          </w:tcPr>
          <w:p>
            <w:pPr>
              <w:spacing w:after="0"/>
              <w:rPr>
                <w:sz w:val="11"/>
                <w:szCs w:val="11"/>
                <w:color w:val="auto"/>
              </w:rPr>
            </w:pPr>
          </w:p>
        </w:tc>
        <w:tc>
          <w:tcPr>
            <w:tcW w:w="928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7"/>
        </w:trPr>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260" w:type="dxa"/>
            <w:vAlign w:val="bottom"/>
            <w:vMerge w:val="continue"/>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9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2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10,340,864* (</w:t>
            </w:r>
            <w:r>
              <w:rPr>
                <w:rFonts w:ascii="Arial" w:cs="Arial" w:eastAsia="Arial" w:hAnsi="Arial"/>
                <w:sz w:val="22"/>
                <w:szCs w:val="22"/>
                <w:i w:val="1"/>
                <w:iCs w:val="1"/>
                <w:color w:val="auto"/>
              </w:rPr>
              <w:t>See Item 4</w:t>
            </w: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0"/>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Borders>
              <w:right w:val="single" w:sz="8" w:color="auto"/>
            </w:tcBorders>
          </w:tcPr>
          <w:p>
            <w:pPr>
              <w:spacing w:after="0"/>
              <w:rPr>
                <w:sz w:val="19"/>
                <w:szCs w:val="19"/>
                <w:color w:val="auto"/>
              </w:rPr>
            </w:pPr>
          </w:p>
        </w:tc>
        <w:tc>
          <w:tcPr>
            <w:tcW w:w="1220" w:type="dxa"/>
            <w:vAlign w:val="bottom"/>
            <w:gridSpan w:val="3"/>
          </w:tcPr>
          <w:p>
            <w:pPr>
              <w:ind w:left="80"/>
              <w:spacing w:after="0"/>
              <w:rPr>
                <w:sz w:val="20"/>
                <w:szCs w:val="20"/>
                <w:color w:val="auto"/>
              </w:rPr>
            </w:pPr>
            <w:r>
              <w:rPr>
                <w:rFonts w:ascii="Arial" w:cs="Arial" w:eastAsia="Arial" w:hAnsi="Arial"/>
                <w:sz w:val="18"/>
                <w:szCs w:val="18"/>
                <w:color w:val="auto"/>
                <w:w w:val="96"/>
              </w:rPr>
              <w:t>AGGREGATE</w:t>
            </w:r>
          </w:p>
        </w:tc>
        <w:tc>
          <w:tcPr>
            <w:tcW w:w="928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50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10,340,864* (</w:t>
            </w:r>
            <w:r>
              <w:rPr>
                <w:rFonts w:ascii="Arial" w:cs="Arial" w:eastAsia="Arial" w:hAnsi="Arial"/>
                <w:sz w:val="22"/>
                <w:szCs w:val="22"/>
                <w:i w:val="1"/>
                <w:iCs w:val="1"/>
                <w:color w:val="auto"/>
              </w:rPr>
              <w:t>See Item 4</w:t>
            </w: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right w:val="single" w:sz="8" w:color="auto"/>
            </w:tcBorders>
          </w:tcPr>
          <w:p>
            <w:pPr>
              <w:spacing w:after="0"/>
              <w:rPr>
                <w:sz w:val="24"/>
                <w:szCs w:val="24"/>
                <w:color w:val="auto"/>
              </w:rPr>
            </w:pPr>
          </w:p>
        </w:tc>
        <w:tc>
          <w:tcPr>
            <w:tcW w:w="1050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500" w:type="dxa"/>
            <w:vAlign w:val="bottom"/>
            <w:tcBorders>
              <w:bottom w:val="single" w:sz="8" w:color="auto"/>
            </w:tcBorders>
            <w:gridSpan w:val="4"/>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right w:val="single" w:sz="8" w:color="auto"/>
            </w:tcBorders>
          </w:tcPr>
          <w:p>
            <w:pPr>
              <w:spacing w:after="0"/>
              <w:rPr>
                <w:sz w:val="19"/>
                <w:szCs w:val="19"/>
                <w:color w:val="auto"/>
              </w:rPr>
            </w:pPr>
          </w:p>
        </w:tc>
        <w:tc>
          <w:tcPr>
            <w:tcW w:w="1050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50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19.1%* (</w:t>
            </w:r>
            <w:r>
              <w:rPr>
                <w:rFonts w:ascii="Arial" w:cs="Arial" w:eastAsia="Arial" w:hAnsi="Arial"/>
                <w:sz w:val="22"/>
                <w:szCs w:val="22"/>
                <w:i w:val="1"/>
                <w:iCs w:val="1"/>
                <w:color w:val="auto"/>
              </w:rPr>
              <w:t>See Item 4</w:t>
            </w: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0"/>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right w:val="single" w:sz="8" w:color="auto"/>
            </w:tcBorders>
          </w:tcPr>
          <w:p>
            <w:pPr>
              <w:spacing w:after="0"/>
              <w:rPr>
                <w:sz w:val="19"/>
                <w:szCs w:val="19"/>
                <w:color w:val="auto"/>
              </w:rPr>
            </w:pPr>
          </w:p>
        </w:tc>
        <w:tc>
          <w:tcPr>
            <w:tcW w:w="1050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PN</w:t>
            </w: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right="60" w:hanging="216"/>
        <w:spacing w:after="0" w:line="259"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December 31, 2019. Represents 10,340,864 shares of Class B Common Stock, which are convertible into an equal number of shares of Class A Common Stock. Based on the Issuer’s Form S-1/A filed with the Securities and Exchange Commission on September 10, 2019, the Reporting Persons’ shares of Class B Common Stock represent less than 5% of the total equity and voting power of all shares of the Issuer’s Class A Common Stock and Class B Common Stock on a combined basis.</w:t>
      </w:r>
    </w:p>
    <w:p>
      <w:pPr>
        <w:sectPr>
          <w:pgSz w:w="11900" w:h="16838" w:orient="portrait"/>
          <w:cols w:equalWidth="0" w:num="1">
            <w:col w:w="11040"/>
          </w:cols>
          <w:pgMar w:left="440" w:top="274" w:right="4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70614W100</w:t>
      </w:r>
    </w:p>
    <w:p>
      <w:pPr>
        <w:spacing w:after="0" w:line="140" w:lineRule="exact"/>
        <w:rPr>
          <w:sz w:val="20"/>
          <w:szCs w:val="20"/>
          <w:color w:val="auto"/>
        </w:rPr>
      </w:pPr>
    </w:p>
    <w:p>
      <w:pPr>
        <w:ind w:left="260"/>
        <w:spacing w:after="0"/>
        <w:tabs>
          <w:tab w:leader="none" w:pos="6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006590" cy="5240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6590" cy="5240020"/>
                    </a:xfrm>
                    <a:prstGeom prst="rect">
                      <a:avLst/>
                    </a:prstGeom>
                    <a:noFill/>
                  </pic:spPr>
                </pic:pic>
              </a:graphicData>
            </a:graphic>
          </wp:anchor>
        </w:drawing>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50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NBCUniversal Media, LLC</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4"/>
                <w:szCs w:val="14"/>
                <w:color w:val="auto"/>
              </w:rPr>
            </w:pPr>
          </w:p>
        </w:tc>
        <w:tc>
          <w:tcPr>
            <w:tcW w:w="1050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81"/>
              </w:rPr>
              <w:t>(b)</w:t>
            </w:r>
          </w:p>
        </w:tc>
        <w:tc>
          <w:tcPr>
            <w:tcW w:w="934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1050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38"/>
        </w:trPr>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1050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Delaware</w:t>
            </w:r>
          </w:p>
        </w:tc>
        <w:tc>
          <w:tcPr>
            <w:tcW w:w="60" w:type="dxa"/>
            <w:vAlign w:val="bottom"/>
            <w:tcBorders>
              <w:bottom w:val="single" w:sz="8" w:color="auto"/>
            </w:tcBorders>
          </w:tcPr>
          <w:p>
            <w:pPr>
              <w:spacing w:after="0"/>
              <w:rPr>
                <w:sz w:val="24"/>
                <w:szCs w:val="24"/>
                <w:color w:val="auto"/>
              </w:rPr>
            </w:pPr>
          </w:p>
        </w:tc>
        <w:tc>
          <w:tcPr>
            <w:tcW w:w="9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60" w:type="dxa"/>
            <w:vAlign w:val="bottom"/>
            <w:tcBorders>
              <w:right w:val="single" w:sz="8" w:color="auto"/>
            </w:tcBorders>
          </w:tcPr>
          <w:p>
            <w:pPr>
              <w:spacing w:after="0"/>
              <w:rPr>
                <w:sz w:val="19"/>
                <w:szCs w:val="19"/>
                <w:color w:val="auto"/>
              </w:rPr>
            </w:pPr>
          </w:p>
        </w:tc>
        <w:tc>
          <w:tcPr>
            <w:tcW w:w="92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0"/>
        </w:trPr>
        <w:tc>
          <w:tcPr>
            <w:tcW w:w="1420" w:type="dxa"/>
            <w:vAlign w:val="bottom"/>
            <w:tcBorders>
              <w:right w:val="single" w:sz="8" w:color="auto"/>
            </w:tcBorders>
            <w:gridSpan w:val="3"/>
            <w:vMerge w:val="restart"/>
          </w:tcPr>
          <w:p>
            <w:pPr>
              <w:jc w:val="center"/>
              <w:ind w:left="10"/>
              <w:spacing w:after="0"/>
              <w:rPr>
                <w:sz w:val="20"/>
                <w:szCs w:val="20"/>
                <w:color w:val="auto"/>
              </w:rPr>
            </w:pPr>
            <w:r>
              <w:rPr>
                <w:rFonts w:ascii="Arial" w:cs="Arial" w:eastAsia="Arial" w:hAnsi="Arial"/>
                <w:sz w:val="18"/>
                <w:szCs w:val="18"/>
                <w:color w:val="auto"/>
                <w:w w:val="96"/>
              </w:rPr>
              <w:t>NUMBER OF</w:t>
            </w: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2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420" w:type="dxa"/>
            <w:vAlign w:val="bottom"/>
            <w:tcBorders>
              <w:right w:val="single" w:sz="8" w:color="auto"/>
            </w:tcBorders>
            <w:gridSpan w:val="3"/>
            <w:vMerge w:val="continue"/>
          </w:tcPr>
          <w:p>
            <w:pPr>
              <w:spacing w:after="0"/>
              <w:rPr>
                <w:sz w:val="4"/>
                <w:szCs w:val="4"/>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60" w:type="dxa"/>
            <w:vAlign w:val="bottom"/>
            <w:tcBorders>
              <w:right w:val="single" w:sz="8" w:color="auto"/>
            </w:tcBorders>
          </w:tcPr>
          <w:p>
            <w:pPr>
              <w:spacing w:after="0"/>
              <w:rPr>
                <w:sz w:val="4"/>
                <w:szCs w:val="4"/>
                <w:color w:val="auto"/>
              </w:rPr>
            </w:pPr>
          </w:p>
        </w:tc>
        <w:tc>
          <w:tcPr>
            <w:tcW w:w="928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1020" w:type="dxa"/>
            <w:vAlign w:val="bottom"/>
            <w:tcBorders>
              <w:right w:val="single" w:sz="8" w:color="auto"/>
            </w:tcBorders>
            <w:gridSpan w:val="2"/>
            <w:vMerge w:val="restart"/>
          </w:tcPr>
          <w:p>
            <w:pPr>
              <w:jc w:val="center"/>
              <w:ind w:right="184"/>
              <w:spacing w:after="0"/>
              <w:rPr>
                <w:sz w:val="20"/>
                <w:szCs w:val="20"/>
                <w:color w:val="auto"/>
              </w:rPr>
            </w:pPr>
            <w:r>
              <w:rPr>
                <w:rFonts w:ascii="Arial" w:cs="Arial" w:eastAsia="Arial" w:hAnsi="Arial"/>
                <w:sz w:val="18"/>
                <w:szCs w:val="18"/>
                <w:color w:val="auto"/>
                <w:w w:val="94"/>
              </w:rPr>
              <w:t>SHARES</w:t>
            </w:r>
          </w:p>
        </w:tc>
        <w:tc>
          <w:tcPr>
            <w:tcW w:w="260" w:type="dxa"/>
            <w:vAlign w:val="bottom"/>
            <w:vMerge w:val="continue"/>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9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1020" w:type="dxa"/>
            <w:vAlign w:val="bottom"/>
            <w:tcBorders>
              <w:right w:val="single" w:sz="8" w:color="auto"/>
            </w:tcBorders>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9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9"/>
              </w:rPr>
              <w:t>BENEFICIALLY</w:t>
            </w:r>
          </w:p>
        </w:tc>
        <w:tc>
          <w:tcPr>
            <w:tcW w:w="2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280" w:type="dxa"/>
            <w:vAlign w:val="bottom"/>
            <w:vMerge w:val="restart"/>
          </w:tcPr>
          <w:p>
            <w:pPr>
              <w:ind w:left="100"/>
              <w:spacing w:after="0"/>
              <w:rPr>
                <w:sz w:val="20"/>
                <w:szCs w:val="20"/>
                <w:color w:val="auto"/>
              </w:rPr>
            </w:pPr>
            <w:r>
              <w:rPr>
                <w:rFonts w:ascii="Arial" w:cs="Arial" w:eastAsia="Arial" w:hAnsi="Arial"/>
                <w:sz w:val="22"/>
                <w:szCs w:val="22"/>
                <w:color w:val="auto"/>
              </w:rPr>
              <w:t>10,340,864* (</w:t>
            </w:r>
            <w:r>
              <w:rPr>
                <w:rFonts w:ascii="Arial" w:cs="Arial" w:eastAsia="Arial" w:hAnsi="Arial"/>
                <w:sz w:val="22"/>
                <w:szCs w:val="22"/>
                <w:i w:val="1"/>
                <w:iCs w:val="1"/>
                <w:color w:val="auto"/>
              </w:rPr>
              <w:t>See Item 4</w:t>
            </w: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0"/>
        </w:trPr>
        <w:tc>
          <w:tcPr>
            <w:tcW w:w="14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7"/>
              </w:rPr>
              <w:t>OWNED BY</w:t>
            </w: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2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right w:val="single" w:sz="8" w:color="auto"/>
            </w:tcBorders>
          </w:tcPr>
          <w:p>
            <w:pPr>
              <w:jc w:val="center"/>
              <w:ind w:right="324"/>
              <w:spacing w:after="0" w:line="182" w:lineRule="exact"/>
              <w:rPr>
                <w:sz w:val="20"/>
                <w:szCs w:val="20"/>
                <w:color w:val="auto"/>
              </w:rPr>
            </w:pPr>
            <w:r>
              <w:rPr>
                <w:rFonts w:ascii="Arial" w:cs="Arial" w:eastAsia="Arial" w:hAnsi="Arial"/>
                <w:sz w:val="18"/>
                <w:szCs w:val="18"/>
                <w:color w:val="auto"/>
                <w:w w:val="95"/>
              </w:rPr>
              <w:t>EACH</w:t>
            </w:r>
          </w:p>
        </w:tc>
        <w:tc>
          <w:tcPr>
            <w:tcW w:w="320" w:type="dxa"/>
            <w:vAlign w:val="bottom"/>
            <w:tcBorders>
              <w:right w:val="single" w:sz="8" w:color="auto"/>
            </w:tcBorders>
            <w:gridSpan w:val="2"/>
          </w:tcPr>
          <w:p>
            <w:pPr>
              <w:jc w:val="right"/>
              <w:ind w:right="10"/>
              <w:spacing w:after="0" w:line="182" w:lineRule="exact"/>
              <w:rPr>
                <w:sz w:val="20"/>
                <w:szCs w:val="20"/>
                <w:color w:val="auto"/>
              </w:rPr>
            </w:pPr>
            <w:r>
              <w:rPr>
                <w:rFonts w:ascii="Arial" w:cs="Arial" w:eastAsia="Arial" w:hAnsi="Arial"/>
                <w:sz w:val="18"/>
                <w:szCs w:val="18"/>
                <w:b w:val="1"/>
                <w:bCs w:val="1"/>
                <w:color w:val="auto"/>
              </w:rPr>
              <w:t>7.</w:t>
            </w:r>
          </w:p>
        </w:tc>
        <w:tc>
          <w:tcPr>
            <w:tcW w:w="928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3"/>
              </w:rPr>
              <w:t>REPORTING</w:t>
            </w:r>
          </w:p>
        </w:tc>
        <w:tc>
          <w:tcPr>
            <w:tcW w:w="2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1020" w:type="dxa"/>
            <w:vAlign w:val="bottom"/>
            <w:tcBorders>
              <w:right w:val="single" w:sz="8" w:color="auto"/>
            </w:tcBorders>
            <w:gridSpan w:val="2"/>
          </w:tcPr>
          <w:p>
            <w:pPr>
              <w:jc w:val="center"/>
              <w:ind w:right="184"/>
              <w:spacing w:after="0"/>
              <w:rPr>
                <w:sz w:val="20"/>
                <w:szCs w:val="20"/>
                <w:color w:val="auto"/>
              </w:rPr>
            </w:pPr>
            <w:r>
              <w:rPr>
                <w:rFonts w:ascii="Arial" w:cs="Arial" w:eastAsia="Arial" w:hAnsi="Arial"/>
                <w:sz w:val="18"/>
                <w:szCs w:val="18"/>
                <w:color w:val="auto"/>
                <w:w w:val="92"/>
              </w:rPr>
              <w:t>PERSON</w:t>
            </w:r>
          </w:p>
        </w:tc>
        <w:tc>
          <w:tcPr>
            <w:tcW w:w="2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9280" w:type="dxa"/>
            <w:vAlign w:val="bottom"/>
          </w:tcPr>
          <w:p>
            <w:pPr>
              <w:ind w:left="10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0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900" w:type="dxa"/>
            <w:vAlign w:val="bottom"/>
            <w:tcBorders>
              <w:right w:val="single" w:sz="8" w:color="auto"/>
            </w:tcBorders>
            <w:vMerge w:val="restart"/>
          </w:tcPr>
          <w:p>
            <w:pPr>
              <w:jc w:val="center"/>
              <w:ind w:right="304"/>
              <w:spacing w:after="0"/>
              <w:rPr>
                <w:sz w:val="20"/>
                <w:szCs w:val="20"/>
                <w:color w:val="auto"/>
              </w:rPr>
            </w:pPr>
            <w:r>
              <w:rPr>
                <w:rFonts w:ascii="Arial" w:cs="Arial" w:eastAsia="Arial" w:hAnsi="Arial"/>
                <w:sz w:val="18"/>
                <w:szCs w:val="18"/>
                <w:color w:val="auto"/>
                <w:w w:val="99"/>
              </w:rPr>
              <w:t>WITH</w:t>
            </w:r>
          </w:p>
        </w:tc>
        <w:tc>
          <w:tcPr>
            <w:tcW w:w="260" w:type="dxa"/>
            <w:vAlign w:val="bottom"/>
            <w:tcBorders>
              <w:bottom w:val="single" w:sz="8" w:color="auto"/>
            </w:tcBorders>
          </w:tcPr>
          <w:p>
            <w:pPr>
              <w:spacing w:after="0"/>
              <w:rPr>
                <w:sz w:val="6"/>
                <w:szCs w:val="6"/>
                <w:color w:val="auto"/>
              </w:rPr>
            </w:pPr>
          </w:p>
        </w:tc>
        <w:tc>
          <w:tcPr>
            <w:tcW w:w="60" w:type="dxa"/>
            <w:vAlign w:val="bottom"/>
            <w:tcBorders>
              <w:bottom w:val="single" w:sz="8" w:color="auto"/>
              <w:right w:val="single" w:sz="8" w:color="auto"/>
            </w:tcBorders>
          </w:tcPr>
          <w:p>
            <w:pPr>
              <w:spacing w:after="0"/>
              <w:rPr>
                <w:sz w:val="6"/>
                <w:szCs w:val="6"/>
                <w:color w:val="auto"/>
              </w:rPr>
            </w:pPr>
          </w:p>
        </w:tc>
        <w:tc>
          <w:tcPr>
            <w:tcW w:w="9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900" w:type="dxa"/>
            <w:vAlign w:val="bottom"/>
            <w:tcBorders>
              <w:right w:val="single" w:sz="8" w:color="auto"/>
            </w:tcBorders>
            <w:vMerge w:val="continue"/>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60" w:type="dxa"/>
            <w:vAlign w:val="bottom"/>
            <w:tcBorders>
              <w:right w:val="single" w:sz="8" w:color="auto"/>
            </w:tcBorders>
          </w:tcPr>
          <w:p>
            <w:pPr>
              <w:spacing w:after="0"/>
              <w:rPr>
                <w:sz w:val="11"/>
                <w:szCs w:val="11"/>
                <w:color w:val="auto"/>
              </w:rPr>
            </w:pPr>
          </w:p>
        </w:tc>
        <w:tc>
          <w:tcPr>
            <w:tcW w:w="928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7"/>
        </w:trPr>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260" w:type="dxa"/>
            <w:vAlign w:val="bottom"/>
            <w:vMerge w:val="continue"/>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9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2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10,340,864* (</w:t>
            </w:r>
            <w:r>
              <w:rPr>
                <w:rFonts w:ascii="Arial" w:cs="Arial" w:eastAsia="Arial" w:hAnsi="Arial"/>
                <w:sz w:val="22"/>
                <w:szCs w:val="22"/>
                <w:i w:val="1"/>
                <w:iCs w:val="1"/>
                <w:color w:val="auto"/>
              </w:rPr>
              <w:t>See Item 4</w:t>
            </w: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0"/>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Borders>
              <w:right w:val="single" w:sz="8" w:color="auto"/>
            </w:tcBorders>
          </w:tcPr>
          <w:p>
            <w:pPr>
              <w:spacing w:after="0"/>
              <w:rPr>
                <w:sz w:val="19"/>
                <w:szCs w:val="19"/>
                <w:color w:val="auto"/>
              </w:rPr>
            </w:pPr>
          </w:p>
        </w:tc>
        <w:tc>
          <w:tcPr>
            <w:tcW w:w="1220" w:type="dxa"/>
            <w:vAlign w:val="bottom"/>
            <w:gridSpan w:val="3"/>
          </w:tcPr>
          <w:p>
            <w:pPr>
              <w:ind w:left="80"/>
              <w:spacing w:after="0"/>
              <w:rPr>
                <w:sz w:val="20"/>
                <w:szCs w:val="20"/>
                <w:color w:val="auto"/>
              </w:rPr>
            </w:pPr>
            <w:r>
              <w:rPr>
                <w:rFonts w:ascii="Arial" w:cs="Arial" w:eastAsia="Arial" w:hAnsi="Arial"/>
                <w:sz w:val="18"/>
                <w:szCs w:val="18"/>
                <w:color w:val="auto"/>
                <w:w w:val="96"/>
              </w:rPr>
              <w:t>AGGREGATE</w:t>
            </w:r>
          </w:p>
        </w:tc>
        <w:tc>
          <w:tcPr>
            <w:tcW w:w="928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50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10,340,864* (</w:t>
            </w:r>
            <w:r>
              <w:rPr>
                <w:rFonts w:ascii="Arial" w:cs="Arial" w:eastAsia="Arial" w:hAnsi="Arial"/>
                <w:sz w:val="22"/>
                <w:szCs w:val="22"/>
                <w:i w:val="1"/>
                <w:iCs w:val="1"/>
                <w:color w:val="auto"/>
              </w:rPr>
              <w:t>See Item 4</w:t>
            </w: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right w:val="single" w:sz="8" w:color="auto"/>
            </w:tcBorders>
          </w:tcPr>
          <w:p>
            <w:pPr>
              <w:spacing w:after="0"/>
              <w:rPr>
                <w:sz w:val="24"/>
                <w:szCs w:val="24"/>
                <w:color w:val="auto"/>
              </w:rPr>
            </w:pPr>
          </w:p>
        </w:tc>
        <w:tc>
          <w:tcPr>
            <w:tcW w:w="1050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500" w:type="dxa"/>
            <w:vAlign w:val="bottom"/>
            <w:tcBorders>
              <w:bottom w:val="single" w:sz="8" w:color="auto"/>
            </w:tcBorders>
            <w:gridSpan w:val="4"/>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right w:val="single" w:sz="8" w:color="auto"/>
            </w:tcBorders>
          </w:tcPr>
          <w:p>
            <w:pPr>
              <w:spacing w:after="0"/>
              <w:rPr>
                <w:sz w:val="19"/>
                <w:szCs w:val="19"/>
                <w:color w:val="auto"/>
              </w:rPr>
            </w:pPr>
          </w:p>
        </w:tc>
        <w:tc>
          <w:tcPr>
            <w:tcW w:w="1050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50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19.1%* (</w:t>
            </w:r>
            <w:r>
              <w:rPr>
                <w:rFonts w:ascii="Arial" w:cs="Arial" w:eastAsia="Arial" w:hAnsi="Arial"/>
                <w:sz w:val="22"/>
                <w:szCs w:val="22"/>
                <w:i w:val="1"/>
                <w:iCs w:val="1"/>
                <w:color w:val="auto"/>
              </w:rPr>
              <w:t>See Item 4</w:t>
            </w: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0"/>
        </w:trPr>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right w:val="single" w:sz="8" w:color="auto"/>
            </w:tcBorders>
          </w:tcPr>
          <w:p>
            <w:pPr>
              <w:spacing w:after="0"/>
              <w:rPr>
                <w:sz w:val="19"/>
                <w:szCs w:val="19"/>
                <w:color w:val="auto"/>
              </w:rPr>
            </w:pPr>
          </w:p>
        </w:tc>
        <w:tc>
          <w:tcPr>
            <w:tcW w:w="1050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PN</w:t>
            </w: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0" w:right="60" w:hanging="216"/>
        <w:spacing w:after="0" w:line="259"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December 31, 2019. Represents 10,340,864 shares of Class B Common Stock, which are convertible into an equal number of shares of Class A Common Stock. Based on the Issuer’s Form S-1/A filed with the Securities and Exchange Commission on September 10, 2019, the Reporting Persons’ shares of Class B Common Stock represent less than 5% of the total equity and voting power of all shares of the Issuer’s Class A Common Stock and Class B Common Stock on a combined basis.</w:t>
      </w:r>
    </w:p>
    <w:p>
      <w:pPr>
        <w:sectPr>
          <w:pgSz w:w="11900" w:h="16838" w:orient="portrait"/>
          <w:cols w:equalWidth="0" w:num="1">
            <w:col w:w="11040"/>
          </w:cols>
          <w:pgMar w:left="440" w:top="274" w:right="41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Peloton Interactive, Inc.</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125 West 25th Street, 11</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10001</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Reporting Persons:</w:t>
      </w:r>
    </w:p>
    <w:p>
      <w:pPr>
        <w:spacing w:after="0" w:line="135" w:lineRule="exact"/>
        <w:rPr>
          <w:sz w:val="20"/>
          <w:szCs w:val="20"/>
          <w:color w:val="auto"/>
        </w:rPr>
      </w:pPr>
    </w:p>
    <w:p>
      <w:pPr>
        <w:ind w:left="980" w:hanging="54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Comcast Corporation;</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NBCUniversal, LLC; and</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NBCUniversal Media, LLC.</w:t>
      </w:r>
    </w:p>
    <w:p>
      <w:pPr>
        <w:spacing w:after="0" w:line="225"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NBCUniversal Media, LLC is the direct holder of 10,340,864 shares of Class B Common Stock of the Issuer, which are convertible into an equal number of shares of Class A Common Stock. NBCUniversal Media, LLC is a wholly owned subsidiary of NBCUniversal, LLC; Comcast Corporation owns 100% of NBCUniversal, LLC’s common equity (through wholly owned subsidiaries).</w:t>
      </w:r>
    </w:p>
    <w:p>
      <w:pPr>
        <w:spacing w:after="0" w:line="32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35" w:lineRule="exact"/>
        <w:rPr>
          <w:sz w:val="20"/>
          <w:szCs w:val="20"/>
          <w:color w:val="auto"/>
        </w:rPr>
      </w:pPr>
    </w:p>
    <w:p>
      <w:pPr>
        <w:ind w:left="980" w:hanging="54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Comcast Corporation: One Comcast Center, Philadelphia, Pennsylvania 19103-2838</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NBCUniversal, LLC and NBCUniversal Media, LLC: 30 Rockefeller Plaza, New York, New York, 10112</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35" w:lineRule="exact"/>
        <w:rPr>
          <w:sz w:val="20"/>
          <w:szCs w:val="20"/>
          <w:color w:val="auto"/>
        </w:rPr>
      </w:pPr>
    </w:p>
    <w:p>
      <w:pPr>
        <w:ind w:left="980" w:hanging="54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Comcast Corporation: Pennsylvania</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NBCUniversal, LLC and NBCUniversal Media, LLC: Delaware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Class A Common Stock, par value $0.000025</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70614W100</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102" w:lineRule="exact"/>
        <w:rPr>
          <w:sz w:val="20"/>
          <w:szCs w:val="20"/>
          <w:color w:val="auto"/>
        </w:rPr>
      </w:pPr>
    </w:p>
    <w:p>
      <w:pPr>
        <w:ind w:left="1100" w:hanging="750"/>
        <w:spacing w:after="0" w:line="207" w:lineRule="exact"/>
        <w:tabs>
          <w:tab w:leader="none" w:pos="110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100" w:hanging="755"/>
        <w:spacing w:after="0" w:line="207" w:lineRule="exact"/>
        <w:tabs>
          <w:tab w:leader="none" w:pos="110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30" w:lineRule="exact"/>
        <w:rPr>
          <w:rFonts w:ascii="Arial" w:cs="Arial" w:eastAsia="Arial" w:hAnsi="Arial"/>
          <w:sz w:val="18"/>
          <w:szCs w:val="18"/>
          <w:color w:val="auto"/>
        </w:rPr>
      </w:pPr>
    </w:p>
    <w:p>
      <w:pPr>
        <w:ind w:left="1100" w:hanging="750"/>
        <w:spacing w:after="0" w:line="207" w:lineRule="exact"/>
        <w:tabs>
          <w:tab w:leader="none" w:pos="110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30" w:lineRule="exact"/>
        <w:rPr>
          <w:rFonts w:ascii="Arial" w:cs="Arial" w:eastAsia="Arial" w:hAnsi="Arial"/>
          <w:sz w:val="18"/>
          <w:szCs w:val="18"/>
          <w:color w:val="auto"/>
        </w:rPr>
      </w:pPr>
    </w:p>
    <w:p>
      <w:pPr>
        <w:ind w:left="1100" w:hanging="755"/>
        <w:spacing w:after="0" w:line="207" w:lineRule="exact"/>
        <w:tabs>
          <w:tab w:leader="none" w:pos="110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30" w:lineRule="exact"/>
        <w:rPr>
          <w:rFonts w:ascii="Arial" w:cs="Arial" w:eastAsia="Arial" w:hAnsi="Arial"/>
          <w:sz w:val="18"/>
          <w:szCs w:val="18"/>
          <w:color w:val="auto"/>
        </w:rPr>
      </w:pPr>
    </w:p>
    <w:p>
      <w:pPr>
        <w:ind w:left="1100" w:hanging="750"/>
        <w:spacing w:after="0" w:line="207" w:lineRule="exact"/>
        <w:tabs>
          <w:tab w:leader="none" w:pos="110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30" w:lineRule="exact"/>
        <w:rPr>
          <w:rFonts w:ascii="Arial" w:cs="Arial" w:eastAsia="Arial" w:hAnsi="Arial"/>
          <w:sz w:val="18"/>
          <w:szCs w:val="18"/>
          <w:color w:val="auto"/>
        </w:rPr>
      </w:pPr>
    </w:p>
    <w:p>
      <w:pPr>
        <w:ind w:left="1100" w:hanging="740"/>
        <w:spacing w:after="0" w:line="207" w:lineRule="exact"/>
        <w:tabs>
          <w:tab w:leader="none" w:pos="110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30" w:lineRule="exact"/>
        <w:rPr>
          <w:rFonts w:ascii="Arial" w:cs="Arial" w:eastAsia="Arial" w:hAnsi="Arial"/>
          <w:sz w:val="18"/>
          <w:szCs w:val="18"/>
          <w:color w:val="auto"/>
        </w:rPr>
      </w:pPr>
    </w:p>
    <w:p>
      <w:pPr>
        <w:ind w:left="1100" w:hanging="755"/>
        <w:spacing w:after="0" w:line="207" w:lineRule="exact"/>
        <w:tabs>
          <w:tab w:leader="none" w:pos="110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130" w:lineRule="exact"/>
        <w:rPr>
          <w:rFonts w:ascii="Arial" w:cs="Arial" w:eastAsia="Arial" w:hAnsi="Arial"/>
          <w:sz w:val="18"/>
          <w:szCs w:val="18"/>
          <w:color w:val="auto"/>
        </w:rPr>
      </w:pPr>
    </w:p>
    <w:p>
      <w:pPr>
        <w:ind w:left="1100" w:hanging="755"/>
        <w:spacing w:after="0" w:line="207" w:lineRule="exact"/>
        <w:tabs>
          <w:tab w:leader="none" w:pos="110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ectPr>
          <w:pgSz w:w="11900" w:h="16838" w:orient="portrait"/>
          <w:cols w:equalWidth="0" w:num="1">
            <w:col w:w="10900"/>
          </w:cols>
          <w:pgMar w:left="440" w:top="270" w:right="559" w:bottom="1440" w:gutter="0" w:footer="0" w:header="0"/>
        </w:sectPr>
      </w:pPr>
    </w:p>
    <w:bookmarkStart w:id="5" w:name="page6"/>
    <w:bookmarkEnd w:id="5"/>
    <w:p>
      <w:pPr>
        <w:ind w:left="1440" w:hanging="1076"/>
        <w:spacing w:after="0" w:line="239" w:lineRule="exact"/>
        <w:tabs>
          <w:tab w:leader="none" w:pos="1089"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color w:val="auto"/>
        </w:rPr>
      </w:pPr>
    </w:p>
    <w:p>
      <w:pPr>
        <w:ind w:left="1100" w:hanging="736"/>
        <w:spacing w:after="0" w:line="207" w:lineRule="exact"/>
        <w:tabs>
          <w:tab w:leader="none" w:pos="110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0" w:lineRule="exact"/>
        <w:rPr>
          <w:sz w:val="20"/>
          <w:szCs w:val="20"/>
          <w:color w:val="auto"/>
        </w:rPr>
      </w:pPr>
    </w:p>
    <w:p>
      <w:pPr>
        <w:spacing w:after="0" w:line="21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requested in this item is incorporated herein by reference to the cover pages to this Schedule 13G.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10,340,864 of the shares of Class A Common Stock of the Issuer reported as being beneficially owned by the Reporting Persons as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are included in this Schedule 13G because the Reporting Persons are deemed to beneficially own such shares as a result of the direct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ownership of 10,340,864 shares of Class B Common Stock of the Issuer, which are convertible into shares of Class A Common Stock at the election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holder at an exchange rate of 1:1.</w:t>
      </w:r>
    </w:p>
    <w:p>
      <w:pPr>
        <w:spacing w:after="0" w:line="211"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Based on 43,707,400 shares of Class A Common Stock outstanding as of October 31, 2019, as reported in the Issuer’s Quarterly Report on Form 10-Q for the period ended September 30, 2019 filed with the Securities and Exchange Commission on November 6, 2019 and assuming the Reporting Persons converted all of the 10,340,864 outstanding shares of Class B Common Stock into the equivalent number of shares of Class A Common Stock and no other holders of shares of Class B Common Stock elected to convert, the 10,340,864 shares of Class A Common Stock reported as being beneficially owned by the Reporting Persons in this Schedule 13G would represent approximately 19.1% of the outstanding Class A Common Stock of the Issuer.</w:t>
      </w:r>
    </w:p>
    <w:p>
      <w:pPr>
        <w:spacing w:after="0" w:line="193" w:lineRule="exact"/>
        <w:rPr>
          <w:sz w:val="20"/>
          <w:szCs w:val="20"/>
          <w:color w:val="auto"/>
        </w:rPr>
      </w:pPr>
    </w:p>
    <w:p>
      <w:pPr>
        <w:jc w:val="both"/>
        <w:ind w:right="180" w:firstLine="441"/>
        <w:spacing w:after="0" w:line="264" w:lineRule="auto"/>
        <w:rPr>
          <w:sz w:val="20"/>
          <w:szCs w:val="20"/>
          <w:color w:val="auto"/>
        </w:rPr>
      </w:pPr>
      <w:r>
        <w:rPr>
          <w:rFonts w:ascii="Arial" w:cs="Arial" w:eastAsia="Arial" w:hAnsi="Arial"/>
          <w:sz w:val="18"/>
          <w:szCs w:val="18"/>
          <w:color w:val="auto"/>
        </w:rPr>
        <w:t>However, based on the Issuer’s Form S-1/A filed with the Securities and Exchange Commission on September 10, 2019, the Reporting Persons’ shares of Class B Common Stock represent less than 5% of the total equity and voting power of all shares of the Issuer’s Class A Common Stock and Class B Common Stock on a combined basis.</w:t>
      </w:r>
    </w:p>
    <w:p>
      <w:pPr>
        <w:spacing w:after="0" w:line="32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jc w:val="both"/>
        <w:ind w:right="160" w:firstLine="441"/>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32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980" w:right="680" w:hanging="985"/>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00"/>
          </w:cols>
          <w:pgMar w:left="440" w:top="241" w:right="45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730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Elizabeth Wideman</w:t>
      </w:r>
    </w:p>
    <w:p>
      <w:pPr>
        <w:spacing w:after="0" w:line="23" w:lineRule="exact"/>
        <w:rPr>
          <w:sz w:val="20"/>
          <w:szCs w:val="20"/>
          <w:color w:val="auto"/>
        </w:rPr>
      </w:pPr>
    </w:p>
    <w:p>
      <w:pPr>
        <w:jc w:val="both"/>
        <w:ind w:left="6980"/>
        <w:spacing w:after="0"/>
        <w:tabs>
          <w:tab w:leader="none" w:pos="7540" w:val="left"/>
        </w:tabs>
        <w:rPr>
          <w:sz w:val="20"/>
          <w:szCs w:val="20"/>
          <w:color w:val="auto"/>
        </w:rPr>
      </w:pPr>
      <w:r>
        <w:rPr>
          <w:rFonts w:ascii="Arial" w:cs="Arial" w:eastAsia="Arial" w:hAnsi="Arial"/>
          <w:sz w:val="18"/>
          <w:szCs w:val="18"/>
          <w:color w:val="auto"/>
        </w:rPr>
        <w:t>Title:</w:t>
        <w:tab/>
        <w:t>Vice President, Senior Deputy General Counsel</w:t>
      </w:r>
    </w:p>
    <w:p>
      <w:pPr>
        <w:spacing w:after="0" w:line="9"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and Assistant Secretary</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NBCUNIVERSAL,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730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Elizabeth Wideman</w:t>
      </w:r>
    </w:p>
    <w:p>
      <w:pPr>
        <w:spacing w:after="0" w:line="23" w:lineRule="exact"/>
        <w:rPr>
          <w:sz w:val="20"/>
          <w:szCs w:val="20"/>
          <w:color w:val="auto"/>
        </w:rPr>
      </w:pPr>
    </w:p>
    <w:p>
      <w:pPr>
        <w:ind w:left="6980"/>
        <w:spacing w:after="0"/>
        <w:tabs>
          <w:tab w:leader="none" w:pos="7540" w:val="left"/>
        </w:tabs>
        <w:rPr>
          <w:sz w:val="20"/>
          <w:szCs w:val="20"/>
          <w:color w:val="auto"/>
        </w:rPr>
      </w:pPr>
      <w:r>
        <w:rPr>
          <w:rFonts w:ascii="Arial" w:cs="Arial" w:eastAsia="Arial" w:hAnsi="Arial"/>
          <w:sz w:val="18"/>
          <w:szCs w:val="18"/>
          <w:color w:val="auto"/>
        </w:rPr>
        <w:t>Title:</w:t>
        <w:tab/>
        <w:t>Vice President</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NBCUNIVERSAL MEDIA,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730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Elizabeth Wideman</w:t>
      </w:r>
    </w:p>
    <w:p>
      <w:pPr>
        <w:spacing w:after="0" w:line="23" w:lineRule="exact"/>
        <w:rPr>
          <w:sz w:val="20"/>
          <w:szCs w:val="20"/>
          <w:color w:val="auto"/>
        </w:rPr>
      </w:pPr>
    </w:p>
    <w:p>
      <w:pPr>
        <w:ind w:left="6980"/>
        <w:spacing w:after="0"/>
        <w:tabs>
          <w:tab w:leader="none" w:pos="7540" w:val="left"/>
        </w:tabs>
        <w:rPr>
          <w:sz w:val="20"/>
          <w:szCs w:val="20"/>
          <w:color w:val="auto"/>
        </w:rPr>
      </w:pPr>
      <w:r>
        <w:rPr>
          <w:rFonts w:ascii="Arial" w:cs="Arial" w:eastAsia="Arial" w:hAnsi="Arial"/>
          <w:sz w:val="18"/>
          <w:szCs w:val="18"/>
          <w:color w:val="auto"/>
        </w:rPr>
        <w:t>Title:</w:t>
        <w:tab/>
        <w:t>Vice President</w:t>
      </w:r>
    </w:p>
    <w:p>
      <w:pPr>
        <w:sectPr>
          <w:pgSz w:w="11900" w:h="16838" w:orient="portrait"/>
          <w:cols w:equalWidth="0" w:num="1">
            <w:col w:w="10980"/>
          </w:cols>
          <w:pgMar w:left="440" w:top="270" w:right="47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JOINT FILING AGREEMENT</w:t>
      </w:r>
    </w:p>
    <w:p>
      <w:pPr>
        <w:spacing w:after="0" w:line="229"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color w:val="auto"/>
        </w:rPr>
        <w:t>In accordance with Rule 13d-1(k) under the Securities Exchange Act of 1934, as amended, each of the undersigned agrees that (i) this statement on Schedule 13G has been adopted and filed on behalf of each of them and (ii) all future amendments to such statement on Schedule 13G will, unless written notice to the contrary is delivered as described below, be jointly filed on behalf of each of them. This agreement may be terminated with respect to the obligations to jointly file future amendments to such statement on Schedule 13G as to any of the undersigned upon such person giving written notice thereof to each of the other persons signatory hereto, at the principal office thereof.</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730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Elizabeth Wideman</w:t>
      </w:r>
    </w:p>
    <w:p>
      <w:pPr>
        <w:spacing w:after="0" w:line="23" w:lineRule="exact"/>
        <w:rPr>
          <w:sz w:val="20"/>
          <w:szCs w:val="20"/>
          <w:color w:val="auto"/>
        </w:rPr>
      </w:pPr>
    </w:p>
    <w:p>
      <w:pPr>
        <w:jc w:val="both"/>
        <w:ind w:left="6980"/>
        <w:spacing w:after="0"/>
        <w:tabs>
          <w:tab w:leader="none" w:pos="7540" w:val="left"/>
        </w:tabs>
        <w:rPr>
          <w:sz w:val="20"/>
          <w:szCs w:val="20"/>
          <w:color w:val="auto"/>
        </w:rPr>
      </w:pPr>
      <w:r>
        <w:rPr>
          <w:rFonts w:ascii="Arial" w:cs="Arial" w:eastAsia="Arial" w:hAnsi="Arial"/>
          <w:sz w:val="18"/>
          <w:szCs w:val="18"/>
          <w:color w:val="auto"/>
        </w:rPr>
        <w:t>Title:</w:t>
        <w:tab/>
        <w:t>Vice President, Senior Deputy General Counsel</w:t>
      </w:r>
    </w:p>
    <w:p>
      <w:pPr>
        <w:spacing w:after="0" w:line="9"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and Assistant Secretary</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NBCUNIVERSAL,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730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Elizabeth Wideman</w:t>
      </w:r>
    </w:p>
    <w:p>
      <w:pPr>
        <w:spacing w:after="0" w:line="23" w:lineRule="exact"/>
        <w:rPr>
          <w:sz w:val="20"/>
          <w:szCs w:val="20"/>
          <w:color w:val="auto"/>
        </w:rPr>
      </w:pPr>
    </w:p>
    <w:p>
      <w:pPr>
        <w:ind w:left="6980"/>
        <w:spacing w:after="0"/>
        <w:tabs>
          <w:tab w:leader="none" w:pos="7540" w:val="left"/>
        </w:tabs>
        <w:rPr>
          <w:sz w:val="20"/>
          <w:szCs w:val="20"/>
          <w:color w:val="auto"/>
        </w:rPr>
      </w:pPr>
      <w:r>
        <w:rPr>
          <w:rFonts w:ascii="Arial" w:cs="Arial" w:eastAsia="Arial" w:hAnsi="Arial"/>
          <w:sz w:val="18"/>
          <w:szCs w:val="18"/>
          <w:color w:val="auto"/>
        </w:rPr>
        <w:t>Title:</w:t>
        <w:tab/>
        <w:t>Vice President</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NBCUNIVERSAL MEDIA,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730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Elizabeth Wideman</w:t>
      </w:r>
    </w:p>
    <w:p>
      <w:pPr>
        <w:spacing w:after="0" w:line="23" w:lineRule="exact"/>
        <w:rPr>
          <w:sz w:val="20"/>
          <w:szCs w:val="20"/>
          <w:color w:val="auto"/>
        </w:rPr>
      </w:pPr>
    </w:p>
    <w:p>
      <w:pPr>
        <w:ind w:left="6980"/>
        <w:spacing w:after="0"/>
        <w:tabs>
          <w:tab w:leader="none" w:pos="7540" w:val="left"/>
        </w:tabs>
        <w:rPr>
          <w:sz w:val="20"/>
          <w:szCs w:val="20"/>
          <w:color w:val="auto"/>
        </w:rPr>
      </w:pPr>
      <w:r>
        <w:rPr>
          <w:rFonts w:ascii="Arial" w:cs="Arial" w:eastAsia="Arial" w:hAnsi="Arial"/>
          <w:sz w:val="18"/>
          <w:szCs w:val="18"/>
          <w:color w:val="auto"/>
        </w:rPr>
        <w:t>Title:</w:t>
        <w:tab/>
        <w:t>Vice President</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lvl w:ilvl="1">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2020-02-13T10:12:49Z</dcterms:created>
  <dcterms:modified xsi:type="dcterms:W3CDTF">2020-02-13T10:12:49Z</dcterms:modified>
</cp:coreProperties>
</file>