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605790</wp:posOffset>
            </wp:positionH>
            <wp:positionV relativeFrom="page">
              <wp:posOffset>471805</wp:posOffset>
            </wp:positionV>
            <wp:extent cx="6798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8310" cy="8255"/>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438150</wp:posOffset>
            </wp:positionV>
            <wp:extent cx="6798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831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2" w:lineRule="exact"/>
        <w:rPr>
          <w:sz w:val="24"/>
          <w:szCs w:val="24"/>
          <w:color w:val="auto"/>
        </w:rPr>
      </w:pPr>
    </w:p>
    <w:p>
      <w:pPr>
        <w:ind w:left="1100" w:hanging="938"/>
        <w:spacing w:after="0"/>
        <w:tabs>
          <w:tab w:leader="none" w:pos="11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5" w:lineRule="exact"/>
        <w:rPr>
          <w:sz w:val="24"/>
          <w:szCs w:val="24"/>
          <w:color w:val="auto"/>
        </w:rPr>
      </w:pPr>
    </w:p>
    <w:p>
      <w:pPr>
        <w:ind w:left="1060" w:hanging="891"/>
        <w:spacing w:after="0"/>
        <w:tabs>
          <w:tab w:leader="none" w:pos="10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780"/>
        <w:spacing w:after="0"/>
        <w:tabs>
          <w:tab w:leader="none" w:pos="70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1957705</wp:posOffset>
            </wp:positionH>
            <wp:positionV relativeFrom="paragraph">
              <wp:posOffset>163195</wp:posOffset>
            </wp:positionV>
            <wp:extent cx="3185795" cy="507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5795" cy="507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color w:val="auto"/>
              </w:rPr>
              <w:t>Exact Name of Registrant; State of</w:t>
            </w:r>
          </w:p>
        </w:tc>
        <w:tc>
          <w:tcPr>
            <w:tcW w:w="4100" w:type="dxa"/>
            <w:vAlign w:val="bottom"/>
          </w:tcPr>
          <w:p>
            <w:pPr>
              <w:spacing w:after="0"/>
              <w:rPr>
                <w:sz w:val="17"/>
                <w:szCs w:val="17"/>
                <w:color w:val="auto"/>
              </w:rPr>
            </w:pPr>
          </w:p>
        </w:tc>
      </w:tr>
      <w:tr>
        <w:trPr>
          <w:trHeight w:val="170"/>
        </w:trPr>
        <w:tc>
          <w:tcPr>
            <w:tcW w:w="4120" w:type="dxa"/>
            <w:vAlign w:val="bottom"/>
          </w:tcPr>
          <w:p>
            <w:pPr>
              <w:spacing w:after="0"/>
              <w:rPr>
                <w:sz w:val="14"/>
                <w:szCs w:val="14"/>
                <w:color w:val="auto"/>
              </w:rPr>
            </w:pPr>
          </w:p>
        </w:tc>
        <w:tc>
          <w:tcPr>
            <w:tcW w:w="2980" w:type="dxa"/>
            <w:vAlign w:val="bottom"/>
            <w:gridSpan w:val="6"/>
          </w:tcPr>
          <w:p>
            <w:pPr>
              <w:jc w:val="center"/>
              <w:ind w:right="20"/>
              <w:spacing w:after="0" w:line="171" w:lineRule="exact"/>
              <w:rPr>
                <w:sz w:val="20"/>
                <w:szCs w:val="20"/>
                <w:color w:val="auto"/>
              </w:rPr>
            </w:pPr>
            <w:r>
              <w:rPr>
                <w:rFonts w:ascii="Times New Roman" w:cs="Times New Roman" w:eastAsia="Times New Roman" w:hAnsi="Times New Roman"/>
                <w:sz w:val="17"/>
                <w:szCs w:val="17"/>
                <w:color w:val="auto"/>
              </w:rPr>
              <w:t>Incorporation; Address and Telephone</w:t>
            </w:r>
          </w:p>
        </w:tc>
        <w:tc>
          <w:tcPr>
            <w:tcW w:w="4100" w:type="dxa"/>
            <w:vAlign w:val="bottom"/>
          </w:tcPr>
          <w:p>
            <w:pPr>
              <w:spacing w:after="0"/>
              <w:rPr>
                <w:sz w:val="14"/>
                <w:szCs w:val="14"/>
                <w:color w:val="auto"/>
              </w:rPr>
            </w:pPr>
          </w:p>
        </w:tc>
      </w:tr>
      <w:tr>
        <w:trPr>
          <w:trHeight w:val="236"/>
        </w:trPr>
        <w:tc>
          <w:tcPr>
            <w:tcW w:w="4120" w:type="dxa"/>
            <w:vAlign w:val="bottom"/>
            <w:tcBorders>
              <w:bottom w:val="single" w:sz="8" w:color="auto"/>
            </w:tcBorders>
          </w:tcPr>
          <w:p>
            <w:pPr>
              <w:jc w:val="center"/>
              <w:ind w:right="933"/>
              <w:spacing w:after="0"/>
              <w:rPr>
                <w:sz w:val="20"/>
                <w:szCs w:val="20"/>
                <w:color w:val="auto"/>
              </w:rPr>
            </w:pPr>
            <w:r>
              <w:rPr>
                <w:rFonts w:ascii="Times New Roman" w:cs="Times New Roman" w:eastAsia="Times New Roman" w:hAnsi="Times New Roman"/>
                <w:sz w:val="17"/>
                <w:szCs w:val="17"/>
                <w:color w:val="auto"/>
              </w:rPr>
              <w:t>Commission File Number</w:t>
            </w:r>
          </w:p>
        </w:tc>
        <w:tc>
          <w:tcPr>
            <w:tcW w:w="29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7"/>
                <w:szCs w:val="17"/>
                <w:color w:val="auto"/>
              </w:rPr>
              <w:t>Number of Principal Executive Offices</w:t>
            </w:r>
          </w:p>
        </w:tc>
        <w:tc>
          <w:tcPr>
            <w:tcW w:w="410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3"/>
        </w:trPr>
        <w:tc>
          <w:tcPr>
            <w:tcW w:w="4120" w:type="dxa"/>
            <w:vAlign w:val="bottom"/>
          </w:tcPr>
          <w:p>
            <w:pPr>
              <w:jc w:val="right"/>
              <w:ind w:right="2113"/>
              <w:spacing w:after="0"/>
              <w:rPr>
                <w:sz w:val="20"/>
                <w:szCs w:val="20"/>
                <w:color w:val="auto"/>
              </w:rPr>
            </w:pPr>
            <w:r>
              <w:rPr>
                <w:rFonts w:ascii="Times New Roman" w:cs="Times New Roman" w:eastAsia="Times New Roman" w:hAnsi="Times New Roman"/>
                <w:sz w:val="17"/>
                <w:szCs w:val="17"/>
                <w:b w:val="1"/>
                <w:bCs w:val="1"/>
                <w:color w:val="auto"/>
              </w:rPr>
              <w:t>001-32871</w:t>
            </w:r>
          </w:p>
        </w:tc>
        <w:tc>
          <w:tcPr>
            <w:tcW w:w="200" w:type="dxa"/>
            <w:vAlign w:val="bottom"/>
          </w:tcPr>
          <w:p>
            <w:pPr>
              <w:spacing w:after="0"/>
              <w:rPr>
                <w:sz w:val="19"/>
                <w:szCs w:val="19"/>
                <w:color w:val="auto"/>
              </w:rPr>
            </w:pPr>
          </w:p>
        </w:tc>
        <w:tc>
          <w:tcPr>
            <w:tcW w:w="278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COMCAST CORPORATION</w:t>
            </w:r>
          </w:p>
        </w:tc>
        <w:tc>
          <w:tcPr>
            <w:tcW w:w="4100" w:type="dxa"/>
            <w:vAlign w:val="bottom"/>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27-0000798</w:t>
            </w:r>
          </w:p>
        </w:tc>
      </w:tr>
      <w:tr>
        <w:trPr>
          <w:trHeight w:val="261"/>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Pennsylvania</w:t>
            </w:r>
          </w:p>
        </w:tc>
        <w:tc>
          <w:tcPr>
            <w:tcW w:w="4100" w:type="dxa"/>
            <w:vAlign w:val="bottom"/>
          </w:tcPr>
          <w:p>
            <w:pPr>
              <w:spacing w:after="0"/>
              <w:rPr>
                <w:sz w:val="22"/>
                <w:szCs w:val="22"/>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One Comcast Center</w:t>
            </w:r>
          </w:p>
        </w:tc>
        <w:tc>
          <w:tcPr>
            <w:tcW w:w="410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Philadelphia, PA 19103-2838</w:t>
            </w:r>
          </w:p>
        </w:tc>
        <w:tc>
          <w:tcPr>
            <w:tcW w:w="4100" w:type="dxa"/>
            <w:vAlign w:val="bottom"/>
          </w:tcPr>
          <w:p>
            <w:pPr>
              <w:spacing w:after="0"/>
              <w:rPr>
                <w:sz w:val="18"/>
                <w:szCs w:val="18"/>
                <w:color w:val="auto"/>
              </w:rPr>
            </w:pPr>
          </w:p>
        </w:tc>
      </w:tr>
      <w:tr>
        <w:trPr>
          <w:trHeight w:val="23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b w:val="1"/>
                <w:bCs w:val="1"/>
                <w:color w:val="auto"/>
              </w:rPr>
              <w:t>(215) 286-1700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445"/>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41"/>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1"/>
        </w:trPr>
        <w:tc>
          <w:tcPr>
            <w:tcW w:w="4120" w:type="dxa"/>
            <w:vAlign w:val="bottom"/>
            <w:tcBorders>
              <w:top w:val="single" w:sz="8" w:color="auto"/>
            </w:tcBorders>
          </w:tcPr>
          <w:p>
            <w:pPr>
              <w:jc w:val="center"/>
              <w:ind w:left="473"/>
              <w:spacing w:after="0"/>
              <w:rPr>
                <w:sz w:val="20"/>
                <w:szCs w:val="20"/>
                <w:color w:val="auto"/>
              </w:rPr>
            </w:pPr>
            <w:r>
              <w:rPr>
                <w:rFonts w:ascii="Times New Roman" w:cs="Times New Roman" w:eastAsia="Times New Roman" w:hAnsi="Times New Roman"/>
                <w:sz w:val="17"/>
                <w:szCs w:val="17"/>
                <w:color w:val="auto"/>
              </w:rPr>
              <w:t>Class A Common Stock, $0.01 par value</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0.000% Notes due 2026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CMCS26</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0.250% Notes due 2027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CMCS27</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1.500%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CMCS29</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0.250%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CMCS29A</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0.750% Notes due 2032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CMCS32</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1.875% Notes due 2036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CMCS36</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1.250% Notes due 2040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CMCS40</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9.455% Guaranteed Notes due 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CMCSA/22</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5.50%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CCGBP29</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28"/>
        </w:trPr>
        <w:tc>
          <w:tcPr>
            <w:tcW w:w="432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2.0% Exchangeable Subordinated Debentures due 2029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CCZ</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center"/>
              <w:ind w:right="453"/>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88"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6" w:lineRule="exact"/>
        <w:rPr>
          <w:sz w:val="24"/>
          <w:szCs w:val="24"/>
          <w:color w:val="auto"/>
        </w:rPr>
      </w:pPr>
    </w:p>
    <w:p>
      <w:pPr>
        <w:ind w:left="20"/>
        <w:spacing w:after="0" w:line="196" w:lineRule="exact"/>
        <w:tabs>
          <w:tab w:leader="none" w:pos="1680" w:val="left"/>
          <w:tab w:leader="none" w:pos="3340" w:val="left"/>
          <w:tab w:leader="none" w:pos="528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ab/>
        <w:t xml:space="preserve">☐ </w:t>
      </w:r>
      <w:r>
        <w:rPr>
          <w:rFonts w:ascii="Times New Roman" w:cs="Times New Roman" w:eastAsia="Times New Roman" w:hAnsi="Times New Roman"/>
          <w:sz w:val="17"/>
          <w:szCs w:val="17"/>
          <w:color w:val="auto"/>
        </w:rPr>
        <w:t>Non-accelerated filer</w:t>
      </w:r>
      <w:r>
        <w:rPr>
          <w:rFonts w:ascii="MS PGothic" w:cs="MS PGothic" w:eastAsia="MS PGothic" w:hAnsi="MS PGothic"/>
          <w:sz w:val="17"/>
          <w:szCs w:val="17"/>
          <w:color w:val="auto"/>
        </w:rPr>
        <w:tab/>
        <w:t xml:space="preserve">☐ </w:t>
      </w:r>
      <w:r>
        <w:rPr>
          <w:rFonts w:ascii="Times New Roman" w:cs="Times New Roman" w:eastAsia="Times New Roman" w:hAnsi="Times New Roman"/>
          <w:sz w:val="17"/>
          <w:szCs w:val="17"/>
          <w:color w:val="auto"/>
        </w:rPr>
        <w:t>Smaller reporting company</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Emerging growth company</w:t>
      </w:r>
      <w:r>
        <w:rPr>
          <w:rFonts w:ascii="MS PGothic" w:cs="MS PGothic" w:eastAsia="MS PGothic" w:hAnsi="MS PGothic"/>
          <w:sz w:val="17"/>
          <w:szCs w:val="17"/>
          <w:color w:val="auto"/>
        </w:rPr>
        <w:t xml:space="preserve">  ☐</w:t>
      </w:r>
    </w:p>
    <w:p>
      <w:pPr>
        <w:spacing w:after="0" w:line="224"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2022, there were 4,313,964,319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193040</wp:posOffset>
            </wp:positionV>
            <wp:extent cx="701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160020</wp:posOffset>
            </wp:positionV>
            <wp:extent cx="701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6120" w:type="dxa"/>
            <w:vAlign w:val="bottom"/>
            <w:gridSpan w:val="11"/>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1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6240" w:type="dxa"/>
            <w:vAlign w:val="bottom"/>
            <w:gridSpan w:val="12"/>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Condensed Consolidated Statement of Income (Unaudited)</w:t>
            </w:r>
          </w:p>
        </w:tc>
        <w:tc>
          <w:tcPr>
            <w:tcW w:w="3580" w:type="dxa"/>
            <w:vAlign w:val="bottom"/>
            <w:gridSpan w:val="8"/>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 of Comprehensive Income (Unaudited)</w:t>
            </w:r>
          </w:p>
        </w:tc>
        <w:tc>
          <w:tcPr>
            <w:tcW w:w="2440" w:type="dxa"/>
            <w:vAlign w:val="bottom"/>
            <w:gridSpan w:val="2"/>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 of Cash Flows (Unaudited)</w:t>
            </w:r>
          </w:p>
        </w:tc>
        <w:tc>
          <w:tcPr>
            <w:tcW w:w="3280" w:type="dxa"/>
            <w:vAlign w:val="bottom"/>
            <w:gridSpan w:val="5"/>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Condensed Consolidated Balance Sheet (Unaudited)</w:t>
            </w:r>
          </w:p>
        </w:tc>
        <w:tc>
          <w:tcPr>
            <w:tcW w:w="4040" w:type="dxa"/>
            <w:vAlign w:val="bottom"/>
            <w:gridSpan w:val="9"/>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 of Changes in Equity (Unaudited)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47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120" w:type="dxa"/>
            <w:vAlign w:val="bottom"/>
            <w:tcBorders>
              <w:top w:val="single" w:sz="8" w:color="0000FF"/>
            </w:tcBorders>
          </w:tcPr>
          <w:p>
            <w:pPr>
              <w:spacing w:after="0"/>
              <w:rPr>
                <w:sz w:val="17"/>
                <w:szCs w:val="17"/>
                <w:color w:val="auto"/>
              </w:rPr>
            </w:pPr>
          </w:p>
        </w:tc>
        <w:tc>
          <w:tcPr>
            <w:tcW w:w="2820" w:type="dxa"/>
            <w:vAlign w:val="bottom"/>
            <w:gridSpan w:val="3"/>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2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4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4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480" w:type="dxa"/>
            <w:vAlign w:val="bottom"/>
            <w:gridSpan w:val="6"/>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77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6400" w:type="dxa"/>
            <w:vAlign w:val="bottom"/>
            <w:gridSpan w:val="13"/>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7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1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420" w:type="dxa"/>
            <w:vAlign w:val="bottom"/>
            <w:gridSpan w:val="14"/>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77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42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3500" w:type="dxa"/>
            <w:vAlign w:val="bottom"/>
            <w:gridSpan w:val="7"/>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6440" w:type="dxa"/>
            <w:vAlign w:val="bottom"/>
            <w:gridSpan w:val="15"/>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2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Quarterly Report on Form 10-Q is for the three and nine months ended September 30, 2022.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spacing w:after="0" w:line="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Numerical information in this report is presented on a rounded basis using actual amounts. Minor differences in totals and percentage calculations may exist due to rounding.</w:t>
      </w:r>
    </w:p>
    <w:p>
      <w:pPr>
        <w:jc w:val="center"/>
        <w:spacing w:after="0"/>
        <w:rPr>
          <w:sz w:val="20"/>
          <w:szCs w:val="20"/>
          <w:color w:val="auto"/>
        </w:rPr>
      </w:pPr>
      <w:r>
        <w:rPr>
          <w:rFonts w:ascii="Times New Roman" w:cs="Times New Roman" w:eastAsia="Times New Roman" w:hAnsi="Times New Roman"/>
          <w:sz w:val="17"/>
          <w:szCs w:val="17"/>
          <w:b w:val="1"/>
          <w:bCs w:val="1"/>
          <w:color w:val="auto"/>
        </w:rPr>
        <w:t>CAUTION CONCERNING FORWARD-LOOKING STATEMENTS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evaluating forward-looking statements, you should consider various factors, including the risks and uncertainties we describe in the “Risk Factors” sections of our Forms 10-K and 10-Q and other reports we file with the SEC. Additionally, we operate in a highly competitive, consumer-driven and rapidly changing environment. This environment is affected by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535305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7"/>
          <w:szCs w:val="17"/>
          <w:color w:val="auto"/>
        </w:rPr>
        <w:t>regulation; economic, strategic, political and social conditions; consumer response to new and existing products and services; technological developments; and the ability to develop and protect intellectual property rights. Any of these factors could cause 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businesses may be affected by, among other things, the following:</w:t>
      </w:r>
    </w:p>
    <w:p>
      <w:pPr>
        <w:spacing w:after="0" w:line="66" w:lineRule="exact"/>
        <w:rPr>
          <w:sz w:val="20"/>
          <w:szCs w:val="20"/>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has had, and may continue to have, a material adverse effect on our businesses and results of operations</w:t>
      </w:r>
    </w:p>
    <w:p>
      <w:pPr>
        <w:spacing w:after="0" w:line="66"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businesses operate in highly competitive and dynamic industries, and our businesses and results of operations could be adversely affected if we do not compete effectively</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behavior continue to adversely affect our businesses and challenge existing business models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advertisers’ expenditures or changes in advertising markets could negatively impact our businesses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programming expenses for our video services are increasing, which could adversely affect Cable Communications’ video businesses</w:t>
      </w:r>
    </w:p>
    <w:p>
      <w:pPr>
        <w:spacing w:after="0" w:line="66"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40" w:right="96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programming distribution and licensing agreements, or the renewal of these agreements on less favorable terms, could adversely affect our businesses</w:t>
      </w:r>
    </w:p>
    <w:p>
      <w:pPr>
        <w:ind w:left="640" w:right="96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businesses depend on using and protecting certain intellectual property rights and on not infringing the intellectual property rights of others</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necessary hardware, software and operational support</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businesses depend on keeping pace with technological developments</w:t>
      </w:r>
    </w:p>
    <w:p>
      <w:pPr>
        <w:spacing w:after="0" w:line="66" w:lineRule="exact"/>
        <w:rPr>
          <w:rFonts w:ascii="Times New Roman" w:cs="Times New Roman" w:eastAsia="Times New Roman" w:hAnsi="Times New Roman"/>
          <w:sz w:val="17"/>
          <w:szCs w:val="17"/>
          <w:color w:val="auto"/>
        </w:rPr>
      </w:pPr>
    </w:p>
    <w:p>
      <w:pPr>
        <w:jc w:val="both"/>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210"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 economic conditions may have a negative impact on our businesses</w:t>
      </w:r>
    </w:p>
    <w:p>
      <w:pPr>
        <w:spacing w:after="0" w:line="66"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and other strategic initiatives present many risks, and we may not realize the financial and strategic goals that we had contemplated</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relating to doing business internationally that could adversely affect our businesses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severe weather and other uncontrollable events could adversely affect our business, reputation and results of operations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management personnel or popular on-air and creative talent could have an adverse effect on our businesses</w:t>
      </w:r>
    </w:p>
    <w:p>
      <w:pPr>
        <w:spacing w:after="0" w:line="66" w:lineRule="exact"/>
        <w:rPr>
          <w:rFonts w:ascii="Times New Roman" w:cs="Times New Roman" w:eastAsia="Times New Roman" w:hAnsi="Times New Roman"/>
          <w:sz w:val="17"/>
          <w:szCs w:val="17"/>
          <w:color w:val="auto"/>
        </w:rPr>
      </w:pPr>
    </w:p>
    <w:p>
      <w:pPr>
        <w:ind w:left="640" w:right="960" w:hanging="321"/>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regulation by federal, state, local and foreign authorities, which impose additional costs and restrictions on our businesses</w:t>
      </w:r>
    </w:p>
    <w:p>
      <w:pPr>
        <w:spacing w:after="0" w:line="253"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litigation or governmental investigation results could require us to pay significant amounts or lead to onerous operating procedures</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 whether involving employees or sports organizations, may disrupt our operations and adversely affect our businesses</w:t>
      </w:r>
    </w:p>
    <w:p>
      <w:pPr>
        <w:spacing w:after="0" w:line="66" w:lineRule="exact"/>
        <w:rPr>
          <w:rFonts w:ascii="Times New Roman" w:cs="Times New Roman" w:eastAsia="Times New Roman" w:hAnsi="Times New Roman"/>
          <w:sz w:val="17"/>
          <w:szCs w:val="17"/>
          <w:color w:val="auto"/>
        </w:rPr>
      </w:pPr>
    </w:p>
    <w:p>
      <w:pPr>
        <w:ind w:left="640" w:right="9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741045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 of Income</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w w:val="92"/>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color w:val="auto"/>
                <w:w w:val="99"/>
              </w:rPr>
              <w:t>2021</w:t>
            </w:r>
          </w:p>
        </w:tc>
        <w:tc>
          <w:tcPr>
            <w:tcW w:w="0" w:type="dxa"/>
            <w:vAlign w:val="bottom"/>
          </w:tcPr>
          <w:p>
            <w:pPr>
              <w:spacing w:after="0"/>
              <w:rPr>
                <w:sz w:val="1"/>
                <w:szCs w:val="1"/>
                <w:color w:val="auto"/>
              </w:rPr>
            </w:pPr>
          </w:p>
        </w:tc>
      </w:tr>
      <w:tr>
        <w:trPr>
          <w:trHeight w:val="217"/>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29,849</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30,298</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90,874</w:t>
            </w: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86,049</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8,949</w:t>
            </w:r>
          </w:p>
        </w:tc>
        <w:tc>
          <w:tcPr>
            <w:tcW w:w="62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10,395</w:t>
            </w:r>
          </w:p>
        </w:tc>
        <w:tc>
          <w:tcPr>
            <w:tcW w:w="42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28,406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28,570</w:t>
            </w:r>
          </w:p>
        </w:tc>
        <w:tc>
          <w:tcPr>
            <w:tcW w:w="0" w:type="dxa"/>
            <w:vAlign w:val="bottom"/>
          </w:tcPr>
          <w:p>
            <w:pPr>
              <w:spacing w:after="0"/>
              <w:rPr>
                <w:sz w:val="1"/>
                <w:szCs w:val="1"/>
                <w:color w:val="auto"/>
              </w:rPr>
            </w:pP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9,344</w:t>
            </w:r>
          </w:p>
        </w:tc>
        <w:tc>
          <w:tcPr>
            <w:tcW w:w="62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8,981</w:t>
            </w:r>
          </w:p>
        </w:tc>
        <w:tc>
          <w:tcPr>
            <w:tcW w:w="42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27,701</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25,799</w:t>
            </w:r>
          </w:p>
        </w:tc>
        <w:tc>
          <w:tcPr>
            <w:tcW w:w="0" w:type="dxa"/>
            <w:vAlign w:val="bottom"/>
          </w:tcPr>
          <w:p>
            <w:pPr>
              <w:spacing w:after="0"/>
              <w:rPr>
                <w:sz w:val="1"/>
                <w:szCs w:val="1"/>
                <w:color w:val="auto"/>
              </w:rPr>
            </w:pP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2,066</w:t>
            </w:r>
          </w:p>
        </w:tc>
        <w:tc>
          <w:tcPr>
            <w:tcW w:w="62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1,995</w:t>
            </w:r>
          </w:p>
        </w:tc>
        <w:tc>
          <w:tcPr>
            <w:tcW w:w="42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6,324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5,462</w:t>
            </w:r>
          </w:p>
        </w:tc>
        <w:tc>
          <w:tcPr>
            <w:tcW w:w="0" w:type="dxa"/>
            <w:vAlign w:val="bottom"/>
          </w:tcPr>
          <w:p>
            <w:pPr>
              <w:spacing w:after="0"/>
              <w:rPr>
                <w:sz w:val="1"/>
                <w:szCs w:val="1"/>
                <w:color w:val="auto"/>
              </w:rPr>
            </w:pP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2,150</w:t>
            </w:r>
          </w:p>
        </w:tc>
        <w:tc>
          <w:tcPr>
            <w:tcW w:w="62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2,177</w:t>
            </w:r>
          </w:p>
        </w:tc>
        <w:tc>
          <w:tcPr>
            <w:tcW w:w="42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6,525</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6,407</w:t>
            </w:r>
          </w:p>
        </w:tc>
        <w:tc>
          <w:tcPr>
            <w:tcW w:w="0" w:type="dxa"/>
            <w:vAlign w:val="bottom"/>
          </w:tcPr>
          <w:p>
            <w:pPr>
              <w:spacing w:after="0"/>
              <w:rPr>
                <w:sz w:val="1"/>
                <w:szCs w:val="1"/>
                <w:color w:val="auto"/>
              </w:rPr>
            </w:pP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w:t>
            </w:r>
          </w:p>
        </w:tc>
        <w:tc>
          <w:tcPr>
            <w:tcW w:w="3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1,183</w:t>
            </w:r>
          </w:p>
        </w:tc>
        <w:tc>
          <w:tcPr>
            <w:tcW w:w="62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1,301</w:t>
            </w:r>
          </w:p>
        </w:tc>
        <w:tc>
          <w:tcPr>
            <w:tcW w:w="42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3,824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3,815</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Goodwill and long-lived asset impairments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8,583</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8,583</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32,274</w:t>
            </w: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24,848</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81,363</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70,053</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3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(2,425)</w:t>
            </w:r>
          </w:p>
        </w:tc>
        <w:tc>
          <w:tcPr>
            <w:tcW w:w="62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5,450</w:t>
            </w:r>
          </w:p>
        </w:tc>
        <w:tc>
          <w:tcPr>
            <w:tcW w:w="42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9,511</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15,996</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(960)</w:t>
            </w:r>
          </w:p>
        </w:tc>
        <w:tc>
          <w:tcPr>
            <w:tcW w:w="6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(1,050)</w:t>
            </w:r>
          </w:p>
        </w:tc>
        <w:tc>
          <w:tcPr>
            <w:tcW w:w="4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(2,922)</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Investment and other income (loss),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(266)</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766</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(975)</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0" w:type="dxa"/>
            <w:vAlign w:val="bottom"/>
          </w:tcPr>
          <w:p>
            <w:pPr>
              <w:spacing w:after="0"/>
              <w:rPr>
                <w:sz w:val="1"/>
                <w:szCs w:val="1"/>
                <w:color w:val="auto"/>
              </w:rPr>
            </w:pPr>
          </w:p>
        </w:tc>
      </w:tr>
      <w:tr>
        <w:trPr>
          <w:trHeight w:val="211"/>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(3,652)</w:t>
            </w:r>
          </w:p>
        </w:tc>
        <w:tc>
          <w:tcPr>
            <w:tcW w:w="62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5,166</w:t>
            </w:r>
          </w:p>
        </w:tc>
        <w:tc>
          <w:tcPr>
            <w:tcW w:w="42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5,614</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15,208</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(1,014)</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(1,235)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(3,562)</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(4,354)</w:t>
            </w:r>
          </w:p>
        </w:tc>
        <w:tc>
          <w:tcPr>
            <w:tcW w:w="0" w:type="dxa"/>
            <w:vAlign w:val="bottom"/>
          </w:tcPr>
          <w:p>
            <w:pPr>
              <w:spacing w:after="0"/>
              <w:rPr>
                <w:sz w:val="1"/>
                <w:szCs w:val="1"/>
                <w:color w:val="auto"/>
              </w:rPr>
            </w:pPr>
          </w:p>
        </w:tc>
      </w:tr>
      <w:tr>
        <w:trPr>
          <w:trHeight w:val="211"/>
        </w:trPr>
        <w:tc>
          <w:tcPr>
            <w:tcW w:w="5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(4,665)</w:t>
            </w:r>
          </w:p>
        </w:tc>
        <w:tc>
          <w:tcPr>
            <w:tcW w:w="62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3,931</w:t>
            </w:r>
          </w:p>
        </w:tc>
        <w:tc>
          <w:tcPr>
            <w:tcW w:w="42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2,052</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c>
          <w:tcPr>
            <w:tcW w:w="0" w:type="dxa"/>
            <w:vAlign w:val="bottom"/>
          </w:tcPr>
          <w:p>
            <w:pPr>
              <w:spacing w:after="0"/>
              <w:rPr>
                <w:sz w:val="1"/>
                <w:szCs w:val="1"/>
                <w:color w:val="auto"/>
              </w:rPr>
            </w:pPr>
          </w:p>
        </w:tc>
      </w:tr>
      <w:tr>
        <w:trPr>
          <w:trHeight w:val="228"/>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(295)</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222"/>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Comcast Corporation</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(4,598)</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4,035</w:t>
            </w:r>
          </w:p>
        </w:tc>
        <w:tc>
          <w:tcPr>
            <w:tcW w:w="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2,347</w:t>
            </w:r>
          </w:p>
        </w:tc>
        <w:tc>
          <w:tcPr>
            <w:tcW w:w="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11,102</w:t>
            </w:r>
          </w:p>
        </w:tc>
        <w:tc>
          <w:tcPr>
            <w:tcW w:w="0" w:type="dxa"/>
            <w:vAlign w:val="bottom"/>
          </w:tcPr>
          <w:p>
            <w:pPr>
              <w:spacing w:after="0"/>
              <w:rPr>
                <w:sz w:val="1"/>
                <w:szCs w:val="1"/>
                <w:color w:val="auto"/>
              </w:rPr>
            </w:pPr>
          </w:p>
        </w:tc>
      </w:tr>
      <w:tr>
        <w:trPr>
          <w:trHeight w:val="176"/>
        </w:trPr>
        <w:tc>
          <w:tcPr>
            <w:tcW w:w="53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Basic earnings (loss) per common share attributable to Comcast</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(1.05)</w:t>
            </w:r>
          </w:p>
        </w:tc>
        <w:tc>
          <w:tcPr>
            <w:tcW w:w="6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0.88</w:t>
            </w:r>
          </w:p>
        </w:tc>
        <w:tc>
          <w:tcPr>
            <w:tcW w:w="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0.53</w:t>
            </w:r>
          </w:p>
        </w:tc>
        <w:tc>
          <w:tcPr>
            <w:tcW w:w="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2.42</w:t>
            </w:r>
          </w:p>
        </w:tc>
        <w:tc>
          <w:tcPr>
            <w:tcW w:w="0" w:type="dxa"/>
            <w:vAlign w:val="bottom"/>
          </w:tcPr>
          <w:p>
            <w:pPr>
              <w:spacing w:after="0"/>
              <w:rPr>
                <w:sz w:val="1"/>
                <w:szCs w:val="1"/>
                <w:color w:val="auto"/>
              </w:rPr>
            </w:pPr>
          </w:p>
        </w:tc>
      </w:tr>
      <w:tr>
        <w:trPr>
          <w:trHeight w:val="223"/>
        </w:trPr>
        <w:tc>
          <w:tcPr>
            <w:tcW w:w="53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 shareholders</w:t>
            </w:r>
          </w:p>
        </w:tc>
        <w:tc>
          <w:tcPr>
            <w:tcW w:w="30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3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auto"/>
              </w:rPr>
              <w:t>Diluted earnings (loss) per common share attributable to Comcast</w:t>
            </w:r>
          </w:p>
        </w:tc>
        <w:tc>
          <w:tcPr>
            <w:tcW w:w="3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(1.05)</w:t>
            </w:r>
          </w:p>
        </w:tc>
        <w:tc>
          <w:tcPr>
            <w:tcW w:w="6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0.86</w:t>
            </w:r>
          </w:p>
        </w:tc>
        <w:tc>
          <w:tcPr>
            <w:tcW w:w="42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0.52</w:t>
            </w:r>
          </w:p>
        </w:tc>
        <w:tc>
          <w:tcPr>
            <w:tcW w:w="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2.38</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 shareholders</w:t>
            </w:r>
          </w:p>
        </w:tc>
        <w:tc>
          <w:tcPr>
            <w:tcW w:w="30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72"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Comprehensive Income</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53"/>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(4,665)</w:t>
            </w:r>
          </w:p>
        </w:tc>
        <w:tc>
          <w:tcPr>
            <w:tcW w:w="6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3,931</w:t>
            </w:r>
          </w:p>
        </w:tc>
        <w:tc>
          <w:tcPr>
            <w:tcW w:w="4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2,052</w:t>
            </w: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Currency translation adjustments, net of deferred taxes of $15, $231,</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$304 and $122</w:t>
            </w:r>
          </w:p>
        </w:tc>
        <w:tc>
          <w:tcPr>
            <w:tcW w:w="34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(2,464)</w:t>
            </w:r>
          </w:p>
        </w:tc>
        <w:tc>
          <w:tcPr>
            <w:tcW w:w="64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(692)</w:t>
            </w:r>
          </w:p>
        </w:tc>
        <w:tc>
          <w:tcPr>
            <w:tcW w:w="46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(6,337)</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Deferred gains (losses), net of deferred taxes of $4, $1, $(34)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Pr>
          <w:p>
            <w:pPr>
              <w:spacing w:after="0"/>
              <w:rPr>
                <w:sz w:val="20"/>
                <w:szCs w:val="20"/>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108</w:t>
            </w:r>
          </w:p>
        </w:tc>
        <w:tc>
          <w:tcPr>
            <w:tcW w:w="6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w:t>
            </w:r>
          </w:p>
        </w:tc>
        <w:tc>
          <w:tcPr>
            <w:tcW w:w="460" w:type="dxa"/>
            <w:vAlign w:val="bottom"/>
          </w:tcPr>
          <w:p>
            <w:pPr>
              <w:spacing w:after="0"/>
              <w:rPr>
                <w:sz w:val="20"/>
                <w:szCs w:val="20"/>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401</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176"/>
        </w:trPr>
        <w:tc>
          <w:tcPr>
            <w:tcW w:w="492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Realized (gains) losses reclassified to net income, net of deferred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taxes of $(10), $(7), $(26) and $(7)</w:t>
            </w:r>
          </w:p>
        </w:tc>
        <w:tc>
          <w:tcPr>
            <w:tcW w:w="34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(56)</w:t>
            </w:r>
          </w:p>
        </w:tc>
        <w:tc>
          <w:tcPr>
            <w:tcW w:w="64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w:t>
            </w:r>
          </w:p>
        </w:tc>
        <w:tc>
          <w:tcPr>
            <w:tcW w:w="46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(118)</w:t>
            </w:r>
          </w:p>
        </w:tc>
        <w:tc>
          <w:tcPr>
            <w:tcW w:w="6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Employee benefit obligations and other, net of deferred taxes of $9,</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$2, $14 and $7</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(29)</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(50)</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340" w:type="dxa"/>
            <w:vAlign w:val="bottom"/>
          </w:tcPr>
          <w:p>
            <w:pPr>
              <w:spacing w:after="0"/>
              <w:rPr>
                <w:sz w:val="18"/>
                <w:szCs w:val="18"/>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(7,106)</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3,268</w:t>
            </w:r>
          </w:p>
        </w:tc>
        <w:tc>
          <w:tcPr>
            <w:tcW w:w="46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(4,053)</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(68)</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(104)</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(295)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Less: Other comprehensive income (loss) attributable to</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(56)</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(68)</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164"/>
        </w:trPr>
        <w:tc>
          <w:tcPr>
            <w:tcW w:w="492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Comprehensive income (loss) attributable to Comcast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(6,983)</w:t>
            </w:r>
          </w:p>
        </w:tc>
        <w:tc>
          <w:tcPr>
            <w:tcW w:w="64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3,370</w:t>
            </w:r>
          </w:p>
        </w:tc>
        <w:tc>
          <w:tcPr>
            <w:tcW w:w="4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(3,689)</w:t>
            </w:r>
          </w:p>
        </w:tc>
        <w:tc>
          <w:tcPr>
            <w:tcW w:w="640" w:type="dxa"/>
            <w:vAlign w:val="bottom"/>
            <w:vMerge w:val="restart"/>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10,546</w:t>
            </w:r>
          </w:p>
        </w:tc>
        <w:tc>
          <w:tcPr>
            <w:tcW w:w="0" w:type="dxa"/>
            <w:vAlign w:val="bottom"/>
          </w:tcPr>
          <w:p>
            <w:pPr>
              <w:spacing w:after="0"/>
              <w:rPr>
                <w:sz w:val="1"/>
                <w:szCs w:val="1"/>
                <w:color w:val="auto"/>
              </w:rPr>
            </w:pPr>
          </w:p>
        </w:tc>
      </w:tr>
      <w:tr>
        <w:trPr>
          <w:trHeight w:val="242"/>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w:t>
            </w:r>
          </w:p>
        </w:tc>
        <w:tc>
          <w:tcPr>
            <w:tcW w:w="34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2,052</w:t>
            </w: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10,854</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10,349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10,222</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Goodwill and long-lived asset impairments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8,583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989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1,172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(326)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(574)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(753)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r>
      <w:tr>
        <w:trPr>
          <w:trHeight w:val="228"/>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 operating assets and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(1,347)</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(465)</w:t>
            </w:r>
          </w:p>
        </w:tc>
      </w:tr>
      <w:tr>
        <w:trPr>
          <w:trHeight w:val="21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20,530</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21,457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(7,062)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(6,146)</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(2,006)</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1,197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(2,089)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r>
      <w:tr>
        <w:trPr>
          <w:trHeight w:val="228"/>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170</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r>
      <w:tr>
        <w:trPr>
          <w:trHeight w:val="21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(10,158)</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(8,406)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(9,041)</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(9,813)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(3,571)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(3,387)</w:t>
            </w:r>
          </w:p>
        </w:tc>
      </w:tr>
      <w:tr>
        <w:trPr>
          <w:trHeight w:val="228"/>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219</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w:t>
            </w:r>
          </w:p>
        </w:tc>
      </w:tr>
      <w:tr>
        <w:trPr>
          <w:trHeight w:val="21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(13,299)</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(12,946)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Impact of foreign currency on cash, cash equivalents and restricted cash</w:t>
            </w:r>
          </w:p>
        </w:tc>
        <w:tc>
          <w:tcPr>
            <w:tcW w:w="3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(122)</w:t>
            </w: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(3,049)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8,778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11,768</w:t>
            </w:r>
          </w:p>
        </w:tc>
      </w:tr>
      <w:tr>
        <w:trPr>
          <w:trHeight w:val="22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5,729</w:t>
            </w: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11,858</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60" w:type="dxa"/>
            <w:vAlign w:val="bottom"/>
          </w:tcPr>
          <w:p>
            <w:pPr>
              <w:spacing w:after="0"/>
              <w:rPr>
                <w:sz w:val="13"/>
                <w:szCs w:val="13"/>
                <w:color w:val="auto"/>
              </w:rPr>
            </w:pPr>
          </w:p>
        </w:tc>
        <w:tc>
          <w:tcPr>
            <w:tcW w:w="1320" w:type="dxa"/>
            <w:vAlign w:val="bottom"/>
          </w:tcPr>
          <w:p>
            <w:pPr>
              <w:jc w:val="right"/>
              <w:ind w:right="314"/>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5,695</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Receivables, net</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11,918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12,008</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 current assets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5,803</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23,416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 and television costs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12,685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7,318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securing collateralized obligation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 of $56,638 and $55,611</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53,555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56,414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70,189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Franchise rights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59,365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 net of accumulated amortization of $25,446 and $23,545</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28,604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33,580</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 net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12,411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254,308</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275,905</w:t>
            </w: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 related to trade creditors</w:t>
            </w:r>
          </w:p>
        </w:tc>
        <w:tc>
          <w:tcPr>
            <w:tcW w:w="3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12,241</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participations and residuals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1,725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2,757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9,229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9,899</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2,047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27,999</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90,404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Collateralized obligation</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5,172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29,102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20,288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stock—authorized, 20,000,000 shares; issued, zero</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rPr>
              <w:t>Class A common stock, $0.01 par value—authorized, 7,500,000,000 shares; issued, 5,186,755,347 and</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5,396,576,978; outstanding, 4,313,964,319 and 4,523,785,950</w:t>
            </w:r>
          </w:p>
        </w:tc>
        <w:tc>
          <w:tcPr>
            <w:tcW w:w="360" w:type="dxa"/>
            <w:vAlign w:val="bottom"/>
          </w:tcPr>
          <w:p>
            <w:pPr>
              <w:spacing w:after="0"/>
              <w:rPr>
                <w:sz w:val="20"/>
                <w:szCs w:val="20"/>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52</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Class B common stock, $0.01 par value—authorized, 75,000,000 shares; issued and outstanding, 9,444,375</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39,775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40,173</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52,541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 872,791,028 Class A common shares</w:t>
            </w:r>
          </w:p>
        </w:tc>
        <w:tc>
          <w:tcPr>
            <w:tcW w:w="36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(4,555)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Comcast Corporation shareholders’ equity</w:t>
            </w:r>
          </w:p>
        </w:tc>
        <w:tc>
          <w:tcPr>
            <w:tcW w:w="3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80,296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96,092</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637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80,933</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97,490</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3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254,308</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275,905</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Changes in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853"/>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60" w:type="dxa"/>
            <w:vAlign w:val="bottom"/>
          </w:tcPr>
          <w:p>
            <w:pPr>
              <w:spacing w:after="0"/>
              <w:rPr>
                <w:sz w:val="13"/>
                <w:szCs w:val="13"/>
                <w:color w:val="auto"/>
              </w:rPr>
            </w:pPr>
          </w:p>
        </w:tc>
      </w:tr>
      <w:tr>
        <w:trPr>
          <w:trHeight w:val="190"/>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w w:val="92"/>
              </w:rPr>
              <w:t>2021</w:t>
            </w: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Redeemable Noncontrolling Interests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530</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Redemption of subsidiary preferred stock</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(19)</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9</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2"/>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520</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520</w:t>
            </w:r>
          </w:p>
        </w:tc>
      </w:tr>
      <w:tr>
        <w:trPr>
          <w:trHeight w:val="257"/>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Class A Common Stock</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176"/>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Issuances (repurchases)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employee plans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54</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 Paid-In Capital</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39,852</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40,046</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40,173</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39,464</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compensation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233</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r>
      <w:tr>
        <w:trPr>
          <w:trHeight w:val="176"/>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Repurchases of common stock under repurchase program and employee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53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plans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5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(209)</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Employee stock purchase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39,775</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40,134</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39,775</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40,134</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61,209</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60,359</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61,902</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56,438</w:t>
            </w:r>
          </w:p>
        </w:tc>
      </w:tr>
      <w:tr>
        <w:trPr>
          <w:trHeight w:val="176"/>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Repurchases of common stock under repurchase program and employee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53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plans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(2,890)</w:t>
            </w:r>
          </w:p>
        </w:tc>
        <w:tc>
          <w:tcPr>
            <w:tcW w:w="50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(1,458)</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w:t>
            </w: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(1,153)</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4,035</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2,347</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11,102</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52,541</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61,783</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52,541</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61,783</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Treasury Stock at Cost</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(7,517)</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(7,517)</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(7,517)</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(2,170)</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1,992</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(2,385)</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(664)</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(6,035)</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(4,555)</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1,328</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(4,555)</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1,328</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1,581</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5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50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(112)</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637</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1,524</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637</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1,524</w:t>
            </w:r>
          </w:p>
        </w:tc>
      </w:tr>
      <w:tr>
        <w:trPr>
          <w:trHeight w:val="20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80,933</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97,306</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80,933</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97,306</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 common share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0.27</w:t>
            </w: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0.25</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0.81</w:t>
            </w:r>
          </w:p>
        </w:tc>
        <w:tc>
          <w:tcPr>
            <w:tcW w:w="5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0.75</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ind w:right="4420"/>
        <w:spacing w:after="0" w:line="295" w:lineRule="auto"/>
        <w:rPr>
          <w:sz w:val="20"/>
          <w:szCs w:val="20"/>
          <w:color w:val="auto"/>
        </w:rPr>
      </w:pPr>
      <w:r>
        <w:rPr>
          <w:rFonts w:ascii="Arial" w:cs="Arial" w:eastAsia="Arial" w:hAnsi="Arial"/>
          <w:sz w:val="21"/>
          <w:szCs w:val="21"/>
          <w:b w:val="1"/>
          <w:bCs w:val="1"/>
          <w:color w:val="auto"/>
        </w:rPr>
        <w:t>NOTES TO CONDENSED CONSOLIDATED FINANCIAL STATEMENTS (Unaudited)</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2021 Annual Report on Form 10-K and the notes within this Quarterly Report on Form 10-Q.</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Segment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present our operations in five reportable business segments: (1) Comcast Cable in one reportable business segment, referred to as Cable Communications;</w:t>
      </w:r>
    </w:p>
    <w:p>
      <w:pPr>
        <w:spacing w:after="0" w:line="32" w:lineRule="exact"/>
        <w:rPr>
          <w:sz w:val="20"/>
          <w:szCs w:val="20"/>
          <w:color w:val="auto"/>
        </w:rPr>
      </w:pPr>
    </w:p>
    <w:p>
      <w:pPr>
        <w:ind w:firstLine="5"/>
        <w:spacing w:after="0" w:line="274" w:lineRule="auto"/>
        <w:tabs>
          <w:tab w:leader="none" w:pos="26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NBCUniversal in three reportable business segments: Media, Studios and Theme Parks (collectively, the “NBCUniversal segments”); and (3) Sky in one reportable business segment.</w:t>
      </w:r>
    </w:p>
    <w:p>
      <w:pPr>
        <w:spacing w:after="0" w:line="6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Cable Communications is a leading provider of broadband, video, voice, wireless, and other services to residential customers in the United States under the Xfinity brand. We also provide these and other services to business customers and sell advertising.</w:t>
      </w:r>
    </w:p>
    <w:p>
      <w:pPr>
        <w:spacing w:after="0" w:line="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Media consists primarily of NBCUniversal’s television and streaming platforms, including national, regional and international cable networks; the NBC and Telemundo broadcast networks; NBC and Telemundo owned local broadcast television stations; and Peacock, our direct-to-consumer streaming service.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Studios consists primarily of NBCUniversal’s film and television studio production and distribution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Theme Parks consists primarily of our Universal theme parks in Orlando, Florida; Hollywood, California; Osaka, Japan; and Beijing, China.</w:t>
      </w:r>
    </w:p>
    <w:p>
      <w:pPr>
        <w:spacing w:after="0" w:line="11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Sky is one of Europe</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leading entertainment companies, which primarily includes a direct-to-consumer business, providing video, broadband, voice and wireless phone services, and a content business, operating entertainment networks, the Sky News broadcast network and Sky Sports networks.</w:t>
      </w:r>
    </w:p>
    <w:p>
      <w:pPr>
        <w:spacing w:after="0" w:line="4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Our other business interests consist primarily of the operations of Comcast Spectacor, which owns the Philadelphia Flyers and the Wells Fargo Center arena in Philadelphia, Pennsylvania, and other business initiatives.</w:t>
      </w:r>
    </w:p>
    <w:p>
      <w:pPr>
        <w:spacing w:after="0" w:line="4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We use Adjusted EBITDA to evaluate the profitability of our operating segments and the components of net income attributable to Comcast Corporation excluded from Adjusted EBITDA are not separately evaluated. Our financial data by reportable segment is presented in the tables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5"/>
          </w:tcPr>
          <w:p>
            <w:pPr>
              <w:jc w:val="center"/>
              <w:ind w:right="355"/>
              <w:spacing w:after="0"/>
              <w:rPr>
                <w:sz w:val="20"/>
                <w:szCs w:val="20"/>
                <w:color w:val="auto"/>
              </w:rPr>
            </w:pPr>
            <w:r>
              <w:rPr>
                <w:rFonts w:ascii="Times New Roman" w:cs="Times New Roman" w:eastAsia="Times New Roman" w:hAnsi="Times New Roman"/>
                <w:sz w:val="14"/>
                <w:szCs w:val="14"/>
                <w:color w:val="auto"/>
                <w:w w:val="99"/>
              </w:rPr>
              <w:t>Three Months Ended September 30, 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Depreciation and</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5"/>
              <w:spacing w:after="0" w:line="124" w:lineRule="exact"/>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Cash Paid for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Amortization</w:t>
            </w:r>
          </w:p>
        </w:tc>
        <w:tc>
          <w:tcPr>
            <w:tcW w:w="200" w:type="dxa"/>
            <w:vAlign w:val="bottom"/>
          </w:tcPr>
          <w:p>
            <w:pPr>
              <w:spacing w:after="0"/>
              <w:rPr>
                <w:sz w:val="17"/>
                <w:szCs w:val="17"/>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Expenditures</w:t>
            </w: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16,539</w:t>
            </w: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Headquarters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ind w:left="320"/>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9,570</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1,681</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920" w:type="dxa"/>
            <w:vAlign w:val="bottom"/>
          </w:tcPr>
          <w:p>
            <w:pPr>
              <w:spacing w:after="0" w:line="226" w:lineRule="exact"/>
              <w:rPr>
                <w:sz w:val="20"/>
                <w:szCs w:val="20"/>
                <w:color w:val="auto"/>
              </w:rPr>
            </w:pPr>
            <w:r>
              <w:rPr>
                <w:rFonts w:ascii="Times New Roman" w:cs="Times New Roman" w:eastAsia="Times New Roman" w:hAnsi="Times New Roman"/>
                <w:sz w:val="26"/>
                <w:szCs w:val="26"/>
                <w:color w:val="auto"/>
                <w:vertAlign w:val="subscript"/>
              </w:rPr>
              <w:t>Sky</w:t>
            </w:r>
            <w:r>
              <w:rPr>
                <w:rFonts w:ascii="Times New Roman" w:cs="Times New Roman" w:eastAsia="Times New Roman" w:hAnsi="Times New Roman"/>
                <w:sz w:val="10"/>
                <w:szCs w:val="10"/>
                <w:color w:val="auto"/>
              </w:rPr>
              <w:t>(c)</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29,849</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9,482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3,333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2,791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jc w:val="center"/>
              <w:ind w:right="355"/>
              <w:spacing w:after="0"/>
              <w:rPr>
                <w:sz w:val="20"/>
                <w:szCs w:val="20"/>
                <w:color w:val="auto"/>
              </w:rPr>
            </w:pPr>
            <w:r>
              <w:rPr>
                <w:rFonts w:ascii="Times New Roman" w:cs="Times New Roman" w:eastAsia="Times New Roman" w:hAnsi="Times New Roman"/>
                <w:sz w:val="14"/>
                <w:szCs w:val="14"/>
                <w:color w:val="auto"/>
                <w:w w:val="99"/>
              </w:rPr>
              <w:t>Three Months Ended September 30, 2021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5"/>
              <w:spacing w:after="0" w:line="128" w:lineRule="exact"/>
              <w:rPr>
                <w:sz w:val="20"/>
                <w:szCs w:val="20"/>
                <w:color w:val="auto"/>
              </w:rPr>
            </w:pPr>
            <w:r>
              <w:rPr>
                <w:rFonts w:ascii="Times New Roman" w:cs="Times New Roman" w:eastAsia="Times New Roman" w:hAnsi="Times New Roman"/>
                <w:sz w:val="14"/>
                <w:szCs w:val="14"/>
                <w:color w:val="auto"/>
                <w:w w:val="99"/>
              </w:rPr>
              <w:t>Depreciation and</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55"/>
              <w:spacing w:after="0" w:line="128" w:lineRule="exact"/>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5"/>
              <w:spacing w:after="0" w:line="128" w:lineRule="exact"/>
              <w:rPr>
                <w:sz w:val="20"/>
                <w:szCs w:val="20"/>
                <w:color w:val="auto"/>
              </w:rPr>
            </w:pPr>
            <w:r>
              <w:rPr>
                <w:rFonts w:ascii="Times New Roman" w:cs="Times New Roman" w:eastAsia="Times New Roman" w:hAnsi="Times New Roman"/>
                <w:sz w:val="14"/>
                <w:szCs w:val="14"/>
                <w:color w:val="auto"/>
                <w:w w:val="99"/>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Amortization</w:t>
            </w:r>
          </w:p>
        </w:tc>
        <w:tc>
          <w:tcPr>
            <w:tcW w:w="200" w:type="dxa"/>
            <w:vAlign w:val="bottom"/>
          </w:tcPr>
          <w:p>
            <w:pPr>
              <w:spacing w:after="0"/>
              <w:rPr>
                <w:sz w:val="16"/>
                <w:szCs w:val="16"/>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Expenditures</w:t>
            </w:r>
          </w:p>
        </w:tc>
        <w:tc>
          <w:tcPr>
            <w:tcW w:w="12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16,115</w:t>
            </w: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Headquarters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ind w:left="320"/>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10,001</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Sky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30,298</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3,477</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jc w:val="center"/>
              <w:ind w:right="375"/>
              <w:spacing w:after="0"/>
              <w:rPr>
                <w:sz w:val="20"/>
                <w:szCs w:val="20"/>
                <w:color w:val="auto"/>
              </w:rPr>
            </w:pPr>
            <w:r>
              <w:rPr>
                <w:rFonts w:ascii="Times New Roman" w:cs="Times New Roman" w:eastAsia="Times New Roman" w:hAnsi="Times New Roman"/>
                <w:sz w:val="14"/>
                <w:szCs w:val="14"/>
                <w:color w:val="auto"/>
                <w:w w:val="99"/>
              </w:rPr>
              <w:t>Nine Months Ended September 30, 2022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Depreciation and</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5"/>
              <w:spacing w:after="0" w:line="124" w:lineRule="exact"/>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Cash Paid for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Amortization</w:t>
            </w:r>
          </w:p>
        </w:tc>
        <w:tc>
          <w:tcPr>
            <w:tcW w:w="200" w:type="dxa"/>
            <w:vAlign w:val="bottom"/>
          </w:tcPr>
          <w:p>
            <w:pPr>
              <w:spacing w:after="0"/>
              <w:rPr>
                <w:sz w:val="17"/>
                <w:szCs w:val="17"/>
                <w:color w:val="auto"/>
              </w:rPr>
            </w:pPr>
          </w:p>
        </w:tc>
        <w:tc>
          <w:tcPr>
            <w:tcW w:w="102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Expenditures</w:t>
            </w: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49,680</w:t>
            </w: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5,850</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Headquarters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ind w:left="320"/>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29,311</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5,138</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4920" w:type="dxa"/>
            <w:vAlign w:val="bottom"/>
          </w:tcPr>
          <w:p>
            <w:pPr>
              <w:spacing w:after="0" w:line="226" w:lineRule="exact"/>
              <w:rPr>
                <w:sz w:val="20"/>
                <w:szCs w:val="20"/>
                <w:color w:val="auto"/>
              </w:rPr>
            </w:pPr>
            <w:r>
              <w:rPr>
                <w:rFonts w:ascii="Times New Roman" w:cs="Times New Roman" w:eastAsia="Times New Roman" w:hAnsi="Times New Roman"/>
                <w:sz w:val="17"/>
                <w:szCs w:val="17"/>
                <w:color w:val="auto"/>
              </w:rPr>
              <w:t>Sky</w:t>
            </w:r>
            <w:r>
              <w:rPr>
                <w:rFonts w:ascii="Times New Roman" w:cs="Times New Roman" w:eastAsia="Times New Roman" w:hAnsi="Times New Roman"/>
                <w:sz w:val="22"/>
                <w:szCs w:val="22"/>
                <w:color w:val="auto"/>
                <w:vertAlign w:val="superscript"/>
              </w:rPr>
              <w:t>(c)</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(2,196)</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90,874</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28,459</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10,349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7,062</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9"/>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9A9A9A"/>
            </w:tcBorders>
          </w:tcPr>
          <w:p>
            <w:pPr>
              <w:spacing w:after="0"/>
              <w:rPr>
                <w:sz w:val="18"/>
                <w:szCs w:val="18"/>
                <w:color w:val="auto"/>
              </w:rPr>
            </w:pPr>
          </w:p>
        </w:tc>
        <w:tc>
          <w:tcPr>
            <w:tcW w:w="49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60" w:type="dxa"/>
            <w:vAlign w:val="bottom"/>
            <w:gridSpan w:val="5"/>
          </w:tcPr>
          <w:p>
            <w:pPr>
              <w:jc w:val="right"/>
              <w:ind w:right="675"/>
              <w:spacing w:after="0"/>
              <w:rPr>
                <w:sz w:val="20"/>
                <w:szCs w:val="20"/>
                <w:color w:val="auto"/>
              </w:rPr>
            </w:pPr>
            <w:r>
              <w:rPr>
                <w:rFonts w:ascii="Times New Roman" w:cs="Times New Roman" w:eastAsia="Times New Roman" w:hAnsi="Times New Roman"/>
                <w:sz w:val="14"/>
                <w:szCs w:val="14"/>
                <w:color w:val="auto"/>
              </w:rPr>
              <w:t>Nine Months Ended September 30, 2021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9"/>
                <w:szCs w:val="9"/>
                <w:color w:val="auto"/>
              </w:rPr>
              <w:t>(a)</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9"/>
                <w:szCs w:val="9"/>
                <w:color w:val="auto"/>
              </w:rPr>
              <w:t>(b)</w:t>
            </w:r>
          </w:p>
        </w:tc>
        <w:tc>
          <w:tcPr>
            <w:tcW w:w="160" w:type="dxa"/>
            <w:vAlign w:val="bottom"/>
          </w:tcPr>
          <w:p>
            <w:pPr>
              <w:spacing w:after="0"/>
              <w:rPr>
                <w:sz w:val="11"/>
                <w:szCs w:val="11"/>
                <w:color w:val="auto"/>
              </w:rPr>
            </w:pPr>
          </w:p>
        </w:tc>
        <w:tc>
          <w:tcPr>
            <w:tcW w:w="1160" w:type="dxa"/>
            <w:vAlign w:val="bottom"/>
          </w:tcPr>
          <w:p>
            <w:pPr>
              <w:jc w:val="right"/>
              <w:ind w:right="75"/>
              <w:spacing w:after="0" w:line="128" w:lineRule="exact"/>
              <w:rPr>
                <w:sz w:val="20"/>
                <w:szCs w:val="20"/>
                <w:color w:val="auto"/>
              </w:rPr>
            </w:pPr>
            <w:r>
              <w:rPr>
                <w:rFonts w:ascii="Times New Roman" w:cs="Times New Roman" w:eastAsia="Times New Roman" w:hAnsi="Times New Roman"/>
                <w:sz w:val="14"/>
                <w:szCs w:val="14"/>
                <w:color w:val="auto"/>
              </w:rPr>
              <w:t>Depreciation and</w:t>
            </w:r>
          </w:p>
        </w:tc>
        <w:tc>
          <w:tcPr>
            <w:tcW w:w="200" w:type="dxa"/>
            <w:vAlign w:val="bottom"/>
          </w:tcPr>
          <w:p>
            <w:pPr>
              <w:spacing w:after="0"/>
              <w:rPr>
                <w:sz w:val="11"/>
                <w:szCs w:val="11"/>
                <w:color w:val="auto"/>
              </w:rPr>
            </w:pPr>
          </w:p>
        </w:tc>
        <w:tc>
          <w:tcPr>
            <w:tcW w:w="1000" w:type="dxa"/>
            <w:vAlign w:val="bottom"/>
          </w:tcPr>
          <w:p>
            <w:pPr>
              <w:jc w:val="right"/>
              <w:ind w:right="275"/>
              <w:spacing w:after="0" w:line="128" w:lineRule="exact"/>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1"/>
                <w:szCs w:val="11"/>
                <w:color w:val="auto"/>
              </w:rPr>
            </w:pPr>
          </w:p>
        </w:tc>
        <w:tc>
          <w:tcPr>
            <w:tcW w:w="1080" w:type="dxa"/>
            <w:vAlign w:val="bottom"/>
          </w:tcPr>
          <w:p>
            <w:pPr>
              <w:jc w:val="right"/>
              <w:ind w:right="135"/>
              <w:spacing w:after="0" w:line="128" w:lineRule="exact"/>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Amortization</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Expenditures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7"/>
              </w:rPr>
              <w:t>Intangible Assets</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Cable Communications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47,922</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20,972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NBCUniversal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Media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16,955</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3,847</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7,027</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Theme Parks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Headquarters and 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34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NBCUniversal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Sky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15,205</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Comcast Consolidated</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86,049</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26,297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10,222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20" w:right="80" w:hanging="315"/>
        <w:spacing w:after="0" w:line="252" w:lineRule="auto"/>
        <w:tabs>
          <w:tab w:leader="none" w:pos="3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content licensing revenue in Studios for licenses of owned content to Media and Sky; distribution revenue in Media for fees received from Cable Communications for the sale of cable network programming and under retransmission consent agreements; and advertising revenue in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in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40"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summary of revenue for each of our segments resulting from transactions with other segments and eliminated in consolidation is presented in the table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Nine Months Ended</w:t>
            </w:r>
          </w:p>
        </w:tc>
        <w:tc>
          <w:tcPr>
            <w:tcW w:w="800" w:type="dxa"/>
            <w:vAlign w:val="bottom"/>
          </w:tcPr>
          <w:p>
            <w:pPr>
              <w:spacing w:after="0"/>
              <w:rPr>
                <w:sz w:val="13"/>
                <w:szCs w:val="13"/>
                <w:color w:val="auto"/>
              </w:rPr>
            </w:pPr>
          </w:p>
        </w:tc>
      </w:tr>
      <w:tr>
        <w:trPr>
          <w:trHeight w:val="190"/>
        </w:trPr>
        <w:tc>
          <w:tcPr>
            <w:tcW w:w="48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99"/>
              </w:rPr>
              <w:t>2021</w:t>
            </w:r>
          </w:p>
        </w:tc>
      </w:tr>
      <w:tr>
        <w:trPr>
          <w:trHeight w:val="182"/>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Cable Communications</w:t>
            </w:r>
          </w:p>
        </w:tc>
        <w:tc>
          <w:tcPr>
            <w:tcW w:w="78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55</w:t>
            </w:r>
          </w:p>
        </w:tc>
        <w:tc>
          <w:tcPr>
            <w:tcW w:w="9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69</w:t>
            </w:r>
          </w:p>
        </w:tc>
        <w:tc>
          <w:tcPr>
            <w:tcW w:w="92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172</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8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NBCUniversal</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Media</w:t>
            </w:r>
          </w:p>
        </w:tc>
        <w:tc>
          <w:tcPr>
            <w:tcW w:w="78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514</w:t>
            </w:r>
          </w:p>
        </w:tc>
        <w:tc>
          <w:tcPr>
            <w:tcW w:w="96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714</w:t>
            </w:r>
          </w:p>
        </w:tc>
        <w:tc>
          <w:tcPr>
            <w:tcW w:w="9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1,705</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w:t>
            </w: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Studios</w:t>
            </w:r>
          </w:p>
        </w:tc>
        <w:tc>
          <w:tcPr>
            <w:tcW w:w="78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946</w:t>
            </w:r>
          </w:p>
        </w:tc>
        <w:tc>
          <w:tcPr>
            <w:tcW w:w="96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682</w:t>
            </w:r>
          </w:p>
        </w:tc>
        <w:tc>
          <w:tcPr>
            <w:tcW w:w="9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2,617</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Theme Parks</w:t>
            </w:r>
          </w:p>
        </w:tc>
        <w:tc>
          <w:tcPr>
            <w:tcW w:w="78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Headquarters and Other</w:t>
            </w:r>
          </w:p>
        </w:tc>
        <w:tc>
          <w:tcPr>
            <w:tcW w:w="78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w:t>
            </w:r>
          </w:p>
        </w:tc>
        <w:tc>
          <w:tcPr>
            <w:tcW w:w="96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9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Sky</w:t>
            </w:r>
          </w:p>
        </w:tc>
        <w:tc>
          <w:tcPr>
            <w:tcW w:w="78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9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78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w:t>
            </w:r>
          </w:p>
        </w:tc>
        <w:tc>
          <w:tcPr>
            <w:tcW w:w="960" w:type="dxa"/>
            <w:vAlign w:val="bottom"/>
          </w:tcPr>
          <w:p>
            <w:pPr>
              <w:spacing w:after="0"/>
              <w:rPr>
                <w:sz w:val="17"/>
                <w:szCs w:val="17"/>
                <w:color w:val="auto"/>
              </w:rPr>
            </w:pPr>
          </w:p>
        </w:tc>
        <w:tc>
          <w:tcPr>
            <w:tcW w:w="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32</w:t>
            </w:r>
          </w:p>
        </w:tc>
        <w:tc>
          <w:tcPr>
            <w:tcW w:w="920" w:type="dxa"/>
            <w:vAlign w:val="bottom"/>
          </w:tcPr>
          <w:p>
            <w:pPr>
              <w:spacing w:after="0"/>
              <w:rPr>
                <w:sz w:val="17"/>
                <w:szCs w:val="17"/>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127</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3"/>
        </w:trPr>
        <w:tc>
          <w:tcPr>
            <w:tcW w:w="4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intersegment revenue</w:t>
            </w: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1,569</w:t>
            </w:r>
          </w:p>
        </w:tc>
        <w:tc>
          <w:tcPr>
            <w:tcW w:w="9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1,525</w:t>
            </w:r>
          </w:p>
        </w:tc>
        <w:tc>
          <w:tcPr>
            <w:tcW w:w="9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4,670</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4,535</w:t>
            </w:r>
          </w:p>
        </w:tc>
      </w:tr>
    </w:tbl>
    <w:p>
      <w:pPr>
        <w:spacing w:after="0" w:line="135" w:lineRule="exact"/>
        <w:rPr>
          <w:sz w:val="20"/>
          <w:szCs w:val="20"/>
          <w:color w:val="auto"/>
        </w:rPr>
      </w:pPr>
    </w:p>
    <w:p>
      <w:pPr>
        <w:jc w:val="both"/>
        <w:ind w:left="320" w:hanging="315"/>
        <w:spacing w:after="0" w:line="260" w:lineRule="auto"/>
        <w:tabs>
          <w:tab w:leader="none" w:pos="3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reportable segments to consolidated income before income taxes is presented in the table below.</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00" w:type="dxa"/>
            <w:vAlign w:val="bottom"/>
          </w:tcPr>
          <w:p>
            <w:pPr>
              <w:spacing w:after="0"/>
              <w:rPr>
                <w:sz w:val="13"/>
                <w:szCs w:val="13"/>
                <w:color w:val="auto"/>
              </w:rPr>
            </w:pPr>
          </w:p>
        </w:tc>
      </w:tr>
      <w:tr>
        <w:trPr>
          <w:trHeight w:val="186"/>
        </w:trPr>
        <w:tc>
          <w:tcPr>
            <w:tcW w:w="48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4"/>
                <w:szCs w:val="14"/>
                <w:color w:val="auto"/>
              </w:rPr>
              <w:t>September 30,</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w w:val="99"/>
              </w:rPr>
              <w:t>2021</w:t>
            </w:r>
          </w:p>
        </w:tc>
      </w:tr>
      <w:tr>
        <w:trPr>
          <w:trHeight w:val="182"/>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9,482</w:t>
            </w:r>
          </w:p>
        </w:tc>
        <w:tc>
          <w:tcPr>
            <w:tcW w:w="9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8,957</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28,459</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26,297</w:t>
            </w:r>
          </w:p>
        </w:tc>
      </w:tr>
      <w:tr>
        <w:trPr>
          <w:trHeight w:val="18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spacing w:after="0"/>
              <w:rPr>
                <w:sz w:val="16"/>
                <w:szCs w:val="16"/>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(30)</w:t>
            </w:r>
          </w:p>
        </w:tc>
        <w:tc>
          <w:tcPr>
            <w:tcW w:w="400" w:type="dxa"/>
            <w:vAlign w:val="bottom"/>
          </w:tcPr>
          <w:p>
            <w:pPr>
              <w:spacing w:after="0"/>
              <w:rPr>
                <w:sz w:val="16"/>
                <w:szCs w:val="16"/>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(15)</w:t>
            </w:r>
          </w:p>
        </w:tc>
        <w:tc>
          <w:tcPr>
            <w:tcW w:w="5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(2,150)</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(2,177)</w:t>
            </w:r>
          </w:p>
        </w:tc>
        <w:tc>
          <w:tcPr>
            <w:tcW w:w="40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(6,525)</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(6,407)</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(1,183)</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(1,301)</w:t>
            </w:r>
          </w:p>
        </w:tc>
        <w:tc>
          <w:tcPr>
            <w:tcW w:w="40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(3,824)</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long-lived asset impairments</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(8,583)</w:t>
            </w:r>
          </w:p>
        </w:tc>
        <w:tc>
          <w:tcPr>
            <w:tcW w:w="920" w:type="dxa"/>
            <w:vAlign w:val="bottom"/>
          </w:tcPr>
          <w:p>
            <w:pPr>
              <w:spacing w:after="0"/>
              <w:rPr>
                <w:sz w:val="17"/>
                <w:szCs w:val="17"/>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(8,583)</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(960)</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(1,050)</w:t>
            </w:r>
          </w:p>
        </w:tc>
        <w:tc>
          <w:tcPr>
            <w:tcW w:w="40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(2,922)</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(3,161)</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(266)</w:t>
            </w:r>
          </w:p>
        </w:tc>
        <w:tc>
          <w:tcPr>
            <w:tcW w:w="920" w:type="dxa"/>
            <w:vAlign w:val="bottom"/>
          </w:tcPr>
          <w:p>
            <w:pPr>
              <w:spacing w:after="0"/>
              <w:rPr>
                <w:sz w:val="17"/>
                <w:szCs w:val="17"/>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766</w:t>
            </w:r>
          </w:p>
        </w:tc>
        <w:tc>
          <w:tcPr>
            <w:tcW w:w="400" w:type="dxa"/>
            <w:vAlign w:val="bottom"/>
          </w:tcPr>
          <w:p>
            <w:pPr>
              <w:spacing w:after="0"/>
              <w:rPr>
                <w:sz w:val="17"/>
                <w:szCs w:val="17"/>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(975)</w:t>
            </w:r>
          </w:p>
        </w:tc>
        <w:tc>
          <w:tcPr>
            <w:tcW w:w="5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r>
      <w:tr>
        <w:trPr>
          <w:trHeight w:val="23"/>
        </w:trPr>
        <w:tc>
          <w:tcPr>
            <w:tcW w:w="4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(3,652)</w:t>
            </w:r>
          </w:p>
        </w:tc>
        <w:tc>
          <w:tcPr>
            <w:tcW w:w="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5,166</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5,614</w:t>
            </w:r>
          </w:p>
        </w:tc>
        <w:tc>
          <w:tcPr>
            <w:tcW w:w="5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15,208</w:t>
            </w:r>
          </w:p>
        </w:tc>
      </w:tr>
    </w:tbl>
    <w:p>
      <w:pPr>
        <w:spacing w:after="0" w:line="108" w:lineRule="exact"/>
        <w:rPr>
          <w:sz w:val="20"/>
          <w:szCs w:val="20"/>
          <w:color w:val="auto"/>
        </w:rPr>
      </w:pPr>
    </w:p>
    <w:p>
      <w:pPr>
        <w:ind w:left="320" w:right="620"/>
        <w:spacing w:after="0" w:line="266" w:lineRule="auto"/>
        <w:rPr>
          <w:sz w:val="20"/>
          <w:szCs w:val="20"/>
          <w:color w:val="auto"/>
        </w:rPr>
      </w:pPr>
      <w:r>
        <w:rPr>
          <w:rFonts w:ascii="Times New Roman" w:cs="Times New Roman" w:eastAsia="Times New Roman" w:hAnsi="Times New Roman"/>
          <w:sz w:val="14"/>
          <w:szCs w:val="14"/>
          <w:color w:val="auto"/>
        </w:rPr>
        <w:t>Adjustments represent the impact of certain events, gains, losses or other charges that are excluded from Adjusted EBITDA, including costs related to our investment portfolio, and Sky transaction-related costs in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 Refer to Note 8 for discussion of impairment charges related to goodwill and long-lived assets in our Sky segment.</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148590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20" w:type="dxa"/>
            <w:vAlign w:val="bottom"/>
          </w:tcPr>
          <w:p>
            <w:pPr>
              <w:spacing w:after="0"/>
              <w:rPr>
                <w:sz w:val="13"/>
                <w:szCs w:val="13"/>
                <w:color w:val="auto"/>
              </w:rPr>
            </w:pPr>
          </w:p>
        </w:tc>
      </w:tr>
      <w:tr>
        <w:trPr>
          <w:trHeight w:val="186"/>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92"/>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Broadband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6,135</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5,801</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18,292</w:t>
            </w: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17,118</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Video</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5,255</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5,499</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16,214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16,676</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Voice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745</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851</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2,293</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2,592</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Wireless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789</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603</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2,188</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Business services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2,436</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2,227</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7,256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6,597</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756</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705</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2,174</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423</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427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1,263</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1,265</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Cable Communications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16,539</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16,115</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49,680</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47,922</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2,111</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3,255</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7,603</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7,537</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2,578</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2,987</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8,270</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7,934</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541</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528</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1,554</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Media</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5,230</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6,770</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17,427</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16,955</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 licensing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2,134</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1,827</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6,531</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5,683</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Theatrical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307</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1,391</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Home entertainment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356</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273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963</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Studios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3,163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2,407</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8,885</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7,027</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Theme Parks</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2,064</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1,449</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5,428</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Headquarters and Other</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22</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28</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28"/>
        </w:trPr>
        <w:tc>
          <w:tcPr>
            <w:tcW w:w="538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(909)</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(654)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(2,474)</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NBCUniversal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9,570</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10,001</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29,311</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24,981</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Direct-to-consumer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3,510</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4,127</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11,073</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12,415</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300</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833</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471</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561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1,623</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1,777</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Sky</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4,253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4,988</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13,529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15,205</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147</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65</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549</w:t>
            </w:r>
          </w:p>
        </w:tc>
        <w:tc>
          <w:tcPr>
            <w:tcW w:w="6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228"/>
        </w:trPr>
        <w:tc>
          <w:tcPr>
            <w:tcW w:w="538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(660)</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(871)</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(2,196)</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w:t>
            </w:r>
          </w:p>
        </w:tc>
      </w:tr>
      <w:tr>
        <w:trPr>
          <w:trHeight w:val="22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29,849</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30,298</w:t>
            </w:r>
          </w:p>
        </w:tc>
        <w:tc>
          <w:tcPr>
            <w:tcW w:w="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90,874</w:t>
            </w:r>
          </w:p>
        </w:tc>
        <w:tc>
          <w:tcPr>
            <w:tcW w:w="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86,049</w:t>
            </w:r>
          </w:p>
        </w:tc>
      </w:tr>
    </w:tbl>
    <w:p>
      <w:pPr>
        <w:spacing w:after="0" w:line="135"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See Note 2 for a description of these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11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the deferred costs associated with our contracts with customers.</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120" w:type="dxa"/>
            <w:vAlign w:val="bottom"/>
          </w:tcPr>
          <w:p>
            <w:pPr>
              <w:jc w:val="center"/>
              <w:ind w:left="3390"/>
              <w:spacing w:after="0"/>
              <w:rPr>
                <w:sz w:val="20"/>
                <w:szCs w:val="20"/>
                <w:color w:val="auto"/>
              </w:rPr>
            </w:pPr>
            <w:r>
              <w:rPr>
                <w:rFonts w:ascii="Times New Roman" w:cs="Times New Roman" w:eastAsia="Times New Roman" w:hAnsi="Times New Roman"/>
                <w:sz w:val="14"/>
                <w:szCs w:val="14"/>
                <w:color w:val="auto"/>
              </w:rPr>
              <w:t>September 30,</w:t>
            </w:r>
          </w:p>
        </w:tc>
        <w:tc>
          <w:tcPr>
            <w:tcW w:w="1200" w:type="dxa"/>
            <w:vAlign w:val="bottom"/>
          </w:tcPr>
          <w:p>
            <w:pPr>
              <w:jc w:val="center"/>
              <w:ind w:left="350"/>
              <w:spacing w:after="0"/>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82"/>
        </w:trPr>
        <w:tc>
          <w:tcPr>
            <w:tcW w:w="4580" w:type="dxa"/>
            <w:vAlign w:val="bottom"/>
            <w:vMerge w:val="continue"/>
          </w:tcPr>
          <w:p>
            <w:pPr>
              <w:spacing w:after="0"/>
              <w:rPr>
                <w:sz w:val="15"/>
                <w:szCs w:val="15"/>
                <w:color w:val="auto"/>
              </w:rPr>
            </w:pPr>
          </w:p>
        </w:tc>
        <w:tc>
          <w:tcPr>
            <w:tcW w:w="5120" w:type="dxa"/>
            <w:vAlign w:val="bottom"/>
          </w:tcPr>
          <w:p>
            <w:pPr>
              <w:jc w:val="right"/>
              <w:ind w:right="610"/>
              <w:spacing w:after="0"/>
              <w:rPr>
                <w:sz w:val="20"/>
                <w:szCs w:val="20"/>
                <w:color w:val="auto"/>
              </w:rPr>
            </w:pPr>
            <w:r>
              <w:rPr>
                <w:rFonts w:ascii="Times New Roman" w:cs="Times New Roman" w:eastAsia="Times New Roman" w:hAnsi="Times New Roman"/>
                <w:sz w:val="14"/>
                <w:szCs w:val="14"/>
                <w:color w:val="auto"/>
              </w:rPr>
              <w:t>2022</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Receivables, gross</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12,609</w:t>
            </w:r>
          </w:p>
        </w:tc>
        <w:tc>
          <w:tcPr>
            <w:tcW w:w="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12,666</w:t>
            </w:r>
          </w:p>
        </w:tc>
        <w:tc>
          <w:tcPr>
            <w:tcW w:w="0" w:type="dxa"/>
            <w:vAlign w:val="bottom"/>
          </w:tcPr>
          <w:p>
            <w:pPr>
              <w:spacing w:after="0"/>
              <w:rPr>
                <w:sz w:val="1"/>
                <w:szCs w:val="1"/>
                <w:color w:val="auto"/>
              </w:rPr>
            </w:pPr>
          </w:p>
        </w:tc>
      </w:tr>
      <w:tr>
        <w:trPr>
          <w:trHeight w:val="228"/>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1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691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 net</w:t>
            </w: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11,918</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12,008</w:t>
            </w:r>
          </w:p>
        </w:tc>
        <w:tc>
          <w:tcPr>
            <w:tcW w:w="0" w:type="dxa"/>
            <w:vAlign w:val="bottom"/>
          </w:tcPr>
          <w:p>
            <w:pPr>
              <w:spacing w:after="0"/>
              <w:rPr>
                <w:sz w:val="1"/>
                <w:szCs w:val="1"/>
                <w:color w:val="auto"/>
              </w:rPr>
            </w:pPr>
          </w:p>
        </w:tc>
      </w:tr>
      <w:tr>
        <w:trPr>
          <w:trHeight w:val="305"/>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80" w:type="dxa"/>
            <w:vAlign w:val="bottom"/>
          </w:tcPr>
          <w:p>
            <w:pPr>
              <w:spacing w:after="0"/>
              <w:rPr>
                <w:sz w:val="24"/>
                <w:szCs w:val="24"/>
                <w:color w:val="auto"/>
              </w:rPr>
            </w:pPr>
          </w:p>
        </w:tc>
        <w:tc>
          <w:tcPr>
            <w:tcW w:w="130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receivables, net (included in other noncurrent assets, net)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1,750</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acquisition and fulfillment costs (included in other noncurrent assets, net)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1,054</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0" w:type="dxa"/>
            <w:vAlign w:val="bottom"/>
          </w:tcPr>
          <w:p>
            <w:pPr>
              <w:spacing w:after="0"/>
              <w:rPr>
                <w:sz w:val="1"/>
                <w:szCs w:val="1"/>
                <w:color w:val="auto"/>
              </w:rPr>
            </w:pPr>
          </w:p>
        </w:tc>
      </w:tr>
      <w:tr>
        <w:trPr>
          <w:trHeight w:val="228"/>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Noncurrent deferred revenue (included in other noncurrent liabilities)</w:t>
            </w:r>
          </w:p>
        </w:tc>
        <w:tc>
          <w:tcPr>
            <w:tcW w:w="13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701</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148590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Programming and Production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820" w:type="dxa"/>
            <w:vAlign w:val="bottom"/>
          </w:tcPr>
          <w:p>
            <w:pPr>
              <w:spacing w:after="0"/>
              <w:rPr>
                <w:sz w:val="13"/>
                <w:szCs w:val="13"/>
                <w:color w:val="auto"/>
              </w:rPr>
            </w:pPr>
          </w:p>
        </w:tc>
      </w:tr>
      <w:tr>
        <w:trPr>
          <w:trHeight w:val="186"/>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September 30,</w:t>
            </w:r>
          </w:p>
        </w:tc>
        <w:tc>
          <w:tcPr>
            <w:tcW w:w="820" w:type="dxa"/>
            <w:vAlign w:val="bottom"/>
            <w:tcBorders>
              <w:bottom w:val="single" w:sz="8" w:color="auto"/>
            </w:tcBorders>
          </w:tcPr>
          <w:p>
            <w:pPr>
              <w:spacing w:after="0"/>
              <w:rPr>
                <w:sz w:val="16"/>
                <w:szCs w:val="16"/>
                <w:color w:val="auto"/>
              </w:rPr>
            </w:pPr>
          </w:p>
        </w:tc>
      </w:tr>
      <w:tr>
        <w:trPr>
          <w:trHeight w:val="19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color w:val="auto"/>
                <w:w w:val="92"/>
              </w:rPr>
              <w:t>2021</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Video distribution programming</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3,242</w:t>
            </w:r>
          </w:p>
        </w:tc>
        <w:tc>
          <w:tcPr>
            <w:tcW w:w="6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3,337</w:t>
            </w:r>
          </w:p>
        </w:tc>
        <w:tc>
          <w:tcPr>
            <w:tcW w:w="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9,955</w:t>
            </w:r>
          </w:p>
        </w:tc>
        <w:tc>
          <w:tcPr>
            <w:tcW w:w="62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10,267</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 and television content: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5380" w:type="dxa"/>
            <w:vAlign w:val="bottom"/>
          </w:tcPr>
          <w:p>
            <w:pPr>
              <w:ind w:left="120"/>
              <w:spacing w:after="0" w:line="223" w:lineRule="exact"/>
              <w:rPr>
                <w:sz w:val="20"/>
                <w:szCs w:val="20"/>
                <w:color w:val="auto"/>
              </w:rPr>
            </w:pPr>
            <w:r>
              <w:rPr>
                <w:rFonts w:ascii="Times New Roman" w:cs="Times New Roman" w:eastAsia="Times New Roman" w:hAnsi="Times New Roman"/>
                <w:sz w:val="17"/>
                <w:szCs w:val="17"/>
                <w:color w:val="auto"/>
              </w:rPr>
              <w:t>Owned</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2,538</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2,215</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7,965</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6,406</w:t>
            </w:r>
          </w:p>
        </w:tc>
      </w:tr>
      <w:tr>
        <w:trPr>
          <w:trHeight w:val="223"/>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2,867</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4,536</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9,569</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11,028</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303</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307</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918</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r>
      <w:tr>
        <w:trPr>
          <w:trHeight w:val="22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programming and production costs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8,949</w:t>
            </w: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10,395</w:t>
            </w:r>
          </w:p>
        </w:tc>
        <w:tc>
          <w:tcPr>
            <w:tcW w:w="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28,406</w:t>
            </w:r>
          </w:p>
        </w:tc>
        <w:tc>
          <w:tcPr>
            <w:tcW w:w="6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28,570</w:t>
            </w:r>
          </w:p>
        </w:tc>
      </w:tr>
    </w:tbl>
    <w:p>
      <w:pPr>
        <w:spacing w:after="0" w:line="174" w:lineRule="exact"/>
        <w:rPr>
          <w:sz w:val="20"/>
          <w:szCs w:val="20"/>
          <w:color w:val="auto"/>
        </w:rPr>
      </w:pPr>
    </w:p>
    <w:p>
      <w:pPr>
        <w:ind w:firstLine="5"/>
        <w:spacing w:after="0" w:line="285" w:lineRule="auto"/>
        <w:tabs>
          <w:tab w:leader="none" w:pos="1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$2.0 billion and $6.3 billion for the three and nine months ended September 30, 2022, respectively, and $1.9 billion and $5.3 billion for the three and nine months ended September 30, 2021, respectively, as well as participations and residuals expenses.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Capitalized Film and Television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80" w:type="dxa"/>
            <w:vAlign w:val="bottom"/>
          </w:tcPr>
          <w:p>
            <w:pPr>
              <w:spacing w:after="0"/>
              <w:rPr>
                <w:sz w:val="13"/>
                <w:szCs w:val="13"/>
                <w:color w:val="auto"/>
              </w:rPr>
            </w:pPr>
          </w:p>
        </w:tc>
        <w:tc>
          <w:tcPr>
            <w:tcW w:w="1300" w:type="dxa"/>
            <w:vAlign w:val="bottom"/>
          </w:tcPr>
          <w:p>
            <w:pPr>
              <w:jc w:val="right"/>
              <w:ind w:right="297"/>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2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Released, less amortization</w:t>
            </w:r>
          </w:p>
        </w:tc>
        <w:tc>
          <w:tcPr>
            <w:tcW w:w="2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4,209</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3,726</w:t>
            </w: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Completed, not released</w:t>
            </w:r>
          </w:p>
        </w:tc>
        <w:tc>
          <w:tcPr>
            <w:tcW w:w="2980" w:type="dxa"/>
            <w:vAlign w:val="bottom"/>
          </w:tcPr>
          <w:p>
            <w:pPr>
              <w:spacing w:after="0"/>
              <w:rPr>
                <w:sz w:val="19"/>
                <w:szCs w:val="19"/>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195</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 production and in development</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3,234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0" w:type="dxa"/>
            <w:vAlign w:val="bottom"/>
          </w:tcPr>
          <w:p>
            <w:pPr>
              <w:spacing w:after="0"/>
              <w:rPr>
                <w:sz w:val="1"/>
                <w:szCs w:val="1"/>
                <w:color w:val="auto"/>
              </w:rPr>
            </w:pPr>
          </w:p>
        </w:tc>
      </w:tr>
      <w:tr>
        <w:trPr>
          <w:trHeight w:val="211"/>
        </w:trPr>
        <w:tc>
          <w:tcPr>
            <w:tcW w:w="54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7,638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6,994</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Licensed, including sports advances</w:t>
            </w:r>
          </w:p>
        </w:tc>
        <w:tc>
          <w:tcPr>
            <w:tcW w:w="2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5,048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Film and television costs</w:t>
            </w:r>
          </w:p>
        </w:tc>
        <w:tc>
          <w:tcPr>
            <w:tcW w:w="2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12,685</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12,806</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Long-Term Debt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September 30, 2022, our debt had a carrying value of $92.5 billion and an estimated fair value of $82.1 billion. As of December 31, 2021, our debt had a carrying value of $94.8 billion and an estimated fair value of $109.3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Significant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Masergy’s results of operations are included in our consolidated results of operations since the acquisition date and are reported in our Cable Communications segment. We have recorded Masergy’s assets and liabilities at their estimated fair values with $845 million recorded to goodwill and the remainder primarily attributed to software and customer relationship intangible assets. The acquisition was not material to our consolidated results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Investments and Variable Interest Entities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and Other Income (Loss),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86"/>
        </w:trPr>
        <w:tc>
          <w:tcPr>
            <w:tcW w:w="4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net income (losses) of investees, net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(242)</w:t>
            </w:r>
          </w:p>
        </w:tc>
        <w:tc>
          <w:tcPr>
            <w:tcW w:w="108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602</w:t>
            </w:r>
          </w:p>
        </w:tc>
        <w:tc>
          <w:tcPr>
            <w:tcW w:w="106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(523)</w:t>
            </w: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and unrealized gains (losses) on equity securities, net</w:t>
            </w:r>
          </w:p>
        </w:tc>
        <w:tc>
          <w:tcPr>
            <w:tcW w:w="88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w:t>
            </w:r>
          </w:p>
        </w:tc>
        <w:tc>
          <w:tcPr>
            <w:tcW w:w="1080" w:type="dxa"/>
            <w:vAlign w:val="bottom"/>
          </w:tcPr>
          <w:p>
            <w:pPr>
              <w:spacing w:after="0"/>
              <w:rPr>
                <w:sz w:val="19"/>
                <w:szCs w:val="19"/>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106</w:t>
            </w:r>
          </w:p>
        </w:tc>
        <w:tc>
          <w:tcPr>
            <w:tcW w:w="1060" w:type="dxa"/>
            <w:vAlign w:val="bottom"/>
          </w:tcPr>
          <w:p>
            <w:pPr>
              <w:spacing w:after="0"/>
              <w:rPr>
                <w:sz w:val="19"/>
                <w:szCs w:val="19"/>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(207)</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(21)</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59</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(245)</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 and other income (loss), net</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(266)</w:t>
            </w:r>
          </w:p>
        </w:tc>
        <w:tc>
          <w:tcPr>
            <w:tcW w:w="10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766</w:t>
            </w:r>
          </w:p>
        </w:tc>
        <w:tc>
          <w:tcPr>
            <w:tcW w:w="10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(975)</w:t>
            </w: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2,374</w:t>
            </w:r>
          </w:p>
        </w:tc>
      </w:tr>
    </w:tbl>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amount of unrealized gains (losses), net recognized in the three months ended September 30, 2022 and 2021 that related to marketable and nonmarketable equity securities still held as of the end of each reporting period were $(43) million and $(165) million, respectively. The amount of unrealized gains (losses), net recognized in the nine months ended September 30, 2022 and 2021 that related to marketable and nonmarketable equity securities still held as of the end of each reporting period were $(283) million and $91 million,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00" w:type="dxa"/>
            <w:vAlign w:val="bottom"/>
          </w:tcPr>
          <w:p>
            <w:pPr>
              <w:spacing w:after="0"/>
              <w:rPr>
                <w:sz w:val="13"/>
                <w:szCs w:val="13"/>
                <w:color w:val="auto"/>
              </w:rPr>
            </w:pPr>
          </w:p>
        </w:tc>
        <w:tc>
          <w:tcPr>
            <w:tcW w:w="1300" w:type="dxa"/>
            <w:vAlign w:val="bottom"/>
          </w:tcPr>
          <w:p>
            <w:pPr>
              <w:jc w:val="right"/>
              <w:ind w:right="296"/>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5880" w:type="dxa"/>
            <w:vAlign w:val="bottom"/>
            <w:tcBorders>
              <w:bottom w:val="single" w:sz="8" w:color="auto"/>
            </w:tcBorders>
            <w:vMerge w:val="continue"/>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w:t>
            </w:r>
          </w:p>
        </w:tc>
        <w:tc>
          <w:tcPr>
            <w:tcW w:w="25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5,487</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143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Nonmarketable equity securities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1,704</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0" w:type="dxa"/>
            <w:vAlign w:val="bottom"/>
          </w:tcPr>
          <w:p>
            <w:pPr>
              <w:spacing w:after="0"/>
              <w:rPr>
                <w:sz w:val="1"/>
                <w:szCs w:val="1"/>
                <w:color w:val="auto"/>
              </w:rPr>
            </w:pPr>
          </w:p>
        </w:tc>
      </w:tr>
      <w:tr>
        <w:trPr>
          <w:trHeight w:val="22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1,645</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0" w:type="dxa"/>
            <w:vAlign w:val="bottom"/>
          </w:tcPr>
          <w:p>
            <w:pPr>
              <w:spacing w:after="0"/>
              <w:rPr>
                <w:sz w:val="1"/>
                <w:szCs w:val="1"/>
                <w:color w:val="auto"/>
              </w:rPr>
            </w:pPr>
          </w:p>
        </w:tc>
      </w:tr>
      <w:tr>
        <w:trPr>
          <w:trHeight w:val="211"/>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500" w:type="dxa"/>
            <w:vAlign w:val="bottom"/>
          </w:tcPr>
          <w:p>
            <w:pPr>
              <w:spacing w:after="0"/>
              <w:rPr>
                <w:sz w:val="18"/>
                <w:szCs w:val="18"/>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8,979</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9,055</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Current investments</w:t>
            </w:r>
          </w:p>
        </w:tc>
        <w:tc>
          <w:tcPr>
            <w:tcW w:w="2500" w:type="dxa"/>
            <w:vAlign w:val="bottom"/>
          </w:tcPr>
          <w:p>
            <w:pPr>
              <w:spacing w:after="0"/>
              <w:rPr>
                <w:sz w:val="19"/>
                <w:szCs w:val="19"/>
                <w:color w:val="auto"/>
              </w:rPr>
            </w:pPr>
          </w:p>
        </w:tc>
        <w:tc>
          <w:tcPr>
            <w:tcW w:w="130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1,122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2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Investment securing collateralized obligation</w:t>
            </w:r>
          </w:p>
        </w:tc>
        <w:tc>
          <w:tcPr>
            <w:tcW w:w="2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539</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22"/>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investments</w:t>
            </w:r>
          </w:p>
        </w:tc>
        <w:tc>
          <w:tcPr>
            <w:tcW w:w="25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7,318</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8,082</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1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amount of cash distributions received from equity method investments presented within operating activities in the condensed consolidated statement of cash flows in the nine months ended September 30, 2022 and 2021 was $114 million and $298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Atairos</w:t>
      </w:r>
    </w:p>
    <w:p>
      <w:pPr>
        <w:spacing w:after="0" w:line="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nine months ended September 30, 2022 and 2021, we made cash capital contributions to Atairos totaling $39 million and $36 million, respectively. As of September 30, 2022 and December 31, 2021, our investment in Atairos, inclusive of certain distributions retained by Atairos on our behalf and classified as advances within other investments, was $4.3 billion and $4.7 billion, respectively. As of September 30, 2022, our remaining unfunded capital commitment was $1.5 billion.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Hulu and Collateralized Obligation</w:t>
      </w:r>
    </w:p>
    <w:p>
      <w:pPr>
        <w:spacing w:after="0" w:line="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2019, we borrowed $5.2 billion under a term loan facility due March 2024 which is fully collateralized by the minimum guaranteed proceeds of the put/call option related to our investment in Hulu. As of September 30, 2022 and December 31, 2021, the carrying value and estimated fair value of our collateralized obligation were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Investments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Other investments also includes investments in certain short-term instruments with maturities over three months when purchased, such as commercial paper, certificates of deposit and U.S. government obligations, which are generally accounted for at amortized cost. These short-term instruments totaled $977 million as of September 30, 2022 and there were no such investments as of December 31, 2021. The carrying amounts of these investments approximate their fair values, which are primarily based on Level 2 inputs that use interest rates for instruments with similar terms and remaining maturities.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Beijing Resort</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own a 30% interest in a Universal theme park and resort in Beijing, China (“Universal Beijing Resort”), which opened in September 2021.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September 30, 2022, Universal Beijing Resort had $3.3 billion of debt outstanding, including $3.0 billion principal amount of a term loan outstanding under the debt financing agreement.</w:t>
      </w:r>
    </w:p>
    <w:p>
      <w:pPr>
        <w:spacing w:after="0" w:line="6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As of September 30, 2022, our condensed consolidated balance sheet included assets and liabilities of Universal Beijing Resort totaling $8.1 billion and $7.2 billion, respectively. The assets and liabilities of Universal Beijing Resort primarily consist of property and equipment, operating lease assets and liabilities, and debt.</w:t>
      </w: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Goodwill and Intangible Assets</w:t>
      </w:r>
    </w:p>
    <w:p>
      <w:pPr>
        <w:spacing w:after="0" w:line="56"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Goodwill by Segment</w:t>
      </w:r>
    </w:p>
    <w:p>
      <w:pPr>
        <w:spacing w:after="0" w:line="154" w:lineRule="exact"/>
        <w:rPr>
          <w:sz w:val="20"/>
          <w:szCs w:val="20"/>
          <w:color w:val="auto"/>
        </w:rPr>
      </w:pPr>
    </w:p>
    <w:tbl>
      <w:tblPr>
        <w:tblLayout w:type="fixed"/>
        <w:tblInd w:w="8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NBCUniversal</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
        </w:trPr>
        <w:tc>
          <w:tcPr>
            <w:tcW w:w="3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2"/>
        </w:trPr>
        <w:tc>
          <w:tcPr>
            <w:tcW w:w="3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Cable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Theme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Corporate</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Communications</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Studios</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Parks</w:t>
            </w:r>
          </w:p>
        </w:tc>
        <w:tc>
          <w:tcPr>
            <w:tcW w:w="260" w:type="dxa"/>
            <w:vAlign w:val="bottom"/>
          </w:tcPr>
          <w:p>
            <w:pPr>
              <w:spacing w:after="0"/>
              <w:rPr>
                <w:sz w:val="17"/>
                <w:szCs w:val="17"/>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1"/>
              </w:rPr>
              <w:t>Sky</w:t>
            </w:r>
          </w:p>
        </w:tc>
        <w:tc>
          <w:tcPr>
            <w:tcW w:w="26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Other</w:t>
            </w:r>
          </w:p>
        </w:tc>
        <w:tc>
          <w:tcPr>
            <w:tcW w:w="260" w:type="dxa"/>
            <w:vAlign w:val="bottom"/>
          </w:tcPr>
          <w:p>
            <w:pPr>
              <w:spacing w:after="0"/>
              <w:rPr>
                <w:sz w:val="17"/>
                <w:szCs w:val="17"/>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3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0"/>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2021</w:t>
            </w:r>
          </w:p>
        </w:tc>
        <w:tc>
          <w:tcPr>
            <w:tcW w:w="8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16,192</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14,700</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3,672</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6,429</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29,196</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70,189</w:t>
            </w:r>
          </w:p>
        </w:tc>
      </w:tr>
      <w:tr>
        <w:trPr>
          <w:trHeight w:val="223"/>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Impairment</w:t>
            </w:r>
          </w:p>
        </w:tc>
        <w:tc>
          <w:tcPr>
            <w:tcW w:w="8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(8,098)</w:t>
            </w:r>
          </w:p>
        </w:tc>
        <w:tc>
          <w:tcPr>
            <w:tcW w:w="260" w:type="dxa"/>
            <w:vAlign w:val="bottom"/>
          </w:tcPr>
          <w:p>
            <w:pPr>
              <w:spacing w:after="0"/>
              <w:rPr>
                <w:sz w:val="19"/>
                <w:szCs w:val="19"/>
                <w:color w:val="auto"/>
              </w:rPr>
            </w:pPr>
          </w:p>
        </w:tc>
        <w:tc>
          <w:tcPr>
            <w:tcW w:w="72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(8,098)</w:t>
            </w:r>
          </w:p>
        </w:tc>
      </w:tr>
      <w:tr>
        <w:trPr>
          <w:trHeight w:val="228"/>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Foreign currency translation and other</w:t>
            </w:r>
          </w:p>
        </w:tc>
        <w:tc>
          <w:tcPr>
            <w:tcW w:w="8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(4,341)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30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(5,677)</w:t>
            </w:r>
          </w:p>
        </w:tc>
      </w:tr>
      <w:tr>
        <w:trPr>
          <w:trHeight w:val="222"/>
        </w:trPr>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2022</w:t>
            </w:r>
          </w:p>
        </w:tc>
        <w:tc>
          <w:tcPr>
            <w:tcW w:w="8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16,046</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14,607</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3,661</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5,313</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16,757</w:t>
            </w:r>
          </w:p>
        </w:tc>
        <w:tc>
          <w:tcPr>
            <w:tcW w:w="2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30</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56,414</w:t>
            </w:r>
          </w:p>
        </w:tc>
      </w:tr>
    </w:tbl>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assess the recoverability of our goodwill annually as of July 1, and as a result, in the third quarter of 2022, we recorded a goodwill impairment of $8.1 billion in our Sky reporting unit. The fair value of the reporting unit was estimated using a discounted cash flow analysis. When performing this analysis, we also considered multiples of earnings from comparable public companies and recent market transactions. The decline in fair value primarily resulted from an increased discount rate and reduced estimated future cash flows as a result of macroeconomic conditions in the Sky territories. In connection with this assessment, in the third quarter of 2022, we also recorded impairments of intangible assets related to our Sky segment, which primarily related to customer relationship assets. These impairments totaled $485 million and are presented in goodwill and long-lived asset impairments in the consolidated statement of income.</w:t>
      </w:r>
    </w:p>
    <w:p>
      <w:pPr>
        <w:spacing w:after="0" w:line="3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Equity and Share-Based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Weighted-Average Common Shares Outstanding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760" w:type="dxa"/>
            <w:vAlign w:val="bottom"/>
            <w:gridSpan w:val="2"/>
          </w:tcPr>
          <w:p>
            <w:pPr>
              <w:jc w:val="right"/>
              <w:ind w:right="796"/>
              <w:spacing w:after="0"/>
              <w:rPr>
                <w:sz w:val="20"/>
                <w:szCs w:val="20"/>
                <w:color w:val="auto"/>
              </w:rPr>
            </w:pPr>
            <w:r>
              <w:rPr>
                <w:rFonts w:ascii="Times New Roman" w:cs="Times New Roman" w:eastAsia="Times New Roman" w:hAnsi="Times New Roman"/>
                <w:sz w:val="14"/>
                <w:szCs w:val="14"/>
                <w:color w:val="auto"/>
              </w:rPr>
              <w:t>Three Months Ended</w:t>
            </w:r>
          </w:p>
        </w:tc>
        <w:tc>
          <w:tcPr>
            <w:tcW w:w="2380" w:type="dxa"/>
            <w:vAlign w:val="bottom"/>
            <w:gridSpan w:val="2"/>
          </w:tcPr>
          <w:p>
            <w:pPr>
              <w:jc w:val="right"/>
              <w:ind w:right="636"/>
              <w:spacing w:after="0"/>
              <w:rPr>
                <w:sz w:val="20"/>
                <w:szCs w:val="20"/>
                <w:color w:val="auto"/>
              </w:rPr>
            </w:pPr>
            <w:r>
              <w:rPr>
                <w:rFonts w:ascii="Times New Roman" w:cs="Times New Roman" w:eastAsia="Times New Roman" w:hAnsi="Times New Roman"/>
                <w:sz w:val="14"/>
                <w:szCs w:val="14"/>
                <w:color w:val="auto"/>
              </w:rPr>
              <w:t>Nine Months Ended</w:t>
            </w:r>
          </w:p>
        </w:tc>
      </w:tr>
      <w:tr>
        <w:trPr>
          <w:trHeight w:val="186"/>
        </w:trPr>
        <w:tc>
          <w:tcPr>
            <w:tcW w:w="6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9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8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color w:val="auto"/>
              </w:rPr>
              <w:t>2021</w:t>
            </w:r>
          </w:p>
        </w:tc>
        <w:tc>
          <w:tcPr>
            <w:tcW w:w="158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basic</w:t>
            </w:r>
          </w:p>
        </w:tc>
        <w:tc>
          <w:tcPr>
            <w:tcW w:w="178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4,377</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4,588</w:t>
            </w:r>
          </w:p>
        </w:tc>
        <w:tc>
          <w:tcPr>
            <w:tcW w:w="158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4,449</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4,593</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78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77</w:t>
            </w:r>
          </w:p>
        </w:tc>
        <w:tc>
          <w:tcPr>
            <w:tcW w:w="158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29</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2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diluted</w:t>
            </w:r>
          </w:p>
        </w:tc>
        <w:tc>
          <w:tcPr>
            <w:tcW w:w="17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rPr>
              <w:t>4,377</w:t>
            </w:r>
          </w:p>
        </w:tc>
        <w:tc>
          <w:tcPr>
            <w:tcW w:w="9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4,665</w:t>
            </w:r>
          </w:p>
        </w:tc>
        <w:tc>
          <w:tcPr>
            <w:tcW w:w="158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color w:val="auto"/>
              </w:rPr>
              <w:t>4,477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4,668</w:t>
            </w:r>
          </w:p>
        </w:tc>
      </w:tr>
      <w:tr>
        <w:trPr>
          <w:trHeight w:val="221"/>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Antidilutive securities</w:t>
            </w:r>
          </w:p>
        </w:tc>
        <w:tc>
          <w:tcPr>
            <w:tcW w:w="178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288</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37</w:t>
            </w:r>
          </w:p>
        </w:tc>
        <w:tc>
          <w:tcPr>
            <w:tcW w:w="1580" w:type="dxa"/>
            <w:vAlign w:val="bottom"/>
          </w:tcPr>
          <w:p>
            <w:pPr>
              <w:jc w:val="right"/>
              <w:ind w:right="580"/>
              <w:spacing w:after="0"/>
              <w:rPr>
                <w:sz w:val="20"/>
                <w:szCs w:val="20"/>
                <w:color w:val="auto"/>
              </w:rPr>
            </w:pPr>
            <w:r>
              <w:rPr>
                <w:rFonts w:ascii="Times New Roman" w:cs="Times New Roman" w:eastAsia="Times New Roman" w:hAnsi="Times New Roman"/>
                <w:sz w:val="17"/>
                <w:szCs w:val="17"/>
                <w:color w:val="auto"/>
              </w:rPr>
              <w:t>156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bl>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Diluted earnings per common share attributable to Comcast Corporation shareholders (“diluted EPS”) considers the impact of potentially dilutive securities using the treasury stock method. There are no potentially dilutive shares included for the three months ended September 30, 2022 because their effect would be antidilutive as a result of the loss for the period. Antidilutive securities represent the number of potential common shares related to share-based compensation awards that were excluded from diluted EPS because their effect would have been antidilutive.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60" w:type="dxa"/>
            <w:vAlign w:val="bottom"/>
          </w:tcPr>
          <w:p>
            <w:pPr>
              <w:spacing w:after="0"/>
              <w:rPr>
                <w:sz w:val="13"/>
                <w:szCs w:val="13"/>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672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adjustments</w:t>
            </w:r>
          </w:p>
        </w:tc>
        <w:tc>
          <w:tcPr>
            <w:tcW w:w="16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(5,149)</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gains (losses) on cash flow hedges</w:t>
            </w:r>
          </w:p>
        </w:tc>
        <w:tc>
          <w:tcPr>
            <w:tcW w:w="16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387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Unrecognized gains (losses) on employee benefit obligations and other</w:t>
            </w:r>
          </w:p>
        </w:tc>
        <w:tc>
          <w:tcPr>
            <w:tcW w:w="1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207</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 net of deferred taxes</w:t>
            </w:r>
          </w:p>
        </w:tc>
        <w:tc>
          <w:tcPr>
            <w:tcW w:w="1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(4,555)</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1,480</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2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March 2022, we granted 16 million RSUs and 51 million stock options related to our annual management awards. The weighted-average fair values associated with these grants were $46.46 per RSU and $8.81 per stock 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Recognized Share-Based Compensation Expense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0"/>
        </w:trPr>
        <w:tc>
          <w:tcPr>
            <w:tcW w:w="4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599"/>
              <w:spacing w:after="0"/>
              <w:rPr>
                <w:sz w:val="20"/>
                <w:szCs w:val="20"/>
                <w:color w:val="auto"/>
              </w:rPr>
            </w:pPr>
            <w:r>
              <w:rPr>
                <w:rFonts w:ascii="Times New Roman" w:cs="Times New Roman" w:eastAsia="Times New Roman" w:hAnsi="Times New Roman"/>
                <w:sz w:val="14"/>
                <w:szCs w:val="14"/>
                <w:color w:val="auto"/>
              </w:rPr>
              <w:t>September 30,</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share units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172</w:t>
            </w:r>
          </w:p>
        </w:tc>
        <w:tc>
          <w:tcPr>
            <w:tcW w:w="112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167</w:t>
            </w:r>
          </w:p>
        </w:tc>
        <w:tc>
          <w:tcPr>
            <w:tcW w:w="106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531</w:t>
            </w:r>
          </w:p>
        </w:tc>
        <w:tc>
          <w:tcPr>
            <w:tcW w:w="6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88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74</w:t>
            </w:r>
          </w:p>
        </w:tc>
        <w:tc>
          <w:tcPr>
            <w:tcW w:w="1120" w:type="dxa"/>
            <w:vAlign w:val="bottom"/>
          </w:tcPr>
          <w:p>
            <w:pPr>
              <w:spacing w:after="0"/>
              <w:rPr>
                <w:sz w:val="19"/>
                <w:szCs w:val="19"/>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70</w:t>
            </w:r>
          </w:p>
        </w:tc>
        <w:tc>
          <w:tcPr>
            <w:tcW w:w="1060" w:type="dxa"/>
            <w:vAlign w:val="bottom"/>
          </w:tcPr>
          <w:p>
            <w:pPr>
              <w:spacing w:after="0"/>
              <w:rPr>
                <w:sz w:val="19"/>
                <w:szCs w:val="19"/>
                <w:color w:val="auto"/>
              </w:rPr>
            </w:pPr>
          </w:p>
        </w:tc>
        <w:tc>
          <w:tcPr>
            <w:tcW w:w="5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240</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Employee stock purchase plans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10</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31</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256</w:t>
            </w:r>
          </w:p>
        </w:tc>
        <w:tc>
          <w:tcPr>
            <w:tcW w:w="112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246</w:t>
            </w:r>
          </w:p>
        </w:tc>
        <w:tc>
          <w:tcPr>
            <w:tcW w:w="106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802</w:t>
            </w:r>
          </w:p>
        </w:tc>
        <w:tc>
          <w:tcPr>
            <w:tcW w:w="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837</w:t>
            </w:r>
          </w:p>
        </w:tc>
      </w:tr>
    </w:tbl>
    <w:p>
      <w:pPr>
        <w:spacing w:after="0" w:line="1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of September 30, 2022, we had unrecognized pretax compensation expense of $1.5 billion and $691 million related to nonvested RSUs and nonvested stock options,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 Supplemental Financial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third quarter of 2022, a state tax law change was enacted that resulted in a decrease to our net deferred tax liabilities of $286 million, with a corresponding decrease in income tax expense. In the second quarter of 2021, tax law changes were enacted in the United Kingdom that resulted in an increase to our net deferred tax liabilities of $498 million, with a corresponding increase in income tax expense. The goodwill impairment in the third quarter of 2022 (see Note 8) was primarily not deductible for tax purposes.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Payments for Interest and Income Taxes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2,341</w:t>
            </w:r>
          </w:p>
        </w:tc>
        <w:tc>
          <w:tcPr>
            <w:tcW w:w="6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w:t>
            </w:r>
          </w:p>
        </w:tc>
      </w:tr>
      <w:tr>
        <w:trPr>
          <w:trHeight w:val="22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4,022</w:t>
            </w:r>
          </w:p>
        </w:tc>
        <w:tc>
          <w:tcPr>
            <w:tcW w:w="6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September 30, 2022:</w:t>
      </w:r>
    </w:p>
    <w:p>
      <w:pPr>
        <w:spacing w:after="0" w:line="80" w:lineRule="exact"/>
        <w:rPr>
          <w:sz w:val="20"/>
          <w:szCs w:val="20"/>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$2.2 billion of property and equipment and intangible assets that were accrued but unpaid</w:t>
      </w:r>
    </w:p>
    <w:p>
      <w:pPr>
        <w:spacing w:after="0" w:line="7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a liability of $1.2 billion for a quarterly cash dividend of $0.27 per common share paid in October 2022</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nine months ended September 30, 2021:</w:t>
      </w:r>
    </w:p>
    <w:p>
      <w:pPr>
        <w:spacing w:after="0" w:line="80" w:lineRule="exact"/>
        <w:rPr>
          <w:sz w:val="20"/>
          <w:szCs w:val="20"/>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recognized operating lease assets and liabilities of $2.8 billion related to Universal Beijing Resort</w:t>
      </w:r>
    </w:p>
    <w:p>
      <w:pPr>
        <w:spacing w:after="0" w:line="7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$1.6 billion of property and equipment and intangible assets that were accrued but unpaid</w:t>
      </w:r>
    </w:p>
    <w:p>
      <w:pPr>
        <w:spacing w:after="0" w:line="7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a liability of $1.2 billion for a quarterly cash dividend of $0.25 per common share paid in October 2021</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160" w:type="dxa"/>
            <w:vAlign w:val="bottom"/>
          </w:tcPr>
          <w:p>
            <w:pPr>
              <w:spacing w:after="0"/>
              <w:rPr>
                <w:sz w:val="13"/>
                <w:szCs w:val="13"/>
                <w:color w:val="auto"/>
              </w:rPr>
            </w:pPr>
          </w:p>
        </w:tc>
        <w:tc>
          <w:tcPr>
            <w:tcW w:w="130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September 30,</w:t>
            </w:r>
          </w:p>
        </w:tc>
        <w:tc>
          <w:tcPr>
            <w:tcW w:w="34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0"/>
        </w:trPr>
        <w:tc>
          <w:tcPr>
            <w:tcW w:w="6220" w:type="dxa"/>
            <w:vAlign w:val="bottom"/>
            <w:tcBorders>
              <w:bottom w:val="single" w:sz="8" w:color="auto"/>
            </w:tcBorders>
            <w:vMerge w:val="continue"/>
          </w:tcPr>
          <w:p>
            <w:pPr>
              <w:spacing w:after="0"/>
              <w:rPr>
                <w:sz w:val="16"/>
                <w:szCs w:val="16"/>
                <w:color w:val="auto"/>
              </w:rPr>
            </w:pPr>
          </w:p>
        </w:tc>
        <w:tc>
          <w:tcPr>
            <w:tcW w:w="2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1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5,695</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21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22</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noncurrent assets, net</w:t>
            </w:r>
          </w:p>
        </w:tc>
        <w:tc>
          <w:tcPr>
            <w:tcW w:w="2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2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5,729</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8,778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11: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Subsidiary Preferred Stock</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the first quarter of 2021, we redeemed all of the NBCUniversal Enterprise, Inc. preferred stock and made cash payments equal to the aggregate liquidation preference of $725 million. The redeemable subsidiary preferred stock was presented in redeemable noncontrolling interests.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80"/>
        <w:spacing w:after="0" w:line="271"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discussion is provided as a supplement to, and should be read in conjunction with, the condensed consolidated financial statements and related notes included in this Quarterly Report on Form 10-Q and our 2021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a global media and technology company with three primary businesses: Comcast Cable, NBCUniversal and Sky. 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COVID-19 has impacted our businesses in a number of ways, affecting the comparability of periods included in this report. The most significant continuing impacts have resulted from temporary restrictions and closures at our international theme parks. The continuing effects of COVID-19, in addition to worsening U.S., European and global economic conditions and consumer sentiment, may adversely impact demand for our products and services, including advertising, and our results of operations over the near to medium term. In addition, changes in foreign currency exchange rates have impacted our results of operations in our Sky and Theme Parks segments as a result of the strengthening of the U.S. dollar.</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Operating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color w:val="auto"/>
              </w:rPr>
              <w:t>Nine Months Ended</w:t>
            </w: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w w:val="98"/>
              </w:rPr>
              <w:t>Increase/</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w w:val="98"/>
              </w:rPr>
              <w:t>(Decrease)</w:t>
            </w:r>
          </w:p>
        </w:tc>
        <w:tc>
          <w:tcPr>
            <w:tcW w:w="0" w:type="dxa"/>
            <w:vAlign w:val="bottom"/>
          </w:tcPr>
          <w:p>
            <w:pPr>
              <w:spacing w:after="0"/>
              <w:rPr>
                <w:sz w:val="1"/>
                <w:szCs w:val="1"/>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2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29,849</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30,298</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90,874</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86,049</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8,949</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10,395</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(13.9)</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28,406</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28,570</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(0.6)</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9,344</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8,981</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4.0</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27,701</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25,799</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2,066</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1,995</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3.5</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6,324</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5,462</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2,150</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2,177</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6,525</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6,407</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1,183</w:t>
            </w:r>
          </w:p>
        </w:tc>
        <w:tc>
          <w:tcPr>
            <w:tcW w:w="46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1,301</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(9.1)</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3,824</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3,815</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176"/>
        </w:trPr>
        <w:tc>
          <w:tcPr>
            <w:tcW w:w="3180" w:type="dxa"/>
            <w:vAlign w:val="bottom"/>
          </w:tcPr>
          <w:p>
            <w:pPr>
              <w:ind w:left="280"/>
              <w:spacing w:after="0" w:line="176" w:lineRule="exact"/>
              <w:rPr>
                <w:sz w:val="20"/>
                <w:szCs w:val="20"/>
                <w:color w:val="auto"/>
              </w:rPr>
            </w:pPr>
            <w:r>
              <w:rPr>
                <w:rFonts w:ascii="Times New Roman" w:cs="Times New Roman" w:eastAsia="Times New Roman" w:hAnsi="Times New Roman"/>
                <w:sz w:val="17"/>
                <w:szCs w:val="17"/>
                <w:color w:val="auto"/>
              </w:rPr>
              <w:t>Goodwill and long-lived asset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impairments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8,583</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8,583</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32,274</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24,848</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29.9</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81,363</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70,053</w:t>
            </w: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w:t>
            </w:r>
          </w:p>
        </w:tc>
        <w:tc>
          <w:tcPr>
            <w:tcW w:w="4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5,450</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9,511</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15,996</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460" w:type="dxa"/>
            <w:vAlign w:val="bottom"/>
          </w:tcPr>
          <w:p>
            <w:pPr>
              <w:spacing w:after="0"/>
              <w:rPr>
                <w:sz w:val="19"/>
                <w:szCs w:val="19"/>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(1,050)</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(8.5)</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w:t>
            </w:r>
          </w:p>
        </w:tc>
        <w:tc>
          <w:tcPr>
            <w:tcW w:w="46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(3,161)</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Investment and other income (loss),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766</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2,374</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(3,652)</w:t>
            </w:r>
          </w:p>
        </w:tc>
        <w:tc>
          <w:tcPr>
            <w:tcW w:w="4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5,166</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5,614</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15,208</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(63.1)</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(1,235)</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(17.9)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(4,354)</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1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w:t>
            </w:r>
          </w:p>
        </w:tc>
        <w:tc>
          <w:tcPr>
            <w:tcW w:w="46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3,931</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2,052</w:t>
            </w:r>
          </w:p>
        </w:tc>
        <w:tc>
          <w:tcPr>
            <w:tcW w:w="46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10,854</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(81.1)</w:t>
            </w: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Less: Net income (loss) attributable to</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(104)</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(34.7)</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(249)</w:t>
            </w: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164"/>
        </w:trPr>
        <w:tc>
          <w:tcPr>
            <w:tcW w:w="318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Net income (loss) attributable to Comcast</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(4,598)</w:t>
            </w:r>
          </w:p>
        </w:tc>
        <w:tc>
          <w:tcPr>
            <w:tcW w:w="4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4,035</w:t>
            </w:r>
          </w:p>
        </w:tc>
        <w:tc>
          <w:tcPr>
            <w:tcW w:w="13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2,347</w:t>
            </w:r>
          </w:p>
        </w:tc>
        <w:tc>
          <w:tcPr>
            <w:tcW w:w="4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11,102</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(78.9)%</w:t>
            </w:r>
          </w:p>
        </w:tc>
        <w:tc>
          <w:tcPr>
            <w:tcW w:w="0" w:type="dxa"/>
            <w:vAlign w:val="bottom"/>
          </w:tcPr>
          <w:p>
            <w:pPr>
              <w:spacing w:after="0"/>
              <w:rPr>
                <w:sz w:val="1"/>
                <w:szCs w:val="1"/>
                <w:color w:val="auto"/>
              </w:rPr>
            </w:pPr>
          </w:p>
        </w:tc>
      </w:tr>
      <w:tr>
        <w:trPr>
          <w:trHeight w:val="242"/>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w:t>
            </w:r>
          </w:p>
        </w:tc>
        <w:tc>
          <w:tcPr>
            <w:tcW w:w="2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46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Basic earnings (loss) per common share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(1.05)</w:t>
            </w:r>
          </w:p>
        </w:tc>
        <w:tc>
          <w:tcPr>
            <w:tcW w:w="4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0.88</w:t>
            </w:r>
          </w:p>
        </w:tc>
        <w:tc>
          <w:tcPr>
            <w:tcW w:w="13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0.53</w:t>
            </w:r>
          </w:p>
        </w:tc>
        <w:tc>
          <w:tcPr>
            <w:tcW w:w="4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2.42</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(78.1)%</w:t>
            </w:r>
          </w:p>
        </w:tc>
        <w:tc>
          <w:tcPr>
            <w:tcW w:w="0" w:type="dxa"/>
            <w:vAlign w:val="bottom"/>
          </w:tcPr>
          <w:p>
            <w:pPr>
              <w:spacing w:after="0"/>
              <w:rPr>
                <w:sz w:val="1"/>
                <w:szCs w:val="1"/>
                <w:color w:val="auto"/>
              </w:rPr>
            </w:pPr>
          </w:p>
        </w:tc>
      </w:tr>
      <w:tr>
        <w:trPr>
          <w:trHeight w:val="22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Diluted earnings (loss) per common share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(1.05)</w:t>
            </w:r>
          </w:p>
        </w:tc>
        <w:tc>
          <w:tcPr>
            <w:tcW w:w="4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0.86</w:t>
            </w:r>
          </w:p>
        </w:tc>
        <w:tc>
          <w:tcPr>
            <w:tcW w:w="13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0.52</w:t>
            </w:r>
          </w:p>
        </w:tc>
        <w:tc>
          <w:tcPr>
            <w:tcW w:w="4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2.38</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(78.2)%</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3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9,482</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8,957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28,459</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26,297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8.2 %</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49" w:lineRule="exact"/>
        <w:rPr>
          <w:sz w:val="20"/>
          <w:szCs w:val="20"/>
          <w:color w:val="auto"/>
        </w:rPr>
      </w:pPr>
    </w:p>
    <w:p>
      <w:pPr>
        <w:ind w:left="240" w:hanging="235"/>
        <w:spacing w:after="0" w:line="285" w:lineRule="auto"/>
        <w:tabs>
          <w:tab w:leader="none" w:pos="23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27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Revenue</w:t>
      </w:r>
    </w:p>
    <w:p>
      <w:pPr>
        <w:spacing w:after="0" w:line="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Consolidated revenue decreased for the three months ended September 30, 2022, driven by Media and Sky, partially offset by increases in revenue in Studios, Theme Parks and Cable Communications. Consolidated revenue increased for the nine months ended September 30, 2022, driven by Theme Parks, Studios, Cable Communications and Media, partially offset by decreases in revenue in Sky.</w:t>
      </w:r>
    </w:p>
    <w:p>
      <w:pPr>
        <w:spacing w:after="0" w:line="59" w:lineRule="exact"/>
        <w:rPr>
          <w:sz w:val="20"/>
          <w:szCs w:val="20"/>
          <w:color w:val="auto"/>
        </w:rPr>
      </w:pPr>
    </w:p>
    <w:p>
      <w:pPr>
        <w:ind w:right="2380"/>
        <w:spacing w:after="0" w:line="377" w:lineRule="auto"/>
        <w:rPr>
          <w:sz w:val="20"/>
          <w:szCs w:val="20"/>
          <w:color w:val="auto"/>
        </w:rPr>
      </w:pPr>
      <w:r>
        <w:rPr>
          <w:rFonts w:ascii="Times New Roman" w:cs="Times New Roman" w:eastAsia="Times New Roman" w:hAnsi="Times New Roman"/>
          <w:sz w:val="17"/>
          <w:szCs w:val="17"/>
          <w:color w:val="auto"/>
        </w:rPr>
        <w:t xml:space="preserve">Revenue for our segments and other businesses is discussed separately below under the heading “Segment Operating Results.” </w:t>
      </w:r>
      <w:r>
        <w:rPr>
          <w:rFonts w:ascii="Arial" w:cs="Arial" w:eastAsia="Arial" w:hAnsi="Arial"/>
          <w:sz w:val="17"/>
          <w:szCs w:val="17"/>
          <w:b w:val="1"/>
          <w:bCs w:val="1"/>
          <w:color w:val="auto"/>
        </w:rPr>
        <w:t>Consolidated Costs and Expenses</w:t>
      </w:r>
    </w:p>
    <w:p>
      <w:pPr>
        <w:jc w:val="both"/>
        <w:spacing w:after="0" w:line="268" w:lineRule="auto"/>
        <w:rPr>
          <w:sz w:val="20"/>
          <w:szCs w:val="20"/>
          <w:color w:val="auto"/>
        </w:rPr>
      </w:pPr>
      <w:r>
        <w:rPr>
          <w:rFonts w:ascii="Times New Roman" w:cs="Times New Roman" w:eastAsia="Times New Roman" w:hAnsi="Times New Roman"/>
          <w:sz w:val="17"/>
          <w:szCs w:val="17"/>
          <w:color w:val="auto"/>
        </w:rPr>
        <w:t>Consolidated operating costs and expenses, which is comprised of total costs and expenses excluding depreciation expense, amortization expense and goodwill and long-lived assets impairments, decreased for the three months ended September 30, 2022, driven by Media and Sky, partially offset by increases in operating costs and expenses in Studios, Theme Parks and Cable Communications. Consolidated operating costs and expenses increased for the nine months ended September 30, 2022, driven by Studios, Media, Theme Parks and Cable Communications, partially offset by decreases in operating costs and expenses in Sky.</w:t>
      </w:r>
    </w:p>
    <w:p>
      <w:pPr>
        <w:spacing w:after="0" w:line="26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Operating costs and expenses for our segments and our corporate operations, business development initiatives and other businesses are discussed separately below under the heading “Segment Operating Results.”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Depreciation and Amortization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76"/>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59"/>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jc w:val="right"/>
              <w:ind w:right="816"/>
              <w:spacing w:after="0"/>
              <w:rPr>
                <w:sz w:val="20"/>
                <w:szCs w:val="20"/>
                <w:color w:val="auto"/>
              </w:rPr>
            </w:pPr>
            <w:r>
              <w:rPr>
                <w:rFonts w:ascii="Times New Roman" w:cs="Times New Roman" w:eastAsia="Times New Roman" w:hAnsi="Times New Roman"/>
                <w:sz w:val="14"/>
                <w:szCs w:val="14"/>
                <w:color w:val="auto"/>
              </w:rPr>
              <w:t>Nine Months Ended</w:t>
            </w:r>
          </w:p>
        </w:tc>
        <w:tc>
          <w:tcPr>
            <w:tcW w:w="1080" w:type="dxa"/>
            <w:vAlign w:val="bottom"/>
          </w:tcPr>
          <w:p>
            <w:pPr>
              <w:jc w:val="center"/>
              <w:ind w:left="19"/>
              <w:spacing w:after="0"/>
              <w:rPr>
                <w:sz w:val="20"/>
                <w:szCs w:val="20"/>
                <w:color w:val="auto"/>
              </w:rPr>
            </w:pPr>
            <w:r>
              <w:rPr>
                <w:rFonts w:ascii="Times New Roman" w:cs="Times New Roman" w:eastAsia="Times New Roman" w:hAnsi="Times New Roman"/>
                <w:sz w:val="14"/>
                <w:szCs w:val="14"/>
                <w:color w:val="auto"/>
                <w:w w:val="98"/>
              </w:rPr>
              <w:t>Increase/</w:t>
            </w:r>
          </w:p>
        </w:tc>
        <w:tc>
          <w:tcPr>
            <w:tcW w:w="200" w:type="dxa"/>
            <w:vAlign w:val="bottom"/>
          </w:tcPr>
          <w:p>
            <w:pPr>
              <w:spacing w:after="0"/>
              <w:rPr>
                <w:sz w:val="13"/>
                <w:szCs w:val="13"/>
                <w:color w:val="auto"/>
              </w:rPr>
            </w:pPr>
          </w:p>
        </w:tc>
      </w:tr>
      <w:tr>
        <w:trPr>
          <w:trHeight w:val="186"/>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rPr>
              <w:t>(Decrease)</w:t>
            </w:r>
          </w:p>
        </w:tc>
        <w:tc>
          <w:tcPr>
            <w:tcW w:w="200" w:type="dxa"/>
            <w:vAlign w:val="bottom"/>
            <w:tcBorders>
              <w:bottom w:val="single" w:sz="8" w:color="auto"/>
            </w:tcBorders>
          </w:tcPr>
          <w:p>
            <w:pPr>
              <w:spacing w:after="0"/>
              <w:rPr>
                <w:sz w:val="16"/>
                <w:szCs w:val="16"/>
                <w:color w:val="auto"/>
              </w:rPr>
            </w:pPr>
          </w:p>
        </w:tc>
      </w:tr>
      <w:tr>
        <w:trPr>
          <w:trHeight w:val="19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2021</w:t>
            </w:r>
          </w:p>
        </w:tc>
        <w:tc>
          <w:tcPr>
            <w:tcW w:w="108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spacing w:after="0"/>
              <w:rPr>
                <w:sz w:val="16"/>
                <w:szCs w:val="16"/>
                <w:color w:val="auto"/>
              </w:rPr>
            </w:pP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Cable Communications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1,945</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1,965</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5,850</w:t>
            </w:r>
          </w:p>
        </w:tc>
        <w:tc>
          <w:tcPr>
            <w:tcW w:w="5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5,845</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NBCUniversal</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596</w:t>
            </w:r>
          </w:p>
        </w:tc>
        <w:tc>
          <w:tcPr>
            <w:tcW w:w="48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591</w:t>
            </w: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rPr>
              <w:t>0.8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50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1,759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0" w:type="dxa"/>
            <w:vAlign w:val="bottom"/>
          </w:tcPr>
          <w:p>
            <w:pPr>
              <w:spacing w:after="0"/>
              <w:rPr>
                <w:sz w:val="19"/>
                <w:szCs w:val="19"/>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Sky</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722</w:t>
            </w:r>
          </w:p>
        </w:tc>
        <w:tc>
          <w:tcPr>
            <w:tcW w:w="48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884</w:t>
            </w:r>
          </w:p>
        </w:tc>
        <w:tc>
          <w:tcPr>
            <w:tcW w:w="13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(18.3)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500" w:type="dxa"/>
            <w:vAlign w:val="bottom"/>
          </w:tcPr>
          <w:p>
            <w:pPr>
              <w:spacing w:after="0"/>
              <w:rPr>
                <w:sz w:val="19"/>
                <w:szCs w:val="19"/>
                <w:color w:val="auto"/>
              </w:rPr>
            </w:pP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2,524</w:t>
            </w:r>
          </w:p>
        </w:tc>
        <w:tc>
          <w:tcPr>
            <w:tcW w:w="128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(4.8)</w:t>
            </w:r>
          </w:p>
        </w:tc>
      </w:tr>
      <w:tr>
        <w:trPr>
          <w:trHeight w:val="22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70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38</w:t>
            </w:r>
          </w:p>
        </w:tc>
        <w:tc>
          <w:tcPr>
            <w:tcW w:w="1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rPr>
              <w:t>85.4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95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200" w:type="dxa"/>
            <w:vAlign w:val="bottom"/>
            <w:tcBorders>
              <w:bottom w:val="single" w:sz="8" w:color="auto"/>
            </w:tcBorders>
          </w:tcPr>
          <w:p>
            <w:pPr>
              <w:spacing w:after="0"/>
              <w:rPr>
                <w:sz w:val="19"/>
                <w:szCs w:val="19"/>
                <w:color w:val="auto"/>
              </w:rPr>
            </w:pPr>
          </w:p>
        </w:tc>
      </w:tr>
      <w:tr>
        <w:trPr>
          <w:trHeight w:val="22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3,333</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3,477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10,349</w:t>
            </w:r>
          </w:p>
        </w:tc>
        <w:tc>
          <w:tcPr>
            <w:tcW w:w="5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10,222</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1.2 %</w:t>
            </w:r>
          </w:p>
        </w:tc>
      </w:tr>
    </w:tbl>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and amortization expense decreased for the three months ended September 30, 2022 compared to the same period in 2021 primarily due to the impact of foreign currency at Sky. Depreciation and amortization expense increased for the nine months ended September 30, 2022 compared to the same period in 2021 primarily due to increased depreciation at NBCUniversal driven by the opening of Universal Beijing Resort, increased amortization of software at Sky and increased depreciation and amortization related to other business initiatives, partially offset by the impact of foreign currency at Sky.</w:t>
      </w:r>
    </w:p>
    <w:p>
      <w:pPr>
        <w:spacing w:after="0" w:line="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from acquisition-related intangible assets totaled $517 million and $1.7 billion for the three and nine months ended September 30, 2022, respectively. Amortization expense from acquisition-related intangible assets totaled $603 million and $1.8 billion for the three and nine months ended September 30, 2021, respectively. Amounts primarily relate to customer relationship intangible assets recorded in connection with the Sky transaction in the fourth quarter of 2018 and the NBCUniversal transaction in 2011.</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Goodwill and Long-lived Asset Impairments</w:t>
      </w:r>
    </w:p>
    <w:p>
      <w:pPr>
        <w:spacing w:after="0" w:line="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Goodwill and long-lived asset impairments included charges related to our Sky segment totaling $8.6 billion for the three and nine months ended September 30, 2022 recognized in connection with our annual impairment assessment. The impairments primarily reflected an increased discount rate and reduced estimated future cash flows as a result of macroeconomic conditions in Sky</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territories. See “Critical Accounting Judgments and Estimates” and Note 8 for further discussion.</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Interest Expense</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decreased for the three months ended September 30, 2022 compared to the same period in 2021 primarily due to a decrease in average debt outstanding in the current year period. Interest expense decreased for the nine months ended September 30, 2022 compared to the same period in 2021 primarily due to a decrease in average debt outstanding in the current year period and a $78 million charge recorded in the prior year period related to the early redemption of senior notes due 2024.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Investment and Other Income (Loss),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180" w:type="dxa"/>
            <w:vAlign w:val="bottom"/>
            <w:gridSpan w:val="3"/>
          </w:tcPr>
          <w:p>
            <w:pPr>
              <w:jc w:val="right"/>
              <w:ind w:right="219"/>
              <w:spacing w:after="0"/>
              <w:rPr>
                <w:sz w:val="20"/>
                <w:szCs w:val="20"/>
                <w:color w:val="auto"/>
              </w:rPr>
            </w:pPr>
            <w:r>
              <w:rPr>
                <w:rFonts w:ascii="Times New Roman" w:cs="Times New Roman" w:eastAsia="Times New Roman" w:hAnsi="Times New Roman"/>
                <w:sz w:val="14"/>
                <w:szCs w:val="14"/>
                <w:color w:val="auto"/>
              </w:rPr>
              <w:t>Three Months Ended</w:t>
            </w:r>
          </w:p>
        </w:tc>
        <w:tc>
          <w:tcPr>
            <w:tcW w:w="500" w:type="dxa"/>
            <w:vAlign w:val="bottom"/>
          </w:tcPr>
          <w:p>
            <w:pPr>
              <w:spacing w:after="0"/>
              <w:rPr>
                <w:sz w:val="13"/>
                <w:szCs w:val="13"/>
                <w:color w:val="auto"/>
              </w:rPr>
            </w:pPr>
          </w:p>
        </w:tc>
        <w:tc>
          <w:tcPr>
            <w:tcW w:w="22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Nine Months Ended</w:t>
            </w:r>
          </w:p>
        </w:tc>
        <w:tc>
          <w:tcPr>
            <w:tcW w:w="580" w:type="dxa"/>
            <w:vAlign w:val="bottom"/>
          </w:tcPr>
          <w:p>
            <w:pPr>
              <w:spacing w:after="0"/>
              <w:rPr>
                <w:sz w:val="13"/>
                <w:szCs w:val="13"/>
                <w:color w:val="auto"/>
              </w:rPr>
            </w:pPr>
          </w:p>
        </w:tc>
      </w:tr>
      <w:tr>
        <w:trPr>
          <w:trHeight w:val="190"/>
        </w:trPr>
        <w:tc>
          <w:tcPr>
            <w:tcW w:w="57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399"/>
              <w:spacing w:after="0"/>
              <w:rPr>
                <w:sz w:val="20"/>
                <w:szCs w:val="20"/>
                <w:color w:val="auto"/>
              </w:rPr>
            </w:pPr>
            <w:r>
              <w:rPr>
                <w:rFonts w:ascii="Times New Roman" w:cs="Times New Roman" w:eastAsia="Times New Roman" w:hAnsi="Times New Roman"/>
                <w:sz w:val="14"/>
                <w:szCs w:val="14"/>
                <w:color w:val="auto"/>
              </w:rPr>
              <w:t>September 30,</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39"/>
              <w:spacing w:after="0"/>
              <w:rPr>
                <w:sz w:val="20"/>
                <w:szCs w:val="20"/>
                <w:color w:val="auto"/>
              </w:rPr>
            </w:pPr>
            <w:r>
              <w:rPr>
                <w:rFonts w:ascii="Times New Roman" w:cs="Times New Roman" w:eastAsia="Times New Roman" w:hAnsi="Times New Roman"/>
                <w:sz w:val="14"/>
                <w:szCs w:val="14"/>
                <w:color w:val="auto"/>
              </w:rPr>
              <w:t>September 30,</w:t>
            </w:r>
          </w:p>
        </w:tc>
        <w:tc>
          <w:tcPr>
            <w:tcW w:w="580" w:type="dxa"/>
            <w:vAlign w:val="bottom"/>
            <w:tcBorders>
              <w:bottom w:val="single" w:sz="8" w:color="auto"/>
            </w:tcBorders>
          </w:tcPr>
          <w:p>
            <w:pPr>
              <w:spacing w:after="0"/>
              <w:rPr>
                <w:sz w:val="16"/>
                <w:szCs w:val="16"/>
                <w:color w:val="auto"/>
              </w:rPr>
            </w:pPr>
          </w:p>
        </w:tc>
      </w:tr>
      <w:tr>
        <w:trPr>
          <w:trHeight w:val="19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tcBorders>
              <w:bottom w:val="single" w:sz="8" w:color="auto"/>
            </w:tcBorders>
          </w:tcPr>
          <w:p>
            <w:pPr>
              <w:spacing w:after="0"/>
              <w:rPr>
                <w:sz w:val="16"/>
                <w:szCs w:val="16"/>
                <w:color w:val="auto"/>
              </w:rPr>
            </w:pPr>
          </w:p>
        </w:tc>
      </w:tr>
      <w:tr>
        <w:trPr>
          <w:trHeight w:val="217"/>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net income (losses) of investees, net</w:t>
            </w:r>
          </w:p>
        </w:tc>
        <w:tc>
          <w:tcPr>
            <w:tcW w:w="800" w:type="dxa"/>
            <w:vAlign w:val="bottom"/>
          </w:tcPr>
          <w:p>
            <w:pPr>
              <w:jc w:val="right"/>
              <w:ind w:right="62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88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602</w:t>
            </w:r>
          </w:p>
        </w:tc>
        <w:tc>
          <w:tcPr>
            <w:tcW w:w="920" w:type="dxa"/>
            <w:vAlign w:val="bottom"/>
          </w:tcPr>
          <w:p>
            <w:pPr>
              <w:jc w:val="right"/>
              <w:ind w:right="621"/>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820" w:type="dxa"/>
            <w:vAlign w:val="bottom"/>
          </w:tcPr>
          <w:p>
            <w:pPr>
              <w:jc w:val="right"/>
              <w:ind w:right="579"/>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9"/>
              </w:rPr>
              <w:t>1,696</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and unrealized gains (losses) on equity securities, net</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80" w:type="dxa"/>
            <w:vAlign w:val="bottom"/>
          </w:tcPr>
          <w:p>
            <w:pPr>
              <w:spacing w:after="0"/>
              <w:rPr>
                <w:sz w:val="19"/>
                <w:szCs w:val="19"/>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106</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82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532</w:t>
            </w:r>
          </w:p>
        </w:tc>
      </w:tr>
      <w:tr>
        <w:trPr>
          <w:trHeight w:val="228"/>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59</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146</w:t>
            </w:r>
          </w:p>
        </w:tc>
      </w:tr>
      <w:tr>
        <w:trPr>
          <w:trHeight w:val="222"/>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and other income (loss), net</w:t>
            </w: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(266)</w:t>
            </w:r>
          </w:p>
        </w:tc>
        <w:tc>
          <w:tcPr>
            <w:tcW w:w="8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766</w:t>
            </w:r>
          </w:p>
        </w:tc>
        <w:tc>
          <w:tcPr>
            <w:tcW w:w="9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7"/>
                <w:szCs w:val="17"/>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(975)</w:t>
            </w:r>
          </w:p>
        </w:tc>
        <w:tc>
          <w:tcPr>
            <w:tcW w:w="8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9"/>
              </w:rPr>
              <w:t>2,374</w:t>
            </w:r>
          </w:p>
        </w:tc>
      </w:tr>
    </w:tbl>
    <w:p>
      <w:pPr>
        <w:spacing w:after="0" w:line="2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change in investment and other income (loss), net for the three and nine months ended September 30, 2022 compared to the same periods in 2021 was due to equity in net income (losses) of investees, net primarily related to our investment in Atairos Group, Inc., realized and unrealized gains (losses) on equity securities, net and other income (loss), net. The income (losses) at Atairos were driven by fair value adjustments on its underlying investments with income (loss) of $(97) million and $(473) million for the three and nine months ended September 30, 2022, respectively, and $555 million and $1.5 billion for the three and nine months ended September 30, 2021, respectively. The changes in realized and unrealized gains (losses) on equity securities, net for the three and nine months ended September 30, 2022 compared to the same periods in 2021 primarily resulted from fair value adjustments on marketable and nonmarketable equity securities. The change in other income (loss), net for the three and nine months ended September 30, 2022 compared to the same periods in 2021 primarily resulted from net losses on foreign exchange remeasurement in the current year period, losses on insurance contracts and an impairment of an equity method investment.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Tax Expense</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Income tax expense for the three and nine months ended September 30, 2022 and 2021 reflects an effective income tax rate that differs from the federal statutory rate due to state and foreign income taxes and adjustments associated with uncertain tax positions. In addition, income tax expense was affected by changes in our net deferred tax liabilities as a result of the enactment of tax law changes, including $286 million of benefit for the three and nine months ended September 30, 2022 related to state taxes and $498 million of expense for the nine months ended September 30, 2021 in the United Kingdom (see Note 10). Our effective income tax rate for the three and nine months ended September 30, 2022 was also impacted by the goodwill impairment, which was primarily not deductible for tax purposes (see Note 10).</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Income (Loss) Attributable to Noncontrolling Interests</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change in net income (loss) attributable to noncontrolling interests for the three months ended September 30, 2022 compared to the same period in 2021 was primarily due to decreased losses at Universal Beijing Resort due to operations in the current year period, partially offset by operations of the streaming platform joint venture with Charter Communications in the current year period. The change in net income (loss) attributable to noncontrolling interests for the nine months ended September 30, 2022 compared to the same period in 2021 was primarily due to increased losses at Universal Beijing Resort due to operations in the current year period compared to pre-opening costs in the prior year period in advance of the park</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opening in September 2021 and operations of the streaming platform joint venture with Charter Communications in the current year period.</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Operating Results</w:t>
      </w:r>
    </w:p>
    <w:p>
      <w:pPr>
        <w:spacing w:after="0" w:line="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Our segment operating results are presented based on how we assess operating performance and internally report financial information. We use Adjusted EBITDA as the measure of profit or loss for our operating segments.</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See Note 2 for our definition of Adjusted EBITDA and a reconciliation from the aggregate amount of Adjusted EBITDA for our reportable business segments to consolidated income before income taxes.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Cable Communications Segment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95"/>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color w:val="auto"/>
              </w:rPr>
              <w:t>Nine Months Ended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18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(Decrease)</w:t>
            </w:r>
          </w:p>
        </w:tc>
        <w:tc>
          <w:tcPr>
            <w:tcW w:w="18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Residential: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Broadband</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6,135</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5,801</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18,292</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17,118</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Video</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5,255</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5,499</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16,214</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16,676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Voice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745</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851</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(12.5)</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2,293</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2,592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Wireless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789</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603</w:t>
            </w: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30.8</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2,188</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1,672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Business services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2,436</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2,227</w:t>
            </w: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9.4</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7,256</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6,597</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756</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705</w:t>
            </w: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7.2</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2,174</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2,002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423</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427</w:t>
            </w:r>
          </w:p>
        </w:tc>
        <w:tc>
          <w:tcPr>
            <w:tcW w:w="13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rPr>
              <w:t>(0.9)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1,263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1,265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80" w:type="dxa"/>
            <w:vAlign w:val="bottom"/>
            <w:tcBorders>
              <w:bottom w:val="single" w:sz="8" w:color="auto"/>
            </w:tcBorders>
          </w:tcPr>
          <w:p>
            <w:pPr>
              <w:spacing w:after="0"/>
              <w:rPr>
                <w:sz w:val="19"/>
                <w:szCs w:val="19"/>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16,539</w:t>
            </w:r>
          </w:p>
        </w:tc>
        <w:tc>
          <w:tcPr>
            <w:tcW w:w="480" w:type="dxa"/>
            <w:vAlign w:val="bottom"/>
          </w:tcPr>
          <w:p>
            <w:pPr>
              <w:spacing w:after="0"/>
              <w:rPr>
                <w:sz w:val="18"/>
                <w:szCs w:val="18"/>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16,115</w:t>
            </w: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2.6</w:t>
            </w:r>
          </w:p>
        </w:tc>
        <w:tc>
          <w:tcPr>
            <w:tcW w:w="3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49,680</w:t>
            </w:r>
          </w:p>
        </w:tc>
        <w:tc>
          <w:tcPr>
            <w:tcW w:w="4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47,922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180" w:type="dxa"/>
            <w:vAlign w:val="bottom"/>
          </w:tcPr>
          <w:p>
            <w:pPr>
              <w:spacing w:after="0"/>
              <w:rPr>
                <w:sz w:val="18"/>
                <w:szCs w:val="18"/>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3,446</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3,546</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10,611</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10,809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Technical and product support</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2,284</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2,169</w:t>
            </w:r>
          </w:p>
        </w:tc>
        <w:tc>
          <w:tcPr>
            <w:tcW w:w="132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5.3</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6,749</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6,265</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Customer service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574</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581</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1,727</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1,765</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943</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1,012</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(6.8)</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2,926</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2,887</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Franchise and other regulatory fees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408</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432</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(5.7)</w:t>
            </w: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1,237</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1,382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8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1,430</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1,305</w:t>
            </w:r>
          </w:p>
        </w:tc>
        <w:tc>
          <w:tcPr>
            <w:tcW w:w="13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9.6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4,258</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3,841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8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9,086</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9,045</w:t>
            </w:r>
          </w:p>
        </w:tc>
        <w:tc>
          <w:tcPr>
            <w:tcW w:w="13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rPr>
              <w:t>0.5</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27,508</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26,949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7,452</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7,069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22,172</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20,972</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22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Our customer relationships net additions were lower in the three and nine months ended September 30, 2022 as compared to prior periods primarily due to decreased growth in our broadband net additions and also reflected accelerated net losses in our video and voice customers. In a reversal from pandemic trends, our broadband net addition growth has slowed primarily reflecting continued low household move levels and an increasingly competitive environment, which is continuing in the fourth quarter of 2022.</w:t>
      </w: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color w:val="auto"/>
              </w:rPr>
              <w:t>Net Additions / (Losses)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tcPr>
          <w:p>
            <w:pPr>
              <w:spacing w:after="0"/>
              <w:rPr>
                <w:sz w:val="11"/>
                <w:szCs w:val="11"/>
                <w:color w:val="auto"/>
              </w:rPr>
            </w:pPr>
          </w:p>
        </w:tc>
        <w:tc>
          <w:tcPr>
            <w:tcW w:w="2060" w:type="dxa"/>
            <w:vAlign w:val="bottom"/>
            <w:gridSpan w:val="2"/>
            <w:vMerge w:val="restart"/>
          </w:tcPr>
          <w:p>
            <w:pPr>
              <w:jc w:val="right"/>
              <w:ind w:right="534"/>
              <w:spacing w:after="0"/>
              <w:rPr>
                <w:sz w:val="20"/>
                <w:szCs w:val="20"/>
                <w:color w:val="auto"/>
              </w:rPr>
            </w:pPr>
            <w:r>
              <w:rPr>
                <w:rFonts w:ascii="Times New Roman" w:cs="Times New Roman" w:eastAsia="Times New Roman" w:hAnsi="Times New Roman"/>
                <w:sz w:val="14"/>
                <w:szCs w:val="14"/>
                <w:color w:val="auto"/>
              </w:rPr>
              <w:t>September 30,</w:t>
            </w:r>
          </w:p>
        </w:tc>
        <w:tc>
          <w:tcPr>
            <w:tcW w:w="2240" w:type="dxa"/>
            <w:vAlign w:val="bottom"/>
            <w:gridSpan w:val="2"/>
          </w:tcPr>
          <w:p>
            <w:pPr>
              <w:jc w:val="right"/>
              <w:ind w:right="535"/>
              <w:spacing w:after="0" w:line="128" w:lineRule="exact"/>
              <w:rPr>
                <w:sz w:val="20"/>
                <w:szCs w:val="20"/>
                <w:color w:val="auto"/>
              </w:rPr>
            </w:pPr>
            <w:r>
              <w:rPr>
                <w:rFonts w:ascii="Times New Roman" w:cs="Times New Roman" w:eastAsia="Times New Roman" w:hAnsi="Times New Roman"/>
                <w:sz w:val="14"/>
                <w:szCs w:val="14"/>
                <w:color w:val="auto"/>
              </w:rPr>
              <w:t>Three Months Ended</w:t>
            </w:r>
          </w:p>
        </w:tc>
        <w:tc>
          <w:tcPr>
            <w:tcW w:w="1900" w:type="dxa"/>
            <w:vAlign w:val="bottom"/>
            <w:gridSpan w:val="2"/>
          </w:tcPr>
          <w:p>
            <w:pPr>
              <w:jc w:val="right"/>
              <w:ind w:right="374"/>
              <w:spacing w:after="0" w:line="128"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2060" w:type="dxa"/>
            <w:vAlign w:val="bottom"/>
            <w:tcBorders>
              <w:bottom w:val="single" w:sz="8" w:color="auto"/>
            </w:tcBorders>
            <w:gridSpan w:val="2"/>
            <w:vMerge w:val="continue"/>
          </w:tcPr>
          <w:p>
            <w:pPr>
              <w:spacing w:after="0"/>
              <w:rPr>
                <w:sz w:val="16"/>
                <w:szCs w:val="16"/>
                <w:color w:val="auto"/>
              </w:rPr>
            </w:pPr>
          </w:p>
        </w:tc>
        <w:tc>
          <w:tcPr>
            <w:tcW w:w="2240" w:type="dxa"/>
            <w:vAlign w:val="bottom"/>
            <w:tcBorders>
              <w:bottom w:val="single" w:sz="8" w:color="auto"/>
            </w:tcBorders>
            <w:gridSpan w:val="2"/>
          </w:tcPr>
          <w:p>
            <w:pPr>
              <w:jc w:val="right"/>
              <w:ind w:right="715"/>
              <w:spacing w:after="0"/>
              <w:rPr>
                <w:sz w:val="20"/>
                <w:szCs w:val="20"/>
                <w:color w:val="auto"/>
              </w:rPr>
            </w:pPr>
            <w:r>
              <w:rPr>
                <w:rFonts w:ascii="Times New Roman" w:cs="Times New Roman" w:eastAsia="Times New Roman" w:hAnsi="Times New Roman"/>
                <w:sz w:val="14"/>
                <w:szCs w:val="14"/>
                <w:color w:val="auto"/>
              </w:rPr>
              <w:t>September 30,</w:t>
            </w:r>
          </w:p>
        </w:tc>
        <w:tc>
          <w:tcPr>
            <w:tcW w:w="1900" w:type="dxa"/>
            <w:vAlign w:val="bottom"/>
            <w:tcBorders>
              <w:bottom w:val="single" w:sz="8" w:color="auto"/>
            </w:tcBorders>
            <w:gridSpan w:val="2"/>
          </w:tcPr>
          <w:p>
            <w:pPr>
              <w:jc w:val="right"/>
              <w:ind w:right="534"/>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2021</w:t>
            </w: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2022</w:t>
            </w: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2021</w:t>
            </w: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Customer relationships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 relationships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31,849</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31,576</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(26)</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237</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121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 relationships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2,514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2,473</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18</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25</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customer relationships</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34,363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34,048</w:t>
            </w: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(21)</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255</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145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Residential customer relationships mix</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One product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15,463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13,959</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340</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481</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1,133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Two product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8,204</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8,473</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(77)</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(89)</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Three or more product customers</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8,182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9,144</w:t>
            </w: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(289)</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(156)</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(810)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Broadband</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29,835</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29,389</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10</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281</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253</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2,342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5</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19</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24</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broadband customers</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32,177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31,688</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14</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300</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277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Video</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15,973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17,844</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(540)</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(382)</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(1,522)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609</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(26)</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video customers</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16,582</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18,549</w:t>
            </w: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(561)</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(408)</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(1,594)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Voice</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8,190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9,245</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(307)</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(167)</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(872)</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customers</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1,380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w:t>
            </w: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w:t>
            </w:r>
          </w:p>
        </w:tc>
        <w:tc>
          <w:tcPr>
            <w:tcW w:w="10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w:t>
            </w:r>
          </w:p>
        </w:tc>
        <w:tc>
          <w:tcPr>
            <w:tcW w:w="10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voice customers</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9,570</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10,630</w:t>
            </w: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(316)</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(158)</w:t>
            </w: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Wireless</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Wireless lines</w:t>
            </w:r>
          </w:p>
        </w:tc>
        <w:tc>
          <w:tcPr>
            <w:tcW w:w="11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4,948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12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333</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285</w:t>
            </w:r>
          </w:p>
        </w:tc>
        <w:tc>
          <w:tcPr>
            <w:tcW w:w="10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968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Customer metrics are presented based on actual amounts.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in 2021 did not include customers in certain pandemic-related programs through which portions of our customers temporarily received our services for free. These programs ended in December 2021, resulting in a one-time benefit to net additions in the three months ended March 31,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3"/>
          </w:tcPr>
          <w:p>
            <w:pPr>
              <w:jc w:val="right"/>
              <w:ind w:right="637"/>
              <w:spacing w:after="0"/>
              <w:rPr>
                <w:sz w:val="20"/>
                <w:szCs w:val="20"/>
                <w:color w:val="auto"/>
              </w:rPr>
            </w:pPr>
            <w:r>
              <w:rPr>
                <w:rFonts w:ascii="Times New Roman" w:cs="Times New Roman" w:eastAsia="Times New Roman" w:hAnsi="Times New Roman"/>
                <w:sz w:val="14"/>
                <w:szCs w:val="14"/>
                <w:color w:val="auto"/>
              </w:rPr>
              <w:t>Three Months Ended</w:t>
            </w:r>
          </w:p>
        </w:tc>
        <w:tc>
          <w:tcPr>
            <w:tcW w:w="13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color w:val="auto"/>
              </w:rPr>
              <w:t>Increase/(Decrease)</w:t>
            </w:r>
          </w:p>
        </w:tc>
        <w:tc>
          <w:tcPr>
            <w:tcW w:w="340" w:type="dxa"/>
            <w:vAlign w:val="bottom"/>
          </w:tcPr>
          <w:p>
            <w:pPr>
              <w:spacing w:after="0"/>
              <w:rPr>
                <w:sz w:val="13"/>
                <w:szCs w:val="13"/>
                <w:color w:val="auto"/>
              </w:rPr>
            </w:pPr>
          </w:p>
        </w:tc>
        <w:tc>
          <w:tcPr>
            <w:tcW w:w="232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color w:val="auto"/>
              </w:rPr>
              <w:t>Nine Months Ended</w:t>
            </w:r>
          </w:p>
        </w:tc>
        <w:tc>
          <w:tcPr>
            <w:tcW w:w="14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8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2021</w:t>
            </w:r>
          </w:p>
        </w:tc>
        <w:tc>
          <w:tcPr>
            <w:tcW w:w="13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color w:val="auto"/>
              </w:rPr>
              <w:t>2021</w:t>
            </w:r>
          </w:p>
        </w:tc>
        <w:tc>
          <w:tcPr>
            <w:tcW w:w="14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Average monthly total revenue per customer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relationship</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160.38</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158.36</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160.98</w:t>
            </w:r>
          </w:p>
        </w:tc>
        <w:tc>
          <w:tcPr>
            <w:tcW w:w="50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158.55</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Average monthly Adjusted EBITDA per</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customer relationship</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rPr>
              <w:t>72.27</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69.47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71.84</w:t>
            </w:r>
          </w:p>
        </w:tc>
        <w:tc>
          <w:tcPr>
            <w:tcW w:w="5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69.39</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0" w:type="dxa"/>
            <w:vAlign w:val="bottom"/>
          </w:tcPr>
          <w:p>
            <w:pPr>
              <w:spacing w:after="0"/>
              <w:rPr>
                <w:sz w:val="1"/>
                <w:szCs w:val="1"/>
                <w:color w:val="auto"/>
              </w:rPr>
            </w:pPr>
          </w:p>
        </w:tc>
      </w:tr>
      <w:tr>
        <w:trPr>
          <w:trHeight w:val="857"/>
        </w:trPr>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voice and wireless services is also impacted by changes in the allocation of revenue among services sold in a bundle, the allocation does not impact average monthly total revenue per customer relationship. Each of our services has a different contribution to operating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Broadband</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nine months ended September 30, 2022 compared to the same periods in 2021 due to increases in average rates and increases in the number of residential broadband customers.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Video</w:t>
      </w:r>
    </w:p>
    <w:p>
      <w:pPr>
        <w:spacing w:after="0" w:line="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Revenue decreased for the three and nine months ended September 30, 2022 compared to the same periods in 2021 due to declines in the number of residential video customers, partially offset by increases in average rates. We expect that the number of residential video customers will continue to decline, negatively impacting video revenue as a result of the competitive environment and shifting video consumption patterns.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Voice</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decreased for the three and nine months ended September 30, 2022 compared to the same periods in 2021 primarily due to declines in the number of residential voice customers. We expect that the number of residential voice customers and voice revenue will continue to decline.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Wireless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nine months ended September 30, 2022 compared to the same periods in 2021 due to increases in the number of customer lines and device sales.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Services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nine months ended September 30, 2022 compared to the same periods in 2021 due to increases in average rates and customer relationships compared to the prior year periods and due to the acquisition of Masergy in October 2021.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increased for the three and nine months ended September 30, 2022 compared to the same periods in 2021 primarily due to increases in political advertising and revenue from our advanced advertising businesses, partially offset by advertising revenue at our Xumo streaming service, which is a part of our streaming platform joint venture with Charter Communications, having been reported in Corporate and Other since June 2022, and by lower local and national advertising revenue.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Costs and Expenses</w:t>
      </w:r>
    </w:p>
    <w:p>
      <w:pPr>
        <w:spacing w:after="0" w:line="1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Programming expenses decreased for the three and nine months ended September 30, 2022 compared to the same periods in 2021 primarily due to declines in the number of video subscribers, partially offset by contractual rate increases.</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Technical and product support expenses increased for the three and nine months ended September 30, 2022 compared to the same periods in 2021 primarily due to increases in costs associated with our wireless phone service resulting from increases in device sales and the number of customers receiving the service, and the acquisition of Masergy.</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Customer service expenses decreased for the three and nine months ended September 30, 2022 compared to the same periods in 2021 primarily due to lower labor costs.</w:t>
      </w:r>
    </w:p>
    <w:p>
      <w:pPr>
        <w:spacing w:after="0" w:line="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Advertising, marketing and promotion expenses decreased for the three months ended September 30, 2022 compared to the same period in 2021 primarily due to higher advertising expenses associated with the Tokyo Olympics in the prior year period. Advertising, marketing and promotion expenses increased for the nine months ended September 30, 2022 compared to the same period in 2021 primarily due to increased spending associated with attracting new customers and promoting our service offerings.</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Franchise and other regulatory fees decreased for the three and nine months ended September 30, 2022 compared to the same periods in 2021 primarily due to a decrease in the revenue to which the fees apply. The nine months ended September 30, 2022 was also impacted by decreases in the related rates of these fees.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Other operating costs and expenses increased for the three and nine months ended September 30, 2022 compared to the same periods in 2021 primarily due to lower levels of bad debt expense in the prior year periods.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Margin</w:t>
      </w:r>
    </w:p>
    <w:p>
      <w:pPr>
        <w:spacing w:after="0" w:line="10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Our operating margin is Adjusted EBITDA as a percentage of revenue. We believe this metric is useful particularly as we continue to focus on growing our higher-margin businesses and improving overall operating cost management.</w:t>
      </w:r>
    </w:p>
    <w:p>
      <w:pPr>
        <w:spacing w:after="0" w:line="2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Our operating margin for the three and nine months ended September 30, 2022 was 45.1% and 44.6%, respectively. Our operating margin for the three and nine months ended September 30, 2021 was 43.9% and 43.8%,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Segments Results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color w:val="auto"/>
              </w:rPr>
              <w:t>Nine Months Ended</w:t>
            </w:r>
          </w:p>
        </w:tc>
        <w:tc>
          <w:tcPr>
            <w:tcW w:w="126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(Decrease)</w:t>
            </w:r>
          </w:p>
        </w:tc>
      </w:tr>
      <w:tr>
        <w:trPr>
          <w:trHeight w:val="19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Media</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5,230</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6,770</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17,427</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16,955</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3,163</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2,407</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31.4</w:t>
            </w:r>
          </w:p>
        </w:tc>
        <w:tc>
          <w:tcPr>
            <w:tcW w:w="3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8,885</w:t>
            </w:r>
          </w:p>
        </w:tc>
        <w:tc>
          <w:tcPr>
            <w:tcW w:w="4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7,027</w:t>
            </w: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26.4</w:t>
            </w: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Theme Parks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2,064</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1,449</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42.4</w:t>
            </w:r>
          </w:p>
        </w:tc>
        <w:tc>
          <w:tcPr>
            <w:tcW w:w="3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5,428</w:t>
            </w:r>
          </w:p>
        </w:tc>
        <w:tc>
          <w:tcPr>
            <w:tcW w:w="4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3,163</w:t>
            </w: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71.6</w:t>
            </w: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Headquarters and Other</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w:t>
            </w:r>
          </w:p>
        </w:tc>
        <w:tc>
          <w:tcPr>
            <w:tcW w:w="128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(22.1)</w:t>
            </w:r>
          </w:p>
        </w:tc>
        <w:tc>
          <w:tcPr>
            <w:tcW w:w="3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46</w:t>
            </w:r>
          </w:p>
        </w:tc>
        <w:tc>
          <w:tcPr>
            <w:tcW w:w="4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65</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(30.1)</w:t>
            </w:r>
          </w:p>
        </w:tc>
      </w:tr>
      <w:tr>
        <w:trPr>
          <w:trHeight w:val="228"/>
        </w:trPr>
        <w:tc>
          <w:tcPr>
            <w:tcW w:w="3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(654)</w:t>
            </w: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(38.9)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(2,474)</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(2,230)</w:t>
            </w:r>
          </w:p>
        </w:tc>
        <w:tc>
          <w:tcPr>
            <w:tcW w:w="1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(10.9)</w:t>
            </w:r>
          </w:p>
        </w:tc>
      </w:tr>
      <w:tr>
        <w:trPr>
          <w:trHeight w:val="22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9,570</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10,001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29,311</w:t>
            </w:r>
          </w:p>
        </w:tc>
        <w:tc>
          <w:tcPr>
            <w:tcW w:w="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24,981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17.3 %</w:t>
            </w: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Media</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583</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997</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3,080</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3,847</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 %</w:t>
            </w: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537</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179</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199.6</w:t>
            </w:r>
          </w:p>
        </w:tc>
        <w:tc>
          <w:tcPr>
            <w:tcW w:w="3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783</w:t>
            </w:r>
          </w:p>
        </w:tc>
        <w:tc>
          <w:tcPr>
            <w:tcW w:w="4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833</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(6.0)</w:t>
            </w: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Theme Parks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819</w:t>
            </w:r>
          </w:p>
        </w:tc>
        <w:tc>
          <w:tcPr>
            <w:tcW w:w="460" w:type="dxa"/>
            <w:vAlign w:val="bottom"/>
          </w:tcPr>
          <w:p>
            <w:pPr>
              <w:spacing w:after="0"/>
              <w:rPr>
                <w:sz w:val="19"/>
                <w:szCs w:val="19"/>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434</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88.6</w:t>
            </w:r>
          </w:p>
        </w:tc>
        <w:tc>
          <w:tcPr>
            <w:tcW w:w="34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1,902</w:t>
            </w:r>
          </w:p>
        </w:tc>
        <w:tc>
          <w:tcPr>
            <w:tcW w:w="480" w:type="dxa"/>
            <w:vAlign w:val="bottom"/>
          </w:tcPr>
          <w:p>
            <w:pPr>
              <w:spacing w:after="0"/>
              <w:rPr>
                <w:sz w:val="19"/>
                <w:szCs w:val="19"/>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593</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NM</w:t>
            </w:r>
          </w:p>
        </w:tc>
      </w:tr>
      <w:tr>
        <w:trPr>
          <w:trHeight w:val="223"/>
        </w:trPr>
        <w:tc>
          <w:tcPr>
            <w:tcW w:w="31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Headquarters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460" w:type="dxa"/>
            <w:vAlign w:val="bottom"/>
          </w:tcPr>
          <w:p>
            <w:pPr>
              <w:spacing w:after="0"/>
              <w:rPr>
                <w:sz w:val="19"/>
                <w:szCs w:val="19"/>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(248)</w:t>
            </w:r>
          </w:p>
        </w:tc>
        <w:tc>
          <w:tcPr>
            <w:tcW w:w="12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19.8</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480" w:type="dxa"/>
            <w:vAlign w:val="bottom"/>
          </w:tcPr>
          <w:p>
            <w:pPr>
              <w:spacing w:after="0"/>
              <w:rPr>
                <w:sz w:val="19"/>
                <w:szCs w:val="19"/>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(643)</w:t>
            </w:r>
          </w:p>
        </w:tc>
        <w:tc>
          <w:tcPr>
            <w:tcW w:w="126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18.0</w:t>
            </w:r>
          </w:p>
        </w:tc>
      </w:tr>
      <w:tr>
        <w:trPr>
          <w:trHeight w:val="228"/>
        </w:trPr>
        <w:tc>
          <w:tcPr>
            <w:tcW w:w="3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(12)</w:t>
            </w:r>
          </w:p>
        </w:tc>
        <w:tc>
          <w:tcPr>
            <w:tcW w:w="12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(238)</w:t>
            </w: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rPr>
              <w:t>58.6</w:t>
            </w:r>
          </w:p>
        </w:tc>
      </w:tr>
      <w:tr>
        <w:trPr>
          <w:trHeight w:val="22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1,681</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1,349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24.6 %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5,138</w:t>
            </w:r>
          </w:p>
        </w:tc>
        <w:tc>
          <w:tcPr>
            <w:tcW w:w="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4,392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17.0 %</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 Segment Results of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tcPr>
          <w:p>
            <w:pPr>
              <w:jc w:val="center"/>
              <w:ind w:right="157"/>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color w:val="auto"/>
              </w:rPr>
              <w:t>Nine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00" w:type="dxa"/>
            <w:vAlign w:val="bottom"/>
          </w:tcPr>
          <w:p>
            <w:pPr>
              <w:spacing w:after="0"/>
              <w:rPr>
                <w:sz w:val="13"/>
                <w:szCs w:val="13"/>
                <w:color w:val="auto"/>
              </w:rPr>
            </w:pPr>
          </w:p>
        </w:tc>
      </w:tr>
      <w:tr>
        <w:trPr>
          <w:trHeight w:val="190"/>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w w:val="98"/>
              </w:rPr>
              <w:t>(Decrease)</w:t>
            </w:r>
          </w:p>
        </w:tc>
        <w:tc>
          <w:tcPr>
            <w:tcW w:w="20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2,111</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3,255</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7,603</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7,537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Distribution</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2,578</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2,987</w:t>
            </w:r>
          </w:p>
        </w:tc>
        <w:tc>
          <w:tcPr>
            <w:tcW w:w="12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(13.7)</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8,270</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7,934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541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528</w:t>
            </w:r>
          </w:p>
        </w:tc>
        <w:tc>
          <w:tcPr>
            <w:tcW w:w="12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1,554</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1,483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Borders>
              <w:bottom w:val="single" w:sz="8" w:color="auto"/>
            </w:tcBorders>
          </w:tcPr>
          <w:p>
            <w:pPr>
              <w:spacing w:after="0"/>
              <w:rPr>
                <w:sz w:val="19"/>
                <w:szCs w:val="19"/>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5,230</w:t>
            </w:r>
          </w:p>
        </w:tc>
        <w:tc>
          <w:tcPr>
            <w:tcW w:w="480" w:type="dxa"/>
            <w:vAlign w:val="bottom"/>
          </w:tcPr>
          <w:p>
            <w:pPr>
              <w:spacing w:after="0"/>
              <w:rPr>
                <w:sz w:val="18"/>
                <w:szCs w:val="18"/>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6,770</w:t>
            </w:r>
          </w:p>
        </w:tc>
        <w:tc>
          <w:tcPr>
            <w:tcW w:w="126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(22.7)</w:t>
            </w: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17,427</w:t>
            </w:r>
          </w:p>
        </w:tc>
        <w:tc>
          <w:tcPr>
            <w:tcW w:w="4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16,955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w:t>
            </w:r>
          </w:p>
        </w:tc>
        <w:tc>
          <w:tcPr>
            <w:tcW w:w="200" w:type="dxa"/>
            <w:vAlign w:val="bottom"/>
          </w:tcPr>
          <w:p>
            <w:pPr>
              <w:spacing w:after="0"/>
              <w:rPr>
                <w:sz w:val="18"/>
                <w:szCs w:val="18"/>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3,240</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4,475</w:t>
            </w:r>
          </w:p>
        </w:tc>
        <w:tc>
          <w:tcPr>
            <w:tcW w:w="12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(27.6)</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10,322</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9,676</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1,042</w:t>
            </w:r>
          </w:p>
        </w:tc>
        <w:tc>
          <w:tcPr>
            <w:tcW w:w="48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917</w:t>
            </w: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13.7</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2,943</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2,590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365</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382</w:t>
            </w:r>
          </w:p>
        </w:tc>
        <w:tc>
          <w:tcPr>
            <w:tcW w:w="12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1,082</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842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20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4,647</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5,774</w:t>
            </w:r>
          </w:p>
        </w:tc>
        <w:tc>
          <w:tcPr>
            <w:tcW w:w="12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(19.5)</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14,347</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13,107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20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583</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997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(41.5)%</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3,080</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3,847</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(20.0)%</w:t>
            </w:r>
          </w:p>
        </w:tc>
      </w:tr>
      <w:tr>
        <w:trPr>
          <w:trHeight w:val="759"/>
        </w:trPr>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3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Revenue</w:t>
      </w:r>
    </w:p>
    <w:p>
      <w:pPr>
        <w:spacing w:after="0" w:line="1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Revenue decreased for the three months ended September 30, 2022 compared to the same period in 2021 primarily due to our broadcast of the Tokyo Olympics in the third quarter of 2021. Revenue increased for the nine months ended September 30, 2022 compared to the same period in 2021 primarily due to our broadcasts of the Beijing Olympics and Super Bowl in the first quarter of 2022 and increased revenue at Peacock, partially offset by our broadcast of the Tokyo Olympics in 2021. Excluding $1.5 billion and $1.8 billion of incremental revenue associated with the broadcasts of the Beijing Olympics and Super Bowl in the first quarter of 2022 and the Tokyo Olympics in the third quarter of 2021, respectively, Media revenue increased 4.4% and 4.9% for the three and nine months ended September 30, 2022 compared to the same periods in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Three Months Ended</w:t>
            </w:r>
          </w:p>
        </w:tc>
        <w:tc>
          <w:tcPr>
            <w:tcW w:w="1420" w:type="dxa"/>
            <w:vAlign w:val="bottom"/>
          </w:tcPr>
          <w:p>
            <w:pPr>
              <w:jc w:val="center"/>
              <w:ind w:right="283"/>
              <w:spacing w:after="0"/>
              <w:rPr>
                <w:sz w:val="20"/>
                <w:szCs w:val="20"/>
                <w:color w:val="auto"/>
              </w:rPr>
            </w:pPr>
            <w:r>
              <w:rPr>
                <w:rFonts w:ascii="Times New Roman" w:cs="Times New Roman" w:eastAsia="Times New Roman" w:hAnsi="Times New Roman"/>
                <w:sz w:val="14"/>
                <w:szCs w:val="14"/>
                <w:color w:val="auto"/>
                <w:w w:val="98"/>
              </w:rPr>
              <w:t>Increase/</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Nine Months Ended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Increase/(Decrease)</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79"/>
              <w:spacing w:after="0"/>
              <w:rPr>
                <w:sz w:val="20"/>
                <w:szCs w:val="20"/>
                <w:color w:val="auto"/>
              </w:rPr>
            </w:pPr>
            <w:r>
              <w:rPr>
                <w:rFonts w:ascii="Times New Roman" w:cs="Times New Roman" w:eastAsia="Times New Roman" w:hAnsi="Times New Roman"/>
                <w:sz w:val="14"/>
                <w:szCs w:val="14"/>
                <w:color w:val="auto"/>
              </w:rPr>
              <w:t>September 30,</w:t>
            </w:r>
          </w:p>
        </w:tc>
        <w:tc>
          <w:tcPr>
            <w:tcW w:w="142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4"/>
                <w:szCs w:val="14"/>
                <w:color w:val="auto"/>
                <w:w w:val="98"/>
              </w:rPr>
              <w:t>(Decrease)</w:t>
            </w:r>
          </w:p>
        </w:tc>
        <w:tc>
          <w:tcPr>
            <w:tcW w:w="158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4"/>
                <w:szCs w:val="14"/>
                <w:color w:val="auto"/>
              </w:rPr>
              <w:t>September 30,</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2021</w:t>
            </w:r>
          </w:p>
        </w:tc>
        <w:tc>
          <w:tcPr>
            <w:tcW w:w="142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color w:val="auto"/>
              </w:rPr>
              <w:t>2021</w:t>
            </w:r>
          </w:p>
        </w:tc>
        <w:tc>
          <w:tcPr>
            <w:tcW w:w="13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2,111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rPr>
              <w:t>3,255</w:t>
            </w: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 xml:space="preserve">(35.1)%  </w:t>
            </w:r>
            <w:r>
              <w:rPr>
                <w:rFonts w:ascii="Times New Roman" w:cs="Times New Roman" w:eastAsia="Times New Roman" w:hAnsi="Times New Roman"/>
                <w:sz w:val="17"/>
                <w:szCs w:val="17"/>
                <w:b w:val="1"/>
                <w:bCs w:val="1"/>
                <w:color w:val="auto"/>
              </w:rPr>
              <w:t>$</w:t>
            </w:r>
          </w:p>
        </w:tc>
        <w:tc>
          <w:tcPr>
            <w:tcW w:w="86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7,603 $</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7,537</w:t>
            </w:r>
          </w:p>
        </w:tc>
        <w:tc>
          <w:tcPr>
            <w:tcW w:w="13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32"/>
        </w:trPr>
        <w:tc>
          <w:tcPr>
            <w:tcW w:w="4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Advertising, excluding Olympics and Super Bowl</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b w:val="1"/>
                <w:bCs w:val="1"/>
                <w:i w:val="1"/>
                <w:iCs w:val="1"/>
                <w:color w:val="auto"/>
              </w:rPr>
              <w:t>2,111</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b w:val="1"/>
                <w:bCs w:val="1"/>
                <w:i w:val="1"/>
                <w:iCs w:val="1"/>
                <w:color w:val="auto"/>
              </w:rPr>
              <w:t>2,017</w:t>
            </w:r>
          </w:p>
        </w:tc>
        <w:tc>
          <w:tcPr>
            <w:tcW w:w="14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7"/>
                <w:szCs w:val="17"/>
                <w:i w:val="1"/>
                <w:iCs w:val="1"/>
                <w:color w:val="auto"/>
              </w:rPr>
              <w:t>4.7</w:t>
            </w:r>
          </w:p>
        </w:tc>
        <w:tc>
          <w:tcPr>
            <w:tcW w:w="8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6,449</w:t>
            </w: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b w:val="1"/>
                <w:bCs w:val="1"/>
                <w:i w:val="1"/>
                <w:iCs w:val="1"/>
                <w:color w:val="auto"/>
              </w:rPr>
              <w:t>6,300</w:t>
            </w:r>
          </w:p>
        </w:tc>
        <w:tc>
          <w:tcPr>
            <w:tcW w:w="13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i w:val="1"/>
                <w:iCs w:val="1"/>
                <w:color w:val="auto"/>
              </w:rPr>
              <w:t>2.4</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Advertising revenue decreased for the three months ended September 30, 2022 compared to the same period in 2021 primarily due to our broadcast of the Tokyo Olympics in the prior year period. Advertising revenue increased for the nine months ended September 30, 2022 compared to the same period in 2021 and included our broadcasts of the Beijing Olympics and Super Bowl in the current year period, offset by our broadcast of the Tokyo Olympics in the prior year period. Excluding $1.2 billion of incremental revenue associated with our broadcasts of these events in the first quarter of 2022 and third quarter of 2021, advertising revenue increased for the three and nine months ended September 30, 2022 compared to the same periods in 2021, primarily due to increased revenue at Peacock, partially offset by decreases in revenue at our networks. The decreases at our networks were primarily due to continued audience ratings declines and the impact of additional sporting events in the prior year period, partially offset by higher pricing in the current year period.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3"/>
          </w:tcPr>
          <w:p>
            <w:pPr>
              <w:jc w:val="center"/>
              <w:ind w:right="339"/>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1500" w:type="dxa"/>
            <w:vAlign w:val="bottom"/>
          </w:tcPr>
          <w:p>
            <w:pPr>
              <w:jc w:val="center"/>
              <w:ind w:right="343"/>
              <w:spacing w:after="0"/>
              <w:rPr>
                <w:sz w:val="20"/>
                <w:szCs w:val="20"/>
                <w:color w:val="auto"/>
              </w:rPr>
            </w:pPr>
            <w:r>
              <w:rPr>
                <w:rFonts w:ascii="Times New Roman" w:cs="Times New Roman" w:eastAsia="Times New Roman" w:hAnsi="Times New Roman"/>
                <w:sz w:val="14"/>
                <w:szCs w:val="14"/>
                <w:color w:val="auto"/>
              </w:rPr>
              <w:t>Increase/</w:t>
            </w:r>
          </w:p>
        </w:tc>
        <w:tc>
          <w:tcPr>
            <w:tcW w:w="1960" w:type="dxa"/>
            <w:vAlign w:val="bottom"/>
            <w:gridSpan w:val="2"/>
          </w:tcPr>
          <w:p>
            <w:pPr>
              <w:jc w:val="right"/>
              <w:ind w:right="499"/>
              <w:spacing w:after="0"/>
              <w:rPr>
                <w:sz w:val="20"/>
                <w:szCs w:val="20"/>
                <w:color w:val="auto"/>
              </w:rPr>
            </w:pPr>
            <w:r>
              <w:rPr>
                <w:rFonts w:ascii="Times New Roman" w:cs="Times New Roman" w:eastAsia="Times New Roman" w:hAnsi="Times New Roman"/>
                <w:sz w:val="14"/>
                <w:szCs w:val="14"/>
                <w:color w:val="auto"/>
              </w:rPr>
              <w:t>Nine Months Ended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383"/>
              <w:spacing w:after="0"/>
              <w:rPr>
                <w:sz w:val="20"/>
                <w:szCs w:val="20"/>
                <w:color w:val="auto"/>
              </w:rPr>
            </w:pPr>
            <w:r>
              <w:rPr>
                <w:rFonts w:ascii="Times New Roman" w:cs="Times New Roman" w:eastAsia="Times New Roman" w:hAnsi="Times New Roman"/>
                <w:sz w:val="14"/>
                <w:szCs w:val="14"/>
                <w:color w:val="auto"/>
                <w:w w:val="98"/>
              </w:rPr>
              <w:t>September 30,</w:t>
            </w: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343"/>
              <w:spacing w:after="0"/>
              <w:rPr>
                <w:sz w:val="20"/>
                <w:szCs w:val="20"/>
                <w:color w:val="auto"/>
              </w:rPr>
            </w:pPr>
            <w:r>
              <w:rPr>
                <w:rFonts w:ascii="Times New Roman" w:cs="Times New Roman" w:eastAsia="Times New Roman" w:hAnsi="Times New Roman"/>
                <w:sz w:val="14"/>
                <w:szCs w:val="14"/>
                <w:color w:val="auto"/>
                <w:w w:val="98"/>
              </w:rPr>
              <w:t>(Decrease)</w:t>
            </w:r>
          </w:p>
        </w:tc>
        <w:tc>
          <w:tcPr>
            <w:tcW w:w="1960" w:type="dxa"/>
            <w:vAlign w:val="bottom"/>
            <w:tcBorders>
              <w:bottom w:val="single" w:sz="8" w:color="auto"/>
            </w:tcBorders>
            <w:gridSpan w:val="2"/>
          </w:tcPr>
          <w:p>
            <w:pPr>
              <w:jc w:val="right"/>
              <w:ind w:right="659"/>
              <w:spacing w:after="0"/>
              <w:rPr>
                <w:sz w:val="20"/>
                <w:szCs w:val="20"/>
                <w:color w:val="auto"/>
              </w:rPr>
            </w:pPr>
            <w:r>
              <w:rPr>
                <w:rFonts w:ascii="Times New Roman" w:cs="Times New Roman" w:eastAsia="Times New Roman" w:hAnsi="Times New Roman"/>
                <w:sz w:val="14"/>
                <w:szCs w:val="14"/>
                <w:color w:val="auto"/>
              </w:rPr>
              <w:t>September 30,</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Pr>
          <w:p>
            <w:pPr>
              <w:spacing w:after="0"/>
              <w:rPr>
                <w:sz w:val="17"/>
                <w:szCs w:val="17"/>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17"/>
                <w:szCs w:val="17"/>
                <w:color w:val="auto"/>
              </w:rPr>
            </w:pPr>
          </w:p>
        </w:tc>
        <w:tc>
          <w:tcPr>
            <w:tcW w:w="860" w:type="dxa"/>
            <w:vAlign w:val="bottom"/>
          </w:tcPr>
          <w:p>
            <w:pPr>
              <w:jc w:val="right"/>
              <w:ind w:right="479"/>
              <w:spacing w:after="0"/>
              <w:rPr>
                <w:sz w:val="20"/>
                <w:szCs w:val="20"/>
                <w:color w:val="auto"/>
              </w:rPr>
            </w:pPr>
            <w:r>
              <w:rPr>
                <w:rFonts w:ascii="Times New Roman" w:cs="Times New Roman" w:eastAsia="Times New Roman" w:hAnsi="Times New Roman"/>
                <w:sz w:val="14"/>
                <w:szCs w:val="14"/>
                <w:color w:val="auto"/>
                <w:w w:val="99"/>
              </w:rPr>
              <w:t>2021</w:t>
            </w:r>
          </w:p>
        </w:tc>
        <w:tc>
          <w:tcPr>
            <w:tcW w:w="1500" w:type="dxa"/>
            <w:vAlign w:val="bottom"/>
          </w:tcPr>
          <w:p>
            <w:pPr>
              <w:jc w:val="center"/>
              <w:ind w:right="343"/>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65"/>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4"/>
                <w:szCs w:val="14"/>
                <w:color w:val="auto"/>
              </w:rPr>
              <w:t>2021</w:t>
            </w:r>
          </w:p>
        </w:tc>
        <w:tc>
          <w:tcPr>
            <w:tcW w:w="1340" w:type="dxa"/>
            <w:vAlign w:val="bottom"/>
          </w:tcPr>
          <w:p>
            <w:pPr>
              <w:jc w:val="right"/>
              <w:ind w:right="52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Distribution</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7"/>
                <w:szCs w:val="17"/>
                <w:b w:val="1"/>
                <w:bCs w:val="1"/>
                <w:color w:val="auto"/>
              </w:rPr>
              <w:t>2,578</w:t>
            </w:r>
          </w:p>
        </w:tc>
        <w:tc>
          <w:tcPr>
            <w:tcW w:w="46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7"/>
                <w:szCs w:val="17"/>
                <w:b w:val="1"/>
                <w:bCs w:val="1"/>
                <w:color w:val="auto"/>
              </w:rPr>
              <w:t>2,987</w:t>
            </w:r>
          </w:p>
        </w:tc>
        <w:tc>
          <w:tcPr>
            <w:tcW w:w="1500" w:type="dxa"/>
            <w:vAlign w:val="bottom"/>
          </w:tcPr>
          <w:p>
            <w:pPr>
              <w:jc w:val="right"/>
              <w:ind w:right="63"/>
              <w:spacing w:after="0"/>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w:t>
            </w:r>
          </w:p>
        </w:tc>
        <w:tc>
          <w:tcPr>
            <w:tcW w:w="1060" w:type="dxa"/>
            <w:vAlign w:val="bottom"/>
          </w:tcPr>
          <w:p>
            <w:pPr>
              <w:jc w:val="right"/>
              <w:ind w:right="65"/>
              <w:spacing w:after="0"/>
              <w:rPr>
                <w:sz w:val="20"/>
                <w:szCs w:val="20"/>
                <w:color w:val="auto"/>
              </w:rPr>
            </w:pPr>
            <w:r>
              <w:rPr>
                <w:rFonts w:ascii="Times New Roman" w:cs="Times New Roman" w:eastAsia="Times New Roman" w:hAnsi="Times New Roman"/>
                <w:sz w:val="17"/>
                <w:szCs w:val="17"/>
                <w:b w:val="1"/>
                <w:bCs w:val="1"/>
                <w:color w:val="auto"/>
              </w:rPr>
              <w:t>8,270 $</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7,934</w:t>
            </w:r>
          </w:p>
        </w:tc>
        <w:tc>
          <w:tcPr>
            <w:tcW w:w="134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32"/>
        </w:trPr>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Distribution, excluding Olympics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b w:val="1"/>
                <w:bCs w:val="1"/>
                <w:i w:val="1"/>
                <w:iCs w:val="1"/>
                <w:color w:val="auto"/>
              </w:rPr>
              <w:t>2,578</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b w:val="1"/>
                <w:bCs w:val="1"/>
                <w:i w:val="1"/>
                <w:iCs w:val="1"/>
                <w:color w:val="auto"/>
              </w:rPr>
              <w:t>2,465</w:t>
            </w:r>
          </w:p>
        </w:tc>
        <w:tc>
          <w:tcPr>
            <w:tcW w:w="15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7"/>
                <w:szCs w:val="17"/>
                <w:i w:val="1"/>
                <w:iCs w:val="1"/>
                <w:color w:val="auto"/>
              </w:rPr>
              <w:t>4.6</w:t>
            </w:r>
          </w:p>
        </w:tc>
        <w:tc>
          <w:tcPr>
            <w:tcW w:w="10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rPr>
              <w:t>7,943</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i w:val="1"/>
                <w:iCs w:val="1"/>
                <w:color w:val="auto"/>
              </w:rPr>
              <w:t>7,413</w:t>
            </w:r>
          </w:p>
        </w:tc>
        <w:tc>
          <w:tcPr>
            <w:tcW w:w="13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7"/>
                <w:szCs w:val="17"/>
                <w:i w:val="1"/>
                <w:iCs w:val="1"/>
                <w:color w:val="auto"/>
              </w:rPr>
              <w:t>7.1</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Distribution revenue decreased for the three months ended September 30, 2022 compared to the same period in 2021 primarily due to our broadcast of the Tokyo Olympics in the prior year period. Distribution revenue increased for the nine months ended September 30, 2022 compared to the same period in 2021 and included our broadcast of the Beijing Olympics in the current year period, offset by our broadcast of the Tokyo Olympics in the prior year period. Excluding $327 million and $522 million of incremental revenue associated with our broadcasts of the Beijing and Tokyo Olympics in the first quarter of 2022 and third quarter of 2021, respectively, distribution revenue increased for the three and nine months ended September 30, 2022 primarily due to increased revenue at Peacock. Revenue at our networks decreased for the three months ended September 30, 2022 compared to the same period in 2021 due to a decline in the number of subscribers, partially offset by contractual rate increases. Revenue at our networks increased for the nine months ended September 30, 2022 compared to the same period in 2021 due to contractual rate increases, partially offset by a decline in the number of subscribers.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expect the number of subscribers and audience ratings at our networks will continue to decline as a result of the competitive environment and shifting video consumption patterns. Revenue included $506 million and $1.4 billion related to Peacock for the three and nine months ended September 30, 2022, respectively, with the nine months including amounts related to the Beijing Olympics and Super Bowl in the first quarter of 2022. Revenue included $230 million and $443 million related to Peacock for the three and nine months ended September 30, 2021,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Operating Costs and Expenses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Operating costs and expenses decreased for the three months ended September 30, 2022 compared to the same period in 2021 due to decreases in programming and production costs and in advertising, marketing and promotion costs, partially offset by increases in other operating and administrative costs. The decreases in programming and production costs and in advertising, marketing and promotion costs were primarily due to costs associated with our broadcast of the Tokyo Olympics in the prior year period, with the decrease in programming and production costs partially offset by higher costs related to Peacock. Other operating and administrative costs increased primarily due to higher costs related to Peacock.</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Operating costs and expenses increased for the nine months ended September 30, 2022 compared to the same period in 2021 due to increases in programming and production costs; in other operating and administrative costs; and in advertising, marketing and promotion costs. Programming and production costs increased primarily due to costs associated with our broadcasts of the Beijing Olympics and Super Bowl and higher programming costs at Peacock, partially offset by costs associated with our broadcast of the Tokyo Olympics in the prior year period and lower costs for other sports programming in the current year. Advertising, marketing and promotion costs and other operating and administrative costs increased primarily due to higher costs related to Peacock.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costs and expenses included $1.1 billion and $3.0 billion related to Peacock for the three and nine months ended September 30, 2022, respectively.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costs and expenses included $750 million and $1.6 billion related to Peacock for the three and nine months ended September 30, 2021, respectively.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continue to incur significant costs related to additional content and marketing as we invest in the platform and attract new customers.</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Studios Segment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color w:val="auto"/>
              </w:rPr>
              <w:t>Three Months Ended</w:t>
            </w:r>
          </w:p>
        </w:tc>
        <w:tc>
          <w:tcPr>
            <w:tcW w:w="1060" w:type="dxa"/>
            <w:vAlign w:val="bottom"/>
          </w:tcPr>
          <w:p>
            <w:pPr>
              <w:jc w:val="center"/>
              <w:ind w:left="37"/>
              <w:spacing w:after="0"/>
              <w:rPr>
                <w:sz w:val="20"/>
                <w:szCs w:val="20"/>
                <w:color w:val="auto"/>
              </w:rPr>
            </w:pPr>
            <w:r>
              <w:rPr>
                <w:rFonts w:ascii="Times New Roman" w:cs="Times New Roman" w:eastAsia="Times New Roman" w:hAnsi="Times New Roman"/>
                <w:sz w:val="14"/>
                <w:szCs w:val="14"/>
                <w:color w:val="auto"/>
                <w:w w:val="98"/>
              </w:rPr>
              <w:t>Increase/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gridSpan w:val="3"/>
          </w:tcPr>
          <w:p>
            <w:pPr>
              <w:jc w:val="right"/>
              <w:ind w:right="834"/>
              <w:spacing w:after="0"/>
              <w:rPr>
                <w:sz w:val="20"/>
                <w:szCs w:val="20"/>
                <w:color w:val="auto"/>
              </w:rPr>
            </w:pPr>
            <w:r>
              <w:rPr>
                <w:rFonts w:ascii="Times New Roman" w:cs="Times New Roman" w:eastAsia="Times New Roman" w:hAnsi="Times New Roman"/>
                <w:sz w:val="14"/>
                <w:szCs w:val="14"/>
                <w:color w:val="auto"/>
              </w:rPr>
              <w:t>Nine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0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w w:val="98"/>
              </w:rPr>
              <w:t>(Decrease)</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w w:val="98"/>
              </w:rPr>
              <w:t>(Decrease)</w:t>
            </w:r>
          </w:p>
        </w:tc>
        <w:tc>
          <w:tcPr>
            <w:tcW w:w="20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Content licensing</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2,134</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1,827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6,531</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5,683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Theatrical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307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1,391</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544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Home entertainment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273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963</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801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200" w:type="dxa"/>
            <w:vAlign w:val="bottom"/>
            <w:tcBorders>
              <w:bottom w:val="single" w:sz="8" w:color="auto"/>
            </w:tcBorders>
          </w:tcPr>
          <w:p>
            <w:pPr>
              <w:spacing w:after="0"/>
              <w:rPr>
                <w:sz w:val="19"/>
                <w:szCs w:val="19"/>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3,163</w:t>
            </w:r>
          </w:p>
        </w:tc>
        <w:tc>
          <w:tcPr>
            <w:tcW w:w="480" w:type="dxa"/>
            <w:vAlign w:val="bottom"/>
          </w:tcPr>
          <w:p>
            <w:pPr>
              <w:spacing w:after="0"/>
              <w:rPr>
                <w:sz w:val="18"/>
                <w:szCs w:val="18"/>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2,407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31.4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8,885</w:t>
            </w:r>
          </w:p>
        </w:tc>
        <w:tc>
          <w:tcPr>
            <w:tcW w:w="48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7,027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26.4</w:t>
            </w:r>
          </w:p>
        </w:tc>
        <w:tc>
          <w:tcPr>
            <w:tcW w:w="200" w:type="dxa"/>
            <w:vAlign w:val="bottom"/>
          </w:tcPr>
          <w:p>
            <w:pPr>
              <w:spacing w:after="0"/>
              <w:rPr>
                <w:sz w:val="18"/>
                <w:szCs w:val="18"/>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1,744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6,252</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4,961</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480" w:type="dxa"/>
            <w:vAlign w:val="bottom"/>
          </w:tcPr>
          <w:p>
            <w:pPr>
              <w:spacing w:after="0"/>
              <w:rPr>
                <w:sz w:val="19"/>
                <w:szCs w:val="19"/>
                <w:color w:val="auto"/>
              </w:rPr>
            </w:pPr>
          </w:p>
        </w:tc>
        <w:tc>
          <w:tcPr>
            <w:tcW w:w="10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146</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604</w:t>
            </w:r>
          </w:p>
        </w:tc>
        <w:tc>
          <w:tcPr>
            <w:tcW w:w="480" w:type="dxa"/>
            <w:vAlign w:val="bottom"/>
          </w:tcPr>
          <w:p>
            <w:pPr>
              <w:spacing w:after="0"/>
              <w:rPr>
                <w:sz w:val="19"/>
                <w:szCs w:val="19"/>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475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339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1,247</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759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20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2,228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8,102</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6,195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20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537</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179</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199.6 %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783</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833</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Revenue</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Revenue increased for the three and nine months ended September 30, 2022 compared to the same periods in 2021 due to increases in theatrical and content licensing revenue. Theatrical revenue increased primarily due to the strong performances of releases in our 2022 slate, including </w:t>
      </w:r>
      <w:r>
        <w:rPr>
          <w:rFonts w:ascii="Times New Roman" w:cs="Times New Roman" w:eastAsia="Times New Roman" w:hAnsi="Times New Roman"/>
          <w:sz w:val="17"/>
          <w:szCs w:val="17"/>
          <w:i w:val="1"/>
          <w:iCs w:val="1"/>
          <w:color w:val="auto"/>
        </w:rPr>
        <w:t>Jurassic World: Dominion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Minions: The Rise of Gru</w:t>
      </w:r>
      <w:r>
        <w:rPr>
          <w:rFonts w:ascii="Times New Roman" w:cs="Times New Roman" w:eastAsia="Times New Roman" w:hAnsi="Times New Roman"/>
          <w:sz w:val="17"/>
          <w:szCs w:val="17"/>
          <w:color w:val="auto"/>
        </w:rPr>
        <w:t>. Content licensing revenue increased primarily due to the timing of when content was made available by our television and film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studios under licensing agreements, including additional sales of content as production levels returned to normal. For the nine months ended September 30, 2022, this increase was partially offset by the impact of a new licensing agreement for content that became exclusively available for streaming on Peacock in the prior year period.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Operating Costs and Expenses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costs and expenses increased for the three and nine months ended September 30, 2022 compared to the same periods in 2021 primarily due to increases in programming and production costs and in advertising, marketing and promotion costs. Programming and production costs increased primarily due to higher costs associated with content licensing sales and theatrical releases in the current year periods. Advertising, marketing and promotion costs increased due to higher spending on current period and upcoming theatrical releases.</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Theme Parks Segment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3"/>
          </w:tcPr>
          <w:p>
            <w:pPr>
              <w:jc w:val="right"/>
              <w:ind w:right="797"/>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Nine Months Ended</w:t>
            </w:r>
          </w:p>
        </w:tc>
        <w:tc>
          <w:tcPr>
            <w:tcW w:w="1260" w:type="dxa"/>
            <w:vAlign w:val="bottom"/>
          </w:tcPr>
          <w:p>
            <w:pPr>
              <w:jc w:val="center"/>
              <w:ind w:right="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w w:val="98"/>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2,064</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1,449</w:t>
            </w:r>
          </w:p>
        </w:tc>
        <w:tc>
          <w:tcPr>
            <w:tcW w:w="13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42.4 %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5,428</w:t>
            </w:r>
          </w:p>
        </w:tc>
        <w:tc>
          <w:tcPr>
            <w:tcW w:w="4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3,163</w:t>
            </w:r>
          </w:p>
        </w:tc>
        <w:tc>
          <w:tcPr>
            <w:tcW w:w="12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71.6 %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1,244</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1,015</w:t>
            </w:r>
          </w:p>
        </w:tc>
        <w:tc>
          <w:tcPr>
            <w:tcW w:w="1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22.6</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3,526</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2,570</w:t>
            </w: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37.2</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819</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434</w:t>
            </w:r>
          </w:p>
        </w:tc>
        <w:tc>
          <w:tcPr>
            <w:tcW w:w="1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b w:val="1"/>
                <w:bCs w:val="1"/>
                <w:color w:val="auto"/>
              </w:rPr>
              <w:t>88.6 %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1,902</w:t>
            </w:r>
          </w:p>
        </w:tc>
        <w:tc>
          <w:tcPr>
            <w:tcW w:w="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593</w:t>
            </w: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b w:val="1"/>
                <w:bCs w:val="1"/>
                <w:color w:val="auto"/>
              </w:rPr>
              <w:t>NM</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Revenue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increased for the three months ended September 30, 2022 due to increases at our theme parks in Orlando and Hollywood driven by increased attendance and guest spending, an increase at our theme park in Japan, which was operating with capacity restrictions in the prior year period, and an increase from the operations of Universal Beijing Resort, which opened in September 2021. Results at our international theme parks have been negatively impacted by fluctuations in foreign currency exchange rates.</w:t>
      </w:r>
    </w:p>
    <w:p>
      <w:pPr>
        <w:spacing w:after="0" w:line="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Revenue increased for the nine months ended September 30, 2022 primarily due to improved operating conditions compared to the same period in 2021, when our theme parks in Orlando, Hollywood and Japan were impacted by COVID-19 restrictions, as well as the operations of Universal Beijing Resort, which opened in September 2021.</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Operating Costs and Expenses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Expenses increased for the three and nine months ended September 30, 2022 compared to the same periods in 2021 primarily due to operating costs associated with Universal Beijing Resort in the current year periods, which were higher than pre-opening costs in the prior year periods, and as a result of decreased operating costs in the prior year periods due to COVID-19 restrictions at our theme parks.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Headquarters, Other and Eliminations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 and Other Results of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300" w:type="dxa"/>
            <w:vAlign w:val="bottom"/>
          </w:tcPr>
          <w:p>
            <w:pPr>
              <w:jc w:val="center"/>
              <w:ind w:right="12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37"/>
              <w:spacing w:after="0"/>
              <w:rPr>
                <w:sz w:val="20"/>
                <w:szCs w:val="20"/>
                <w:color w:val="auto"/>
              </w:rPr>
            </w:pPr>
            <w:r>
              <w:rPr>
                <w:rFonts w:ascii="Times New Roman" w:cs="Times New Roman" w:eastAsia="Times New Roman" w:hAnsi="Times New Roman"/>
                <w:sz w:val="14"/>
                <w:szCs w:val="14"/>
                <w:color w:val="auto"/>
              </w:rPr>
              <w:t>Nine Months Ended</w:t>
            </w:r>
          </w:p>
        </w:tc>
        <w:tc>
          <w:tcPr>
            <w:tcW w:w="12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90"/>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22</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46</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65</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221</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rPr>
              <w:t>276</w:t>
            </w:r>
          </w:p>
        </w:tc>
        <w:tc>
          <w:tcPr>
            <w:tcW w:w="13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rPr>
              <w:t>(20.0)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574</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709</w:t>
            </w:r>
          </w:p>
        </w:tc>
        <w:tc>
          <w:tcPr>
            <w:tcW w:w="12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(19.1)</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(248)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19.8 %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(528)</w:t>
            </w:r>
          </w:p>
        </w:tc>
        <w:tc>
          <w:tcPr>
            <w:tcW w:w="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(643)</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18.0 %</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include overhead, personnel costs and costs associated with corporate initiatives.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80" w:type="dxa"/>
            <w:vAlign w:val="bottom"/>
            <w:gridSpan w:val="3"/>
          </w:tcPr>
          <w:p>
            <w:pPr>
              <w:jc w:val="right"/>
              <w:ind w:right="857"/>
              <w:spacing w:after="0"/>
              <w:rPr>
                <w:sz w:val="20"/>
                <w:szCs w:val="20"/>
                <w:color w:val="auto"/>
              </w:rPr>
            </w:pPr>
            <w:r>
              <w:rPr>
                <w:rFonts w:ascii="Times New Roman" w:cs="Times New Roman" w:eastAsia="Times New Roman" w:hAnsi="Times New Roman"/>
                <w:sz w:val="14"/>
                <w:szCs w:val="14"/>
                <w:color w:val="auto"/>
              </w:rPr>
              <w:t>Nine Months Ended</w:t>
            </w:r>
          </w:p>
        </w:tc>
        <w:tc>
          <w:tcPr>
            <w:tcW w:w="12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(654)</w:t>
            </w:r>
          </w:p>
        </w:tc>
        <w:tc>
          <w:tcPr>
            <w:tcW w:w="1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38.9 %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(2,474)</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(2,230)</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(642)</w:t>
            </w:r>
          </w:p>
        </w:tc>
        <w:tc>
          <w:tcPr>
            <w:tcW w:w="1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32.4</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(2,376)</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(1,992)</w:t>
            </w:r>
          </w:p>
        </w:tc>
        <w:tc>
          <w:tcPr>
            <w:tcW w:w="12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rPr>
              <w:t>19.2</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(59)</w:t>
            </w:r>
          </w:p>
        </w:tc>
        <w:tc>
          <w:tcPr>
            <w:tcW w:w="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(12)</w:t>
            </w:r>
          </w:p>
        </w:tc>
        <w:tc>
          <w:tcPr>
            <w:tcW w:w="1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(98)</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(238)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(58.6)%</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Amounts represent eliminations of transactions between our NBCUniversal segments, which are affected by the timing of recognition of content licenses between our Studios and Media segments. Prior year amounts include the impact of a new licensing agreement for content that became exclusively available for streaming on Peacock during the first quarter of 2021. Results of operations for NBCUniversal may be impacted as we continue to use content on our platforms, including Peacock, rather than licensing it to third parties.</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and nine months ended September 30, 2022, approximately 44% and 40%, respectively, of Studios segment content licensing revenue resulted from transactions with other segments, primarily with the Media segment. For the three and nine months ended September 30, 2021, approximately 37% and 41%, respectively, of Studios segment content licensing revenue resulted from transactions with other segments, primarily with the Media segment. Eliminations increase or decrease to the extent that additional content is made available to our other segments. Refer to Note 2 for further discussion of transactions between our segments.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Sky Segment Results of Operations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3"/>
            <w:vMerge w:val="restart"/>
          </w:tcPr>
          <w:p>
            <w:pPr>
              <w:jc w:val="right"/>
              <w:ind w:right="334"/>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color w:val="auto"/>
                <w:w w:val="98"/>
              </w:rPr>
              <w:t>Increase/</w:t>
            </w: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4"/>
                <w:szCs w:val="14"/>
                <w:color w:val="auto"/>
                <w:w w:val="96"/>
              </w:rPr>
              <w:t>Constant</w:t>
            </w:r>
          </w:p>
        </w:tc>
        <w:tc>
          <w:tcPr>
            <w:tcW w:w="240" w:type="dxa"/>
            <w:vAlign w:val="bottom"/>
          </w:tcPr>
          <w:p>
            <w:pPr>
              <w:spacing w:after="0"/>
              <w:rPr>
                <w:sz w:val="13"/>
                <w:szCs w:val="13"/>
                <w:color w:val="auto"/>
              </w:rPr>
            </w:pPr>
          </w:p>
        </w:tc>
        <w:tc>
          <w:tcPr>
            <w:tcW w:w="1740" w:type="dxa"/>
            <w:vAlign w:val="bottom"/>
            <w:gridSpan w:val="3"/>
            <w:vMerge w:val="restart"/>
          </w:tcPr>
          <w:p>
            <w:pPr>
              <w:jc w:val="right"/>
              <w:ind w:right="394"/>
              <w:spacing w:after="0"/>
              <w:rPr>
                <w:sz w:val="20"/>
                <w:szCs w:val="20"/>
                <w:color w:val="auto"/>
              </w:rPr>
            </w:pPr>
            <w:r>
              <w:rPr>
                <w:rFonts w:ascii="Times New Roman" w:cs="Times New Roman" w:eastAsia="Times New Roman" w:hAnsi="Times New Roman"/>
                <w:sz w:val="14"/>
                <w:szCs w:val="14"/>
                <w:color w:val="auto"/>
              </w:rPr>
              <w:t>Nine Months Ended</w:t>
            </w:r>
          </w:p>
        </w:tc>
        <w:tc>
          <w:tcPr>
            <w:tcW w:w="11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w w:val="98"/>
              </w:rPr>
              <w:t>Increase/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Constant</w:t>
            </w:r>
          </w:p>
        </w:tc>
        <w:tc>
          <w:tcPr>
            <w:tcW w:w="0" w:type="dxa"/>
            <w:vAlign w:val="bottom"/>
          </w:tcPr>
          <w:p>
            <w:pPr>
              <w:spacing w:after="0"/>
              <w:rPr>
                <w:sz w:val="1"/>
                <w:szCs w:val="1"/>
                <w:color w:val="auto"/>
              </w:rPr>
            </w:pPr>
          </w:p>
        </w:tc>
      </w:tr>
      <w:tr>
        <w:trPr>
          <w:trHeight w:val="140"/>
        </w:trPr>
        <w:tc>
          <w:tcPr>
            <w:tcW w:w="3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tcPr>
          <w:p>
            <w:pPr>
              <w:jc w:val="center"/>
              <w:ind w:right="38"/>
              <w:spacing w:after="0" w:line="141" w:lineRule="exact"/>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4"/>
                <w:szCs w:val="14"/>
                <w:color w:val="auto"/>
              </w:rPr>
              <w:t>September 30,</w:t>
            </w: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w w:val="98"/>
              </w:rPr>
              <w:t>(Decrease)</w:t>
            </w:r>
          </w:p>
        </w:tc>
        <w:tc>
          <w:tcPr>
            <w:tcW w:w="1000" w:type="dxa"/>
            <w:vAlign w:val="bottom"/>
            <w:tcBorders>
              <w:bottom w:val="single" w:sz="8" w:color="auto"/>
            </w:tcBorders>
          </w:tcPr>
          <w:p>
            <w:pPr>
              <w:jc w:val="center"/>
              <w:ind w:right="38"/>
              <w:spacing w:after="0" w:line="196"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2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554"/>
              <w:spacing w:after="0"/>
              <w:rPr>
                <w:sz w:val="20"/>
                <w:szCs w:val="20"/>
                <w:color w:val="auto"/>
              </w:rPr>
            </w:pPr>
            <w:r>
              <w:rPr>
                <w:rFonts w:ascii="Times New Roman" w:cs="Times New Roman" w:eastAsia="Times New Roman" w:hAnsi="Times New Roman"/>
                <w:sz w:val="14"/>
                <w:szCs w:val="14"/>
                <w:color w:val="auto"/>
              </w:rPr>
              <w:t>September 30,</w:t>
            </w: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w w:val="98"/>
              </w:rPr>
              <w:t>(Decrease)</w:t>
            </w:r>
          </w:p>
        </w:tc>
        <w:tc>
          <w:tcPr>
            <w:tcW w:w="96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color w:val="auto"/>
              </w:rPr>
              <w:t>2021</w:t>
            </w: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Direct-to-consumer</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3,510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4,127</w:t>
            </w: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(15.0)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11,073</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12,415</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(10.8)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Content</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273</w:t>
            </w:r>
          </w:p>
        </w:tc>
        <w:tc>
          <w:tcPr>
            <w:tcW w:w="26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300</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(9.1)</w:t>
            </w:r>
          </w:p>
        </w:tc>
        <w:tc>
          <w:tcPr>
            <w:tcW w:w="10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6.4</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28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1,013</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(17.8)</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Advertising</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471</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561</w:t>
            </w:r>
          </w:p>
        </w:tc>
        <w:tc>
          <w:tcPr>
            <w:tcW w:w="11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(15.9)</w:t>
            </w: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1,777</w:t>
            </w: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(8.7)</w:t>
            </w:r>
          </w:p>
        </w:tc>
        <w:tc>
          <w:tcPr>
            <w:tcW w:w="9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4,253</w:t>
            </w:r>
          </w:p>
        </w:tc>
        <w:tc>
          <w:tcPr>
            <w:tcW w:w="26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4,988</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(14.7)</w:t>
            </w:r>
          </w:p>
        </w:tc>
        <w:tc>
          <w:tcPr>
            <w:tcW w:w="1000" w:type="dxa"/>
            <w:vAlign w:val="bottom"/>
          </w:tcPr>
          <w:p>
            <w:pPr>
              <w:jc w:val="right"/>
              <w:ind w:right="178"/>
              <w:spacing w:after="0"/>
              <w:rPr>
                <w:sz w:val="20"/>
                <w:szCs w:val="20"/>
                <w:color w:val="auto"/>
              </w:rPr>
            </w:pPr>
            <w:r>
              <w:rPr>
                <w:rFonts w:ascii="Times New Roman" w:cs="Times New Roman" w:eastAsia="Times New Roman" w:hAnsi="Times New Roman"/>
                <w:sz w:val="17"/>
                <w:szCs w:val="17"/>
                <w:b w:val="1"/>
                <w:bCs w:val="1"/>
                <w:color w:val="auto"/>
              </w:rPr>
              <w:t>(0.2)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13,529</w:t>
            </w:r>
          </w:p>
        </w:tc>
        <w:tc>
          <w:tcPr>
            <w:tcW w:w="280" w:type="dxa"/>
            <w:vAlign w:val="bottom"/>
          </w:tcPr>
          <w:p>
            <w:pPr>
              <w:spacing w:after="0"/>
              <w:rPr>
                <w:sz w:val="18"/>
                <w:szCs w:val="18"/>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15,205</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(11.0)</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b w:val="1"/>
                <w:bCs w:val="1"/>
                <w:color w:val="auto"/>
              </w:rPr>
              <w:t>(1.4)</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1,570</w:t>
            </w:r>
          </w:p>
        </w:tc>
        <w:tc>
          <w:tcPr>
            <w:tcW w:w="26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1,779</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(11.7)</w:t>
            </w:r>
          </w:p>
        </w:tc>
        <w:tc>
          <w:tcPr>
            <w:tcW w:w="10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28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6,710</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(24.3)</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 network costs</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635</w:t>
            </w:r>
          </w:p>
        </w:tc>
        <w:tc>
          <w:tcPr>
            <w:tcW w:w="26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647</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(1.9)</w:t>
            </w:r>
          </w:p>
        </w:tc>
        <w:tc>
          <w:tcPr>
            <w:tcW w:w="1000" w:type="dxa"/>
            <w:vAlign w:val="bottom"/>
          </w:tcPr>
          <w:p>
            <w:pPr>
              <w:jc w:val="right"/>
              <w:ind w:right="218"/>
              <w:spacing w:after="0"/>
              <w:rPr>
                <w:sz w:val="20"/>
                <w:szCs w:val="20"/>
                <w:color w:val="auto"/>
              </w:rPr>
            </w:pPr>
            <w:r>
              <w:rPr>
                <w:rFonts w:ascii="Times New Roman" w:cs="Times New Roman" w:eastAsia="Times New Roman" w:hAnsi="Times New Roman"/>
                <w:sz w:val="17"/>
                <w:szCs w:val="17"/>
                <w:color w:val="auto"/>
              </w:rPr>
              <w:t>14.8</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280" w:type="dxa"/>
            <w:vAlign w:val="bottom"/>
          </w:tcPr>
          <w:p>
            <w:pPr>
              <w:spacing w:after="0"/>
              <w:rPr>
                <w:sz w:val="19"/>
                <w:szCs w:val="19"/>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1,903</w:t>
            </w: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2.2</w:t>
            </w:r>
          </w:p>
        </w:tc>
        <w:tc>
          <w:tcPr>
            <w:tcW w:w="9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1,348</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1,591</w:t>
            </w:r>
          </w:p>
        </w:tc>
        <w:tc>
          <w:tcPr>
            <w:tcW w:w="11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(15.2)</w:t>
            </w: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rPr>
              <w:t>(0.8)</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4,320</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4,697</w:t>
            </w: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(8.0)</w:t>
            </w:r>
          </w:p>
        </w:tc>
        <w:tc>
          <w:tcPr>
            <w:tcW w:w="9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3,553</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4,016</w:t>
            </w:r>
          </w:p>
        </w:tc>
        <w:tc>
          <w:tcPr>
            <w:tcW w:w="11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(11.5)</w:t>
            </w:r>
          </w:p>
        </w:tc>
        <w:tc>
          <w:tcPr>
            <w:tcW w:w="10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7"/>
                <w:szCs w:val="17"/>
                <w:color w:val="auto"/>
              </w:rPr>
              <w:t>3.5</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11,344</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13,310</w:t>
            </w: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(14.8)</w:t>
            </w:r>
          </w:p>
        </w:tc>
        <w:tc>
          <w:tcPr>
            <w:tcW w:w="9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701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971</w:t>
            </w: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(27.9)%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2,185</w:t>
            </w:r>
          </w:p>
        </w:tc>
        <w:tc>
          <w:tcPr>
            <w:tcW w:w="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1,895</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15.3 %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28.7 %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40" w:hanging="235"/>
        <w:spacing w:after="0" w:line="285" w:lineRule="auto"/>
        <w:tabs>
          <w:tab w:leader="none" w:pos="23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27 for additional information, including our definition and our use of constant currency, and for a reconciliation of Sky’s constant currency growth rates.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00" w:type="dxa"/>
            <w:vAlign w:val="bottom"/>
            <w:gridSpan w:val="2"/>
          </w:tcPr>
          <w:p>
            <w:pPr>
              <w:jc w:val="right"/>
              <w:ind w:right="446"/>
              <w:spacing w:after="0"/>
              <w:rPr>
                <w:sz w:val="20"/>
                <w:szCs w:val="20"/>
                <w:color w:val="auto"/>
              </w:rPr>
            </w:pPr>
            <w:r>
              <w:rPr>
                <w:rFonts w:ascii="Times New Roman" w:cs="Times New Roman" w:eastAsia="Times New Roman" w:hAnsi="Times New Roman"/>
                <w:sz w:val="14"/>
                <w:szCs w:val="14"/>
                <w:color w:val="auto"/>
              </w:rPr>
              <w:t>Net Additions / (Losses)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Pr>
          <w:p>
            <w:pPr>
              <w:spacing w:after="0"/>
              <w:rPr>
                <w:sz w:val="11"/>
                <w:szCs w:val="11"/>
                <w:color w:val="auto"/>
              </w:rPr>
            </w:pPr>
          </w:p>
        </w:tc>
        <w:tc>
          <w:tcPr>
            <w:tcW w:w="2240" w:type="dxa"/>
            <w:vAlign w:val="bottom"/>
            <w:gridSpan w:val="2"/>
          </w:tcPr>
          <w:p>
            <w:pPr>
              <w:jc w:val="center"/>
              <w:ind w:right="104"/>
              <w:spacing w:after="0" w:line="128"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1900" w:type="dxa"/>
            <w:vAlign w:val="bottom"/>
            <w:gridSpan w:val="2"/>
          </w:tcPr>
          <w:p>
            <w:pPr>
              <w:jc w:val="center"/>
              <w:ind w:right="81"/>
              <w:spacing w:after="0" w:line="128" w:lineRule="exact"/>
              <w:rPr>
                <w:sz w:val="20"/>
                <w:szCs w:val="20"/>
                <w:color w:val="auto"/>
              </w:rPr>
            </w:pPr>
            <w:r>
              <w:rPr>
                <w:rFonts w:ascii="Times New Roman" w:cs="Times New Roman" w:eastAsia="Times New Roman" w:hAnsi="Times New Roman"/>
                <w:sz w:val="14"/>
                <w:szCs w:val="14"/>
                <w:color w:val="auto"/>
              </w:rPr>
              <w:t>Nine Months Ended</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center"/>
              <w:ind w:right="84"/>
              <w:spacing w:after="0"/>
              <w:rPr>
                <w:sz w:val="20"/>
                <w:szCs w:val="20"/>
                <w:color w:val="auto"/>
              </w:rPr>
            </w:pPr>
            <w:r>
              <w:rPr>
                <w:rFonts w:ascii="Times New Roman" w:cs="Times New Roman" w:eastAsia="Times New Roman" w:hAnsi="Times New Roman"/>
                <w:sz w:val="14"/>
                <w:szCs w:val="14"/>
                <w:color w:val="auto"/>
                <w:w w:val="98"/>
              </w:rPr>
              <w:t>September 30,</w:t>
            </w:r>
          </w:p>
        </w:tc>
        <w:tc>
          <w:tcPr>
            <w:tcW w:w="1900" w:type="dxa"/>
            <w:vAlign w:val="bottom"/>
            <w:tcBorders>
              <w:bottom w:val="single" w:sz="8" w:color="auto"/>
            </w:tcBorders>
            <w:gridSpan w:val="2"/>
          </w:tcPr>
          <w:p>
            <w:pPr>
              <w:jc w:val="center"/>
              <w:ind w:right="81"/>
              <w:spacing w:after="0"/>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8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color w:val="auto"/>
              </w:rPr>
              <w:t>2022</w:t>
            </w: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color w:val="auto"/>
              </w:rPr>
              <w:t>2021</w:t>
            </w:r>
          </w:p>
        </w:tc>
        <w:tc>
          <w:tcPr>
            <w:tcW w:w="10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customer relationships</w:t>
            </w:r>
          </w:p>
        </w:tc>
        <w:tc>
          <w:tcPr>
            <w:tcW w:w="158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7"/>
                <w:szCs w:val="17"/>
                <w:color w:val="auto"/>
              </w:rPr>
              <w:t>22,986</w:t>
            </w:r>
          </w:p>
        </w:tc>
        <w:tc>
          <w:tcPr>
            <w:tcW w:w="9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7"/>
                <w:szCs w:val="17"/>
                <w:color w:val="auto"/>
              </w:rPr>
              <w:t>22,966</w:t>
            </w:r>
          </w:p>
        </w:tc>
        <w:tc>
          <w:tcPr>
            <w:tcW w:w="11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7"/>
                <w:szCs w:val="17"/>
                <w:color w:val="auto"/>
              </w:rPr>
              <w:t>320</w:t>
            </w: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7"/>
                <w:szCs w:val="17"/>
                <w:color w:val="auto"/>
              </w:rPr>
              <w:t>(233)</w:t>
            </w:r>
          </w:p>
        </w:tc>
        <w:tc>
          <w:tcPr>
            <w:tcW w:w="10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7"/>
                <w:szCs w:val="17"/>
                <w:color w:val="auto"/>
              </w:rPr>
              <w:t>(41)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4"/>
          <w:szCs w:val="14"/>
          <w:color w:val="auto"/>
        </w:rPr>
        <w:t>Customer metrics are presented based on actual amounts. Customer relationships represent the number of residential customers that subscribe to at least one of Sky’s four primary services of video, broadband, voice and wireless phone service. Sky reports business customers, including hotels, bars, workplaces and restaurants, generally based on the number of locations receiving our services.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1180" w:type="dxa"/>
            <w:vAlign w:val="bottom"/>
            <w:vMerge w:val="restart"/>
          </w:tcPr>
          <w:p>
            <w:pPr>
              <w:jc w:val="center"/>
              <w:ind w:right="146"/>
              <w:spacing w:after="0"/>
              <w:rPr>
                <w:sz w:val="20"/>
                <w:szCs w:val="20"/>
                <w:color w:val="auto"/>
              </w:rPr>
            </w:pPr>
            <w:r>
              <w:rPr>
                <w:rFonts w:ascii="Times New Roman" w:cs="Times New Roman" w:eastAsia="Times New Roman" w:hAnsi="Times New Roman"/>
                <w:sz w:val="14"/>
                <w:szCs w:val="14"/>
                <w:color w:val="auto"/>
              </w:rPr>
              <w:t>Increase/</w:t>
            </w:r>
          </w:p>
        </w:tc>
        <w:tc>
          <w:tcPr>
            <w:tcW w:w="1200" w:type="dxa"/>
            <w:vAlign w:val="bottom"/>
          </w:tcPr>
          <w:p>
            <w:pPr>
              <w:jc w:val="center"/>
              <w:ind w:right="387"/>
              <w:spacing w:after="0"/>
              <w:rPr>
                <w:sz w:val="20"/>
                <w:szCs w:val="20"/>
                <w:color w:val="auto"/>
              </w:rPr>
            </w:pPr>
            <w:r>
              <w:rPr>
                <w:rFonts w:ascii="Times New Roman" w:cs="Times New Roman" w:eastAsia="Times New Roman" w:hAnsi="Times New Roman"/>
                <w:sz w:val="14"/>
                <w:szCs w:val="14"/>
                <w:color w:val="auto"/>
              </w:rPr>
              <w:t>Constant</w:t>
            </w: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Nine Months Ended</w:t>
            </w:r>
          </w:p>
        </w:tc>
        <w:tc>
          <w:tcPr>
            <w:tcW w:w="1080" w:type="dxa"/>
            <w:vAlign w:val="bottom"/>
            <w:vMerge w:val="restart"/>
          </w:tcPr>
          <w:p>
            <w:pPr>
              <w:jc w:val="center"/>
              <w:ind w:right="106"/>
              <w:spacing w:after="0"/>
              <w:rPr>
                <w:sz w:val="20"/>
                <w:szCs w:val="20"/>
                <w:color w:val="auto"/>
              </w:rPr>
            </w:pPr>
            <w:r>
              <w:rPr>
                <w:rFonts w:ascii="Times New Roman" w:cs="Times New Roman" w:eastAsia="Times New Roman" w:hAnsi="Times New Roman"/>
                <w:sz w:val="14"/>
                <w:szCs w:val="14"/>
                <w:color w:val="auto"/>
                <w:w w:val="98"/>
              </w:rPr>
              <w:t>Increase/</w:t>
            </w: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4"/>
                <w:szCs w:val="14"/>
                <w:color w:val="auto"/>
                <w:w w:val="96"/>
              </w:rPr>
              <w:t>Constant</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00" w:type="dxa"/>
            <w:vAlign w:val="bottom"/>
          </w:tcPr>
          <w:p>
            <w:pPr>
              <w:jc w:val="center"/>
              <w:ind w:right="367"/>
              <w:spacing w:after="0" w:line="144" w:lineRule="exact"/>
              <w:rPr>
                <w:sz w:val="20"/>
                <w:szCs w:val="20"/>
                <w:color w:val="auto"/>
              </w:rPr>
            </w:pPr>
            <w:r>
              <w:rPr>
                <w:rFonts w:ascii="Times New Roman" w:cs="Times New Roman" w:eastAsia="Times New Roman" w:hAnsi="Times New Roman"/>
                <w:sz w:val="14"/>
                <w:szCs w:val="14"/>
                <w:color w:val="auto"/>
                <w:w w:val="99"/>
              </w:rPr>
              <w:t>Currency</w:t>
            </w:r>
          </w:p>
        </w:tc>
        <w:tc>
          <w:tcPr>
            <w:tcW w:w="154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jc w:val="center"/>
              <w:ind w:right="27"/>
              <w:spacing w:after="0" w:line="144"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221"/>
              <w:spacing w:after="0"/>
              <w:rPr>
                <w:sz w:val="20"/>
                <w:szCs w:val="20"/>
                <w:color w:val="auto"/>
              </w:rPr>
            </w:pPr>
            <w:r>
              <w:rPr>
                <w:rFonts w:ascii="Times New Roman" w:cs="Times New Roman" w:eastAsia="Times New Roman" w:hAnsi="Times New Roman"/>
                <w:sz w:val="14"/>
                <w:szCs w:val="14"/>
                <w:color w:val="auto"/>
                <w:w w:val="98"/>
              </w:rPr>
              <w:t>September 30,</w:t>
            </w:r>
          </w:p>
        </w:tc>
        <w:tc>
          <w:tcPr>
            <w:tcW w:w="11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color w:val="auto"/>
                <w:w w:val="98"/>
              </w:rPr>
              <w:t>(Decrease)</w:t>
            </w:r>
          </w:p>
        </w:tc>
        <w:tc>
          <w:tcPr>
            <w:tcW w:w="1200" w:type="dxa"/>
            <w:vAlign w:val="bottom"/>
            <w:tcBorders>
              <w:bottom w:val="single" w:sz="8" w:color="auto"/>
            </w:tcBorders>
          </w:tcPr>
          <w:p>
            <w:pPr>
              <w:jc w:val="center"/>
              <w:ind w:right="367"/>
              <w:spacing w:after="0" w:line="196"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15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color w:val="auto"/>
              </w:rPr>
              <w:t>September 30,</w:t>
            </w:r>
          </w:p>
        </w:tc>
        <w:tc>
          <w:tcPr>
            <w:tcW w:w="10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color w:val="auto"/>
              </w:rPr>
              <w:t>(Decrease)</w:t>
            </w:r>
          </w:p>
        </w:tc>
        <w:tc>
          <w:tcPr>
            <w:tcW w:w="860" w:type="dxa"/>
            <w:vAlign w:val="bottom"/>
            <w:tcBorders>
              <w:bottom w:val="single" w:sz="8" w:color="auto"/>
            </w:tcBorders>
          </w:tcPr>
          <w:p>
            <w:pPr>
              <w:jc w:val="center"/>
              <w:ind w:right="27"/>
              <w:spacing w:after="0" w:line="196"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color w:val="auto"/>
              </w:rPr>
              <w:t>2021</w:t>
            </w:r>
          </w:p>
        </w:tc>
        <w:tc>
          <w:tcPr>
            <w:tcW w:w="10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62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Average monthly direct-to-consumer revenue per</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7"/>
                <w:szCs w:val="17"/>
                <w:color w:val="auto"/>
              </w:rPr>
              <w:t>51.25 $</w:t>
            </w:r>
          </w:p>
        </w:tc>
        <w:tc>
          <w:tcPr>
            <w:tcW w:w="7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color w:val="auto"/>
              </w:rPr>
              <w:t>59.60</w:t>
            </w:r>
          </w:p>
        </w:tc>
        <w:tc>
          <w:tcPr>
            <w:tcW w:w="1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7"/>
                <w:szCs w:val="17"/>
                <w:color w:val="auto"/>
              </w:rPr>
              <w:t>(14.0)%</w:t>
            </w:r>
          </w:p>
        </w:tc>
        <w:tc>
          <w:tcPr>
            <w:tcW w:w="12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7"/>
                <w:szCs w:val="17"/>
                <w:color w:val="auto"/>
              </w:rPr>
              <w:t>0.7 %  $</w:t>
            </w:r>
          </w:p>
        </w:tc>
        <w:tc>
          <w:tcPr>
            <w:tcW w:w="8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7"/>
                <w:szCs w:val="17"/>
                <w:color w:val="auto"/>
              </w:rPr>
              <w:t>53.48 $</w:t>
            </w:r>
          </w:p>
        </w:tc>
        <w:tc>
          <w:tcPr>
            <w:tcW w:w="7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rPr>
              <w:t>59.72</w:t>
            </w: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7"/>
                <w:szCs w:val="17"/>
                <w:color w:val="auto"/>
              </w:rPr>
              <w:t>(10.4)%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40" w:hanging="235"/>
        <w:spacing w:after="0" w:line="266" w:lineRule="auto"/>
        <w:tabs>
          <w:tab w:leader="none" w:pos="23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27 for additional information, including our definition and our use of constant currency, and for a reconciliation of Sky’s constant currency growth rates.</w:t>
      </w:r>
    </w:p>
    <w:p>
      <w:pPr>
        <w:spacing w:after="0" w:line="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Direct-to-Consumer</w:t>
      </w:r>
    </w:p>
    <w:p>
      <w:pPr>
        <w:spacing w:after="0" w:line="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Revenue decreased for the three months ended September 30, 2022 compared to the same period in 2021. Excluding the impact of foreign currency, revenue remained consistent for the three months ended September 30, 2022 compared with the prior year period primarily due to a lower number of customer relationships during the current year period, offset by an increase in average revenue per customer relationship. The lower number of customer relationships was driven by declines in Italy, partially offset by increases in Germany and the United Kingdom compared to the prior year period. The increase in average revenue per customer relationship reflected an increase in average rates in Italy and the United Kingdom, partially offset by a decline in average rates in Germany. Sky results have been affected by worsening macroeconomic conditions in the United Kingdom and continental Europe.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Revenue decreased for the nine months ended September 30, 2022 compared to the same period in 2021. Excluding the impact of foreign currency, revenue decreased for the nine months ended September 30, 2022 compared with the prior year period primarily due to a lower number of customer relationships during the current year period and a decrease in average revenue per customer relationship. The lower number of customer relationships was driven by declines in Italy, partially offset by increases in the United Kingdom and Germany compared to the prior year period. The decrease in average revenue per customer relationship reflected declines in average rates in Italy and Germany, partially offset by the impacts of COVID-19 on business customers in the United Kingdom in the prior year period and the impact of rate increases in the United Kingdom. The decline in customer relationships and average revenue per customer relationship in Italy included the effects of the reduced broadcast rights for Serie A, which we had held through the end of the 2020-21 season. Beginning with the 2021-22 season in the third quarter of 2021 and through the 2023-24 season, we have nonexclusive broadcast rights to fewer matches, which has resulted in declines in revenue in Italy in 2022.</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decreased for the three and nine months ended September 30, 2022 compared to the same periods in 2021. Excluding the impact of foreign currency, revenue increased for the three months ended September 30, 2022 compared with the prior year period primarily due to the timing of licensing of owned content to other platforms. Excluding the impact of foreign currency, revenue decreased for the nine months ended September 30, 2022 compared with the prior year period primarily due to lower sports programming licensing revenue driven by changes in licensing agreements in Italy and Germany.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Revenue decreased for the three and nine months ended September 30, 2022 compared to the same periods in 2021. Excluding the impact of foreign currency, revenue decreased for the three months ended September 30, 2022 compared with the prior year period primarily as a result of decreased advertising revenue in Italy. Excluding the impact of foreign currency, revenue increased for the nine months ended September 30, 2022 compared with the prior year period primarily as a result of an overall advertising market improvement in the United Kingdom in the first half of the year compared to the prior year period, partially offset by decreased advertising revenue associated with Serie A.</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Operating Costs and Expenses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Programming and production costs decreased for the three and nine months ended September 30, 2022 compared to the same period in 2021. Excluding the impact of foreign currency, programming and production costs increased for the three months ended September 30, 2022 primarily due to the timing of recognition of costs related to sporting events, including a shift of certain football matches to the third quarter in advance of the 2022 FIFA World Cup, which will occur in the fourth quarter of 2022. The timing of this event will also result in lower sports programming expenses in the fourth quarter of 2022, as well as an increase in the first half of 2023. This increase was partially offset by lower entertainment programming costs in the current year period. Excluding the impact of foreign currency, programming and production costs decreased for the nine months ended September 30, 2022 primarily reflecting lower costs associated with Serie A in Italy as a result of the reduced broadcast rights and lower costs associated with other sports contracts in Germany in the current year period, partially offset by the timing of recognition of costs related to sporting events.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Direct network costs decreased for the three months ended September 30, 2022 and increased for the nine months ended September 30, 2022 compared to the same periods in 2021. Excluding the impact of foreign currency, direct network costs increased for the three and nine months ended September 30, 2022 primarily due to increases in costs associated with Sky</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broadband and wireless phone services as a result of increases in the number of customers receiving these services and increases in the sales of handsets.</w:t>
      </w:r>
    </w:p>
    <w:p>
      <w:pPr>
        <w:spacing w:after="0" w:line="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Other expenses decreased for the three and nine months ended September 30, 2022 compared to the same periods in 2021. Excluding the impact of foreign currency, other expenses remained consistent for the three months ended September 30, 2022 compared to the prior year. Excluding the impact of foreign currency, other expenses increased for the nine months ended September 30, 2022 primarily due to higher administrative costs.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300" w:type="dxa"/>
            <w:vAlign w:val="bottom"/>
          </w:tcPr>
          <w:p>
            <w:pPr>
              <w:jc w:val="center"/>
              <w:ind w:right="12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57"/>
              <w:spacing w:after="0"/>
              <w:rPr>
                <w:sz w:val="20"/>
                <w:szCs w:val="20"/>
                <w:color w:val="auto"/>
              </w:rPr>
            </w:pPr>
            <w:r>
              <w:rPr>
                <w:rFonts w:ascii="Times New Roman" w:cs="Times New Roman" w:eastAsia="Times New Roman" w:hAnsi="Times New Roman"/>
                <w:sz w:val="14"/>
                <w:szCs w:val="14"/>
                <w:color w:val="auto"/>
              </w:rPr>
              <w:t>Nine Months Ended</w:t>
            </w: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8"/>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147</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65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126.3 %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549</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246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525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400</w:t>
            </w:r>
          </w:p>
        </w:tc>
        <w:tc>
          <w:tcPr>
            <w:tcW w:w="13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7"/>
                <w:szCs w:val="17"/>
                <w:color w:val="auto"/>
              </w:rPr>
              <w:t>31.3</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1,493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1,122</w:t>
            </w:r>
          </w:p>
        </w:tc>
        <w:tc>
          <w:tcPr>
            <w:tcW w:w="12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rPr>
              <w:t>33.0</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(378)</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(335)</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(12.8)%</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(944)</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(876)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r>
    </w:tbl>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Corporate and other primarily includes overhead and personnel costs, the results of other business initiatives and Comcast Spectacor, which owns the Philadelphia Flyers and the Wells Fargo Center arena in Philadelphia, Pennsylvania. Other business initiatives primarily include costs associated with Sky Glass smart televisions and the related hardware sales and, beginning in the end of the second quarter of 2022, the operations of our streaming platform joint venture with Charter Communications. This consolidated joint venture, which was formed in June 2022, is focused on developing and offering a streaming platform on a variety of devices, including XClass TV smart televisions, and also operates the Xumo streaming service.</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Revenue increased for the three months ended September 30, 2022 compared to the same period in 2021 primarily due to revenue at our streaming platform joint venture related to Xumo and sales of Sky Glass smart televisions. Revenue increased for the nine months ended September 30, 2022 compared to the same period in 2021 primarily due to sales of Sky Glass smart televisions, increases at Comcast Spectacor as a result of the impacts of COVID-19 in the prior year period and revenue at our streaming platform joint venture related to Xumo.</w:t>
      </w:r>
    </w:p>
    <w:p>
      <w:pPr>
        <w:spacing w:after="0" w:line="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Expenses increased for the three and nine months ended September 30, 2022 compared to the same periods in 2021 primarily due to costs related to Sky Glass and our streaming platform joint venture. We expect to continue to incur increased costs in 2022 related to the launches of Sky Glass and our streaming platform joint venture.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80" w:type="dxa"/>
            <w:vAlign w:val="bottom"/>
            <w:gridSpan w:val="3"/>
          </w:tcPr>
          <w:p>
            <w:pPr>
              <w:jc w:val="right"/>
              <w:ind w:right="857"/>
              <w:spacing w:after="0"/>
              <w:rPr>
                <w:sz w:val="20"/>
                <w:szCs w:val="20"/>
                <w:color w:val="auto"/>
              </w:rPr>
            </w:pPr>
            <w:r>
              <w:rPr>
                <w:rFonts w:ascii="Times New Roman" w:cs="Times New Roman" w:eastAsia="Times New Roman" w:hAnsi="Times New Roman"/>
                <w:sz w:val="14"/>
                <w:szCs w:val="14"/>
                <w:color w:val="auto"/>
              </w:rPr>
              <w:t>Nine Months Ended</w:t>
            </w:r>
          </w:p>
        </w:tc>
        <w:tc>
          <w:tcPr>
            <w:tcW w:w="12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September 30,</w:t>
            </w: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4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(871)</w:t>
            </w:r>
          </w:p>
        </w:tc>
        <w:tc>
          <w:tcPr>
            <w:tcW w:w="12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(24.1)%</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(2,196)</w:t>
            </w:r>
          </w:p>
        </w:tc>
        <w:tc>
          <w:tcPr>
            <w:tcW w:w="46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(2,304)</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(773)</w:t>
            </w:r>
          </w:p>
        </w:tc>
        <w:tc>
          <w:tcPr>
            <w:tcW w:w="12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(2,103)</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(2,218)</w:t>
            </w:r>
          </w:p>
        </w:tc>
        <w:tc>
          <w:tcPr>
            <w:tcW w:w="12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26</w:t>
            </w:r>
          </w:p>
        </w:tc>
        <w:tc>
          <w:tcPr>
            <w:tcW w:w="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(98)</w:t>
            </w: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(93)</w:t>
            </w:r>
          </w:p>
        </w:tc>
        <w:tc>
          <w:tcPr>
            <w:tcW w:w="4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(87)</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7.0 %</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Amounts represent eliminations of transactions between Cable Communications, NBCUniversal, Sky and other businesses. Eliminations of transactions between NBCUniversal segments are presented separately. Amounts reflect increases in eliminations associated with the Beijing and Tokyo Olympics in the first quarter of 2022 and third quarter of 2021, respectively. Refer to Note 2 for a description of transactions between our segments.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Financial Measures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Adjusted EBITDA</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Attributable to Comcast Corporation to Adjusted EBITDA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color w:val="auto"/>
              </w:rPr>
              <w:t>Three Months Ended</w:t>
            </w: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86"/>
        </w:trPr>
        <w:tc>
          <w:tcPr>
            <w:tcW w:w="4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539"/>
              <w:spacing w:after="0"/>
              <w:rPr>
                <w:sz w:val="20"/>
                <w:szCs w:val="20"/>
                <w:color w:val="auto"/>
              </w:rPr>
            </w:pPr>
            <w:r>
              <w:rPr>
                <w:rFonts w:ascii="Times New Roman" w:cs="Times New Roman" w:eastAsia="Times New Roman" w:hAnsi="Times New Roman"/>
                <w:sz w:val="14"/>
                <w:szCs w:val="14"/>
                <w:color w:val="auto"/>
              </w:rPr>
              <w:t>September 30,</w:t>
            </w: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(loss) attributable to Comcast Corporation</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(4,598)</w:t>
            </w:r>
          </w:p>
        </w:tc>
        <w:tc>
          <w:tcPr>
            <w:tcW w:w="1020" w:type="dxa"/>
            <w:vAlign w:val="bottom"/>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4,035</w:t>
            </w:r>
          </w:p>
        </w:tc>
        <w:tc>
          <w:tcPr>
            <w:tcW w:w="4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2,347</w:t>
            </w: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11,102</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86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(68)</w:t>
            </w:r>
          </w:p>
        </w:tc>
        <w:tc>
          <w:tcPr>
            <w:tcW w:w="10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(104)</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(295)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860" w:type="dxa"/>
            <w:vAlign w:val="bottom"/>
          </w:tcPr>
          <w:p>
            <w:pPr>
              <w:spacing w:after="0"/>
              <w:rPr>
                <w:sz w:val="19"/>
                <w:szCs w:val="19"/>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1,014</w:t>
            </w:r>
          </w:p>
        </w:tc>
        <w:tc>
          <w:tcPr>
            <w:tcW w:w="102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1,235</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3,562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4,354</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and other (income) loss, net</w:t>
            </w:r>
          </w:p>
        </w:tc>
        <w:tc>
          <w:tcPr>
            <w:tcW w:w="860" w:type="dxa"/>
            <w:vAlign w:val="bottom"/>
          </w:tcPr>
          <w:p>
            <w:pPr>
              <w:spacing w:after="0"/>
              <w:rPr>
                <w:sz w:val="19"/>
                <w:szCs w:val="19"/>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266</w:t>
            </w:r>
          </w:p>
        </w:tc>
        <w:tc>
          <w:tcPr>
            <w:tcW w:w="1020" w:type="dxa"/>
            <w:vAlign w:val="bottom"/>
          </w:tcPr>
          <w:p>
            <w:pPr>
              <w:spacing w:after="0"/>
              <w:rPr>
                <w:sz w:val="19"/>
                <w:szCs w:val="19"/>
                <w:color w:val="auto"/>
              </w:rPr>
            </w:pPr>
          </w:p>
        </w:tc>
        <w:tc>
          <w:tcPr>
            <w:tcW w:w="6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(766)</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975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860" w:type="dxa"/>
            <w:vAlign w:val="bottom"/>
          </w:tcPr>
          <w:p>
            <w:pPr>
              <w:spacing w:after="0"/>
              <w:rPr>
                <w:sz w:val="19"/>
                <w:szCs w:val="19"/>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960</w:t>
            </w:r>
          </w:p>
        </w:tc>
        <w:tc>
          <w:tcPr>
            <w:tcW w:w="102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1,050</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2,922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860" w:type="dxa"/>
            <w:vAlign w:val="bottom"/>
          </w:tcPr>
          <w:p>
            <w:pPr>
              <w:spacing w:after="0"/>
              <w:rPr>
                <w:sz w:val="19"/>
                <w:szCs w:val="19"/>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2,150</w:t>
            </w:r>
          </w:p>
        </w:tc>
        <w:tc>
          <w:tcPr>
            <w:tcW w:w="102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2,177</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6,525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6,407</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860" w:type="dxa"/>
            <w:vAlign w:val="bottom"/>
          </w:tcPr>
          <w:p>
            <w:pPr>
              <w:spacing w:after="0"/>
              <w:rPr>
                <w:sz w:val="19"/>
                <w:szCs w:val="19"/>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1,183</w:t>
            </w:r>
          </w:p>
        </w:tc>
        <w:tc>
          <w:tcPr>
            <w:tcW w:w="102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1,301</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3,824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3,815</w:t>
            </w: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and long-lived asset impairments</w:t>
            </w:r>
          </w:p>
        </w:tc>
        <w:tc>
          <w:tcPr>
            <w:tcW w:w="860" w:type="dxa"/>
            <w:vAlign w:val="bottom"/>
          </w:tcPr>
          <w:p>
            <w:pPr>
              <w:spacing w:after="0"/>
              <w:rPr>
                <w:sz w:val="19"/>
                <w:szCs w:val="19"/>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8,583</w:t>
            </w:r>
          </w:p>
        </w:tc>
        <w:tc>
          <w:tcPr>
            <w:tcW w:w="1020" w:type="dxa"/>
            <w:vAlign w:val="bottom"/>
          </w:tcPr>
          <w:p>
            <w:pPr>
              <w:spacing w:after="0"/>
              <w:rPr>
                <w:sz w:val="19"/>
                <w:szCs w:val="19"/>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8,583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492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2"/>
                <w:szCs w:val="22"/>
                <w:color w:val="auto"/>
                <w:vertAlign w:val="superscript"/>
              </w:rPr>
              <w:t>(a)</w:t>
            </w: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(9)</w:t>
            </w: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30</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15</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rPr>
              <w:t>9,482</w:t>
            </w:r>
          </w:p>
        </w:tc>
        <w:tc>
          <w:tcPr>
            <w:tcW w:w="10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8,957</w:t>
            </w:r>
          </w:p>
        </w:tc>
        <w:tc>
          <w:tcPr>
            <w:tcW w:w="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28,459</w:t>
            </w: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26,297</w:t>
            </w:r>
          </w:p>
        </w:tc>
      </w:tr>
    </w:tbl>
    <w:p>
      <w:pPr>
        <w:spacing w:after="0" w:line="82" w:lineRule="exact"/>
        <w:rPr>
          <w:sz w:val="20"/>
          <w:szCs w:val="20"/>
          <w:color w:val="auto"/>
        </w:rPr>
      </w:pPr>
    </w:p>
    <w:p>
      <w:pPr>
        <w:ind w:left="240" w:hanging="235"/>
        <w:spacing w:after="0" w:line="285" w:lineRule="auto"/>
        <w:tabs>
          <w:tab w:leader="none" w:pos="23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including costs related to our investment portfolio, and Sky transaction-related costs in 2021.</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Constant Currency</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Sky Constant Currency Growth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w w:val="97"/>
              </w:rPr>
              <w:t>Nine Months Ended</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color w:val="auto"/>
              </w:rPr>
              <w:t>September 30,</w:t>
            </w: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color w:val="auto"/>
              </w:rPr>
              <w:t>September 30,</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Actual</w:t>
            </w:r>
          </w:p>
        </w:tc>
        <w:tc>
          <w:tcPr>
            <w:tcW w:w="146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4"/>
                <w:szCs w:val="14"/>
                <w:color w:val="auto"/>
              </w:rPr>
              <w:t>Constant Currency</w:t>
            </w:r>
          </w:p>
        </w:tc>
        <w:tc>
          <w:tcPr>
            <w:tcW w:w="1360" w:type="dxa"/>
            <w:vAlign w:val="bottom"/>
          </w:tcPr>
          <w:p>
            <w:pPr>
              <w:jc w:val="center"/>
              <w:ind w:right="37"/>
              <w:spacing w:after="0" w:line="133" w:lineRule="exact"/>
              <w:rPr>
                <w:sz w:val="20"/>
                <w:szCs w:val="20"/>
                <w:color w:val="auto"/>
              </w:rPr>
            </w:pPr>
            <w:r>
              <w:rPr>
                <w:rFonts w:ascii="Times New Roman" w:cs="Times New Roman" w:eastAsia="Times New Roman" w:hAnsi="Times New Roman"/>
                <w:sz w:val="14"/>
                <w:szCs w:val="14"/>
                <w:color w:val="auto"/>
                <w:w w:val="98"/>
              </w:rPr>
              <w:t>Constant Currency</w:t>
            </w:r>
          </w:p>
        </w:tc>
        <w:tc>
          <w:tcPr>
            <w:tcW w:w="300" w:type="dxa"/>
            <w:vAlign w:val="bottom"/>
          </w:tcPr>
          <w:p>
            <w:pPr>
              <w:spacing w:after="0"/>
              <w:rPr>
                <w:sz w:val="11"/>
                <w:szCs w:val="11"/>
                <w:color w:val="auto"/>
              </w:rPr>
            </w:pPr>
          </w:p>
        </w:tc>
        <w:tc>
          <w:tcPr>
            <w:tcW w:w="9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Actual</w:t>
            </w:r>
          </w:p>
        </w:tc>
        <w:tc>
          <w:tcPr>
            <w:tcW w:w="1440" w:type="dxa"/>
            <w:vAlign w:val="bottom"/>
            <w:gridSpan w:val="2"/>
            <w:vMerge w:val="restart"/>
          </w:tcPr>
          <w:p>
            <w:pPr>
              <w:jc w:val="right"/>
              <w:ind w:right="157"/>
              <w:spacing w:after="0"/>
              <w:rPr>
                <w:sz w:val="20"/>
                <w:szCs w:val="20"/>
                <w:color w:val="auto"/>
              </w:rPr>
            </w:pPr>
            <w:r>
              <w:rPr>
                <w:rFonts w:ascii="Times New Roman" w:cs="Times New Roman" w:eastAsia="Times New Roman" w:hAnsi="Times New Roman"/>
                <w:sz w:val="14"/>
                <w:szCs w:val="14"/>
                <w:color w:val="auto"/>
              </w:rPr>
              <w:t>Constant Currency</w:t>
            </w:r>
          </w:p>
        </w:tc>
        <w:tc>
          <w:tcPr>
            <w:tcW w:w="132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Constant Currency</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w w:val="98"/>
              </w:rPr>
              <w:t>Change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Change</w:t>
            </w:r>
          </w:p>
        </w:tc>
        <w:tc>
          <w:tcPr>
            <w:tcW w:w="0" w:type="dxa"/>
            <w:vAlign w:val="bottom"/>
          </w:tcPr>
          <w:p>
            <w:pPr>
              <w:spacing w:after="0"/>
              <w:rPr>
                <w:sz w:val="1"/>
                <w:szCs w:val="1"/>
                <w:color w:val="auto"/>
              </w:rPr>
            </w:pPr>
          </w:p>
        </w:tc>
      </w:tr>
      <w:tr>
        <w:trPr>
          <w:trHeight w:val="19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customer data)</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2021</w:t>
            </w:r>
          </w:p>
        </w:tc>
        <w:tc>
          <w:tcPr>
            <w:tcW w:w="13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3,510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3,525</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11,073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11,197</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273</w:t>
            </w:r>
          </w:p>
        </w:tc>
        <w:tc>
          <w:tcPr>
            <w:tcW w:w="18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256</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6.4</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833</w:t>
            </w:r>
          </w:p>
        </w:tc>
        <w:tc>
          <w:tcPr>
            <w:tcW w:w="2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919</w:t>
            </w:r>
          </w:p>
        </w:tc>
        <w:tc>
          <w:tcPr>
            <w:tcW w:w="13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471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479</w:t>
            </w: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1,623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1,605</w:t>
            </w:r>
          </w:p>
        </w:tc>
        <w:tc>
          <w:tcPr>
            <w:tcW w:w="1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4,253</w:t>
            </w:r>
          </w:p>
        </w:tc>
        <w:tc>
          <w:tcPr>
            <w:tcW w:w="18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4,260</w:t>
            </w: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(0.2)</w:t>
            </w:r>
          </w:p>
        </w:tc>
        <w:tc>
          <w:tcPr>
            <w:tcW w:w="3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13,529</w:t>
            </w:r>
          </w:p>
        </w:tc>
        <w:tc>
          <w:tcPr>
            <w:tcW w:w="200" w:type="dxa"/>
            <w:vAlign w:val="bottom"/>
          </w:tcPr>
          <w:p>
            <w:pPr>
              <w:spacing w:after="0"/>
              <w:rPr>
                <w:sz w:val="18"/>
                <w:szCs w:val="18"/>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13,720</w:t>
            </w:r>
          </w:p>
        </w:tc>
        <w:tc>
          <w:tcPr>
            <w:tcW w:w="132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(1.4)</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1,570</w:t>
            </w:r>
          </w:p>
        </w:tc>
        <w:tc>
          <w:tcPr>
            <w:tcW w:w="18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1,520</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3.3</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5,080</w:t>
            </w:r>
          </w:p>
        </w:tc>
        <w:tc>
          <w:tcPr>
            <w:tcW w:w="2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6,062</w:t>
            </w:r>
          </w:p>
        </w:tc>
        <w:tc>
          <w:tcPr>
            <w:tcW w:w="13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 network costs</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635</w:t>
            </w:r>
          </w:p>
        </w:tc>
        <w:tc>
          <w:tcPr>
            <w:tcW w:w="18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553</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14.8</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1,944</w:t>
            </w:r>
          </w:p>
        </w:tc>
        <w:tc>
          <w:tcPr>
            <w:tcW w:w="20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1,726</w:t>
            </w: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1,348</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1,359</w:t>
            </w: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(0.8)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4,320</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4,234</w:t>
            </w:r>
          </w:p>
        </w:tc>
        <w:tc>
          <w:tcPr>
            <w:tcW w:w="1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3,553</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3,431</w:t>
            </w:r>
          </w:p>
        </w:tc>
        <w:tc>
          <w:tcPr>
            <w:tcW w:w="1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3.5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11,344</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12,022</w:t>
            </w:r>
          </w:p>
        </w:tc>
        <w:tc>
          <w:tcPr>
            <w:tcW w:w="13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701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829</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2,185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1,698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28.7 %</w:t>
            </w:r>
          </w:p>
        </w:tc>
        <w:tc>
          <w:tcPr>
            <w:tcW w:w="0" w:type="dxa"/>
            <w:vAlign w:val="bottom"/>
          </w:tcPr>
          <w:p>
            <w:pPr>
              <w:spacing w:after="0"/>
              <w:rPr>
                <w:sz w:val="1"/>
                <w:szCs w:val="1"/>
                <w:color w:val="auto"/>
              </w:rPr>
            </w:pPr>
          </w:p>
        </w:tc>
      </w:tr>
      <w:tr>
        <w:trPr>
          <w:trHeight w:val="163"/>
        </w:trPr>
        <w:tc>
          <w:tcPr>
            <w:tcW w:w="31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Average monthly direct-to-consumer</w:t>
            </w: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51.25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50.91</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0.7 %</w:t>
            </w: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53.48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vMerge w:val="restart"/>
          </w:tcPr>
          <w:p>
            <w:pPr>
              <w:jc w:val="right"/>
              <w:ind w:right="137"/>
              <w:spacing w:after="0"/>
              <w:rPr>
                <w:sz w:val="20"/>
                <w:szCs w:val="20"/>
                <w:color w:val="auto"/>
              </w:rPr>
            </w:pPr>
            <w:r>
              <w:rPr>
                <w:rFonts w:ascii="Times New Roman" w:cs="Times New Roman" w:eastAsia="Times New Roman" w:hAnsi="Times New Roman"/>
                <w:sz w:val="17"/>
                <w:szCs w:val="17"/>
                <w:b w:val="1"/>
                <w:bCs w:val="1"/>
                <w:color w:val="auto"/>
              </w:rPr>
              <w:t>53.87</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(0.7)%</w:t>
            </w:r>
          </w:p>
        </w:tc>
        <w:tc>
          <w:tcPr>
            <w:tcW w:w="0" w:type="dxa"/>
            <w:vAlign w:val="bottom"/>
          </w:tcPr>
          <w:p>
            <w:pPr>
              <w:spacing w:after="0"/>
              <w:rPr>
                <w:sz w:val="1"/>
                <w:szCs w:val="1"/>
                <w:color w:val="auto"/>
              </w:rPr>
            </w:pPr>
          </w:p>
        </w:tc>
      </w:tr>
      <w:tr>
        <w:trPr>
          <w:trHeight w:val="242"/>
        </w:trPr>
        <w:tc>
          <w:tcPr>
            <w:tcW w:w="3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revenue per customer relationship</w:t>
            </w:r>
          </w:p>
        </w:tc>
        <w:tc>
          <w:tcPr>
            <w:tcW w:w="2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Adjustments</w:t>
      </w:r>
    </w:p>
    <w:p>
      <w:pPr>
        <w:spacing w:after="0" w:line="13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Nine Months Ended</w:t>
            </w:r>
          </w:p>
        </w:tc>
      </w:tr>
      <w:tr>
        <w:trPr>
          <w:trHeight w:val="190"/>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4"/>
                <w:szCs w:val="14"/>
                <w:color w:val="auto"/>
                <w:w w:val="98"/>
              </w:rPr>
              <w:t>September 30,</w:t>
            </w:r>
          </w:p>
        </w:tc>
      </w:tr>
      <w:tr>
        <w:trPr>
          <w:trHeight w:val="182"/>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21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jc w:val="center"/>
              <w:ind w:left="33"/>
              <w:spacing w:after="0"/>
              <w:rPr>
                <w:sz w:val="20"/>
                <w:szCs w:val="20"/>
                <w:color w:val="auto"/>
              </w:rPr>
            </w:pPr>
            <w:r>
              <w:rPr>
                <w:rFonts w:ascii="Times New Roman" w:cs="Times New Roman" w:eastAsia="Times New Roman" w:hAnsi="Times New Roman"/>
                <w:sz w:val="17"/>
                <w:szCs w:val="17"/>
                <w:color w:val="auto"/>
              </w:rPr>
              <w:t>20,530</w:t>
            </w:r>
          </w:p>
        </w:tc>
        <w:tc>
          <w:tcPr>
            <w:tcW w:w="3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21,457</w:t>
            </w: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21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(10,158)</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(8,406)</w:t>
            </w:r>
          </w:p>
        </w:tc>
      </w:tr>
      <w:tr>
        <w:trPr>
          <w:trHeight w:val="22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21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(13,299)</w:t>
            </w:r>
          </w:p>
        </w:tc>
        <w:tc>
          <w:tcPr>
            <w:tcW w:w="3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(12,946)</w:t>
            </w:r>
          </w:p>
        </w:tc>
      </w:tr>
    </w:tbl>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80" w:type="dxa"/>
            <w:vAlign w:val="bottom"/>
          </w:tcPr>
          <w:p>
            <w:pPr>
              <w:spacing w:after="0"/>
              <w:rPr>
                <w:sz w:val="15"/>
                <w:szCs w:val="15"/>
                <w:color w:val="auto"/>
              </w:rPr>
            </w:pPr>
          </w:p>
        </w:tc>
        <w:tc>
          <w:tcPr>
            <w:tcW w:w="152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September 30, 2022</w:t>
            </w:r>
          </w:p>
        </w:tc>
        <w:tc>
          <w:tcPr>
            <w:tcW w:w="280" w:type="dxa"/>
            <w:vAlign w:val="bottom"/>
          </w:tcPr>
          <w:p>
            <w:pPr>
              <w:spacing w:after="0"/>
              <w:rPr>
                <w:sz w:val="15"/>
                <w:szCs w:val="15"/>
                <w:color w:val="auto"/>
              </w:rPr>
            </w:pPr>
          </w:p>
        </w:tc>
        <w:tc>
          <w:tcPr>
            <w:tcW w:w="150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3"/>
        </w:trPr>
        <w:tc>
          <w:tcPr>
            <w:tcW w:w="4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5,695</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r>
      <w:tr>
        <w:trPr>
          <w:trHeight w:val="22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Short-term and long-term debt</w:t>
            </w:r>
          </w:p>
        </w:tc>
        <w:tc>
          <w:tcPr>
            <w:tcW w:w="2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92,452</w:t>
            </w:r>
          </w:p>
        </w:tc>
        <w:tc>
          <w:tcPr>
            <w:tcW w:w="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94,850</w:t>
            </w:r>
          </w:p>
        </w:tc>
      </w:tr>
    </w:tbl>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maintain significant availability under our revolving credit facility and our commercial paper program to meet our short-term liquidity requirements. Our commercial paper program provides a lower-cost source of borrowing to fund our short-term working capital requirements. As of September 30, 2022, amounts available under our revolving credit facility, net of amounts outstanding under our commercial paper program and outstanding letters of credit and bank guarantees, totaled $11.0 billion.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Net Cash Provided by Operating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Nine Months Ended</w:t>
            </w:r>
          </w:p>
        </w:tc>
        <w:tc>
          <w:tcPr>
            <w:tcW w:w="900" w:type="dxa"/>
            <w:vAlign w:val="bottom"/>
          </w:tcPr>
          <w:p>
            <w:pPr>
              <w:spacing w:after="0"/>
              <w:rPr>
                <w:sz w:val="13"/>
                <w:szCs w:val="13"/>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color w:val="auto"/>
              </w:rPr>
              <w:t>September 30,</w:t>
            </w:r>
          </w:p>
        </w:tc>
        <w:tc>
          <w:tcPr>
            <w:tcW w:w="90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9,511</w:t>
            </w:r>
          </w:p>
        </w:tc>
        <w:tc>
          <w:tcPr>
            <w:tcW w:w="6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10,349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10,222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 and long-lived asset impairments</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8,583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989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(2,736)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(2,341)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(4,022)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(2,201)</w:t>
            </w:r>
          </w:p>
        </w:tc>
      </w:tr>
      <w:tr>
        <w:trPr>
          <w:trHeight w:val="22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Proceeds from investments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197</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r>
      <w:tr>
        <w:trPr>
          <w:trHeight w:val="22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20,530</w:t>
            </w:r>
          </w:p>
        </w:tc>
        <w:tc>
          <w:tcPr>
            <w:tcW w:w="6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21,457</w:t>
            </w:r>
          </w:p>
        </w:tc>
      </w:tr>
    </w:tbl>
    <w:p>
      <w:pPr>
        <w:spacing w:after="0" w:line="1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variance in changes in operating assets and liabilities for the nine months ended September 30, 2022 compared to the same period in 2021 was primarily related to the timing of amortization and related payments for our film and television costs, including the return to normal production levels and the timing of sporting events, and decreases in accounts receivable, which included the impact of our broadcast of the Tokyo Olympics in the prior year period.</w:t>
      </w:r>
    </w:p>
    <w:p>
      <w:pPr>
        <w:spacing w:after="0" w:line="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decrease in payments of interest for the nine months ended September 30, 2022 compared to the same period in 2021 was primarily due to the timing of interest payments following the debt exchange in August 2021, a decrease in average debt outstanding in the current year period and cash proceeds from the settlement of interest rate swaps related to the collateralized obligation.</w:t>
      </w:r>
    </w:p>
    <w:p>
      <w:pPr>
        <w:spacing w:after="0" w:line="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increase in payments of income taxes for the nine months ended September 30, 2022 compared to the same period in 2021 was primarily due to a tax benefit from our senior notes exchange in 2021, which reduced payments by $0.7 billion in the prior year, higher taxable income in the current year period and payments made in 2022 related to the preceding tax year.</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decrease in proceeds from investments and other for the nine months ended September 30, 2022 compared to the same period in 2021 was primarily due to decreased cash distributions received from equity method investments.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Net cash used in investing activities increased for the nine months ended September 30, 2022 compared to the same period in 2021, primarily reflecting purchases of short-term investments in the current year period (see Note 7) and increased capital expenditures and cash paid for intangible assets related to software development. These increases were partially offset by proceeds from the maturity of short-term investments and the sale of a business in the current year period, decreased cash paid related to the construction of Universal Beijing Resort in the current year period and cash paid for the acquisition of a business in the prior year period. Capital expenditures, which are our most significant recurring investing activity, increased for the nine months ended September 30, 2022 compared to the same period in 2021, primarily reflecting increased spending at Theme Parks primarily related to the development of the Epic Universe theme park in Orlando, and at Cable Communications due to increased spending on line extensions, scalable infrastructure, support capital and customer premise equipment. These increases were partially offset by decreased spending at Sky primarily related to customer premise equipment.</w:t>
      </w:r>
    </w:p>
    <w:p>
      <w:pPr>
        <w:spacing w:after="0" w:line="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2022, we formed the SkyShowtime joint venture with Paramount Global. The new direct-to-consumer streaming service was made available in select European markets in September 2022, and the partners have committed to a multiyear funding plan that began in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Net cash used in financing activities increased for the nine months ended September 30, 2022 compared to the same period in 2021 primarily due to increases in repurchases of common stock under our share repurchase program and employee plans in the current year and higher proceeds from borrowings in the prior year period, partially offset by higher repurchases and repayments of debt in the prior year period. Other financing activities included initial contributions related to our streaming platform joint venture with Charter Communications received in the current year period under a multiyear funding plan and payments related to the redemption of NBCUniversal Enterprise redeemable subsidiary preferred stock in the prior year period.</w:t>
      </w:r>
    </w:p>
    <w:p>
      <w:pPr>
        <w:spacing w:after="0" w:line="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5 and 7 for additional information on our financing activities.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 and Dividends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second quarter of 2021, we restarted our share repurchase program, which had been paused since the beginning of 2019. In September 2022, our Board of Directors approved a new share repurchase program authorization of $20 billion, effective September 13, 2022. During the nine months ended September 30, 2022, we repurchased a total of 225.7 million shares of our Class A common stock for $9.5 billion. Under the new authorization, which does not have an expiration date, we expect to repurchase additional shares during the remainder of 2022, which may be in the open market or in private transactions.</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addition, we paid $307 million for the nine months ended September 30, 2022 related to employee taxes associated with the administration of our share-based compensation plans.</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January 2022, our Board of Directors approved an 8% increase in our dividend to $1.08 per share on an annualized basis. On July 27, 2022, we paid dividends of $1.2 billion. In July 2022, our Board of Directors approved our third quarter dividend of $0.27 per share, which was paid in October 2022. We expect to continue to pay quarterly dividends, although each dividend is subject to approval by our Board of Directors.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 Structure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and Guarantee Structure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60" w:type="dxa"/>
            <w:vAlign w:val="bottom"/>
          </w:tcPr>
          <w:p>
            <w:pPr>
              <w:spacing w:after="0"/>
              <w:rPr>
                <w:sz w:val="15"/>
                <w:szCs w:val="15"/>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September 30, 2022</w:t>
            </w:r>
          </w:p>
        </w:tc>
        <w:tc>
          <w:tcPr>
            <w:tcW w:w="200" w:type="dxa"/>
            <w:vAlign w:val="bottom"/>
          </w:tcPr>
          <w:p>
            <w:pPr>
              <w:spacing w:after="0"/>
              <w:rPr>
                <w:sz w:val="15"/>
                <w:szCs w:val="15"/>
                <w:color w:val="auto"/>
              </w:rPr>
            </w:pPr>
          </w:p>
        </w:tc>
        <w:tc>
          <w:tcPr>
            <w:tcW w:w="15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3"/>
        </w:trPr>
        <w:tc>
          <w:tcPr>
            <w:tcW w:w="7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Debt Subject to Cross-Guarantees</w:t>
            </w: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Comcast</w:t>
            </w:r>
          </w:p>
        </w:tc>
        <w:tc>
          <w:tcPr>
            <w:tcW w:w="4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Comcast Cable</w:t>
            </w:r>
            <w:r>
              <w:rPr>
                <w:rFonts w:ascii="Times New Roman" w:cs="Times New Roman" w:eastAsia="Times New Roman" w:hAnsi="Times New Roman"/>
                <w:sz w:val="22"/>
                <w:szCs w:val="22"/>
                <w:color w:val="auto"/>
                <w:vertAlign w:val="superscript"/>
              </w:rPr>
              <w:t>(a)</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31"/>
        </w:trPr>
        <w:tc>
          <w:tcPr>
            <w:tcW w:w="754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NBCUniversal</w:t>
            </w:r>
            <w:r>
              <w:rPr>
                <w:rFonts w:ascii="Times New Roman" w:cs="Times New Roman" w:eastAsia="Times New Roman" w:hAnsi="Times New Roman"/>
                <w:sz w:val="22"/>
                <w:szCs w:val="22"/>
                <w:color w:val="auto"/>
                <w:vertAlign w:val="superscript"/>
              </w:rPr>
              <w:t>(a)</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Debt Subject to One-Way Guarantees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0" w:type="dxa"/>
            <w:vAlign w:val="bottom"/>
          </w:tcPr>
          <w:p>
            <w:pPr>
              <w:spacing w:after="0"/>
              <w:rPr>
                <w:sz w:val="1"/>
                <w:szCs w:val="1"/>
                <w:color w:val="auto"/>
              </w:rPr>
            </w:pPr>
          </w:p>
        </w:tc>
      </w:tr>
      <w:tr>
        <w:trPr>
          <w:trHeight w:val="212"/>
        </w:trPr>
        <w:tc>
          <w:tcPr>
            <w:tcW w:w="7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Sky</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1"/>
        </w:trPr>
        <w:tc>
          <w:tcPr>
            <w:tcW w:w="754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(a)</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Debt Not Guaranteed</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4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Universal Beijing Resort</w:t>
            </w:r>
            <w:r>
              <w:rPr>
                <w:rFonts w:ascii="Times New Roman" w:cs="Times New Roman" w:eastAsia="Times New Roman" w:hAnsi="Times New Roman"/>
                <w:sz w:val="22"/>
                <w:szCs w:val="22"/>
                <w:color w:val="auto"/>
                <w:vertAlign w:val="superscript"/>
              </w:rPr>
              <w:t>(b)</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Debt issuance costs, premiums, discounts, fair value adjustments for acquisition accounting and hedged</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65"/>
        </w:trPr>
        <w:tc>
          <w:tcPr>
            <w:tcW w:w="7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positions, net</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4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92.5</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20" w:hanging="315"/>
        <w:spacing w:after="0" w:line="285" w:lineRule="auto"/>
        <w:tabs>
          <w:tab w:leader="none" w:pos="31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Cross-Guarantees</w:t>
      </w:r>
    </w:p>
    <w:p>
      <w:pPr>
        <w:spacing w:after="0" w:line="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of September 30, 2022 and December 31, 2021, the combined Guarantors have noncurrent notes payable to non-guarantor subsidiaries of $127 billion and $126 billion, respectively, and noncurrent notes receivable from non-guarantor subsidiaries of $27 billion and $30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One-Way Guarantees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Comcast provides full and unconditional guarantees of certain debt issued by Sky and other consolidated subsidiaries not subject to the periodic reporting requirements of the SEC.</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of September 30, 2022 and December 31, 2021, Comcast and Comcast Holdings, the combined issuer and guarantor of the guaranteed subordinated debt, have noncurrent senior notes payable to non-guarantor subsidiaries of $98 billion and $96 billion, respectively, and noncurrent notes receivable from non-guarantor subsidiaries of $26 billion and $29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Judgments and Estimates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believe our judgments and related estimates associated with the valuation and impairment testing of goodwill and cable franchise rights are critical in the preparation of our condensed consolidated financial statements. We performed our annual impairment testing of goodwill and cable franchise rights as of July 1, 2022. In connection with our impairment assessment process, in order to support our qualitative assessments, we typically perform quantitative assessments of our reporting units approximately once every four years. Pursuant to this practice, our current year impairment testing for our cable franchise rights and goodwill in our Cable Communications and NBCUniversal segments was based on quantitative assessments, and no impairment was required.</w:t>
      </w:r>
    </w:p>
    <w:p>
      <w:pPr>
        <w:spacing w:after="0" w:line="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goodwill in our Sky segment resulted from our acquisition of Sky in the fourth quarter of 2018, and given this was a recent transaction, the fair value of the Sky reporting unit has been in close proximity to its carrying value. We performed a quantitative assessment for goodwill in our Sky reporting unit and determined that the fair value had declined, resulting in an impairment of $8.1 billion (see Note 8). In preparing the quantitative assessment, we estimated the fair value of the Sky reporting unit using a discounted cash flow analysis. This analysis involved significant judgment, including market participant estimates of future cash flows expected to be generated by the business, including the estimated impacts of macroeconomic conditions in the Sky territories, as well as the selection of the discount rate, which increased by 125 basis points compared to the analysis in 2021. When analyzing the fair value indicated under the discounted cash flow model, we also considered multiples of earnings from comparable public companies and recent market transactions.</w:t>
      </w:r>
    </w:p>
    <w:p>
      <w:pPr>
        <w:spacing w:after="0" w:line="7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Changes in market conditions, laws and regulations, and key assumptions made in future quantitative assessments, including expected cash flows, competitive factors and discount rates, could negatively impact the results of future impairment testing and could result in the recognition of an impairment charge.</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2021 Annual Report on Form 10-K.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We have evaluated the information required under this item that was disclosed in our 2021 Annual Report on Form 10-K and there have been no material changes to this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11 included in this Quarterly Report on Form 10-Q for a discussion of legal proceedings.</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changes from the risk factors previously disclosed in Item 1A of our 2021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Comcast's common stock repurchases during the three months ended September 30, 2022.</w:t>
      </w:r>
    </w:p>
    <w:p>
      <w:pPr>
        <w:spacing w:after="0" w:line="11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03"/>
              <w:spacing w:after="0"/>
              <w:rPr>
                <w:sz w:val="20"/>
                <w:szCs w:val="20"/>
                <w:color w:val="auto"/>
              </w:rPr>
            </w:pPr>
            <w:r>
              <w:rPr>
                <w:rFonts w:ascii="Times New Roman" w:cs="Times New Roman" w:eastAsia="Times New Roman" w:hAnsi="Times New Roman"/>
                <w:sz w:val="14"/>
                <w:szCs w:val="14"/>
                <w:color w:val="auto"/>
                <w:w w:val="95"/>
              </w:rPr>
              <w:t>Total Dollar</w:t>
            </w:r>
          </w:p>
        </w:tc>
        <w:tc>
          <w:tcPr>
            <w:tcW w:w="220" w:type="dxa"/>
            <w:vAlign w:val="bottom"/>
          </w:tcPr>
          <w:p>
            <w:pPr>
              <w:spacing w:after="0"/>
              <w:rPr>
                <w:sz w:val="13"/>
                <w:szCs w:val="13"/>
                <w:color w:val="auto"/>
              </w:rPr>
            </w:pPr>
          </w:p>
        </w:tc>
        <w:tc>
          <w:tcPr>
            <w:tcW w:w="1520" w:type="dxa"/>
            <w:vAlign w:val="bottom"/>
          </w:tcPr>
          <w:p>
            <w:pPr>
              <w:jc w:val="center"/>
              <w:ind w:right="102"/>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18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81"/>
              <w:spacing w:after="0"/>
              <w:rPr>
                <w:sz w:val="20"/>
                <w:szCs w:val="20"/>
                <w:color w:val="auto"/>
              </w:rPr>
            </w:pPr>
            <w:r>
              <w:rPr>
                <w:rFonts w:ascii="Times New Roman" w:cs="Times New Roman" w:eastAsia="Times New Roman" w:hAnsi="Times New Roman"/>
                <w:sz w:val="14"/>
                <w:szCs w:val="14"/>
                <w:color w:val="auto"/>
                <w:w w:val="96"/>
              </w:rPr>
              <w:t>Average</w:t>
            </w:r>
          </w:p>
        </w:tc>
        <w:tc>
          <w:tcPr>
            <w:tcW w:w="192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color w:val="auto"/>
                <w:w w:val="97"/>
              </w:rPr>
              <w:t>Total Number of</w:t>
            </w:r>
          </w:p>
        </w:tc>
        <w:tc>
          <w:tcPr>
            <w:tcW w:w="240" w:type="dxa"/>
            <w:vAlign w:val="bottom"/>
          </w:tcPr>
          <w:p>
            <w:pPr>
              <w:spacing w:after="0"/>
              <w:rPr>
                <w:sz w:val="12"/>
                <w:szCs w:val="12"/>
                <w:color w:val="auto"/>
              </w:rPr>
            </w:pPr>
          </w:p>
        </w:tc>
        <w:tc>
          <w:tcPr>
            <w:tcW w:w="1440" w:type="dxa"/>
            <w:vAlign w:val="bottom"/>
          </w:tcPr>
          <w:p>
            <w:pPr>
              <w:jc w:val="center"/>
              <w:ind w:right="103"/>
              <w:spacing w:after="0" w:line="144"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1520" w:type="dxa"/>
            <w:vAlign w:val="bottom"/>
          </w:tcPr>
          <w:p>
            <w:pPr>
              <w:jc w:val="center"/>
              <w:ind w:right="102"/>
              <w:spacing w:after="0" w:line="144" w:lineRule="exact"/>
              <w:rPr>
                <w:sz w:val="20"/>
                <w:szCs w:val="20"/>
                <w:color w:val="auto"/>
              </w:rPr>
            </w:pPr>
            <w:r>
              <w:rPr>
                <w:rFonts w:ascii="Times New Roman" w:cs="Times New Roman" w:eastAsia="Times New Roman" w:hAnsi="Times New Roman"/>
                <w:sz w:val="14"/>
                <w:szCs w:val="14"/>
                <w:color w:val="auto"/>
                <w:w w:val="99"/>
              </w:rPr>
              <w:t>Value of Shares That</w:t>
            </w:r>
          </w:p>
        </w:tc>
        <w:tc>
          <w:tcPr>
            <w:tcW w:w="0" w:type="dxa"/>
            <w:vAlign w:val="bottom"/>
          </w:tcPr>
          <w:p>
            <w:pPr>
              <w:spacing w:after="0"/>
              <w:rPr>
                <w:sz w:val="1"/>
                <w:szCs w:val="1"/>
                <w:color w:val="auto"/>
              </w:rPr>
            </w:pPr>
          </w:p>
        </w:tc>
      </w:tr>
      <w:tr>
        <w:trPr>
          <w:trHeight w:val="140"/>
        </w:trPr>
        <w:tc>
          <w:tcPr>
            <w:tcW w:w="21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03"/>
              <w:spacing w:after="0" w:line="141" w:lineRule="exact"/>
              <w:rPr>
                <w:sz w:val="20"/>
                <w:szCs w:val="20"/>
                <w:color w:val="auto"/>
              </w:rPr>
            </w:pPr>
            <w:r>
              <w:rPr>
                <w:rFonts w:ascii="Times New Roman" w:cs="Times New Roman" w:eastAsia="Times New Roman" w:hAnsi="Times New Roman"/>
                <w:sz w:val="14"/>
                <w:szCs w:val="14"/>
                <w:color w:val="auto"/>
              </w:rPr>
              <w:t>Purchased</w:t>
            </w:r>
          </w:p>
        </w:tc>
        <w:tc>
          <w:tcPr>
            <w:tcW w:w="220" w:type="dxa"/>
            <w:vAlign w:val="bottom"/>
          </w:tcPr>
          <w:p>
            <w:pPr>
              <w:spacing w:after="0"/>
              <w:rPr>
                <w:sz w:val="12"/>
                <w:szCs w:val="12"/>
                <w:color w:val="auto"/>
              </w:rPr>
            </w:pPr>
          </w:p>
        </w:tc>
        <w:tc>
          <w:tcPr>
            <w:tcW w:w="1520" w:type="dxa"/>
            <w:vAlign w:val="bottom"/>
          </w:tcPr>
          <w:p>
            <w:pPr>
              <w:jc w:val="center"/>
              <w:ind w:right="102"/>
              <w:spacing w:after="0" w:line="141" w:lineRule="exact"/>
              <w:rPr>
                <w:sz w:val="20"/>
                <w:szCs w:val="20"/>
                <w:color w:val="auto"/>
              </w:rPr>
            </w:pPr>
            <w:r>
              <w:rPr>
                <w:rFonts w:ascii="Times New Roman" w:cs="Times New Roman" w:eastAsia="Times New Roman" w:hAnsi="Times New Roman"/>
                <w:sz w:val="14"/>
                <w:szCs w:val="14"/>
                <w:color w:val="auto"/>
                <w:w w:val="96"/>
              </w:rPr>
              <w:t>May Yet Be</w:t>
            </w: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188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1"/>
                <w:szCs w:val="11"/>
                <w:color w:val="auto"/>
              </w:rPr>
            </w:pPr>
          </w:p>
        </w:tc>
        <w:tc>
          <w:tcPr>
            <w:tcW w:w="1100" w:type="dxa"/>
            <w:vAlign w:val="bottom"/>
          </w:tcPr>
          <w:p>
            <w:pPr>
              <w:jc w:val="center"/>
              <w:ind w:right="281"/>
              <w:spacing w:after="0" w:line="135"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color w:val="auto"/>
                <w:w w:val="99"/>
              </w:rPr>
              <w:t>Shares Purchased</w:t>
            </w:r>
          </w:p>
        </w:tc>
        <w:tc>
          <w:tcPr>
            <w:tcW w:w="240" w:type="dxa"/>
            <w:vAlign w:val="bottom"/>
          </w:tcPr>
          <w:p>
            <w:pPr>
              <w:spacing w:after="0"/>
              <w:rPr>
                <w:sz w:val="11"/>
                <w:szCs w:val="11"/>
                <w:color w:val="auto"/>
              </w:rPr>
            </w:pPr>
          </w:p>
        </w:tc>
        <w:tc>
          <w:tcPr>
            <w:tcW w:w="1440" w:type="dxa"/>
            <w:vAlign w:val="bottom"/>
          </w:tcPr>
          <w:p>
            <w:pPr>
              <w:jc w:val="center"/>
              <w:ind w:right="103"/>
              <w:spacing w:after="0" w:line="135" w:lineRule="exact"/>
              <w:rPr>
                <w:sz w:val="20"/>
                <w:szCs w:val="20"/>
                <w:color w:val="auto"/>
              </w:rPr>
            </w:pPr>
            <w:r>
              <w:rPr>
                <w:rFonts w:ascii="Times New Roman" w:cs="Times New Roman" w:eastAsia="Times New Roman" w:hAnsi="Times New Roman"/>
                <w:sz w:val="14"/>
                <w:szCs w:val="14"/>
                <w:color w:val="auto"/>
              </w:rPr>
              <w:t>Under the Publicly</w:t>
            </w:r>
          </w:p>
        </w:tc>
        <w:tc>
          <w:tcPr>
            <w:tcW w:w="17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Purchased Under the Publicly</w:t>
            </w:r>
          </w:p>
        </w:tc>
        <w:tc>
          <w:tcPr>
            <w:tcW w:w="0" w:type="dxa"/>
            <w:vAlign w:val="bottom"/>
          </w:tcPr>
          <w:p>
            <w:pPr>
              <w:spacing w:after="0"/>
              <w:rPr>
                <w:sz w:val="1"/>
                <w:szCs w:val="1"/>
                <w:color w:val="auto"/>
              </w:rPr>
            </w:pPr>
          </w:p>
        </w:tc>
      </w:tr>
      <w:tr>
        <w:trPr>
          <w:trHeight w:val="140"/>
        </w:trPr>
        <w:tc>
          <w:tcPr>
            <w:tcW w:w="2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880" w:type="dxa"/>
            <w:vAlign w:val="bottom"/>
          </w:tcPr>
          <w:p>
            <w:pPr>
              <w:jc w:val="center"/>
              <w:ind w:right="61"/>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2"/>
                <w:szCs w:val="12"/>
                <w:color w:val="auto"/>
              </w:rPr>
            </w:pPr>
          </w:p>
        </w:tc>
        <w:tc>
          <w:tcPr>
            <w:tcW w:w="110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ind w:right="21"/>
              <w:spacing w:after="0" w:line="141" w:lineRule="exact"/>
              <w:rPr>
                <w:sz w:val="20"/>
                <w:szCs w:val="20"/>
                <w:color w:val="auto"/>
              </w:rPr>
            </w:pPr>
            <w:r>
              <w:rPr>
                <w:rFonts w:ascii="Times New Roman" w:cs="Times New Roman" w:eastAsia="Times New Roman" w:hAnsi="Times New Roman"/>
                <w:sz w:val="14"/>
                <w:szCs w:val="14"/>
                <w:color w:val="auto"/>
                <w:w w:val="98"/>
              </w:rPr>
              <w:t>as Part of Publicly</w:t>
            </w:r>
          </w:p>
        </w:tc>
        <w:tc>
          <w:tcPr>
            <w:tcW w:w="240" w:type="dxa"/>
            <w:vAlign w:val="bottom"/>
          </w:tcPr>
          <w:p>
            <w:pPr>
              <w:spacing w:after="0"/>
              <w:rPr>
                <w:sz w:val="12"/>
                <w:szCs w:val="12"/>
                <w:color w:val="auto"/>
              </w:rPr>
            </w:pPr>
          </w:p>
        </w:tc>
        <w:tc>
          <w:tcPr>
            <w:tcW w:w="1440" w:type="dxa"/>
            <w:vAlign w:val="bottom"/>
          </w:tcPr>
          <w:p>
            <w:pPr>
              <w:jc w:val="center"/>
              <w:ind w:right="103"/>
              <w:spacing w:after="0" w:line="141" w:lineRule="exact"/>
              <w:rPr>
                <w:sz w:val="20"/>
                <w:szCs w:val="20"/>
                <w:color w:val="auto"/>
              </w:rPr>
            </w:pPr>
            <w:r>
              <w:rPr>
                <w:rFonts w:ascii="Times New Roman" w:cs="Times New Roman" w:eastAsia="Times New Roman" w:hAnsi="Times New Roman"/>
                <w:sz w:val="14"/>
                <w:szCs w:val="14"/>
                <w:color w:val="auto"/>
              </w:rPr>
              <w:t>Announced</w:t>
            </w:r>
          </w:p>
        </w:tc>
        <w:tc>
          <w:tcPr>
            <w:tcW w:w="220" w:type="dxa"/>
            <w:vAlign w:val="bottom"/>
          </w:tcPr>
          <w:p>
            <w:pPr>
              <w:spacing w:after="0"/>
              <w:rPr>
                <w:sz w:val="12"/>
                <w:szCs w:val="12"/>
                <w:color w:val="auto"/>
              </w:rPr>
            </w:pPr>
          </w:p>
        </w:tc>
        <w:tc>
          <w:tcPr>
            <w:tcW w:w="1520" w:type="dxa"/>
            <w:vAlign w:val="bottom"/>
          </w:tcPr>
          <w:p>
            <w:pPr>
              <w:jc w:val="center"/>
              <w:ind w:right="102"/>
              <w:spacing w:after="0" w:line="141"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auto"/>
            </w:tcBorders>
            <w:vMerge w:val="continue"/>
          </w:tcPr>
          <w:p>
            <w:pPr>
              <w:spacing w:after="0"/>
              <w:rPr>
                <w:sz w:val="17"/>
                <w:szCs w:val="17"/>
                <w:color w:val="auto"/>
              </w:rPr>
            </w:pPr>
          </w:p>
        </w:tc>
        <w:tc>
          <w:tcPr>
            <w:tcW w:w="18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color w:val="auto"/>
                <w:w w:val="98"/>
              </w:rPr>
              <w:t>Announced Authorization</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color w:val="auto"/>
              </w:rPr>
              <w:t>Authorization</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2"/>
              <w:spacing w:after="0" w:line="196" w:lineRule="exact"/>
              <w:rPr>
                <w:sz w:val="20"/>
                <w:szCs w:val="20"/>
                <w:color w:val="auto"/>
              </w:rPr>
            </w:pPr>
            <w:r>
              <w:rPr>
                <w:rFonts w:ascii="Times New Roman" w:cs="Times New Roman" w:eastAsia="Times New Roman" w:hAnsi="Times New Roman"/>
                <w:sz w:val="14"/>
                <w:szCs w:val="14"/>
                <w:color w:val="auto"/>
                <w:w w:val="94"/>
              </w:rPr>
              <w:t>Authorization</w:t>
            </w:r>
            <w:r>
              <w:rPr>
                <w:rFonts w:ascii="Times New Roman" w:cs="Times New Roman" w:eastAsia="Times New Roman" w:hAnsi="Times New Roman"/>
                <w:sz w:val="18"/>
                <w:szCs w:val="18"/>
                <w:color w:val="auto"/>
                <w:w w:val="94"/>
                <w:vertAlign w:val="superscript"/>
              </w:rPr>
              <w:t>(a)</w:t>
            </w:r>
          </w:p>
        </w:tc>
        <w:tc>
          <w:tcPr>
            <w:tcW w:w="0" w:type="dxa"/>
            <w:vAlign w:val="bottom"/>
          </w:tcPr>
          <w:p>
            <w:pPr>
              <w:spacing w:after="0"/>
              <w:rPr>
                <w:sz w:val="1"/>
                <w:szCs w:val="1"/>
                <w:color w:val="auto"/>
              </w:rPr>
            </w:pPr>
          </w:p>
        </w:tc>
      </w:tr>
      <w:tr>
        <w:trPr>
          <w:trHeight w:val="221"/>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July 1-31, 2022</w:t>
            </w:r>
          </w:p>
        </w:tc>
        <w:tc>
          <w:tcPr>
            <w:tcW w:w="188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rPr>
              <w:t>27,188,922</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40.53</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27,188,922</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1,102,067,683</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2,897,932,152</w:t>
            </w:r>
          </w:p>
        </w:tc>
        <w:tc>
          <w:tcPr>
            <w:tcW w:w="0" w:type="dxa"/>
            <w:vAlign w:val="bottom"/>
          </w:tcPr>
          <w:p>
            <w:pPr>
              <w:spacing w:after="0"/>
              <w:rPr>
                <w:sz w:val="1"/>
                <w:szCs w:val="1"/>
                <w:color w:val="auto"/>
              </w:rPr>
            </w:pPr>
          </w:p>
        </w:tc>
      </w:tr>
      <w:tr>
        <w:trPr>
          <w:trHeight w:val="226"/>
        </w:trPr>
        <w:tc>
          <w:tcPr>
            <w:tcW w:w="2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1-31, 2022</w:t>
            </w:r>
          </w:p>
        </w:tc>
        <w:tc>
          <w:tcPr>
            <w:tcW w:w="188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rPr>
              <w:t>43,390,465</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38.07</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43,390,465</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1,651,757,358</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1,246,174,794</w:t>
            </w:r>
          </w:p>
        </w:tc>
        <w:tc>
          <w:tcPr>
            <w:tcW w:w="0" w:type="dxa"/>
            <w:vAlign w:val="bottom"/>
          </w:tcPr>
          <w:p>
            <w:pPr>
              <w:spacing w:after="0"/>
              <w:rPr>
                <w:sz w:val="1"/>
                <w:szCs w:val="1"/>
                <w:color w:val="auto"/>
              </w:rPr>
            </w:pPr>
          </w:p>
        </w:tc>
      </w:tr>
      <w:tr>
        <w:trPr>
          <w:trHeight w:val="228"/>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September 1-30, 2022</w:t>
            </w:r>
          </w:p>
        </w:tc>
        <w:tc>
          <w:tcPr>
            <w:tcW w:w="1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21,764,292</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color w:val="auto"/>
              </w:rPr>
              <w:t>34.28</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21,764,292</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746,174,717</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19,500,000,217</w:t>
            </w:r>
          </w:p>
        </w:tc>
        <w:tc>
          <w:tcPr>
            <w:tcW w:w="0" w:type="dxa"/>
            <w:vAlign w:val="bottom"/>
          </w:tcPr>
          <w:p>
            <w:pPr>
              <w:spacing w:after="0"/>
              <w:rPr>
                <w:sz w:val="1"/>
                <w:szCs w:val="1"/>
                <w:color w:val="auto"/>
              </w:rPr>
            </w:pPr>
          </w:p>
        </w:tc>
      </w:tr>
      <w:tr>
        <w:trPr>
          <w:trHeight w:val="222"/>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92,343,679</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37.90</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92,343,679</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3,499,999,758</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19,500,000,217</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20" w:hanging="315"/>
        <w:spacing w:after="0" w:line="285" w:lineRule="auto"/>
        <w:tabs>
          <w:tab w:leader="none" w:pos="31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13, 2022, our Board of Directors approved a new share repurchase program authorization of $20 billion. Under the new authorization, which does not have an expiration date, we expect to repurchase additional shares, which may be in the open market or in private transactions.</w:t>
      </w:r>
    </w:p>
    <w:p>
      <w:pPr>
        <w:spacing w:after="0" w:line="6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total number of shares purchased during the three months ended September 30, 2022 does not include any shares received in the administration of employee share-based compensation plans as there were none received during the period.</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October 25, 2022, the Company entered into a new employment agreement with David N. Watson. Mr. Watson's prior employment agreement would have expired on December 31, 2022, in accordance with its terms. The employment agreement secures Mr. Watson's employment though December 31, 2025, and increases his annual base salary to $2.5 million effective March 1, 2023. The remaining terms and conditions of Mr. Watson's new employment agreement are generally unchanged from his prior agreement.</w:t>
      </w:r>
    </w:p>
    <w:p>
      <w:pPr>
        <w:spacing w:after="0" w:line="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6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7"/>
          <w:szCs w:val="17"/>
          <w:u w:val="single" w:color="auto"/>
          <w:color w:val="0000FF"/>
        </w:rPr>
        <w:t>10.1*</w:t>
      </w:r>
      <w:r>
        <w:rPr>
          <w:sz w:val="20"/>
          <w:szCs w:val="20"/>
          <w:color w:val="auto"/>
        </w:rPr>
        <w:tab/>
      </w:r>
      <w:r>
        <w:rPr>
          <w:rFonts w:ascii="Times New Roman" w:cs="Times New Roman" w:eastAsia="Times New Roman" w:hAnsi="Times New Roman"/>
          <w:sz w:val="17"/>
          <w:szCs w:val="17"/>
          <w:color w:val="auto"/>
        </w:rPr>
        <w:t>Employment Agreement between Comcast Corporation and David N. Watson, dated as of October 25, 2022.</w:t>
      </w:r>
    </w:p>
    <w:p>
      <w:pPr>
        <w:spacing w:after="0" w:line="32" w:lineRule="exact"/>
        <w:rPr>
          <w:sz w:val="20"/>
          <w:szCs w:val="20"/>
          <w:color w:val="auto"/>
        </w:rPr>
      </w:pPr>
    </w:p>
    <w:p>
      <w:pPr>
        <w:ind w:left="880" w:right="20" w:hanging="858"/>
        <w:spacing w:after="0" w:line="249" w:lineRule="auto"/>
        <w:tabs>
          <w:tab w:leader="none" w:pos="880" w:val="left"/>
        </w:tabs>
        <w:numPr>
          <w:ilvl w:val="0"/>
          <w:numId w:val="1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Subsidiary guarantors and issuers of guaranteed securities and affiliates whose securities collateralize securities of the registrant (incorporated by reference to Exhibit 22 to Comcast's Quarterly Report on Form 10-Q for the quarter ended September 30, 2021).</w:t>
      </w:r>
    </w:p>
    <w:p>
      <w:pPr>
        <w:ind w:left="880" w:hanging="858"/>
        <w:spacing w:after="0"/>
        <w:tabs>
          <w:tab w:leader="none" w:pos="880" w:val="left"/>
        </w:tabs>
        <w:numPr>
          <w:ilvl w:val="0"/>
          <w:numId w:val="18"/>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7"/>
          <w:szCs w:val="17"/>
          <w:u w:val="single" w:color="auto"/>
          <w:color w:val="0000FF"/>
        </w:rPr>
      </w:pPr>
    </w:p>
    <w:p>
      <w:pPr>
        <w:ind w:left="880" w:hanging="858"/>
        <w:spacing w:after="0"/>
        <w:tabs>
          <w:tab w:leader="none" w:pos="880" w:val="left"/>
        </w:tabs>
        <w:numPr>
          <w:ilvl w:val="0"/>
          <w:numId w:val="18"/>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880" w:right="20" w:hanging="858"/>
        <w:spacing w:after="0" w:line="226" w:lineRule="auto"/>
        <w:tabs>
          <w:tab w:leader="none" w:pos="8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Comcast Corporation’s Quarterly Report on Form 10-Q for the nine months ended September 30, 2022, filed with the Securities and Exchange Commission on October 27, 2022, formatted in Inline Extensible Business Reporting Language (iXBRL):</w:t>
      </w:r>
    </w:p>
    <w:p>
      <w:pPr>
        <w:jc w:val="both"/>
        <w:ind w:left="880" w:right="20" w:firstLine="7"/>
        <w:spacing w:after="0" w:line="229" w:lineRule="auto"/>
        <w:tabs>
          <w:tab w:leader="none" w:pos="110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2"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1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4" w:lineRule="exact"/>
        <w:rPr>
          <w:sz w:val="20"/>
          <w:szCs w:val="20"/>
          <w:color w:val="auto"/>
        </w:rPr>
      </w:pPr>
    </w:p>
    <w:p>
      <w:pPr>
        <w:ind w:left="880" w:hanging="858"/>
        <w:spacing w:after="0"/>
        <w:tabs>
          <w:tab w:leader="none" w:pos="8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Constitutes a management contract or compensatory plan or arrangement.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0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80"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20320</wp:posOffset>
            </wp:positionV>
            <wp:extent cx="31026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C. Murdock</w:t>
      </w:r>
    </w:p>
    <w:p>
      <w:pPr>
        <w:ind w:left="6380"/>
        <w:spacing w:after="0" w:line="218" w:lineRule="auto"/>
        <w:rPr>
          <w:sz w:val="20"/>
          <w:szCs w:val="20"/>
          <w:color w:val="auto"/>
        </w:rPr>
      </w:pPr>
      <w:r>
        <w:rPr>
          <w:rFonts w:ascii="Times New Roman" w:cs="Times New Roman" w:eastAsia="Times New Roman" w:hAnsi="Times New Roman"/>
          <w:sz w:val="17"/>
          <w:szCs w:val="17"/>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72" w:right="339" w:bottom="1440" w:gutter="0" w:footer="0" w:header="0"/>
        </w:sectPr>
      </w:pPr>
    </w:p>
    <w:bookmarkStart w:id="39" w:name="page40"/>
    <w:bookmarkEnd w:id="39"/>
    <w:p>
      <w:pPr>
        <w:jc w:val="center"/>
        <w:ind w:right="-59"/>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208" w:lineRule="exact"/>
        <w:rPr>
          <w:sz w:val="20"/>
          <w:szCs w:val="20"/>
          <w:color w:val="auto"/>
        </w:rPr>
      </w:pPr>
    </w:p>
    <w:p>
      <w:pPr>
        <w:ind w:firstLine="206"/>
        <w:spacing w:after="0" w:line="229" w:lineRule="auto"/>
        <w:rPr>
          <w:sz w:val="20"/>
          <w:szCs w:val="20"/>
          <w:color w:val="auto"/>
        </w:rPr>
      </w:pPr>
      <w:r>
        <w:rPr>
          <w:rFonts w:ascii="Times New Roman" w:cs="Times New Roman" w:eastAsia="Times New Roman" w:hAnsi="Times New Roman"/>
          <w:sz w:val="21"/>
          <w:szCs w:val="21"/>
          <w:color w:val="auto"/>
        </w:rPr>
        <w:t>This EMPLOYMENT AGREEMENT (the “Agreement”) is entered into as of the 25th day of October, 2022, between COMCAST CORPORATION, a Pennsylvania corporation (together with its subsidiaries, the “Company”), and DAVID N. WATSON (“Employee”).</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BACKGROUND</w:t>
      </w:r>
    </w:p>
    <w:p>
      <w:pPr>
        <w:spacing w:after="0" w:line="208" w:lineRule="exact"/>
        <w:rPr>
          <w:sz w:val="20"/>
          <w:szCs w:val="20"/>
          <w:color w:val="auto"/>
        </w:rPr>
      </w:pPr>
    </w:p>
    <w:p>
      <w:pPr>
        <w:jc w:val="both"/>
        <w:ind w:firstLine="210"/>
        <w:spacing w:after="0" w:line="229" w:lineRule="auto"/>
        <w:rPr>
          <w:sz w:val="20"/>
          <w:szCs w:val="20"/>
          <w:color w:val="auto"/>
        </w:rPr>
      </w:pPr>
      <w:r>
        <w:rPr>
          <w:rFonts w:ascii="Times New Roman" w:cs="Times New Roman" w:eastAsia="Times New Roman" w:hAnsi="Times New Roman"/>
          <w:sz w:val="21"/>
          <w:szCs w:val="21"/>
          <w:color w:val="auto"/>
        </w:rPr>
        <w:t>Employee desires to have Employee’s employment relationship with the Company be governed by the terms and conditions of this Agreement, which include material benefits favorable to Employee. In return for such material benefits, Employee is agreeing to the terms and conditions contained in this Agreement, which include material obligations on Employee.</w:t>
      </w:r>
    </w:p>
    <w:p>
      <w:pPr>
        <w:spacing w:after="0" w:line="1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Intending to be legally bound, the Company and Employee agree as follows:</w:t>
      </w:r>
    </w:p>
    <w:p>
      <w:pPr>
        <w:spacing w:after="0" w:line="204" w:lineRule="exact"/>
        <w:rPr>
          <w:sz w:val="20"/>
          <w:szCs w:val="20"/>
          <w:color w:val="auto"/>
        </w:rPr>
      </w:pPr>
    </w:p>
    <w:p>
      <w:pPr>
        <w:ind w:left="580" w:hanging="366"/>
        <w:spacing w:after="0"/>
        <w:tabs>
          <w:tab w:leader="none" w:pos="5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jc w:val="both"/>
        <w:ind w:right="240" w:firstLine="424"/>
        <w:spacing w:after="0" w:line="224" w:lineRule="auto"/>
        <w:tabs>
          <w:tab w:leader="none" w:pos="861"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serve, and the Company shall employ Employee in the position set forth on Schedule 1. Employee shall report directly to the Company’s Chief Executive Officer (currently Brian L. Roberts), in Philadelphia, Pennsylvania. The position and duties of Employee from time to time hereunder assigned by the Company will be commensurate with Employee’s education, skills and experience.</w:t>
      </w:r>
    </w:p>
    <w:p>
      <w:pPr>
        <w:spacing w:after="0" w:line="172" w:lineRule="exact"/>
        <w:rPr>
          <w:rFonts w:ascii="Times New Roman" w:cs="Times New Roman" w:eastAsia="Times New Roman" w:hAnsi="Times New Roman"/>
          <w:sz w:val="21"/>
          <w:szCs w:val="21"/>
          <w:color w:val="auto"/>
        </w:rPr>
      </w:pPr>
    </w:p>
    <w:p>
      <w:pPr>
        <w:ind w:right="60" w:firstLine="424"/>
        <w:spacing w:after="0" w:line="221" w:lineRule="auto"/>
        <w:tabs>
          <w:tab w:leader="none" w:pos="873"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71" w:lineRule="exact"/>
        <w:rPr>
          <w:rFonts w:ascii="Times New Roman" w:cs="Times New Roman" w:eastAsia="Times New Roman" w:hAnsi="Times New Roman"/>
          <w:sz w:val="21"/>
          <w:szCs w:val="21"/>
          <w:color w:val="auto"/>
        </w:rPr>
      </w:pPr>
    </w:p>
    <w:p>
      <w:pPr>
        <w:ind w:right="180" w:firstLine="424"/>
        <w:spacing w:after="0" w:line="241" w:lineRule="auto"/>
        <w:tabs>
          <w:tab w:leader="none" w:pos="858"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comply with all policies of the Company applicable to them, including those contained in the Employee Handbook and the Code of Conduct.</w:t>
      </w:r>
    </w:p>
    <w:p>
      <w:pPr>
        <w:spacing w:after="0" w:line="162" w:lineRule="exact"/>
        <w:rPr>
          <w:rFonts w:ascii="Times New Roman" w:cs="Times New Roman" w:eastAsia="Times New Roman" w:hAnsi="Times New Roman"/>
          <w:sz w:val="21"/>
          <w:szCs w:val="21"/>
          <w:color w:val="auto"/>
        </w:rPr>
      </w:pPr>
    </w:p>
    <w:p>
      <w:pPr>
        <w:ind w:left="580" w:hanging="366"/>
        <w:spacing w:after="0"/>
        <w:tabs>
          <w:tab w:leader="none" w:pos="5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(the “Term”) shall be from the date first-above written (the “Commencement Date”)</w:t>
      </w:r>
    </w:p>
    <w:p>
      <w:pPr>
        <w:ind w:right="2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through the first to occur of: (a) the date Employee’s employment is terminated in accordance with Paragraph 6; or (b) December 31, 2025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w:t>
      </w:r>
    </w:p>
    <w:p>
      <w:pPr>
        <w:sectPr>
          <w:pgSz w:w="11900" w:h="16838" w:orient="portrait"/>
          <w:cols w:equalWidth="0" w:num="1">
            <w:col w:w="11180"/>
          </w:cols>
          <w:pgMar w:left="320" w:top="1352" w:right="399" w:bottom="1440" w:gutter="0" w:footer="0" w:header="0"/>
        </w:sectPr>
      </w:pPr>
    </w:p>
    <w:bookmarkStart w:id="40" w:name="page41"/>
    <w:bookmarkEnd w:id="40"/>
    <w:p>
      <w:pPr>
        <w:ind w:left="560" w:hanging="366"/>
        <w:spacing w:after="0"/>
        <w:tabs>
          <w:tab w:leader="none" w:pos="5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left="-20" w:right="60" w:firstLine="424"/>
        <w:spacing w:after="0" w:line="219" w:lineRule="auto"/>
        <w:tabs>
          <w:tab w:leader="none" w:pos="841"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Employee’s base salary (“Base Salary”) from March 1, 2023 through February 29, 2024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w:t>
      </w:r>
    </w:p>
    <w:p>
      <w:pPr>
        <w:spacing w:after="0" w:line="171" w:lineRule="exact"/>
        <w:rPr>
          <w:rFonts w:ascii="Times New Roman" w:cs="Times New Roman" w:eastAsia="Times New Roman" w:hAnsi="Times New Roman"/>
          <w:sz w:val="21"/>
          <w:szCs w:val="21"/>
          <w:color w:val="auto"/>
        </w:rPr>
      </w:pPr>
    </w:p>
    <w:p>
      <w:pPr>
        <w:ind w:left="-20" w:right="340" w:firstLine="424"/>
        <w:spacing w:after="0" w:line="224" w:lineRule="auto"/>
        <w:tabs>
          <w:tab w:leader="none" w:pos="853"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and Stock Option Grants</w:t>
      </w:r>
      <w:r>
        <w:rPr>
          <w:rFonts w:ascii="Times New Roman" w:cs="Times New Roman" w:eastAsia="Times New Roman" w:hAnsi="Times New Roman"/>
          <w:sz w:val="21"/>
          <w:szCs w:val="21"/>
          <w:color w:val="auto"/>
        </w:rPr>
        <w:t>. Continuing in 2023 and in each subsequent calendar year in the Term, Employee shall be entitled to participate in any annual broad-based grant programs under the Company’s Restricted Stock Plan and/or Stock Option Plan (or any successor equity-based compensation plan or plans) on a basis consistent with that applicable to other employees at Employee’s level, taking into account Employee’s position, duties and performance.</w:t>
      </w:r>
    </w:p>
    <w:p>
      <w:pPr>
        <w:spacing w:after="0" w:line="172" w:lineRule="exact"/>
        <w:rPr>
          <w:rFonts w:ascii="Times New Roman" w:cs="Times New Roman" w:eastAsia="Times New Roman" w:hAnsi="Times New Roman"/>
          <w:sz w:val="21"/>
          <w:szCs w:val="21"/>
          <w:color w:val="auto"/>
        </w:rPr>
      </w:pPr>
    </w:p>
    <w:p>
      <w:pPr>
        <w:ind w:left="840" w:hanging="436"/>
        <w:spacing w:after="0"/>
        <w:tabs>
          <w:tab w:leader="none" w:pos="84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Bonuses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left="-20" w:right="60" w:firstLine="634"/>
        <w:spacing w:after="0" w:line="224" w:lineRule="auto"/>
        <w:tabs>
          <w:tab w:leader="none" w:pos="1016"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be entitled to participate in the Company’s Cash Bonus Plan as set forth on Schedule 1 for 2022. Employee’s participation in such Plan will be pursuant to the terms and conditions thereof. The performance goals applicable to such participation will be consistent with those applicable to other employees at Employee’s level, taking into account Employee’s position and duties.</w:t>
      </w:r>
    </w:p>
    <w:p>
      <w:pPr>
        <w:spacing w:after="0" w:line="172" w:lineRule="exact"/>
        <w:rPr>
          <w:rFonts w:ascii="Times New Roman" w:cs="Times New Roman" w:eastAsia="Times New Roman" w:hAnsi="Times New Roman"/>
          <w:sz w:val="21"/>
          <w:szCs w:val="21"/>
          <w:color w:val="auto"/>
        </w:rPr>
      </w:pPr>
    </w:p>
    <w:p>
      <w:pPr>
        <w:ind w:left="-20" w:right="40" w:firstLine="634"/>
        <w:spacing w:after="0" w:line="221" w:lineRule="auto"/>
        <w:tabs>
          <w:tab w:leader="none" w:pos="1071"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subsequent calendar year in the Term, Employee shall be entitled to continue to participate in the Company’s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spacing w:after="0" w:line="171" w:lineRule="exact"/>
        <w:rPr>
          <w:rFonts w:ascii="Times New Roman" w:cs="Times New Roman" w:eastAsia="Times New Roman" w:hAnsi="Times New Roman"/>
          <w:sz w:val="21"/>
          <w:szCs w:val="21"/>
          <w:color w:val="auto"/>
        </w:rPr>
      </w:pPr>
    </w:p>
    <w:p>
      <w:pPr>
        <w:ind w:left="-20" w:firstLine="214"/>
        <w:spacing w:after="0" w:line="214" w:lineRule="auto"/>
        <w:tabs>
          <w:tab w:leader="none" w:pos="55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Plans and Programs</w:t>
      </w:r>
      <w:r>
        <w:rPr>
          <w:rFonts w:ascii="Times New Roman" w:cs="Times New Roman" w:eastAsia="Times New Roman" w:hAnsi="Times New Roman"/>
          <w:sz w:val="21"/>
          <w:szCs w:val="21"/>
          <w:color w:val="auto"/>
        </w:rPr>
        <w:t>. Employee shall be entitled to: (a) participate in the Company’s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 which case the applicable other terms of this Agreement shall control.</w:t>
      </w:r>
    </w:p>
    <w:p>
      <w:pPr>
        <w:spacing w:after="0" w:line="178" w:lineRule="exact"/>
        <w:rPr>
          <w:rFonts w:ascii="Times New Roman" w:cs="Times New Roman" w:eastAsia="Times New Roman" w:hAnsi="Times New Roman"/>
          <w:sz w:val="21"/>
          <w:szCs w:val="21"/>
          <w:color w:val="auto"/>
        </w:rPr>
      </w:pPr>
    </w:p>
    <w:p>
      <w:pPr>
        <w:ind w:left="-20" w:right="200" w:firstLine="214"/>
        <w:spacing w:after="0" w:line="224" w:lineRule="auto"/>
        <w:tabs>
          <w:tab w:leader="none" w:pos="556"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00"/>
          </w:cols>
          <w:pgMar w:left="340" w:top="1356" w:right="359" w:bottom="1440" w:gutter="0" w:footer="0" w:header="0"/>
        </w:sectPr>
      </w:pPr>
    </w:p>
    <w:bookmarkStart w:id="41" w:name="page42"/>
    <w:bookmarkEnd w:id="41"/>
    <w:p>
      <w:pPr>
        <w:ind w:left="-40" w:right="40" w:firstLine="214"/>
        <w:spacing w:after="0" w:line="224" w:lineRule="auto"/>
        <w:tabs>
          <w:tab w:leader="none" w:pos="53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During the Term, Employee’s employment, and the Company's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72" w:lineRule="exact"/>
        <w:rPr>
          <w:rFonts w:ascii="Times New Roman" w:cs="Times New Roman" w:eastAsia="Times New Roman" w:hAnsi="Times New Roman"/>
          <w:sz w:val="21"/>
          <w:szCs w:val="21"/>
          <w:color w:val="auto"/>
        </w:rPr>
      </w:pPr>
    </w:p>
    <w:p>
      <w:pPr>
        <w:ind w:left="820" w:hanging="436"/>
        <w:spacing w:after="0"/>
        <w:tabs>
          <w:tab w:leader="none" w:pos="82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Employee's employment shall terminate automatically in the event of Employee’s death.</w:t>
      </w:r>
    </w:p>
    <w:p>
      <w:pPr>
        <w:spacing w:after="0" w:line="203" w:lineRule="exact"/>
        <w:rPr>
          <w:rFonts w:ascii="Times New Roman" w:cs="Times New Roman" w:eastAsia="Times New Roman" w:hAnsi="Times New Roman"/>
          <w:sz w:val="21"/>
          <w:szCs w:val="21"/>
          <w:color w:val="auto"/>
        </w:rPr>
      </w:pPr>
    </w:p>
    <w:p>
      <w:pPr>
        <w:ind w:left="-40" w:right="100" w:firstLine="424"/>
        <w:spacing w:after="0" w:line="230" w:lineRule="auto"/>
        <w:tabs>
          <w:tab w:leader="none" w:pos="833"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 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170" w:lineRule="exact"/>
        <w:rPr>
          <w:rFonts w:ascii="Times New Roman" w:cs="Times New Roman" w:eastAsia="Times New Roman" w:hAnsi="Times New Roman"/>
          <w:sz w:val="20"/>
          <w:szCs w:val="20"/>
          <w:color w:val="auto"/>
        </w:rPr>
      </w:pPr>
    </w:p>
    <w:p>
      <w:pPr>
        <w:ind w:left="820" w:hanging="436"/>
        <w:spacing w:after="0"/>
        <w:tabs>
          <w:tab w:leader="none" w:pos="82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 Cause by the Company or Resignation Without Good Reason by Employee</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left="-40" w:firstLine="634"/>
        <w:spacing w:after="0" w:line="214" w:lineRule="auto"/>
        <w:tabs>
          <w:tab w:leader="none" w:pos="992"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involvement in any situation, or occurrence, whether before or during the Term, which brings Employee or the Company into widespread public disrepute, contempt, scandal or ridicule, or which justifiably shocks, insults or offends a significant portion of the community, or Employee’s or the Company’s being subject to publicity for any such act or involvement; (H) material violation of the Employee Handbook, the Code of Conduct or any other written Company policy, including, without limitation, a material violation of the Company’s anti-harassment and anti-discrimination policies; or (I) material breach of this Agreement.</w:t>
      </w:r>
    </w:p>
    <w:p>
      <w:pPr>
        <w:spacing w:after="0" w:line="172" w:lineRule="exact"/>
        <w:rPr>
          <w:rFonts w:ascii="Times New Roman" w:cs="Times New Roman" w:eastAsia="Times New Roman" w:hAnsi="Times New Roman"/>
          <w:sz w:val="21"/>
          <w:szCs w:val="21"/>
          <w:color w:val="auto"/>
        </w:rPr>
      </w:pPr>
    </w:p>
    <w:p>
      <w:pPr>
        <w:ind w:left="-40" w:right="40" w:firstLine="634"/>
        <w:spacing w:after="0" w:line="229" w:lineRule="auto"/>
        <w:tabs>
          <w:tab w:leader="none" w:pos="1054"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73" w:lineRule="exact"/>
        <w:rPr>
          <w:rFonts w:ascii="Times New Roman" w:cs="Times New Roman" w:eastAsia="Times New Roman" w:hAnsi="Times New Roman"/>
          <w:sz w:val="21"/>
          <w:szCs w:val="21"/>
          <w:color w:val="auto"/>
        </w:rPr>
      </w:pPr>
    </w:p>
    <w:p>
      <w:pPr>
        <w:ind w:left="840" w:hanging="456"/>
        <w:spacing w:after="0"/>
        <w:tabs>
          <w:tab w:leader="none" w:pos="84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by the Company or Resignation With Good Reason by Employee.</w:t>
      </w:r>
    </w:p>
    <w:p>
      <w:pPr>
        <w:spacing w:after="0" w:line="203" w:lineRule="exact"/>
        <w:rPr>
          <w:rFonts w:ascii="Times New Roman" w:cs="Times New Roman" w:eastAsia="Times New Roman" w:hAnsi="Times New Roman"/>
          <w:sz w:val="21"/>
          <w:szCs w:val="21"/>
          <w:color w:val="auto"/>
        </w:rPr>
      </w:pPr>
    </w:p>
    <w:p>
      <w:pPr>
        <w:ind w:left="-40" w:right="200" w:firstLine="634"/>
        <w:spacing w:after="0" w:line="241" w:lineRule="auto"/>
        <w:tabs>
          <w:tab w:leader="none" w:pos="992"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Employee’s employment (a “Termination Without Cause”) at any time for any reason (or for no reason) upon twenty (20) business days prior written notice.</w:t>
      </w:r>
    </w:p>
    <w:p>
      <w:pPr>
        <w:spacing w:after="0" w:line="169" w:lineRule="exact"/>
        <w:rPr>
          <w:rFonts w:ascii="Times New Roman" w:cs="Times New Roman" w:eastAsia="Times New Roman" w:hAnsi="Times New Roman"/>
          <w:sz w:val="21"/>
          <w:szCs w:val="21"/>
          <w:color w:val="auto"/>
        </w:rPr>
      </w:pPr>
    </w:p>
    <w:p>
      <w:pPr>
        <w:ind w:left="-40" w:right="60" w:firstLine="634"/>
        <w:spacing w:after="0" w:line="229" w:lineRule="auto"/>
        <w:tabs>
          <w:tab w:leader="none" w:pos="1054"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substantial demotion in Employee’s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160"/>
          </w:cols>
          <w:pgMar w:left="360" w:top="1357" w:right="379" w:bottom="1440" w:gutter="0" w:footer="0" w:header="0"/>
        </w:sectPr>
      </w:pPr>
    </w:p>
    <w:bookmarkStart w:id="42" w:name="page43"/>
    <w:bookmarkEnd w:id="42"/>
    <w:p>
      <w:pPr>
        <w:ind w:right="140"/>
        <w:spacing w:after="0" w:line="241" w:lineRule="auto"/>
        <w:rPr>
          <w:sz w:val="20"/>
          <w:szCs w:val="20"/>
          <w:color w:val="auto"/>
        </w:rPr>
      </w:pPr>
      <w:r>
        <w:rPr>
          <w:rFonts w:ascii="Times New Roman" w:cs="Times New Roman" w:eastAsia="Times New Roman" w:hAnsi="Times New Roman"/>
          <w:sz w:val="21"/>
          <w:szCs w:val="21"/>
          <w:color w:val="auto"/>
        </w:rPr>
        <w:t>position; or material breach of this Agreement (which, as to either such item, if capable of being cured (as reasonably determined by the Company), shall remain uncured following ten (10) business days after written notice thereof) (“Good Reason”).</w:t>
      </w:r>
    </w:p>
    <w:p>
      <w:pPr>
        <w:spacing w:after="0" w:line="170" w:lineRule="exact"/>
        <w:rPr>
          <w:sz w:val="20"/>
          <w:szCs w:val="20"/>
          <w:color w:val="auto"/>
        </w:rPr>
      </w:pPr>
    </w:p>
    <w:p>
      <w:pPr>
        <w:jc w:val="both"/>
        <w:ind w:firstLine="214"/>
        <w:spacing w:after="0" w:line="229" w:lineRule="auto"/>
        <w:tabs>
          <w:tab w:leader="none" w:pos="5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and Other Entitlements As a Result of Termination</w:t>
      </w:r>
      <w:r>
        <w:rPr>
          <w:rFonts w:ascii="Times New Roman" w:cs="Times New Roman" w:eastAsia="Times New Roman" w:hAnsi="Times New Roman"/>
          <w:sz w:val="21"/>
          <w:szCs w:val="21"/>
          <w:color w:val="auto"/>
        </w:rPr>
        <w:t>. If, during the Term, the Employee is terminated under Paragraph 6, Employee shall be entitled to the payments and provisions set forth below (which payments and provisions shall be the Employee’s sole entitlements as the result of such termination):</w:t>
      </w:r>
    </w:p>
    <w:p>
      <w:pPr>
        <w:spacing w:after="0" w:line="173" w:lineRule="exact"/>
        <w:rPr>
          <w:rFonts w:ascii="Times New Roman" w:cs="Times New Roman" w:eastAsia="Times New Roman" w:hAnsi="Times New Roman"/>
          <w:sz w:val="21"/>
          <w:szCs w:val="21"/>
          <w:color w:val="auto"/>
        </w:rPr>
      </w:pPr>
    </w:p>
    <w:p>
      <w:pPr>
        <w:ind w:right="120" w:firstLine="424"/>
        <w:spacing w:after="0" w:line="225" w:lineRule="auto"/>
        <w:tabs>
          <w:tab w:leader="none" w:pos="861"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or Disability</w:t>
      </w:r>
      <w:r>
        <w:rPr>
          <w:rFonts w:ascii="Times New Roman" w:cs="Times New Roman" w:eastAsia="Times New Roman" w:hAnsi="Times New Roman"/>
          <w:sz w:val="20"/>
          <w:szCs w:val="20"/>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following the date of termination.</w:t>
      </w:r>
    </w:p>
    <w:p>
      <w:pPr>
        <w:spacing w:after="0" w:line="98" w:lineRule="exact"/>
        <w:rPr>
          <w:rFonts w:ascii="Times New Roman" w:cs="Times New Roman" w:eastAsia="Times New Roman" w:hAnsi="Times New Roman"/>
          <w:sz w:val="20"/>
          <w:szCs w:val="20"/>
          <w:color w:val="auto"/>
        </w:rPr>
      </w:pPr>
    </w:p>
    <w:p>
      <w:pPr>
        <w:ind w:right="60" w:firstLine="424"/>
        <w:spacing w:after="0" w:line="218" w:lineRule="auto"/>
        <w:tabs>
          <w:tab w:leader="none" w:pos="873"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 Cause by the Company or Resignation Without Good Reason by Employee</w:t>
      </w:r>
      <w:r>
        <w:rPr>
          <w:rFonts w:ascii="Times New Roman" w:cs="Times New Roman" w:eastAsia="Times New Roman" w:hAnsi="Times New Roman"/>
          <w:sz w:val="21"/>
          <w:szCs w:val="21"/>
          <w:color w:val="auto"/>
        </w:rPr>
        <w:t>. If Employee’s employment terminates as a result of a Termination With Cause or Resignation Without Good Reason during the Term,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w:t>
      </w:r>
    </w:p>
    <w:p>
      <w:pPr>
        <w:spacing w:after="0" w:line="94" w:lineRule="exact"/>
        <w:rPr>
          <w:rFonts w:ascii="Times New Roman" w:cs="Times New Roman" w:eastAsia="Times New Roman" w:hAnsi="Times New Roman"/>
          <w:sz w:val="21"/>
          <w:szCs w:val="21"/>
          <w:color w:val="auto"/>
        </w:rPr>
      </w:pPr>
    </w:p>
    <w:p>
      <w:pPr>
        <w:ind w:right="20" w:firstLine="424"/>
        <w:spacing w:after="0" w:line="217" w:lineRule="auto"/>
        <w:tabs>
          <w:tab w:leader="none" w:pos="861"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by the Company or Resignation With Good Reason by Employee</w:t>
      </w:r>
      <w:r>
        <w:rPr>
          <w:rFonts w:ascii="Times New Roman" w:cs="Times New Roman" w:eastAsia="Times New Roman" w:hAnsi="Times New Roman"/>
          <w:sz w:val="21"/>
          <w:szCs w:val="21"/>
          <w:color w:val="auto"/>
        </w:rPr>
        <w:t>. If Employee’s employment is terminated as a result of a Termination Without Cause or Resignation With Good Reason during the Term,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74" w:lineRule="exact"/>
        <w:rPr>
          <w:rFonts w:ascii="Times New Roman" w:cs="Times New Roman" w:eastAsia="Times New Roman" w:hAnsi="Times New Roman"/>
          <w:sz w:val="21"/>
          <w:szCs w:val="21"/>
          <w:color w:val="auto"/>
        </w:rPr>
      </w:pPr>
    </w:p>
    <w:p>
      <w:pPr>
        <w:ind w:right="700" w:firstLine="634"/>
        <w:spacing w:after="0" w:line="224" w:lineRule="auto"/>
        <w:tabs>
          <w:tab w:leader="none" w:pos="1036" w:val="left"/>
        </w:tabs>
        <w:numPr>
          <w:ilvl w:val="2"/>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Employee is alive at the time of payment thereof, Employee shall be entitled to continue to: (A) receive Employee’s then-current Base Salary in accordance with the Company’s regular payroll practices; and (B) participate in the Company’s medical, prescription, dental and vision plans, with the Company continuing to cover the employer portion of the premium cost for such benefits (if and to the extent Employee was participating in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6" w:right="339" w:bottom="1440" w:gutter="0" w:footer="0" w:header="0"/>
        </w:sectPr>
      </w:pPr>
    </w:p>
    <w:bookmarkStart w:id="43" w:name="page44"/>
    <w:bookmarkEnd w:id="43"/>
    <w:p>
      <w:pPr>
        <w:ind w:right="60"/>
        <w:spacing w:after="0" w:line="219" w:lineRule="auto"/>
        <w:rPr>
          <w:sz w:val="20"/>
          <w:szCs w:val="20"/>
          <w:color w:val="auto"/>
        </w:rPr>
      </w:pPr>
      <w:r>
        <w:rPr>
          <w:rFonts w:ascii="Times New Roman" w:cs="Times New Roman" w:eastAsia="Times New Roman" w:hAnsi="Times New Roman"/>
          <w:sz w:val="21"/>
          <w:szCs w:val="21"/>
          <w:color w:val="auto"/>
        </w:rPr>
        <w:t>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71" w:lineRule="exact"/>
        <w:rPr>
          <w:sz w:val="20"/>
          <w:szCs w:val="20"/>
          <w:color w:val="auto"/>
        </w:rPr>
      </w:pPr>
    </w:p>
    <w:p>
      <w:pPr>
        <w:ind w:right="20" w:firstLine="634"/>
        <w:spacing w:after="0" w:line="216" w:lineRule="auto"/>
        <w:tabs>
          <w:tab w:leader="none" w:pos="109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 pro-rated amount on account of the current year’s Cash Bonus Plan grant (calculated based on eligible earnings through the date of termination, and using actual achievement of Company-based performance goals and assuming full (i.e. 100%) achievement of Employee’s personal performance goals) (payable in accordance with the Company’s regular payroll practice for paying such year’s bonus, including the timing thereof). Except as otherwise provided herein, any amounts payable to Employee pursuant to this subparagraph (ii) shall be paid no later than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w:t>
      </w:r>
    </w:p>
    <w:p>
      <w:pPr>
        <w:spacing w:after="0" w:line="96" w:lineRule="exact"/>
        <w:rPr>
          <w:rFonts w:ascii="Times New Roman" w:cs="Times New Roman" w:eastAsia="Times New Roman" w:hAnsi="Times New Roman"/>
          <w:sz w:val="21"/>
          <w:szCs w:val="21"/>
          <w:color w:val="auto"/>
        </w:rPr>
      </w:pPr>
    </w:p>
    <w:p>
      <w:pPr>
        <w:ind w:firstLine="634"/>
        <w:spacing w:after="0" w:line="221" w:lineRule="auto"/>
        <w:tabs>
          <w:tab w:leader="none" w:pos="1205"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obligation to continue medical, prescription, dental and/or vision benefits shall cease upon Employee’s eligibility for such benefits from any subsequent employer.</w:t>
      </w:r>
    </w:p>
    <w:p>
      <w:pPr>
        <w:spacing w:after="0" w:line="171" w:lineRule="exact"/>
        <w:rPr>
          <w:rFonts w:ascii="Times New Roman" w:cs="Times New Roman" w:eastAsia="Times New Roman" w:hAnsi="Times New Roman"/>
          <w:sz w:val="21"/>
          <w:szCs w:val="21"/>
          <w:color w:val="auto"/>
        </w:rPr>
      </w:pPr>
    </w:p>
    <w:p>
      <w:pPr>
        <w:ind w:right="40" w:firstLine="634"/>
        <w:spacing w:after="0" w:line="219" w:lineRule="auto"/>
        <w:tabs>
          <w:tab w:leader="none" w:pos="1141"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Employee is alive at the time of payment, Employee shall be entitled to receive payment on account of: (A) the current year’s Cash Bonus Plan grant, pro-rated beginning from the day following the date of termination through December 31st of the year of termination; and (B) the following year’s Cash Bonus Plan grant, pro-rated based on the number of days of employment in the year of termination; in each case calculated using actual achievement of Company-based performance goals and assuming full (i.e. 100%) achievement of Employee’s personal performance goals (payable at such times as otherwise applicable absent such termination).</w:t>
      </w:r>
    </w:p>
    <w:p>
      <w:pPr>
        <w:spacing w:after="0" w:line="171" w:lineRule="exact"/>
        <w:rPr>
          <w:rFonts w:ascii="Times New Roman" w:cs="Times New Roman" w:eastAsia="Times New Roman" w:hAnsi="Times New Roman"/>
          <w:sz w:val="21"/>
          <w:szCs w:val="21"/>
          <w:color w:val="auto"/>
        </w:rPr>
      </w:pPr>
    </w:p>
    <w:p>
      <w:pPr>
        <w:ind w:right="160" w:firstLine="634"/>
        <w:spacing w:after="0" w:line="224" w:lineRule="auto"/>
        <w:tabs>
          <w:tab w:leader="none" w:pos="1083"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172" w:lineRule="exact"/>
        <w:rPr>
          <w:rFonts w:ascii="Times New Roman" w:cs="Times New Roman" w:eastAsia="Times New Roman" w:hAnsi="Times New Roman"/>
          <w:sz w:val="21"/>
          <w:szCs w:val="21"/>
          <w:color w:val="auto"/>
        </w:rPr>
      </w:pPr>
    </w:p>
    <w:p>
      <w:pPr>
        <w:ind w:right="100" w:firstLine="214"/>
        <w:spacing w:after="0" w:line="219" w:lineRule="auto"/>
        <w:tabs>
          <w:tab w:leader="none" w:pos="5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Non-Competition; Confidentiality</w:t>
      </w:r>
      <w:r>
        <w:rPr>
          <w:rFonts w:ascii="Times New Roman" w:cs="Times New Roman" w:eastAsia="Times New Roman" w:hAnsi="Times New Roman"/>
          <w:sz w:val="21"/>
          <w:szCs w:val="21"/>
          <w:color w:val="auto"/>
        </w:rPr>
        <w:t>. Employee acknowledges and agrees that: Employee’s skills, experience, knowledge and reputation are of special, unique and extraordinary value to the Company; Employee is and will continue to be privy to confidential and proprietary information, processes and know-how of the Company, the confidentiality of which has significant value to the Company and its future success; and the restrictions on Employee’s activities as set forth below are necessary to protect the value of the goodwill and other tangible and intangible assets of the Company. Based upon the foregoing, Employee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00"/>
          </w:cols>
          <w:pgMar w:left="320" w:top="1356" w:right="379" w:bottom="1440" w:gutter="0" w:footer="0" w:header="0"/>
        </w:sectPr>
      </w:pPr>
    </w:p>
    <w:bookmarkStart w:id="44" w:name="page45"/>
    <w:bookmarkEnd w:id="44"/>
    <w:p>
      <w:pPr>
        <w:ind w:right="80" w:firstLine="424"/>
        <w:spacing w:after="0" w:line="219" w:lineRule="auto"/>
        <w:tabs>
          <w:tab w:leader="none" w:pos="85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(other than as a result of a general solicitation); (ii) solicit, induce, encourage or attempt to influence any employee, customer, consultant, independent contractor, service provider or supplier of the Company to cease to do business or terminate the employment or other relationship with the Company; or (iii) assist any other person or entity in doing or performing any of the acts that Employee is prohibited from doing under subparagraphs (i) or (ii) above.</w:t>
      </w:r>
    </w:p>
    <w:p>
      <w:pPr>
        <w:spacing w:after="0" w:line="171" w:lineRule="exact"/>
        <w:rPr>
          <w:rFonts w:ascii="Times New Roman" w:cs="Times New Roman" w:eastAsia="Times New Roman" w:hAnsi="Times New Roman"/>
          <w:sz w:val="21"/>
          <w:szCs w:val="21"/>
          <w:color w:val="auto"/>
        </w:rPr>
      </w:pPr>
    </w:p>
    <w:p>
      <w:pPr>
        <w:ind w:right="100" w:firstLine="424"/>
        <w:spacing w:after="0" w:line="214" w:lineRule="auto"/>
        <w:tabs>
          <w:tab w:leader="none" w:pos="87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WHILE EMPLOYED BY THE COMPANY (WHETHER DURING THE TERM OR THEREAFTER); AND FOR A PERIOD OF ONE YEAR AFTER A RESIGNATION WITHOUT GOOD REASON OR A TERMINATION WITH CAUSE, IN EITHER CASE WHETHER OCCURRING DURING THE TERM OR THEREAFTER; EMPLOYEE SHALL NOT, DIRECTLY OR INDIRECTLY, ENGAGE IN ANY ACTIVITIES ON BEHALF OF, OR BE FINANCIALLY INTERESTED IN, A COMPETITIVE BUSINESS (AS AN AGENT, CONSULTANT, DIRECTOR, EMPLOYEE, INDEPENDENT CONTRACTOR, OFFICER, OWNER, PARTNER, MEMBER, 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WITH EMPLOYEE’S PARTICIPATION.</w:t>
      </w:r>
    </w:p>
    <w:p>
      <w:pPr>
        <w:spacing w:after="0" w:line="172" w:lineRule="exact"/>
        <w:rPr>
          <w:rFonts w:ascii="Times New Roman" w:cs="Times New Roman" w:eastAsia="Times New Roman" w:hAnsi="Times New Roman"/>
          <w:sz w:val="21"/>
          <w:szCs w:val="21"/>
          <w:color w:val="auto"/>
        </w:rPr>
      </w:pPr>
    </w:p>
    <w:p>
      <w:pPr>
        <w:ind w:firstLine="634"/>
        <w:spacing w:after="0" w:line="224" w:lineRule="auto"/>
        <w:tabs>
          <w:tab w:leader="none" w:pos="1091"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RESTRICTION SHALL APPLY IN ANY GEOGRAPHIC AREA IN THE WORLD IN WHICH THE COMPANY CARRIES OUT BUSINESS ACTIVITIES. EMPLOYEE AGREES THAT NOT SPECIFYING A MORE LIMITED GEOGRAPHIC AREA IS REASONABLE IN LIGHT OF THE BROAD GEOGRAPHIC SCOPE OF THE ACTIVITIES CARRIED OUT BY THE COMPANY IN THE WORLD.</w:t>
      </w:r>
    </w:p>
    <w:p>
      <w:pPr>
        <w:spacing w:after="0" w:line="172" w:lineRule="exact"/>
        <w:rPr>
          <w:rFonts w:ascii="Times New Roman" w:cs="Times New Roman" w:eastAsia="Times New Roman" w:hAnsi="Times New Roman"/>
          <w:sz w:val="21"/>
          <w:szCs w:val="21"/>
          <w:color w:val="auto"/>
        </w:rPr>
      </w:pPr>
    </w:p>
    <w:p>
      <w:pPr>
        <w:ind w:right="260" w:firstLine="634"/>
        <w:spacing w:after="0" w:line="242" w:lineRule="auto"/>
        <w:tabs>
          <w:tab w:leader="none" w:pos="1153"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68" w:lineRule="exact"/>
        <w:rPr>
          <w:rFonts w:ascii="Times New Roman" w:cs="Times New Roman" w:eastAsia="Times New Roman" w:hAnsi="Times New Roman"/>
          <w:sz w:val="20"/>
          <w:szCs w:val="20"/>
          <w:color w:val="auto"/>
        </w:rPr>
      </w:pPr>
    </w:p>
    <w:p>
      <w:pPr>
        <w:ind w:right="400" w:firstLine="634"/>
        <w:spacing w:after="0" w:line="229" w:lineRule="auto"/>
        <w:tabs>
          <w:tab w:leader="none" w:pos="1141"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73" w:lineRule="exact"/>
        <w:rPr>
          <w:rFonts w:ascii="Times New Roman" w:cs="Times New Roman" w:eastAsia="Times New Roman" w:hAnsi="Times New Roman"/>
          <w:sz w:val="21"/>
          <w:szCs w:val="21"/>
          <w:color w:val="auto"/>
        </w:rPr>
      </w:pPr>
    </w:p>
    <w:p>
      <w:pPr>
        <w:ind w:right="120" w:firstLine="424"/>
        <w:spacing w:after="0" w:line="217" w:lineRule="auto"/>
        <w:tabs>
          <w:tab w:leader="none" w:pos="861"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174" w:lineRule="exact"/>
        <w:rPr>
          <w:rFonts w:ascii="Times New Roman" w:cs="Times New Roman" w:eastAsia="Times New Roman" w:hAnsi="Times New Roman"/>
          <w:sz w:val="21"/>
          <w:szCs w:val="21"/>
          <w:color w:val="auto"/>
        </w:rPr>
      </w:pPr>
    </w:p>
    <w:p>
      <w:pPr>
        <w:ind w:right="640" w:firstLine="424"/>
        <w:spacing w:after="0" w:line="229" w:lineRule="auto"/>
        <w:tabs>
          <w:tab w:leader="none" w:pos="87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subparagraph 8(c), during the Term and at all times thereafter, Employee shall not, directly or indirectly, use for Employee’s personal benefit, or disclose to or use for the direct or indirect benefit of anyone other than the Company (except as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7" w:right="339" w:bottom="1440" w:gutter="0" w:footer="0" w:header="0"/>
        </w:sectPr>
      </w:pPr>
    </w:p>
    <w:bookmarkStart w:id="45" w:name="page46"/>
    <w:bookmarkEnd w:id="45"/>
    <w:p>
      <w:pPr>
        <w:spacing w:after="0" w:line="210" w:lineRule="auto"/>
        <w:rPr>
          <w:sz w:val="20"/>
          <w:szCs w:val="20"/>
          <w:color w:val="auto"/>
        </w:rPr>
      </w:pPr>
      <w:r>
        <w:rPr>
          <w:rFonts w:ascii="Times New Roman" w:cs="Times New Roman" w:eastAsia="Times New Roman" w:hAnsi="Times New Roman"/>
          <w:sz w:val="21"/>
          <w:szCs w:val="21"/>
          <w:color w:val="auto"/>
        </w:rPr>
        <w:t>may be required within the scope of Employee’s duties hereunder), any secret or confidential information, knowledge or data of the Company or any of its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provided such source is not bound by a confidentiality agreement with the Company or otherwise prohibited from transmitting such information to Employee by a contractual, legal or fiduciary obligation. Employee agrees that Confidential Information is the exclusive property of the Company, and agrees that, immediately upon Employee’s termination of employment for any reason (including after the Term), Employee shall deliver to the Company all 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nor to encourage or assist others to do any of the foregoing, without the prior written consent of the Company (which may be withheld in the Company’s sole discretion). Nothing herein shall prevent Employee from: (A) complying with a valid subpoena or other legal requirement for disclosure of Confidential Information, provided that, except as provided in subparagraph 8(c), Employee shall use good faith efforts to notify the Company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184" w:lineRule="exact"/>
        <w:rPr>
          <w:sz w:val="20"/>
          <w:szCs w:val="20"/>
          <w:color w:val="auto"/>
        </w:rPr>
      </w:pPr>
    </w:p>
    <w:p>
      <w:pPr>
        <w:ind w:firstLine="424"/>
        <w:spacing w:after="0" w:line="214" w:lineRule="auto"/>
        <w:tabs>
          <w:tab w:leader="none" w:pos="86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the restrictions contained in this Paragraph 8, in light of the nature of the businesses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shall be entitled to seek from any court of competent jurisdiction: (A) preliminary and permanent injunctive relief against Employee; (B) damages from Employee (including the Company’s reasonable legal fees and other costs and expenses); and (C) an equitable accounting of all compensation, commissions, earnings,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7" w:right="339" w:bottom="1440" w:gutter="0" w:footer="0" w:header="0"/>
        </w:sectPr>
      </w:pPr>
    </w:p>
    <w:bookmarkStart w:id="46" w:name="page47"/>
    <w:bookmarkEnd w:id="46"/>
    <w:p>
      <w:pPr>
        <w:ind w:right="20"/>
        <w:spacing w:after="0" w:line="241" w:lineRule="auto"/>
        <w:rPr>
          <w:sz w:val="20"/>
          <w:szCs w:val="20"/>
          <w:color w:val="auto"/>
        </w:rPr>
      </w:pPr>
      <w:r>
        <w:rPr>
          <w:rFonts w:ascii="Times New Roman" w:cs="Times New Roman" w:eastAsia="Times New Roman" w:hAnsi="Times New Roman"/>
          <w:sz w:val="21"/>
          <w:szCs w:val="21"/>
          <w:color w:val="auto"/>
        </w:rPr>
        <w:t>profits and other benefits to Employee arising from such violation; all of which rights shall be cumulative and in addition to any other rights and remedies to which the Company may be entitled as set forth herein or as a matter of law.</w:t>
      </w:r>
    </w:p>
    <w:p>
      <w:pPr>
        <w:spacing w:after="0" w:line="170" w:lineRule="exact"/>
        <w:rPr>
          <w:sz w:val="20"/>
          <w:szCs w:val="20"/>
          <w:color w:val="auto"/>
        </w:rPr>
      </w:pPr>
    </w:p>
    <w:p>
      <w:pPr>
        <w:ind w:right="60" w:firstLine="424"/>
        <w:spacing w:after="0" w:line="219" w:lineRule="auto"/>
        <w:tabs>
          <w:tab w:leader="none" w:pos="838"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1" w:lineRule="exact"/>
        <w:rPr>
          <w:rFonts w:ascii="Times New Roman" w:cs="Times New Roman" w:eastAsia="Times New Roman" w:hAnsi="Times New Roman"/>
          <w:sz w:val="21"/>
          <w:szCs w:val="21"/>
          <w:color w:val="auto"/>
        </w:rPr>
      </w:pPr>
    </w:p>
    <w:p>
      <w:pPr>
        <w:ind w:right="400" w:firstLine="424"/>
        <w:spacing w:after="0" w:line="229" w:lineRule="auto"/>
        <w:tabs>
          <w:tab w:leader="none" w:pos="873"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73" w:lineRule="exact"/>
        <w:rPr>
          <w:rFonts w:ascii="Times New Roman" w:cs="Times New Roman" w:eastAsia="Times New Roman" w:hAnsi="Times New Roman"/>
          <w:sz w:val="21"/>
          <w:szCs w:val="21"/>
          <w:color w:val="auto"/>
        </w:rPr>
      </w:pPr>
    </w:p>
    <w:p>
      <w:pPr>
        <w:jc w:val="both"/>
        <w:ind w:right="40" w:firstLine="424"/>
        <w:spacing w:after="0" w:line="242" w:lineRule="auto"/>
        <w:tabs>
          <w:tab w:leader="none" w:pos="873"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w:t>
      </w:r>
    </w:p>
    <w:p>
      <w:pPr>
        <w:spacing w:after="0" w:line="168" w:lineRule="exact"/>
        <w:rPr>
          <w:rFonts w:ascii="Times New Roman" w:cs="Times New Roman" w:eastAsia="Times New Roman" w:hAnsi="Times New Roman"/>
          <w:sz w:val="20"/>
          <w:szCs w:val="20"/>
          <w:color w:val="auto"/>
        </w:rPr>
      </w:pPr>
    </w:p>
    <w:p>
      <w:pPr>
        <w:ind w:firstLine="214"/>
        <w:spacing w:after="0" w:line="217" w:lineRule="auto"/>
        <w:tabs>
          <w:tab w:leader="none" w:pos="57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Non-Disparaging Statements</w:t>
      </w:r>
      <w:r>
        <w:rPr>
          <w:rFonts w:ascii="Times New Roman" w:cs="Times New Roman" w:eastAsia="Times New Roman" w:hAnsi="Times New Roman"/>
          <w:sz w:val="21"/>
          <w:szCs w:val="21"/>
          <w:color w:val="auto"/>
        </w:rPr>
        <w:t>. Except as provided in subparagraph 8(c), during the period of Employee’s employment (whether during the Term or thereafter), and for a period of three (3) years thereafter, neither party shall disparage (directly or indirectly; orally, in writing or otherwise), the other party or, in the case of the Company, any of its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 any media outlet. The foregoing shall not be deemed to restrict either party’s obligation to testify truthfully in any proceeding or cooperate in any governmental investigation.</w:t>
      </w:r>
    </w:p>
    <w:p>
      <w:pPr>
        <w:spacing w:after="0" w:line="174"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right="40" w:firstLine="424"/>
        <w:spacing w:after="0" w:line="212" w:lineRule="auto"/>
        <w:tabs>
          <w:tab w:leader="none" w:pos="858"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Company Intellectual Property (as defined in subparagraph (f) below) is not already owned by the Company as a matter of law or by prior written assignment by Employee to the Company, Employee hereby assigns to Comcast Corporation, and agrees to assign to Comcast Corporation or its designated subsidiary(ies) in the future (to the extent required), all right, title and interest that Employee now has or acquires in the future in and to any and all Company Intellectual Property. Employee shall further cooperate with the Company in obtaining, protecting and enforcing its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6" w:right="339" w:bottom="1440" w:gutter="0" w:footer="0" w:header="0"/>
        </w:sectPr>
      </w:pPr>
    </w:p>
    <w:bookmarkStart w:id="47" w:name="page48"/>
    <w:bookmarkEnd w:id="47"/>
    <w:p>
      <w:pPr>
        <w:ind w:left="-40" w:right="60" w:firstLine="424"/>
        <w:spacing w:after="0" w:line="214" w:lineRule="auto"/>
        <w:tabs>
          <w:tab w:leader="none" w:pos="83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 such patent applications constitute or include Company Intellectual Property. Employee has reviewed the notification on Schedule 2 and agrees that Employee’s execution hereof acknowledges receipt of such notification.</w:t>
      </w:r>
    </w:p>
    <w:p>
      <w:pPr>
        <w:spacing w:after="0" w:line="172" w:lineRule="exact"/>
        <w:rPr>
          <w:rFonts w:ascii="Times New Roman" w:cs="Times New Roman" w:eastAsia="Times New Roman" w:hAnsi="Times New Roman"/>
          <w:sz w:val="21"/>
          <w:szCs w:val="21"/>
          <w:color w:val="auto"/>
        </w:rPr>
      </w:pPr>
    </w:p>
    <w:p>
      <w:pPr>
        <w:ind w:left="-40" w:firstLine="424"/>
        <w:spacing w:after="0" w:line="217" w:lineRule="auto"/>
        <w:tabs>
          <w:tab w:leader="none" w:pos="82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74" w:lineRule="exact"/>
        <w:rPr>
          <w:rFonts w:ascii="Times New Roman" w:cs="Times New Roman" w:eastAsia="Times New Roman" w:hAnsi="Times New Roman"/>
          <w:sz w:val="21"/>
          <w:szCs w:val="21"/>
          <w:color w:val="auto"/>
        </w:rPr>
      </w:pPr>
    </w:p>
    <w:p>
      <w:pPr>
        <w:jc w:val="both"/>
        <w:ind w:left="-40" w:right="20" w:firstLine="424"/>
        <w:spacing w:after="0" w:line="221" w:lineRule="auto"/>
        <w:tabs>
          <w:tab w:leader="none" w:pos="829"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71" w:lineRule="exact"/>
        <w:rPr>
          <w:rFonts w:ascii="Times New Roman" w:cs="Times New Roman" w:eastAsia="Times New Roman" w:hAnsi="Times New Roman"/>
          <w:sz w:val="21"/>
          <w:szCs w:val="21"/>
          <w:color w:val="auto"/>
        </w:rPr>
      </w:pPr>
    </w:p>
    <w:p>
      <w:pPr>
        <w:ind w:left="-40" w:right="20" w:firstLine="424"/>
        <w:spacing w:after="0" w:line="216" w:lineRule="auto"/>
        <w:tabs>
          <w:tab w:leader="none" w:pos="82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products or services by Employee or with Employee’s knowledge, assistance, or encouragement, Employee agrees to grant and hereby does grant to the Company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products and services. The foregoing license shall extend throughout the Company’s supply and distribution chains, and shall extend to partners of the Company (in relation to the Company’s products and services) as well.</w:t>
      </w:r>
    </w:p>
    <w:p>
      <w:pPr>
        <w:spacing w:after="0" w:line="173" w:lineRule="exact"/>
        <w:rPr>
          <w:rFonts w:ascii="Times New Roman" w:cs="Times New Roman" w:eastAsia="Times New Roman" w:hAnsi="Times New Roman"/>
          <w:sz w:val="21"/>
          <w:szCs w:val="21"/>
          <w:color w:val="auto"/>
        </w:rPr>
      </w:pPr>
    </w:p>
    <w:p>
      <w:pPr>
        <w:ind w:left="-40" w:right="40" w:firstLine="424"/>
        <w:spacing w:after="0" w:line="216" w:lineRule="auto"/>
        <w:tabs>
          <w:tab w:leader="none" w:pos="79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current or planned businesses; or (ii) is created, fixed, conceived or reduced to practice (A) in the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180"/>
          </w:cols>
          <w:pgMar w:left="360" w:top="1356" w:right="359" w:bottom="1440" w:gutter="0" w:footer="0" w:header="0"/>
        </w:sectPr>
      </w:pPr>
    </w:p>
    <w:bookmarkStart w:id="48" w:name="page49"/>
    <w:bookmarkEnd w:id="48"/>
    <w:p>
      <w:pPr>
        <w:ind w:right="540"/>
        <w:spacing w:after="0" w:line="241" w:lineRule="auto"/>
        <w:rPr>
          <w:sz w:val="20"/>
          <w:szCs w:val="20"/>
          <w:color w:val="auto"/>
        </w:rPr>
      </w:pPr>
      <w:r>
        <w:rPr>
          <w:rFonts w:ascii="Times New Roman" w:cs="Times New Roman" w:eastAsia="Times New Roman" w:hAnsi="Times New Roman"/>
          <w:sz w:val="21"/>
          <w:szCs w:val="21"/>
          <w:color w:val="auto"/>
        </w:rPr>
        <w:t>performance of the Employee’s duties or (B) using the Company’s information, facilities, equipment or other assets. “Company Intellectual Property” does not include Nonassignable IP.</w:t>
      </w:r>
    </w:p>
    <w:p>
      <w:pPr>
        <w:spacing w:after="0" w:line="170" w:lineRule="exact"/>
        <w:rPr>
          <w:sz w:val="20"/>
          <w:szCs w:val="20"/>
          <w:color w:val="auto"/>
        </w:rPr>
      </w:pPr>
    </w:p>
    <w:p>
      <w:pPr>
        <w:ind w:left="680" w:hanging="466"/>
        <w:spacing w:after="0"/>
        <w:tabs>
          <w:tab w:leader="none" w:pos="6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left="860" w:hanging="436"/>
        <w:spacing w:after="0"/>
        <w:tabs>
          <w:tab w:leader="none" w:pos="86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that:</w:t>
      </w:r>
    </w:p>
    <w:p>
      <w:pPr>
        <w:spacing w:after="0" w:line="203" w:lineRule="exact"/>
        <w:rPr>
          <w:rFonts w:ascii="Times New Roman" w:cs="Times New Roman" w:eastAsia="Times New Roman" w:hAnsi="Times New Roman"/>
          <w:sz w:val="21"/>
          <w:szCs w:val="21"/>
          <w:color w:val="auto"/>
        </w:rPr>
      </w:pPr>
    </w:p>
    <w:p>
      <w:pPr>
        <w:ind w:right="700" w:firstLine="634"/>
        <w:spacing w:after="0" w:line="241" w:lineRule="auto"/>
        <w:tabs>
          <w:tab w:leader="none" w:pos="1036"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has had the opportunity to retain and consult with legal counsel and tax advisors of Employee’s choice regarding the terms of this Agreement.</w:t>
      </w:r>
    </w:p>
    <w:p>
      <w:pPr>
        <w:spacing w:after="0" w:line="169" w:lineRule="exact"/>
        <w:rPr>
          <w:rFonts w:ascii="Times New Roman" w:cs="Times New Roman" w:eastAsia="Times New Roman" w:hAnsi="Times New Roman"/>
          <w:sz w:val="21"/>
          <w:szCs w:val="21"/>
          <w:color w:val="auto"/>
        </w:rPr>
      </w:pPr>
    </w:p>
    <w:p>
      <w:pPr>
        <w:ind w:right="560" w:firstLine="634"/>
        <w:spacing w:after="0" w:line="241" w:lineRule="auto"/>
        <w:tabs>
          <w:tab w:leader="none" w:pos="1094"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bankruptcy and insolvency laws and general equitable principles, this Agreement is enforceable against Employee in accordance with its terms.</w:t>
      </w:r>
    </w:p>
    <w:p>
      <w:pPr>
        <w:spacing w:after="0" w:line="169" w:lineRule="exact"/>
        <w:rPr>
          <w:rFonts w:ascii="Times New Roman" w:cs="Times New Roman" w:eastAsia="Times New Roman" w:hAnsi="Times New Roman"/>
          <w:sz w:val="21"/>
          <w:szCs w:val="21"/>
          <w:color w:val="auto"/>
        </w:rPr>
      </w:pPr>
    </w:p>
    <w:p>
      <w:pPr>
        <w:ind w:right="40" w:firstLine="634"/>
        <w:spacing w:after="0" w:line="229" w:lineRule="auto"/>
        <w:tabs>
          <w:tab w:leader="none" w:pos="1149"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73" w:lineRule="exact"/>
        <w:rPr>
          <w:rFonts w:ascii="Times New Roman" w:cs="Times New Roman" w:eastAsia="Times New Roman" w:hAnsi="Times New Roman"/>
          <w:sz w:val="21"/>
          <w:szCs w:val="21"/>
          <w:color w:val="auto"/>
        </w:rPr>
      </w:pPr>
    </w:p>
    <w:p>
      <w:pPr>
        <w:ind w:left="880" w:hanging="456"/>
        <w:spacing w:after="0"/>
        <w:tabs>
          <w:tab w:leader="none" w:pos="88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that:</w:t>
      </w:r>
    </w:p>
    <w:p>
      <w:pPr>
        <w:spacing w:after="0" w:line="203" w:lineRule="exact"/>
        <w:rPr>
          <w:rFonts w:ascii="Times New Roman" w:cs="Times New Roman" w:eastAsia="Times New Roman" w:hAnsi="Times New Roman"/>
          <w:sz w:val="21"/>
          <w:szCs w:val="21"/>
          <w:color w:val="auto"/>
        </w:rPr>
      </w:pPr>
    </w:p>
    <w:p>
      <w:pPr>
        <w:ind w:right="320" w:firstLine="634"/>
        <w:spacing w:after="0" w:line="241" w:lineRule="auto"/>
        <w:tabs>
          <w:tab w:leader="none" w:pos="1036"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bankruptcy and insolvency laws and general equitable principles, this Agreement is enforceable against the Company in accordance with its terms.</w:t>
      </w:r>
    </w:p>
    <w:p>
      <w:pPr>
        <w:spacing w:after="0" w:line="169" w:lineRule="exact"/>
        <w:rPr>
          <w:rFonts w:ascii="Times New Roman" w:cs="Times New Roman" w:eastAsia="Times New Roman" w:hAnsi="Times New Roman"/>
          <w:sz w:val="21"/>
          <w:szCs w:val="21"/>
          <w:color w:val="auto"/>
        </w:rPr>
      </w:pPr>
    </w:p>
    <w:p>
      <w:pPr>
        <w:ind w:right="140" w:firstLine="634"/>
        <w:spacing w:after="0" w:line="229" w:lineRule="auto"/>
        <w:tabs>
          <w:tab w:leader="none" w:pos="1091" w:val="left"/>
        </w:tabs>
        <w:numPr>
          <w:ilvl w:val="2"/>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performance of the Company’s obligations hereunder, do not conflict with, violate or give rise to any rights to other persons or entities under, any agreement, order, decree or judgment to which the Company is a party or by which it is bound.</w:t>
      </w:r>
    </w:p>
    <w:p>
      <w:pPr>
        <w:spacing w:after="0" w:line="173" w:lineRule="exact"/>
        <w:rPr>
          <w:rFonts w:ascii="Times New Roman" w:cs="Times New Roman" w:eastAsia="Times New Roman" w:hAnsi="Times New Roman"/>
          <w:sz w:val="21"/>
          <w:szCs w:val="21"/>
          <w:color w:val="auto"/>
        </w:rPr>
      </w:pPr>
    </w:p>
    <w:p>
      <w:pPr>
        <w:ind w:firstLine="214"/>
        <w:spacing w:after="0" w:line="224" w:lineRule="auto"/>
        <w:tabs>
          <w:tab w:leader="none" w:pos="68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Deductions</w:t>
      </w:r>
      <w:r>
        <w:rPr>
          <w:rFonts w:ascii="Times New Roman" w:cs="Times New Roman" w:eastAsia="Times New Roman" w:hAnsi="Times New Roman"/>
          <w:sz w:val="21"/>
          <w:szCs w:val="21"/>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172"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firstLine="424"/>
        <w:spacing w:after="0" w:line="216" w:lineRule="auto"/>
        <w:tabs>
          <w:tab w:leader="none" w:pos="861"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3" w:lineRule="exact"/>
        <w:rPr>
          <w:rFonts w:ascii="Times New Roman" w:cs="Times New Roman" w:eastAsia="Times New Roman" w:hAnsi="Times New Roman"/>
          <w:sz w:val="21"/>
          <w:szCs w:val="21"/>
          <w:color w:val="auto"/>
        </w:rPr>
      </w:pPr>
    </w:p>
    <w:p>
      <w:pPr>
        <w:ind w:right="360" w:firstLine="424"/>
        <w:spacing w:after="0" w:line="241" w:lineRule="auto"/>
        <w:tabs>
          <w:tab w:leader="none" w:pos="873"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each payment in a series of payments provided to Employee pursuant to this Agreement will be deemed a separate payment.</w:t>
      </w:r>
    </w:p>
    <w:p>
      <w:pPr>
        <w:spacing w:after="0" w:line="169" w:lineRule="exact"/>
        <w:rPr>
          <w:rFonts w:ascii="Times New Roman" w:cs="Times New Roman" w:eastAsia="Times New Roman" w:hAnsi="Times New Roman"/>
          <w:sz w:val="21"/>
          <w:szCs w:val="21"/>
          <w:color w:val="auto"/>
        </w:rPr>
      </w:pPr>
    </w:p>
    <w:p>
      <w:pPr>
        <w:ind w:right="240" w:firstLine="424"/>
        <w:spacing w:after="0" w:line="229" w:lineRule="auto"/>
        <w:tabs>
          <w:tab w:leader="none" w:pos="861"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57" w:right="339" w:bottom="1440" w:gutter="0" w:footer="0" w:header="0"/>
        </w:sectPr>
      </w:pPr>
    </w:p>
    <w:bookmarkStart w:id="49" w:name="page50"/>
    <w:bookmarkEnd w:id="49"/>
    <w:p>
      <w:pPr>
        <w:spacing w:after="0" w:line="221" w:lineRule="auto"/>
        <w:rPr>
          <w:sz w:val="20"/>
          <w:szCs w:val="20"/>
          <w:color w:val="auto"/>
        </w:rPr>
      </w:pPr>
      <w:r>
        <w:rPr>
          <w:rFonts w:ascii="Times New Roman" w:cs="Times New Roman" w:eastAsia="Times New Roman" w:hAnsi="Times New Roman"/>
          <w:sz w:val="20"/>
          <w:szCs w:val="20"/>
          <w:color w:val="auto"/>
        </w:rPr>
        <w:t>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 (6) month period. In the event Employee dies during that six (6) month period, the amounts deferred on account of Treas.Reg.§1.409A-3(i)(2) (or any successor provision) shall be paid to the personal representatives of Employee’s estate within sixty (60) days following Employee’s death. This provision shall not be construed as preventing payments to Employee pursuant to Paragraph 7 in the first six</w:t>
      </w:r>
    </w:p>
    <w:p>
      <w:pPr>
        <w:spacing w:after="0" w:line="6" w:lineRule="exact"/>
        <w:rPr>
          <w:sz w:val="20"/>
          <w:szCs w:val="20"/>
          <w:color w:val="auto"/>
        </w:rPr>
      </w:pPr>
    </w:p>
    <w:p>
      <w:pPr>
        <w:ind w:right="380" w:firstLine="5"/>
        <w:spacing w:after="0" w:line="221" w:lineRule="auto"/>
        <w:tabs>
          <w:tab w:leader="none" w:pos="297"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73" w:lineRule="exact"/>
        <w:rPr>
          <w:rFonts w:ascii="Times New Roman" w:cs="Times New Roman" w:eastAsia="Times New Roman" w:hAnsi="Times New Roman"/>
          <w:sz w:val="21"/>
          <w:szCs w:val="21"/>
          <w:color w:val="auto"/>
        </w:rPr>
      </w:pPr>
    </w:p>
    <w:p>
      <w:pPr>
        <w:ind w:firstLine="424"/>
        <w:spacing w:after="0" w:line="221" w:lineRule="auto"/>
        <w:tabs>
          <w:tab w:leader="none" w:pos="873"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spacing w:after="0" w:line="171"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right="100" w:firstLine="424"/>
        <w:spacing w:after="0" w:line="224" w:lineRule="auto"/>
        <w:tabs>
          <w:tab w:leader="none" w:pos="861"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Comcast Corporation merges into, or transfers all or substantially all of its assets to, or as part of a reorganization, restructuring or other transaction becomes a subsidiary of, another entity, such other entity shall be deemed to be the successor to Comcast Corporation hereunder, and the term “Company” as used herein shall mean such other entity (together with its subsidiaries) as is appropriate, and this Agreement shall continue in full force and effect.</w:t>
      </w:r>
    </w:p>
    <w:p>
      <w:pPr>
        <w:spacing w:after="0" w:line="172" w:lineRule="exact"/>
        <w:rPr>
          <w:rFonts w:ascii="Times New Roman" w:cs="Times New Roman" w:eastAsia="Times New Roman" w:hAnsi="Times New Roman"/>
          <w:sz w:val="21"/>
          <w:szCs w:val="21"/>
          <w:color w:val="auto"/>
        </w:rPr>
      </w:pPr>
    </w:p>
    <w:p>
      <w:pPr>
        <w:ind w:right="40" w:firstLine="424"/>
        <w:spacing w:after="0" w:line="219" w:lineRule="auto"/>
        <w:tabs>
          <w:tab w:leader="none" w:pos="873" w:val="left"/>
        </w:tabs>
        <w:numPr>
          <w:ilvl w:val="2"/>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of the Company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67"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ARBITRATION/WAIVER OF OR RIGHT TO TRIAL BY JUDGE OR JURY/CLASS ACTION WAIVER</w:t>
      </w:r>
      <w:r>
        <w:rPr>
          <w:rFonts w:ascii="Times New Roman" w:cs="Times New Roman" w:eastAsia="Times New Roman" w:hAnsi="Times New Roman"/>
          <w:sz w:val="21"/>
          <w:szCs w:val="21"/>
          <w:b w:val="1"/>
          <w:bCs w:val="1"/>
          <w:color w:val="auto"/>
        </w:rPr>
        <w:t>.</w:t>
      </w:r>
    </w:p>
    <w:p>
      <w:pPr>
        <w:spacing w:after="0" w:line="203" w:lineRule="exact"/>
        <w:rPr>
          <w:rFonts w:ascii="Times New Roman" w:cs="Times New Roman" w:eastAsia="Times New Roman" w:hAnsi="Times New Roman"/>
          <w:sz w:val="21"/>
          <w:szCs w:val="21"/>
          <w:color w:val="auto"/>
        </w:rPr>
      </w:pPr>
    </w:p>
    <w:p>
      <w:pPr>
        <w:ind w:right="120" w:firstLine="424"/>
        <w:spacing w:after="0" w:line="215" w:lineRule="auto"/>
        <w:tabs>
          <w:tab w:leader="none" w:pos="873" w:val="left"/>
        </w:tabs>
        <w:numPr>
          <w:ilvl w:val="2"/>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The following documents that provide detailed information about the Comcast 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56" w:right="339" w:bottom="1440" w:gutter="0" w:footer="0" w:header="0"/>
        </w:sectPr>
      </w:pPr>
    </w:p>
    <w:bookmarkStart w:id="50" w:name="page51"/>
    <w:bookmarkEnd w:id="50"/>
    <w:p>
      <w:pPr>
        <w:spacing w:after="0" w:line="149" w:lineRule="exact"/>
        <w:rPr>
          <w:sz w:val="20"/>
          <w:szCs w:val="20"/>
          <w:color w:val="auto"/>
        </w:rPr>
      </w:pPr>
    </w:p>
    <w:p>
      <w:pPr>
        <w:ind w:right="60" w:firstLine="424"/>
        <w:spacing w:after="0" w:line="223" w:lineRule="auto"/>
        <w:tabs>
          <w:tab w:leader="none" w:pos="873" w:val="left"/>
        </w:tabs>
        <w:numPr>
          <w:ilvl w:val="1"/>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 EMPLOYEE’S RIGHT TO: (a)</w:t>
      </w:r>
    </w:p>
    <w:p>
      <w:pPr>
        <w:spacing w:after="0" w:line="3" w:lineRule="exact"/>
        <w:rPr>
          <w:rFonts w:ascii="Times New Roman" w:cs="Times New Roman" w:eastAsia="Times New Roman" w:hAnsi="Times New Roman"/>
          <w:sz w:val="20"/>
          <w:szCs w:val="20"/>
          <w:b w:val="1"/>
          <w:bCs w:val="1"/>
          <w:color w:val="auto"/>
        </w:rPr>
      </w:pPr>
    </w:p>
    <w:p>
      <w:pPr>
        <w:spacing w:after="0" w:line="21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FILE, BRING OR MAINTAIN ANY COVERED CLAIM(S) RELATING TO THIS AGREEMENT OR OTHERWISE COVERED UNDER THE COMCAST SOLUTIONS PROGRAM AGAINST THE COMPANY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CLAIM(S)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66" w:lineRule="exact"/>
        <w:rPr>
          <w:rFonts w:ascii="Times New Roman" w:cs="Times New Roman" w:eastAsia="Times New Roman" w:hAnsi="Times New Roman"/>
          <w:sz w:val="20"/>
          <w:szCs w:val="20"/>
          <w:b w:val="1"/>
          <w:bCs w:val="1"/>
          <w:color w:val="auto"/>
        </w:rPr>
      </w:pPr>
    </w:p>
    <w:p>
      <w:pPr>
        <w:ind w:right="80" w:firstLine="424"/>
        <w:spacing w:after="0" w:line="218" w:lineRule="auto"/>
        <w:tabs>
          <w:tab w:leader="none" w:pos="850" w:val="left"/>
        </w:tabs>
        <w:numPr>
          <w:ilvl w:val="1"/>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An action seeking preliminary injunctive relief in aid of arbitration and/or for the maintenance of the status quo pending arbitration, as permitted by the Comcast Solutions Program, shall be brought only in a state or federal court in the Eastern District of Pennsylvania. Employee consents to such jurisdiction, regardless of the location of Employee’s residence or place of business. Employee irrevocably waives any objection, including any objection to the laying of venue or based on the grounds of forum non conveniens, which Employee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171" w:lineRule="exact"/>
        <w:rPr>
          <w:rFonts w:ascii="Times New Roman" w:cs="Times New Roman" w:eastAsia="Times New Roman" w:hAnsi="Times New Roman"/>
          <w:sz w:val="21"/>
          <w:szCs w:val="21"/>
          <w:b w:val="1"/>
          <w:bCs w:val="1"/>
          <w:color w:val="auto"/>
        </w:rPr>
      </w:pPr>
    </w:p>
    <w:p>
      <w:pPr>
        <w:ind w:right="1120" w:firstLine="214"/>
        <w:spacing w:after="0" w:line="241" w:lineRule="auto"/>
        <w:tabs>
          <w:tab w:leader="none" w:pos="68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interpreted and enforced in accordance with the substantive law of the Commonwealth of Pennsylvania, without regard to any choice-of-law doctrines.</w:t>
      </w:r>
    </w:p>
    <w:p>
      <w:pPr>
        <w:spacing w:after="0" w:line="169" w:lineRule="exact"/>
        <w:rPr>
          <w:rFonts w:ascii="Times New Roman" w:cs="Times New Roman" w:eastAsia="Times New Roman" w:hAnsi="Times New Roman"/>
          <w:sz w:val="21"/>
          <w:szCs w:val="21"/>
          <w:color w:val="auto"/>
        </w:rPr>
      </w:pPr>
    </w:p>
    <w:p>
      <w:pPr>
        <w:ind w:right="200" w:firstLine="214"/>
        <w:spacing w:after="0" w:line="229" w:lineRule="auto"/>
        <w:tabs>
          <w:tab w:leader="none" w:pos="68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Comcast Corporation</w:t>
      </w:r>
    </w:p>
    <w:p>
      <w:pPr>
        <w:ind w:left="1260"/>
        <w:spacing w:after="0" w:line="208" w:lineRule="auto"/>
        <w:rPr>
          <w:sz w:val="20"/>
          <w:szCs w:val="20"/>
          <w:color w:val="auto"/>
        </w:rPr>
      </w:pPr>
      <w:r>
        <w:rPr>
          <w:rFonts w:ascii="Times New Roman" w:cs="Times New Roman" w:eastAsia="Times New Roman" w:hAnsi="Times New Roman"/>
          <w:sz w:val="21"/>
          <w:szCs w:val="21"/>
          <w:color w:val="auto"/>
        </w:rPr>
        <w:t>One Comcast Center</w:t>
      </w:r>
    </w:p>
    <w:p>
      <w:pPr>
        <w:ind w:left="1260"/>
        <w:spacing w:after="0" w:line="208" w:lineRule="auto"/>
        <w:rPr>
          <w:sz w:val="20"/>
          <w:szCs w:val="20"/>
          <w:color w:val="auto"/>
        </w:rPr>
      </w:pPr>
      <w:r>
        <w:rPr>
          <w:rFonts w:ascii="Times New Roman" w:cs="Times New Roman" w:eastAsia="Times New Roman" w:hAnsi="Times New Roman"/>
          <w:sz w:val="21"/>
          <w:szCs w:val="21"/>
          <w:color w:val="auto"/>
        </w:rPr>
        <w:t>Philadelphia, PA 19103</w:t>
      </w:r>
    </w:p>
    <w:p>
      <w:pPr>
        <w:ind w:left="1260"/>
        <w:spacing w:after="0" w:line="208" w:lineRule="auto"/>
        <w:rPr>
          <w:sz w:val="20"/>
          <w:szCs w:val="20"/>
          <w:color w:val="auto"/>
        </w:rPr>
      </w:pPr>
      <w:r>
        <w:rPr>
          <w:rFonts w:ascii="Times New Roman" w:cs="Times New Roman" w:eastAsia="Times New Roman" w:hAnsi="Times New Roman"/>
          <w:sz w:val="21"/>
          <w:szCs w:val="21"/>
          <w:color w:val="auto"/>
        </w:rPr>
        <w:t>Attention: Chief Legal Officer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Email: corporate_legal@comcast.com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20"/>
          </w:cols>
          <w:pgMar w:left="320" w:top="1440" w:right="359" w:bottom="1440" w:gutter="0" w:footer="0" w:header="0"/>
        </w:sectPr>
      </w:pPr>
    </w:p>
    <w:bookmarkStart w:id="51" w:name="page52"/>
    <w:bookmarkEnd w:id="51"/>
    <w:p>
      <w:pPr>
        <w:ind w:left="1200"/>
        <w:spacing w:after="0"/>
        <w:rPr>
          <w:sz w:val="20"/>
          <w:szCs w:val="20"/>
          <w:color w:val="auto"/>
        </w:rPr>
      </w:pPr>
      <w:r>
        <w:rPr>
          <w:rFonts w:ascii="Times New Roman" w:cs="Times New Roman" w:eastAsia="Times New Roman" w:hAnsi="Times New Roman"/>
          <w:sz w:val="21"/>
          <w:szCs w:val="21"/>
          <w:color w:val="auto"/>
        </w:rPr>
        <w:t>if to Employee:</w:t>
      </w:r>
    </w:p>
    <w:p>
      <w:pPr>
        <w:spacing w:after="0" w:line="204" w:lineRule="exact"/>
        <w:rPr>
          <w:sz w:val="20"/>
          <w:szCs w:val="20"/>
          <w:color w:val="auto"/>
        </w:rPr>
      </w:pPr>
    </w:p>
    <w:p>
      <w:pPr>
        <w:ind w:left="1200" w:right="3140"/>
        <w:spacing w:after="0" w:line="241" w:lineRule="auto"/>
        <w:rPr>
          <w:sz w:val="20"/>
          <w:szCs w:val="20"/>
          <w:color w:val="auto"/>
        </w:rPr>
      </w:pPr>
      <w:r>
        <w:rPr>
          <w:rFonts w:ascii="Times New Roman" w:cs="Times New Roman" w:eastAsia="Times New Roman" w:hAnsi="Times New Roman"/>
          <w:sz w:val="21"/>
          <w:szCs w:val="21"/>
          <w:color w:val="auto"/>
        </w:rPr>
        <w:t>Employee’s residence address or e-mail address as most recently indicated in the Company’s records.</w:t>
      </w:r>
    </w:p>
    <w:p>
      <w:pPr>
        <w:spacing w:after="0" w:line="170" w:lineRule="exact"/>
        <w:rPr>
          <w:sz w:val="20"/>
          <w:szCs w:val="20"/>
          <w:color w:val="auto"/>
        </w:rPr>
      </w:pPr>
    </w:p>
    <w:p>
      <w:pPr>
        <w:ind w:left="-60" w:firstLine="214"/>
        <w:spacing w:after="0" w:line="216" w:lineRule="auto"/>
        <w:tabs>
          <w:tab w:leader="none" w:pos="62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Schedules 1 and 2 hereto) constitutes the entire agreement of the parties with respect to the subject matter hereof and supersedes and replaces in its entirety the Employment Agreement dated as of March 1, 2018 between the parties,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w:t>
      </w:r>
    </w:p>
    <w:p>
      <w:pPr>
        <w:spacing w:after="0" w:line="173" w:lineRule="exact"/>
        <w:rPr>
          <w:rFonts w:ascii="Times New Roman" w:cs="Times New Roman" w:eastAsia="Times New Roman" w:hAnsi="Times New Roman"/>
          <w:sz w:val="21"/>
          <w:szCs w:val="21"/>
          <w:color w:val="auto"/>
        </w:rPr>
      </w:pPr>
    </w:p>
    <w:p>
      <w:pPr>
        <w:ind w:left="-60" w:right="120" w:firstLine="214"/>
        <w:spacing w:after="0" w:line="224" w:lineRule="auto"/>
        <w:tabs>
          <w:tab w:leader="none" w:pos="62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or Unenforceability</w:t>
      </w:r>
      <w:r>
        <w:rPr>
          <w:rFonts w:ascii="Times New Roman" w:cs="Times New Roman" w:eastAsia="Times New Roman" w:hAnsi="Times New Roman"/>
          <w:sz w:val="21"/>
          <w:szCs w:val="21"/>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72" w:lineRule="exact"/>
        <w:rPr>
          <w:rFonts w:ascii="Times New Roman" w:cs="Times New Roman" w:eastAsia="Times New Roman" w:hAnsi="Times New Roman"/>
          <w:sz w:val="21"/>
          <w:szCs w:val="21"/>
          <w:color w:val="auto"/>
        </w:rPr>
      </w:pPr>
    </w:p>
    <w:p>
      <w:pPr>
        <w:ind w:left="-60" w:right="120" w:firstLine="214"/>
        <w:spacing w:after="0" w:line="221" w:lineRule="auto"/>
        <w:tabs>
          <w:tab w:leader="none" w:pos="62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71" w:lineRule="exact"/>
        <w:rPr>
          <w:rFonts w:ascii="Times New Roman" w:cs="Times New Roman" w:eastAsia="Times New Roman" w:hAnsi="Times New Roman"/>
          <w:sz w:val="21"/>
          <w:szCs w:val="21"/>
          <w:color w:val="auto"/>
        </w:rPr>
      </w:pPr>
    </w:p>
    <w:p>
      <w:pPr>
        <w:ind w:left="-60" w:right="60" w:firstLine="214"/>
        <w:spacing w:after="0" w:line="229" w:lineRule="auto"/>
        <w:tabs>
          <w:tab w:leader="none" w:pos="62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No Assignment</w:t>
      </w:r>
      <w:r>
        <w:rPr>
          <w:rFonts w:ascii="Times New Roman" w:cs="Times New Roman" w:eastAsia="Times New Roman" w:hAnsi="Times New Roman"/>
          <w:sz w:val="21"/>
          <w:szCs w:val="21"/>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120"/>
          </w:cols>
          <w:pgMar w:left="380" w:top="1356" w:right="3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and delivered this Agreement as of the date first-above written.</w:t>
      </w:r>
    </w:p>
    <w:p>
      <w:pPr>
        <w:sectPr>
          <w:pgSz w:w="11900" w:h="16838" w:orient="portrait"/>
          <w:cols w:equalWidth="0" w:num="1">
            <w:col w:w="10360"/>
          </w:cols>
          <w:pgMar w:left="540" w:top="1357" w:right="999" w:bottom="1440" w:gutter="0" w:footer="0" w:header="0"/>
        </w:sectPr>
      </w:pPr>
    </w:p>
    <w:p>
      <w:pPr>
        <w:spacing w:after="0" w:line="2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COMCAST CORPORATION</w:t>
      </w:r>
    </w:p>
    <w:p>
      <w:pPr>
        <w:spacing w:after="0" w:line="200" w:lineRule="exact"/>
        <w:rPr>
          <w:sz w:val="20"/>
          <w:szCs w:val="20"/>
          <w:color w:val="auto"/>
        </w:rPr>
      </w:pPr>
    </w:p>
    <w:p>
      <w:pPr>
        <w:spacing w:after="0" w:line="25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-10795</wp:posOffset>
            </wp:positionV>
            <wp:extent cx="1123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spacing w:after="0" w:line="18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Date: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-10795</wp:posOffset>
            </wp:positionV>
            <wp:extent cx="10604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EMPLOYEE:</w:t>
      </w:r>
    </w:p>
    <w:p>
      <w:pPr>
        <w:spacing w:after="0" w:line="200" w:lineRule="exact"/>
        <w:rPr>
          <w:sz w:val="20"/>
          <w:szCs w:val="20"/>
          <w:color w:val="auto"/>
        </w:rPr>
      </w:pPr>
    </w:p>
    <w:p>
      <w:pPr>
        <w:spacing w:after="0" w:line="2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/s/ David 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-5715</wp:posOffset>
            </wp:positionV>
            <wp:extent cx="1209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left="3560"/>
        <w:spacing w:after="0"/>
        <w:rPr>
          <w:sz w:val="20"/>
          <w:szCs w:val="20"/>
          <w:color w:val="auto"/>
        </w:rPr>
      </w:pPr>
      <w:r>
        <w:rPr>
          <w:rFonts w:ascii="Times New Roman" w:cs="Times New Roman" w:eastAsia="Times New Roman" w:hAnsi="Times New Roman"/>
          <w:sz w:val="21"/>
          <w:szCs w:val="21"/>
          <w:color w:val="auto"/>
        </w:rPr>
        <w:t>David N. Watson</w:t>
      </w:r>
    </w:p>
    <w:p>
      <w:pPr>
        <w:spacing w:after="0" w:line="18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Date: October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-10795</wp:posOffset>
            </wp:positionV>
            <wp:extent cx="10604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0360"/>
          </w:cols>
          <w:pgMar w:left="540" w:top="1357" w:right="999" w:bottom="1440" w:gutter="0" w:footer="0" w:header="0"/>
          <w:type w:val="continuous"/>
        </w:sectPr>
      </w:pPr>
    </w:p>
    <w:bookmarkStart w:id="53" w:name="page54"/>
    <w:bookmarkEnd w:id="53"/>
    <w:p>
      <w:pPr>
        <w:jc w:val="center"/>
        <w:ind w:right="-54"/>
        <w:spacing w:after="0"/>
        <w:rPr>
          <w:sz w:val="20"/>
          <w:szCs w:val="20"/>
          <w:color w:val="auto"/>
        </w:rPr>
      </w:pPr>
      <w:r>
        <w:rPr>
          <w:rFonts w:ascii="Times New Roman" w:cs="Times New Roman" w:eastAsia="Times New Roman" w:hAnsi="Times New Roman"/>
          <w:sz w:val="21"/>
          <w:szCs w:val="21"/>
          <w:u w:val="single" w:color="auto"/>
          <w:color w:val="auto"/>
        </w:rPr>
        <w:t>SCHEDULE 1 TO EMPLOYMENT AGREEMENT WITH DAVID N. WATSON</w:t>
      </w:r>
    </w:p>
    <w:p>
      <w:pPr>
        <w:spacing w:after="0" w:line="230" w:lineRule="exact"/>
        <w:rPr>
          <w:sz w:val="20"/>
          <w:szCs w:val="20"/>
          <w:color w:val="auto"/>
        </w:rPr>
      </w:pPr>
    </w:p>
    <w:p>
      <w:pPr>
        <w:ind w:left="1895" w:right="4280" w:hanging="1895"/>
        <w:spacing w:after="0" w:line="280" w:lineRule="auto"/>
        <w:tabs>
          <w:tab w:leader="none" w:pos="37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Position: Senior Executive Vice President, Comcast Corporation; and Chief Executive Officer and President, Comcast Cable.</w:t>
      </w:r>
    </w:p>
    <w:p>
      <w:pPr>
        <w:spacing w:after="0" w:line="143" w:lineRule="exact"/>
        <w:rPr>
          <w:rFonts w:ascii="Times New Roman" w:cs="Times New Roman" w:eastAsia="Times New Roman" w:hAnsi="Times New Roman"/>
          <w:sz w:val="21"/>
          <w:szCs w:val="21"/>
          <w:color w:val="auto"/>
        </w:rPr>
      </w:pPr>
    </w:p>
    <w:p>
      <w:pPr>
        <w:ind w:left="375" w:hanging="375"/>
        <w:spacing w:after="0"/>
        <w:tabs>
          <w:tab w:leader="none" w:pos="37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$2,500,000</w:t>
      </w:r>
    </w:p>
    <w:p>
      <w:pPr>
        <w:spacing w:after="0" w:line="203" w:lineRule="exact"/>
        <w:rPr>
          <w:rFonts w:ascii="Times New Roman" w:cs="Times New Roman" w:eastAsia="Times New Roman" w:hAnsi="Times New Roman"/>
          <w:sz w:val="21"/>
          <w:szCs w:val="21"/>
          <w:color w:val="auto"/>
        </w:rPr>
      </w:pPr>
    </w:p>
    <w:p>
      <w:pPr>
        <w:ind w:left="635" w:right="560" w:hanging="635"/>
        <w:spacing w:after="0" w:line="241" w:lineRule="auto"/>
        <w:tabs>
          <w:tab w:leader="none" w:pos="373"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Bonus. Target bonus potential under the Cash Bonus Plan: 300% of eligible earnings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the amount of Base Salary actually paid and/or deferred in the applicable period).</w:t>
      </w:r>
    </w:p>
    <w:p>
      <w:pPr>
        <w:spacing w:after="0" w:line="170" w:lineRule="exact"/>
        <w:rPr>
          <w:sz w:val="20"/>
          <w:szCs w:val="20"/>
          <w:color w:val="auto"/>
        </w:rPr>
      </w:pPr>
    </w:p>
    <w:p>
      <w:pPr>
        <w:ind w:left="635" w:hanging="635"/>
        <w:spacing w:after="0" w:line="229" w:lineRule="auto"/>
        <w:tabs>
          <w:tab w:leader="none" w:pos="37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173" w:lineRule="exact"/>
        <w:rPr>
          <w:rFonts w:ascii="Times New Roman" w:cs="Times New Roman" w:eastAsia="Times New Roman" w:hAnsi="Times New Roman"/>
          <w:sz w:val="21"/>
          <w:szCs w:val="21"/>
          <w:color w:val="auto"/>
        </w:rPr>
      </w:pPr>
    </w:p>
    <w:p>
      <w:pPr>
        <w:ind w:left="635" w:right="160" w:hanging="635"/>
        <w:spacing w:after="0" w:line="242" w:lineRule="auto"/>
        <w:tabs>
          <w:tab w:leader="none" w:pos="37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95"/>
          </w:cols>
          <w:pgMar w:left="325" w:top="1357" w:right="37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SCHEDULE 2</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LIMITED EXCLUSION NOTIFICATION</w:t>
      </w:r>
    </w:p>
    <w:p>
      <w:pPr>
        <w:spacing w:after="0" w:line="9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THIS IS TO NOTIFY </w:t>
      </w:r>
      <w:r>
        <w:rPr>
          <w:rFonts w:ascii="Times New Roman" w:cs="Times New Roman" w:eastAsia="Times New Roman" w:hAnsi="Times New Roman"/>
          <w:sz w:val="20"/>
          <w:szCs w:val="20"/>
          <w:color w:val="auto"/>
        </w:rPr>
        <w:t>Employee in accordance with Section 2872 of the California Labor Code that this Agreement</w:t>
      </w:r>
      <w:r>
        <w:rPr>
          <w:rFonts w:ascii="Times New Roman" w:cs="Times New Roman" w:eastAsia="Times New Roman" w:hAnsi="Times New Roman"/>
          <w:sz w:val="20"/>
          <w:szCs w:val="20"/>
          <w:b w:val="1"/>
          <w:bCs w:val="1"/>
          <w:color w:val="auto"/>
        </w:rPr>
        <w:t xml:space="preserve"> does not </w:t>
      </w:r>
      <w:r>
        <w:rPr>
          <w:rFonts w:ascii="Times New Roman" w:cs="Times New Roman" w:eastAsia="Times New Roman" w:hAnsi="Times New Roman"/>
          <w:sz w:val="20"/>
          <w:szCs w:val="20"/>
          <w:color w:val="auto"/>
        </w:rPr>
        <w:t xml:space="preserve">require Employee to assign or offer to assign to the Company any invention that Employee developed entirely on Employee’s own time </w:t>
      </w:r>
      <w:r>
        <w:rPr>
          <w:rFonts w:ascii="Times New Roman" w:cs="Times New Roman" w:eastAsia="Times New Roman" w:hAnsi="Times New Roman"/>
          <w:sz w:val="20"/>
          <w:szCs w:val="20"/>
          <w:b w:val="1"/>
          <w:bCs w:val="1"/>
          <w:color w:val="auto"/>
        </w:rPr>
        <w:t>without using</w:t>
      </w:r>
      <w:r>
        <w:rPr>
          <w:rFonts w:ascii="Times New Roman" w:cs="Times New Roman" w:eastAsia="Times New Roman" w:hAnsi="Times New Roman"/>
          <w:sz w:val="20"/>
          <w:szCs w:val="20"/>
          <w:color w:val="auto"/>
        </w:rPr>
        <w:t xml:space="preserve"> the Company’s equipment, supplies, facilities or trade secret information </w:t>
      </w:r>
      <w:r>
        <w:rPr>
          <w:rFonts w:ascii="Times New Roman" w:cs="Times New Roman" w:eastAsia="Times New Roman" w:hAnsi="Times New Roman"/>
          <w:sz w:val="20"/>
          <w:szCs w:val="20"/>
          <w:b w:val="1"/>
          <w:bCs w:val="1"/>
          <w:color w:val="auto"/>
        </w:rPr>
        <w:t>except for</w:t>
      </w:r>
      <w:r>
        <w:rPr>
          <w:rFonts w:ascii="Times New Roman" w:cs="Times New Roman" w:eastAsia="Times New Roman" w:hAnsi="Times New Roman"/>
          <w:sz w:val="20"/>
          <w:szCs w:val="20"/>
          <w:color w:val="auto"/>
        </w:rPr>
        <w:t xml:space="preserve"> those inventions that </w:t>
      </w:r>
      <w:r>
        <w:rPr>
          <w:rFonts w:ascii="Times New Roman" w:cs="Times New Roman" w:eastAsia="Times New Roman" w:hAnsi="Times New Roman"/>
          <w:sz w:val="20"/>
          <w:szCs w:val="20"/>
          <w:b w:val="1"/>
          <w:bCs w:val="1"/>
          <w:color w:val="auto"/>
        </w:rPr>
        <w:t>either:</w:t>
      </w:r>
    </w:p>
    <w:p>
      <w:pPr>
        <w:spacing w:after="0" w:line="167" w:lineRule="exact"/>
        <w:rPr>
          <w:sz w:val="20"/>
          <w:szCs w:val="20"/>
          <w:color w:val="auto"/>
        </w:rPr>
      </w:pPr>
    </w:p>
    <w:p>
      <w:pPr>
        <w:ind w:left="1260" w:right="760" w:hanging="626"/>
        <w:spacing w:after="0" w:line="241" w:lineRule="auto"/>
        <w:tabs>
          <w:tab w:leader="none" w:pos="12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or reduction to practice of the invention to the Company’s business, or actual demonstrably anticipated research or development of the Company; or</w:t>
      </w:r>
    </w:p>
    <w:p>
      <w:pPr>
        <w:spacing w:after="0" w:line="169" w:lineRule="exact"/>
        <w:rPr>
          <w:rFonts w:ascii="Times New Roman" w:cs="Times New Roman" w:eastAsia="Times New Roman" w:hAnsi="Times New Roman"/>
          <w:sz w:val="21"/>
          <w:szCs w:val="21"/>
          <w:color w:val="auto"/>
        </w:rPr>
      </w:pPr>
    </w:p>
    <w:p>
      <w:pPr>
        <w:ind w:left="1260" w:hanging="626"/>
        <w:spacing w:after="0"/>
        <w:tabs>
          <w:tab w:leader="none" w:pos="126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from any work performed by you for the Company.</w:t>
      </w:r>
    </w:p>
    <w:p>
      <w:pPr>
        <w:spacing w:after="0" w:line="20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1"/>
          <w:szCs w:val="21"/>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00"/>
          </w:cols>
          <w:pgMar w:left="320" w:top="1357" w:right="37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L. Roberts, certify that:</w:t>
      </w:r>
    </w:p>
    <w:p>
      <w:pPr>
        <w:spacing w:after="0" w:line="119" w:lineRule="exact"/>
        <w:rPr>
          <w:sz w:val="20"/>
          <w:szCs w:val="20"/>
          <w:color w:val="auto"/>
        </w:rPr>
      </w:pPr>
    </w:p>
    <w:p>
      <w:pPr>
        <w:ind w:left="640" w:hanging="635"/>
        <w:spacing w:after="0"/>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Comcast Corporation;</w:t>
      </w:r>
    </w:p>
    <w:p>
      <w:pPr>
        <w:spacing w:after="0" w:line="118" w:lineRule="exact"/>
        <w:rPr>
          <w:rFonts w:ascii="Times New Roman" w:cs="Times New Roman" w:eastAsia="Times New Roman" w:hAnsi="Times New Roman"/>
          <w:sz w:val="17"/>
          <w:szCs w:val="17"/>
          <w:color w:val="auto"/>
        </w:rPr>
      </w:pPr>
    </w:p>
    <w:p>
      <w:pPr>
        <w:jc w:val="both"/>
        <w:ind w:left="640" w:right="460" w:hanging="635"/>
        <w:spacing w:after="0" w:line="276"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7"/>
          <w:szCs w:val="17"/>
          <w:color w:val="auto"/>
        </w:rPr>
      </w:pPr>
    </w:p>
    <w:p>
      <w:pPr>
        <w:ind w:left="640" w:right="420" w:hanging="635"/>
        <w:spacing w:after="0" w:line="296"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left="640" w:right="40" w:hanging="635"/>
        <w:spacing w:after="0" w:line="276"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1260" w:right="120" w:hanging="626"/>
        <w:spacing w:after="0" w:line="276" w:lineRule="auto"/>
        <w:tabs>
          <w:tab w:leader="none" w:pos="12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left="1260" w:right="380" w:hanging="626"/>
        <w:spacing w:after="0" w:line="276" w:lineRule="auto"/>
        <w:tabs>
          <w:tab w:leader="none" w:pos="124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1260" w:right="540" w:hanging="626"/>
        <w:spacing w:after="0" w:line="296" w:lineRule="auto"/>
        <w:tabs>
          <w:tab w:leader="none" w:pos="12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left="1260" w:right="120" w:hanging="626"/>
        <w:spacing w:after="0" w:line="276" w:lineRule="auto"/>
        <w:tabs>
          <w:tab w:leader="none" w:pos="124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40" w:right="340" w:hanging="635"/>
        <w:spacing w:after="0" w:line="296" w:lineRule="auto"/>
        <w:tabs>
          <w:tab w:leader="none" w:pos="6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1260" w:right="40" w:hanging="626"/>
        <w:spacing w:after="0" w:line="296" w:lineRule="auto"/>
        <w:tabs>
          <w:tab w:leader="none" w:pos="125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1260" w:right="540" w:hanging="626"/>
        <w:spacing w:after="0" w:line="296" w:lineRule="auto"/>
        <w:tabs>
          <w:tab w:leader="none" w:pos="1248"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27, 2022</w:t>
      </w:r>
    </w:p>
    <w:p>
      <w:pPr>
        <w:spacing w:after="0" w:line="5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4683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Name: Brian L. Roberts</w:t>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240"/>
          </w:cols>
          <w:pgMar w:left="320" w:top="3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color w:val="auto"/>
        </w:rPr>
        <w:t>I, Michael J. Cavanagh, certify that:</w:t>
      </w:r>
    </w:p>
    <w:p>
      <w:pPr>
        <w:spacing w:after="0" w:line="66" w:lineRule="exact"/>
        <w:rPr>
          <w:sz w:val="20"/>
          <w:szCs w:val="20"/>
          <w:color w:val="auto"/>
        </w:rPr>
      </w:pPr>
    </w:p>
    <w:p>
      <w:pPr>
        <w:ind w:left="640" w:hanging="635"/>
        <w:spacing w:after="0"/>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Comcast Corporation;</w:t>
      </w:r>
    </w:p>
    <w:p>
      <w:pPr>
        <w:spacing w:after="0" w:line="118" w:lineRule="exact"/>
        <w:rPr>
          <w:rFonts w:ascii="Times New Roman" w:cs="Times New Roman" w:eastAsia="Times New Roman" w:hAnsi="Times New Roman"/>
          <w:sz w:val="17"/>
          <w:szCs w:val="17"/>
          <w:color w:val="auto"/>
        </w:rPr>
      </w:pPr>
    </w:p>
    <w:p>
      <w:pPr>
        <w:jc w:val="both"/>
        <w:ind w:left="640" w:right="420" w:hanging="635"/>
        <w:spacing w:after="0" w:line="276"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7"/>
          <w:szCs w:val="17"/>
          <w:color w:val="auto"/>
        </w:rPr>
      </w:pPr>
    </w:p>
    <w:p>
      <w:pPr>
        <w:ind w:left="640" w:right="380" w:hanging="635"/>
        <w:spacing w:after="0" w:line="296"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left="640" w:hanging="635"/>
        <w:spacing w:after="0" w:line="276"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1260" w:right="80" w:hanging="626"/>
        <w:spacing w:after="0" w:line="276" w:lineRule="auto"/>
        <w:tabs>
          <w:tab w:leader="none" w:pos="125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left="1260" w:right="340" w:hanging="626"/>
        <w:spacing w:after="0" w:line="276" w:lineRule="auto"/>
        <w:tabs>
          <w:tab w:leader="none" w:pos="124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1260" w:right="500" w:hanging="626"/>
        <w:spacing w:after="0" w:line="296" w:lineRule="auto"/>
        <w:tabs>
          <w:tab w:leader="none" w:pos="125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left="1260" w:right="80" w:hanging="626"/>
        <w:spacing w:after="0" w:line="276" w:lineRule="auto"/>
        <w:tabs>
          <w:tab w:leader="none" w:pos="124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40" w:right="300" w:hanging="635"/>
        <w:spacing w:after="0" w:line="296" w:lineRule="auto"/>
        <w:tabs>
          <w:tab w:leader="none" w:pos="6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1260" w:hanging="626"/>
        <w:spacing w:after="0" w:line="296" w:lineRule="auto"/>
        <w:tabs>
          <w:tab w:leader="none" w:pos="125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1260" w:right="500" w:hanging="626"/>
        <w:spacing w:after="0" w:line="296" w:lineRule="auto"/>
        <w:tabs>
          <w:tab w:leader="none" w:pos="1248"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October 27, 2022</w:t>
      </w:r>
    </w:p>
    <w:p>
      <w:pPr>
        <w:spacing w:after="0" w:line="1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4683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Name: Michael J. Cavanagh</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200"/>
          </w:cols>
          <w:pgMar w:left="320" w:top="1103"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906 OF THE SARBANES-OXLEY ACT</w:t>
      </w:r>
    </w:p>
    <w:p>
      <w:pPr>
        <w:spacing w:after="0" w:line="109"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color w:val="auto"/>
        </w:rPr>
        <w:t>October 27,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59"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Brian L. Roberts, the Chief Executive Officer and Michael J. Cavanagh, the Chief Financial Officer of Comcast Corporation, each certifies that, to the best of his knowledge:</w:t>
      </w:r>
    </w:p>
    <w:p>
      <w:pPr>
        <w:spacing w:after="0" w:line="42" w:lineRule="exact"/>
        <w:rPr>
          <w:sz w:val="20"/>
          <w:szCs w:val="20"/>
          <w:color w:val="auto"/>
        </w:rPr>
      </w:pPr>
    </w:p>
    <w:p>
      <w:pPr>
        <w:ind w:left="640" w:hanging="635"/>
        <w:spacing w:after="0"/>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Exchange Act; and</w:t>
      </w:r>
    </w:p>
    <w:p>
      <w:pPr>
        <w:spacing w:after="0" w:line="118" w:lineRule="exact"/>
        <w:rPr>
          <w:rFonts w:ascii="Times New Roman" w:cs="Times New Roman" w:eastAsia="Times New Roman" w:hAnsi="Times New Roman"/>
          <w:sz w:val="17"/>
          <w:szCs w:val="17"/>
          <w:color w:val="auto"/>
        </w:rPr>
      </w:pPr>
    </w:p>
    <w:p>
      <w:pPr>
        <w:ind w:left="640" w:right="840" w:hanging="635"/>
        <w:spacing w:after="0" w:line="296" w:lineRule="auto"/>
        <w:tabs>
          <w:tab w:leader="none" w:pos="6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Comcast Corporation.</w:t>
      </w:r>
    </w:p>
    <w:p>
      <w:pPr>
        <w:spacing w:after="0" w:line="8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20320</wp:posOffset>
            </wp:positionV>
            <wp:extent cx="3468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7"/>
          <w:szCs w:val="17"/>
          <w:color w:val="auto"/>
        </w:rPr>
        <w:t>Name: Brian L. Roberts</w:t>
      </w:r>
    </w:p>
    <w:p>
      <w:pPr>
        <w:spacing w:after="0" w:line="3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3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20320</wp:posOffset>
            </wp:positionV>
            <wp:extent cx="34683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Name: Michael J. Cavanagh</w:t>
      </w:r>
    </w:p>
    <w:p>
      <w:pPr>
        <w:spacing w:after="0" w:line="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Title: Chief Financial Officer</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2"/>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2"/>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decimal"/>
      <w:start w:val="22"/>
    </w:lvl>
  </w:abstractNum>
  <w:abstractNum w:abstractNumId="17">
    <w:nsid w:val="7C3DBD3D"/>
    <w:multiLevelType w:val="hybridMultilevel"/>
    <w:lvl w:ilvl="0">
      <w:lvlJc w:val="left"/>
      <w:lvlText w:val="%1"/>
      <w:numFmt w:val="decimal"/>
      <w:start w:val="31"/>
    </w:lvl>
  </w:abstractNum>
  <w:abstractNum w:abstractNumId="18">
    <w:nsid w:val="737B8DDC"/>
    <w:multiLevelType w:val="hybridMultilevel"/>
    <w:lvl w:ilvl="0">
      <w:lvlJc w:val="left"/>
      <w:lvlText w:val="%1"/>
      <w:numFmt w:val="decimal"/>
      <w:start w:val="101"/>
    </w:lvl>
    <w:lvl w:ilvl="1">
      <w:lvlJc w:val="left"/>
      <w:lvlText w:val="(%2)"/>
      <w:numFmt w:val="lowerRoman"/>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lvl w:ilvl="1">
      <w:lvlJc w:val="left"/>
      <w:lvlText w:val="(%2)"/>
      <w:numFmt w:val="lowerLetter"/>
      <w:start w:val="1"/>
    </w:lvl>
  </w:abstractNum>
  <w:abstractNum w:abstractNumId="21">
    <w:nsid w:val="4516DDE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
    <w:nsid w:val="3006C83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3">
    <w:nsid w:val="614FD4A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4">
    <w:nsid w:val="419AC241"/>
    <w:multiLevelType w:val="hybridMultilevel"/>
    <w:lvl w:ilvl="0">
      <w:lvlJc w:val="left"/>
      <w:lvlText w:val="%1"/>
      <w:numFmt w:val="decimal"/>
      <w:start w:val="1"/>
    </w:lvl>
    <w:lvl w:ilvl="1">
      <w:lvlJc w:val="left"/>
      <w:lvlText w:val="(%2)"/>
      <w:numFmt w:val="lowerRoman"/>
      <w:start w:val="2"/>
    </w:lvl>
  </w:abstractNum>
  <w:abstractNum w:abstractNumId="25">
    <w:nsid w:val="5577F8E1"/>
    <w:multiLevelType w:val="hybridMultilevel"/>
    <w:lvl w:ilvl="0">
      <w:lvlJc w:val="left"/>
      <w:lvlText w:val="%1."/>
      <w:numFmt w:val="decimal"/>
      <w:start w:val="8"/>
    </w:lvl>
    <w:lvl w:ilvl="1">
      <w:lvlJc w:val="left"/>
      <w:lvlText w:val="%2"/>
      <w:numFmt w:val="lowerRoman"/>
      <w:start w:val="1"/>
    </w:lvl>
  </w:abstractNum>
  <w:abstractNum w:abstractNumId="26">
    <w:nsid w:val="440BADFC"/>
    <w:multiLevelType w:val="hybridMultilevel"/>
    <w:lvl w:ilvl="0">
      <w:lvlJc w:val="left"/>
      <w:lvlText w:val="(%1)"/>
      <w:numFmt w:val="lowerLetter"/>
      <w:start w:val="1"/>
    </w:lvl>
    <w:lvl w:ilvl="1">
      <w:lvlJc w:val="left"/>
      <w:lvlText w:val="(%2)"/>
      <w:numFmt w:val="lowerRoman"/>
      <w:start w:val="2"/>
    </w:lvl>
  </w:abstractNum>
  <w:abstractNum w:abstractNumId="27">
    <w:nsid w:val="5072367"/>
    <w:multiLevelType w:val="hybridMultilevel"/>
    <w:lvl w:ilvl="0">
      <w:lvlJc w:val="left"/>
      <w:lvlText w:val="(%1)"/>
      <w:numFmt w:val="lowerLetter"/>
      <w:start w:val="5"/>
    </w:lvl>
  </w:abstractNum>
  <w:abstractNum w:abstractNumId="28">
    <w:nsid w:val="3804823E"/>
    <w:multiLevelType w:val="hybridMultilevel"/>
    <w:lvl w:ilvl="0">
      <w:lvlJc w:val="left"/>
      <w:lvlText w:val="%1"/>
      <w:numFmt w:val="decimal"/>
      <w:start w:val="1"/>
    </w:lvl>
    <w:lvl w:ilvl="1">
      <w:lvlJc w:val="left"/>
      <w:lvlText w:val="(%2)"/>
      <w:numFmt w:val="lowerLetter"/>
      <w:start w:val="6"/>
    </w:lvl>
  </w:abstractNum>
  <w:abstractNum w:abstractNumId="29">
    <w:nsid w:val="77465F01"/>
    <w:multiLevelType w:val="hybridMultilevel"/>
    <w:lvl w:ilvl="0">
      <w:lvlJc w:val="left"/>
      <w:lvlText w:val="%1."/>
      <w:numFmt w:val="decimal"/>
      <w:start w:val="9"/>
    </w:lvl>
    <w:lvl w:ilvl="1">
      <w:lvlJc w:val="left"/>
      <w:lvlText w:val="(%2)"/>
      <w:numFmt w:val="lowerLetter"/>
      <w:start w:val="1"/>
    </w:lvl>
  </w:abstractNum>
  <w:abstractNum w:abstractNumId="30">
    <w:nsid w:val="7724C67E"/>
    <w:multiLevelType w:val="hybridMultilevel"/>
    <w:lvl w:ilvl="0">
      <w:lvlJc w:val="left"/>
      <w:lvlText w:val="(%1)"/>
      <w:numFmt w:val="lowerLetter"/>
      <w:start w:val="2"/>
    </w:lvl>
  </w:abstractNum>
  <w:abstractNum w:abstractNumId="31">
    <w:nsid w:val="5C482A97"/>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2">
    <w:nsid w:val="2463B9EA"/>
    <w:multiLevelType w:val="hybridMultilevel"/>
    <w:lvl w:ilvl="0">
      <w:lvlJc w:val="left"/>
      <w:lvlText w:val="(%1)"/>
      <w:numFmt w:val="decimal"/>
      <w:start w:val="6"/>
    </w:lvl>
    <w:lvl w:ilvl="1">
      <w:lvlJc w:val="left"/>
      <w:lvlText w:val="%2."/>
      <w:numFmt w:val="decimal"/>
      <w:start w:val="13"/>
    </w:lvl>
    <w:lvl w:ilvl="2">
      <w:lvlJc w:val="left"/>
      <w:lvlText w:val="(%3)"/>
      <w:numFmt w:val="lowerLetter"/>
      <w:start w:val="4"/>
    </w:lvl>
  </w:abstractNum>
  <w:abstractNum w:abstractNumId="33">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4">
    <w:nsid w:val="51EAD36B"/>
    <w:multiLevelType w:val="hybridMultilevel"/>
    <w:lvl w:ilvl="0">
      <w:lvlJc w:val="left"/>
      <w:lvlText w:val="%1"/>
      <w:numFmt w:val="decimal"/>
      <w:start w:val="1"/>
    </w:lvl>
    <w:lvl w:ilvl="1">
      <w:lvlJc w:val="left"/>
      <w:lvlText w:val="%2."/>
      <w:numFmt w:val="decimal"/>
      <w:start w:val="15"/>
    </w:lvl>
    <w:lvl w:ilvl="2">
      <w:lvlJc w:val="left"/>
      <w:lvlText w:val="(%3)"/>
      <w:numFmt w:val="lowerLetter"/>
      <w:start w:val="1"/>
    </w:lvl>
  </w:abstractNum>
  <w:abstractNum w:abstractNumId="35">
    <w:nsid w:val="2D517796"/>
    <w:multiLevelType w:val="hybridMultilevel"/>
    <w:lvl w:ilvl="0">
      <w:lvlJc w:val="left"/>
      <w:lvlText w:val="%1"/>
      <w:numFmt w:val="decimal"/>
      <w:start w:val="1"/>
    </w:lvl>
    <w:lvl w:ilvl="1">
      <w:lvlJc w:val="left"/>
      <w:lvlText w:val="(%2)"/>
      <w:numFmt w:val="lowerLetter"/>
      <w:start w:val="2"/>
    </w:lvl>
  </w:abstractNum>
  <w:abstractNum w:abstractNumId="36">
    <w:nsid w:val="580BD78F"/>
    <w:multiLevelType w:val="hybridMultilevel"/>
    <w:lvl w:ilvl="0">
      <w:lvlJc w:val="left"/>
      <w:lvlText w:val="%1."/>
      <w:numFmt w:val="decimal"/>
      <w:start w:val="16"/>
    </w:lvl>
    <w:lvl w:ilvl="1">
      <w:lvlJc w:val="left"/>
      <w:lvlText w:val="%2"/>
      <w:numFmt w:val="lowerLetter"/>
      <w:start w:val="1"/>
    </w:lvl>
  </w:abstractNum>
  <w:abstractNum w:abstractNumId="37">
    <w:nsid w:val="153EA438"/>
    <w:multiLevelType w:val="hybridMultilevel"/>
    <w:lvl w:ilvl="0">
      <w:lvlJc w:val="left"/>
      <w:lvlText w:val="%1."/>
      <w:numFmt w:val="decimal"/>
      <w:start w:val="18"/>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6"/>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2022-10-27T14:11:41Z</dcterms:created>
  <dcterms:modified xsi:type="dcterms:W3CDTF">2022-10-27T14:11:41Z</dcterms:modified>
</cp:coreProperties>
</file>