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279" w:lineRule="exact"/>
        <w:rPr>
          <w:sz w:val="24"/>
          <w:szCs w:val="24"/>
          <w:color w:val="auto"/>
        </w:rPr>
      </w:pPr>
    </w:p>
    <w:p>
      <w:pPr>
        <w:ind w:left="5000"/>
        <w:spacing w:after="0"/>
        <w:rPr>
          <w:sz w:val="20"/>
          <w:szCs w:val="20"/>
          <w:color w:val="auto"/>
        </w:rPr>
      </w:pPr>
      <w:r>
        <w:rPr>
          <w:rFonts w:ascii="Arial" w:cs="Arial" w:eastAsia="Arial" w:hAnsi="Arial"/>
          <w:sz w:val="25"/>
          <w:szCs w:val="25"/>
          <w:b w:val="1"/>
          <w:bCs w:val="1"/>
          <w:color w:val="auto"/>
        </w:rPr>
        <w:t>FORM 8-K</w:t>
      </w:r>
    </w:p>
    <w:p>
      <w:pPr>
        <w:spacing w:after="0" w:line="226" w:lineRule="exact"/>
        <w:rPr>
          <w:sz w:val="24"/>
          <w:szCs w:val="24"/>
          <w:color w:val="auto"/>
        </w:rPr>
      </w:pPr>
    </w:p>
    <w:p>
      <w:pPr>
        <w:ind w:left="4420"/>
        <w:spacing w:after="0"/>
        <w:rPr>
          <w:sz w:val="20"/>
          <w:szCs w:val="20"/>
          <w:color w:val="auto"/>
        </w:rPr>
      </w:pPr>
      <w:r>
        <w:rPr>
          <w:rFonts w:ascii="Arial" w:cs="Arial" w:eastAsia="Arial" w:hAnsi="Arial"/>
          <w:sz w:val="25"/>
          <w:szCs w:val="25"/>
          <w:b w:val="1"/>
          <w:bCs w:val="1"/>
          <w:color w:val="auto"/>
        </w:rPr>
        <w:t>CURRENT REPORT</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Pursuant to Section 13 or 15(d) of the</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Exchange Act of 1934</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May 25, 2021</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Comcast Corporation</w:t>
      </w:r>
    </w:p>
    <w:p>
      <w:pPr>
        <w:spacing w:after="0" w:line="34" w:lineRule="exact"/>
        <w:rPr>
          <w:sz w:val="24"/>
          <w:szCs w:val="24"/>
          <w:color w:val="auto"/>
        </w:rPr>
      </w:pPr>
    </w:p>
    <w:p>
      <w:pPr>
        <w:ind w:left="4660"/>
        <w:spacing w:after="0"/>
        <w:rPr>
          <w:sz w:val="20"/>
          <w:szCs w:val="20"/>
          <w:color w:val="auto"/>
        </w:rPr>
      </w:pPr>
      <w:r>
        <w:rPr>
          <w:rFonts w:ascii="Arial" w:cs="Arial" w:eastAsia="Arial" w:hAnsi="Arial"/>
          <w:sz w:val="18"/>
          <w:szCs w:val="18"/>
          <w:color w:val="auto"/>
        </w:rPr>
        <w:t>(Exact Name of Registrant</w:t>
      </w:r>
    </w:p>
    <w:p>
      <w:pPr>
        <w:spacing w:after="0" w:line="7" w:lineRule="exact"/>
        <w:rPr>
          <w:sz w:val="24"/>
          <w:szCs w:val="24"/>
          <w:color w:val="auto"/>
        </w:rPr>
      </w:pPr>
    </w:p>
    <w:p>
      <w:pPr>
        <w:ind w:left="4660"/>
        <w:spacing w:after="0"/>
        <w:rPr>
          <w:sz w:val="20"/>
          <w:szCs w:val="20"/>
          <w:color w:val="auto"/>
        </w:rPr>
      </w:pPr>
      <w:r>
        <w:rPr>
          <w:rFonts w:ascii="Arial" w:cs="Arial" w:eastAsia="Arial" w:hAnsi="Arial"/>
          <w:sz w:val="18"/>
          <w:szCs w:val="18"/>
          <w:color w:val="auto"/>
        </w:rPr>
        <w:t>as Specified in its Charter)</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Pennsylvania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07" w:lineRule="exact"/>
        <w:rPr>
          <w:sz w:val="24"/>
          <w:szCs w:val="24"/>
          <w:color w:val="auto"/>
        </w:rPr>
      </w:pPr>
    </w:p>
    <w:tbl>
      <w:tblPr>
        <w:tblLayout w:type="fixed"/>
        <w:tblInd w:w="560" w:type="dxa"/>
        <w:tblCellMar>
          <w:top w:w="0" w:type="dxa"/>
          <w:left w:w="0" w:type="dxa"/>
          <w:bottom w:w="0" w:type="dxa"/>
          <w:right w:w="0" w:type="dxa"/>
        </w:tblCellMar>
      </w:tblPr>
      <w:tr>
        <w:trPr>
          <w:trHeight w:val="220"/>
        </w:trPr>
        <w:tc>
          <w:tcPr>
            <w:tcW w:w="5200" w:type="dxa"/>
            <w:vAlign w:val="bottom"/>
          </w:tcPr>
          <w:p>
            <w:pPr>
              <w:jc w:val="center"/>
              <w:ind w:right="2170"/>
              <w:spacing w:after="0"/>
              <w:rPr>
                <w:sz w:val="20"/>
                <w:szCs w:val="20"/>
                <w:color w:val="auto"/>
              </w:rPr>
            </w:pPr>
            <w:r>
              <w:rPr>
                <w:rFonts w:ascii="Arial" w:cs="Arial" w:eastAsia="Arial" w:hAnsi="Arial"/>
                <w:sz w:val="18"/>
                <w:szCs w:val="18"/>
                <w:b w:val="1"/>
                <w:bCs w:val="1"/>
                <w:color w:val="auto"/>
                <w:w w:val="90"/>
              </w:rPr>
              <w:t>001-32871</w:t>
            </w:r>
          </w:p>
        </w:tc>
        <w:tc>
          <w:tcPr>
            <w:tcW w:w="4760" w:type="dxa"/>
            <w:vAlign w:val="bottom"/>
          </w:tcPr>
          <w:p>
            <w:pPr>
              <w:jc w:val="center"/>
              <w:ind w:left="2190"/>
              <w:spacing w:after="0"/>
              <w:rPr>
                <w:sz w:val="20"/>
                <w:szCs w:val="20"/>
                <w:color w:val="auto"/>
              </w:rPr>
            </w:pPr>
            <w:r>
              <w:rPr>
                <w:rFonts w:ascii="Arial" w:cs="Arial" w:eastAsia="Arial" w:hAnsi="Arial"/>
                <w:sz w:val="18"/>
                <w:szCs w:val="18"/>
                <w:b w:val="1"/>
                <w:bCs w:val="1"/>
                <w:color w:val="auto"/>
                <w:w w:val="91"/>
              </w:rPr>
              <w:t>27-0000798</w:t>
            </w:r>
          </w:p>
        </w:tc>
      </w:tr>
      <w:tr>
        <w:trPr>
          <w:trHeight w:val="230"/>
        </w:trPr>
        <w:tc>
          <w:tcPr>
            <w:tcW w:w="5200" w:type="dxa"/>
            <w:vAlign w:val="bottom"/>
          </w:tcPr>
          <w:p>
            <w:pPr>
              <w:jc w:val="center"/>
              <w:ind w:right="2170"/>
              <w:spacing w:after="0"/>
              <w:rPr>
                <w:sz w:val="20"/>
                <w:szCs w:val="20"/>
                <w:color w:val="auto"/>
              </w:rPr>
            </w:pPr>
            <w:r>
              <w:rPr>
                <w:rFonts w:ascii="Arial" w:cs="Arial" w:eastAsia="Arial" w:hAnsi="Arial"/>
                <w:sz w:val="18"/>
                <w:szCs w:val="18"/>
                <w:color w:val="auto"/>
                <w:w w:val="92"/>
              </w:rPr>
              <w:t>(Commission File Number)</w:t>
            </w:r>
          </w:p>
        </w:tc>
        <w:tc>
          <w:tcPr>
            <w:tcW w:w="4760" w:type="dxa"/>
            <w:vAlign w:val="bottom"/>
          </w:tcPr>
          <w:p>
            <w:pPr>
              <w:jc w:val="center"/>
              <w:ind w:left="219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5200" w:type="dxa"/>
            <w:vAlign w:val="bottom"/>
          </w:tcPr>
          <w:p>
            <w:pPr>
              <w:jc w:val="center"/>
              <w:ind w:right="2170"/>
              <w:spacing w:after="0"/>
              <w:rPr>
                <w:sz w:val="20"/>
                <w:szCs w:val="20"/>
                <w:color w:val="auto"/>
              </w:rPr>
            </w:pPr>
            <w:r>
              <w:rPr>
                <w:rFonts w:ascii="Arial" w:cs="Arial" w:eastAsia="Arial" w:hAnsi="Arial"/>
                <w:sz w:val="18"/>
                <w:szCs w:val="18"/>
                <w:b w:val="1"/>
                <w:bCs w:val="1"/>
                <w:color w:val="auto"/>
                <w:w w:val="90"/>
              </w:rPr>
              <w:t>One Comcast Center</w:t>
            </w:r>
          </w:p>
        </w:tc>
        <w:tc>
          <w:tcPr>
            <w:tcW w:w="4760" w:type="dxa"/>
            <w:vAlign w:val="bottom"/>
          </w:tcPr>
          <w:p>
            <w:pPr>
              <w:spacing w:after="0"/>
              <w:rPr>
                <w:sz w:val="24"/>
                <w:szCs w:val="24"/>
                <w:color w:val="auto"/>
              </w:rPr>
            </w:pPr>
          </w:p>
        </w:tc>
      </w:tr>
      <w:tr>
        <w:trPr>
          <w:trHeight w:val="220"/>
        </w:trPr>
        <w:tc>
          <w:tcPr>
            <w:tcW w:w="5200" w:type="dxa"/>
            <w:vAlign w:val="bottom"/>
          </w:tcPr>
          <w:p>
            <w:pPr>
              <w:jc w:val="center"/>
              <w:ind w:right="2170"/>
              <w:spacing w:after="0"/>
              <w:rPr>
                <w:sz w:val="20"/>
                <w:szCs w:val="20"/>
                <w:color w:val="auto"/>
              </w:rPr>
            </w:pPr>
            <w:r>
              <w:rPr>
                <w:rFonts w:ascii="Arial" w:cs="Arial" w:eastAsia="Arial" w:hAnsi="Arial"/>
                <w:sz w:val="18"/>
                <w:szCs w:val="18"/>
                <w:b w:val="1"/>
                <w:bCs w:val="1"/>
                <w:color w:val="auto"/>
                <w:w w:val="92"/>
              </w:rPr>
              <w:t>Philadelphia, PA</w:t>
            </w:r>
          </w:p>
        </w:tc>
        <w:tc>
          <w:tcPr>
            <w:tcW w:w="4760" w:type="dxa"/>
            <w:vAlign w:val="bottom"/>
          </w:tcPr>
          <w:p>
            <w:pPr>
              <w:jc w:val="center"/>
              <w:ind w:left="2190"/>
              <w:spacing w:after="0"/>
              <w:rPr>
                <w:sz w:val="20"/>
                <w:szCs w:val="20"/>
                <w:color w:val="auto"/>
              </w:rPr>
            </w:pPr>
            <w:r>
              <w:rPr>
                <w:rFonts w:ascii="Arial" w:cs="Arial" w:eastAsia="Arial" w:hAnsi="Arial"/>
                <w:sz w:val="18"/>
                <w:szCs w:val="18"/>
                <w:b w:val="1"/>
                <w:bCs w:val="1"/>
                <w:color w:val="auto"/>
                <w:w w:val="91"/>
              </w:rPr>
              <w:t>19103-2838</w:t>
            </w:r>
          </w:p>
        </w:tc>
      </w:tr>
      <w:tr>
        <w:trPr>
          <w:trHeight w:val="230"/>
        </w:trPr>
        <w:tc>
          <w:tcPr>
            <w:tcW w:w="5200" w:type="dxa"/>
            <w:vAlign w:val="bottom"/>
          </w:tcPr>
          <w:p>
            <w:pPr>
              <w:jc w:val="center"/>
              <w:ind w:right="2170"/>
              <w:spacing w:after="0"/>
              <w:rPr>
                <w:sz w:val="20"/>
                <w:szCs w:val="20"/>
                <w:color w:val="auto"/>
              </w:rPr>
            </w:pPr>
            <w:r>
              <w:rPr>
                <w:rFonts w:ascii="Arial" w:cs="Arial" w:eastAsia="Arial" w:hAnsi="Arial"/>
                <w:sz w:val="18"/>
                <w:szCs w:val="18"/>
                <w:color w:val="auto"/>
                <w:w w:val="92"/>
              </w:rPr>
              <w:t>(Address of Principal Executive Offices)</w:t>
            </w:r>
          </w:p>
        </w:tc>
        <w:tc>
          <w:tcPr>
            <w:tcW w:w="4760" w:type="dxa"/>
            <w:vAlign w:val="bottom"/>
          </w:tcPr>
          <w:p>
            <w:pPr>
              <w:jc w:val="center"/>
              <w:ind w:left="219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(215) 286-1700</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left="340" w:right="3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552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234"/>
        </w:trPr>
        <w:tc>
          <w:tcPr>
            <w:tcW w:w="55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Title of Each Class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Trading symbol(s)</w:t>
            </w:r>
          </w:p>
        </w:tc>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195"/>
        </w:trPr>
        <w:tc>
          <w:tcPr>
            <w:tcW w:w="54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Class A Common Stock, $0.01 par value</w:t>
            </w:r>
          </w:p>
        </w:tc>
        <w:tc>
          <w:tcPr>
            <w:tcW w:w="120" w:type="dxa"/>
            <w:vAlign w:val="bottom"/>
          </w:tcPr>
          <w:p>
            <w:pPr>
              <w:spacing w:after="0"/>
              <w:rPr>
                <w:sz w:val="16"/>
                <w:szCs w:val="16"/>
                <w:color w:val="auto"/>
              </w:rPr>
            </w:pPr>
          </w:p>
        </w:tc>
        <w:tc>
          <w:tcPr>
            <w:tcW w:w="16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CMCSA</w:t>
            </w:r>
          </w:p>
        </w:tc>
        <w:tc>
          <w:tcPr>
            <w:tcW w:w="120" w:type="dxa"/>
            <w:vAlign w:val="bottom"/>
          </w:tcPr>
          <w:p>
            <w:pPr>
              <w:spacing w:after="0"/>
              <w:rPr>
                <w:sz w:val="16"/>
                <w:szCs w:val="16"/>
                <w:color w:val="auto"/>
              </w:rPr>
            </w:pPr>
          </w:p>
        </w:tc>
        <w:tc>
          <w:tcPr>
            <w:tcW w:w="39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NASDAQ Global Select Market</w:t>
            </w:r>
          </w:p>
        </w:tc>
      </w:tr>
      <w:tr>
        <w:trPr>
          <w:trHeight w:val="216"/>
        </w:trPr>
        <w:tc>
          <w:tcPr>
            <w:tcW w:w="55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0.250% Notes due 2027</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CMCS27</w:t>
            </w:r>
          </w:p>
        </w:tc>
        <w:tc>
          <w:tcPr>
            <w:tcW w:w="3920" w:type="dxa"/>
            <w:vAlign w:val="bottom"/>
          </w:tcPr>
          <w:p>
            <w:pPr>
              <w:jc w:val="center"/>
              <w:spacing w:after="0"/>
              <w:rPr>
                <w:sz w:val="20"/>
                <w:szCs w:val="20"/>
                <w:color w:val="auto"/>
              </w:rPr>
            </w:pPr>
            <w:r>
              <w:rPr>
                <w:rFonts w:ascii="Arial" w:cs="Arial" w:eastAsia="Arial" w:hAnsi="Arial"/>
                <w:sz w:val="18"/>
                <w:szCs w:val="18"/>
                <w:color w:val="auto"/>
                <w:w w:val="95"/>
              </w:rPr>
              <w:t>NASDAQ Global Market</w:t>
            </w:r>
          </w:p>
        </w:tc>
      </w:tr>
      <w:tr>
        <w:trPr>
          <w:trHeight w:val="216"/>
        </w:trPr>
        <w:tc>
          <w:tcPr>
            <w:tcW w:w="55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1.500% Notes due 2029</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CMCS29</w:t>
            </w:r>
          </w:p>
        </w:tc>
        <w:tc>
          <w:tcPr>
            <w:tcW w:w="3920" w:type="dxa"/>
            <w:vAlign w:val="bottom"/>
          </w:tcPr>
          <w:p>
            <w:pPr>
              <w:jc w:val="center"/>
              <w:spacing w:after="0"/>
              <w:rPr>
                <w:sz w:val="20"/>
                <w:szCs w:val="20"/>
                <w:color w:val="auto"/>
              </w:rPr>
            </w:pPr>
            <w:r>
              <w:rPr>
                <w:rFonts w:ascii="Arial" w:cs="Arial" w:eastAsia="Arial" w:hAnsi="Arial"/>
                <w:sz w:val="18"/>
                <w:szCs w:val="18"/>
                <w:color w:val="auto"/>
                <w:w w:val="95"/>
              </w:rPr>
              <w:t>NASDAQ Global Market</w:t>
            </w:r>
          </w:p>
        </w:tc>
      </w:tr>
      <w:tr>
        <w:trPr>
          <w:trHeight w:val="216"/>
        </w:trPr>
        <w:tc>
          <w:tcPr>
            <w:tcW w:w="55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0.750% Notes due 2032</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CMCS32</w:t>
            </w:r>
          </w:p>
        </w:tc>
        <w:tc>
          <w:tcPr>
            <w:tcW w:w="3920" w:type="dxa"/>
            <w:vAlign w:val="bottom"/>
          </w:tcPr>
          <w:p>
            <w:pPr>
              <w:jc w:val="center"/>
              <w:spacing w:after="0"/>
              <w:rPr>
                <w:sz w:val="20"/>
                <w:szCs w:val="20"/>
                <w:color w:val="auto"/>
              </w:rPr>
            </w:pPr>
            <w:r>
              <w:rPr>
                <w:rFonts w:ascii="Arial" w:cs="Arial" w:eastAsia="Arial" w:hAnsi="Arial"/>
                <w:sz w:val="18"/>
                <w:szCs w:val="18"/>
                <w:color w:val="auto"/>
                <w:w w:val="95"/>
              </w:rPr>
              <w:t>NASDAQ Global Market</w:t>
            </w:r>
          </w:p>
        </w:tc>
      </w:tr>
      <w:tr>
        <w:trPr>
          <w:trHeight w:val="216"/>
        </w:trPr>
        <w:tc>
          <w:tcPr>
            <w:tcW w:w="55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1.875% Notes due 2036</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CMCS36</w:t>
            </w:r>
          </w:p>
        </w:tc>
        <w:tc>
          <w:tcPr>
            <w:tcW w:w="3920" w:type="dxa"/>
            <w:vAlign w:val="bottom"/>
          </w:tcPr>
          <w:p>
            <w:pPr>
              <w:jc w:val="center"/>
              <w:spacing w:after="0"/>
              <w:rPr>
                <w:sz w:val="20"/>
                <w:szCs w:val="20"/>
                <w:color w:val="auto"/>
              </w:rPr>
            </w:pPr>
            <w:r>
              <w:rPr>
                <w:rFonts w:ascii="Arial" w:cs="Arial" w:eastAsia="Arial" w:hAnsi="Arial"/>
                <w:sz w:val="18"/>
                <w:szCs w:val="18"/>
                <w:color w:val="auto"/>
                <w:w w:val="95"/>
              </w:rPr>
              <w:t>NASDAQ Global Market</w:t>
            </w:r>
          </w:p>
        </w:tc>
      </w:tr>
      <w:tr>
        <w:trPr>
          <w:trHeight w:val="216"/>
        </w:trPr>
        <w:tc>
          <w:tcPr>
            <w:tcW w:w="55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1.250% Notes due 2040</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CMCS40</w:t>
            </w:r>
          </w:p>
        </w:tc>
        <w:tc>
          <w:tcPr>
            <w:tcW w:w="3920" w:type="dxa"/>
            <w:vAlign w:val="bottom"/>
          </w:tcPr>
          <w:p>
            <w:pPr>
              <w:jc w:val="center"/>
              <w:spacing w:after="0"/>
              <w:rPr>
                <w:sz w:val="20"/>
                <w:szCs w:val="20"/>
                <w:color w:val="auto"/>
              </w:rPr>
            </w:pPr>
            <w:r>
              <w:rPr>
                <w:rFonts w:ascii="Arial" w:cs="Arial" w:eastAsia="Arial" w:hAnsi="Arial"/>
                <w:sz w:val="18"/>
                <w:szCs w:val="18"/>
                <w:color w:val="auto"/>
                <w:w w:val="95"/>
              </w:rPr>
              <w:t>NASDAQ Global Market</w:t>
            </w:r>
          </w:p>
        </w:tc>
      </w:tr>
      <w:tr>
        <w:trPr>
          <w:trHeight w:val="216"/>
        </w:trPr>
        <w:tc>
          <w:tcPr>
            <w:tcW w:w="55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9.455% Guaranteed Notes due 2022</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CMCSA/22</w:t>
            </w:r>
          </w:p>
        </w:tc>
        <w:tc>
          <w:tcPr>
            <w:tcW w:w="392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16"/>
        </w:trPr>
        <w:tc>
          <w:tcPr>
            <w:tcW w:w="55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5.50% Notes due 2029</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CCGBP29</w:t>
            </w:r>
          </w:p>
        </w:tc>
        <w:tc>
          <w:tcPr>
            <w:tcW w:w="392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30"/>
        </w:trPr>
        <w:tc>
          <w:tcPr>
            <w:tcW w:w="55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2.0% Exchangeable Subordinated Debentures due 2029</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CCZ</w:t>
            </w:r>
          </w:p>
        </w:tc>
        <w:tc>
          <w:tcPr>
            <w:tcW w:w="392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May 25, 2021, Comcast Corporation notified The Bank of New York Mellon, as trustee, that it will redeem its $1,250,000,000 aggregate principal amount of 3.00% Notes due 2024 (the “</w:t>
      </w:r>
      <w:r>
        <w:rPr>
          <w:rFonts w:ascii="Arial" w:cs="Arial" w:eastAsia="Arial" w:hAnsi="Arial"/>
          <w:sz w:val="18"/>
          <w:szCs w:val="18"/>
          <w:u w:val="single" w:color="auto"/>
          <w:color w:val="auto"/>
        </w:rPr>
        <w:t>Notes</w:t>
      </w:r>
      <w:r>
        <w:rPr>
          <w:rFonts w:ascii="Arial" w:cs="Arial" w:eastAsia="Arial" w:hAnsi="Arial"/>
          <w:sz w:val="18"/>
          <w:szCs w:val="18"/>
          <w:color w:val="auto"/>
        </w:rPr>
        <w:t>”) in full at the redemption price, calculated in accordance with the indenture governing such Notes, plus accrued and unpaid interest. The redemption date for the Notes will be June 24,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This Current Report on Form 8-K is not a notice of redemption for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40"/>
          </w:cols>
          <w:pgMar w:left="320" w:top="580" w:right="7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640" w:type="dxa"/>
            <w:vAlign w:val="bottom"/>
            <w:gridSpan w:val="2"/>
          </w:tcPr>
          <w:p>
            <w:pPr>
              <w:ind w:left="2040"/>
              <w:spacing w:after="0"/>
              <w:rPr>
                <w:sz w:val="20"/>
                <w:szCs w:val="20"/>
                <w:color w:val="auto"/>
              </w:rPr>
            </w:pPr>
            <w:r>
              <w:rPr>
                <w:rFonts w:ascii="Arial" w:cs="Arial" w:eastAsia="Arial" w:hAnsi="Arial"/>
                <w:sz w:val="18"/>
                <w:szCs w:val="18"/>
                <w:b w:val="1"/>
                <w:bCs w:val="1"/>
                <w:color w:val="auto"/>
              </w:rPr>
              <w:t>COMCAST CORPORATION</w:t>
            </w: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Date:  May 25, 2021</w:t>
            </w:r>
          </w:p>
        </w:tc>
        <w:tc>
          <w:tcPr>
            <w:tcW w:w="7640" w:type="dxa"/>
            <w:vAlign w:val="bottom"/>
            <w:gridSpan w:val="2"/>
          </w:tcPr>
          <w:p>
            <w:pPr>
              <w:ind w:left="2040"/>
              <w:spacing w:after="0"/>
              <w:rPr>
                <w:sz w:val="20"/>
                <w:szCs w:val="20"/>
                <w:color w:val="auto"/>
              </w:rPr>
            </w:pPr>
            <w:r>
              <w:rPr>
                <w:rFonts w:ascii="Arial" w:cs="Arial" w:eastAsia="Arial" w:hAnsi="Arial"/>
                <w:sz w:val="18"/>
                <w:szCs w:val="18"/>
                <w:color w:val="auto"/>
              </w:rPr>
              <w:t>By:  /s/ Elizabeth Wideman</w:t>
            </w:r>
          </w:p>
        </w:tc>
      </w:tr>
      <w:tr>
        <w:trPr>
          <w:trHeight w:val="195"/>
        </w:trPr>
        <w:tc>
          <w:tcPr>
            <w:tcW w:w="36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Elizabeth Wideman</w:t>
            </w:r>
          </w:p>
        </w:tc>
      </w:tr>
      <w:tr>
        <w:trPr>
          <w:trHeight w:val="216"/>
        </w:trPr>
        <w:tc>
          <w:tcPr>
            <w:tcW w:w="36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4"/>
              </w:rPr>
              <w:t>Title:  Vice President, Senior Deputy General Counsel and Assistant</w:t>
            </w:r>
          </w:p>
        </w:tc>
      </w:tr>
      <w:tr>
        <w:trPr>
          <w:trHeight w:val="230"/>
        </w:trPr>
        <w:tc>
          <w:tcPr>
            <w:tcW w:w="36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160" w:type="dxa"/>
            <w:vAlign w:val="bottom"/>
          </w:tcPr>
          <w:p>
            <w:pPr>
              <w:ind w:left="560"/>
              <w:spacing w:after="0"/>
              <w:rPr>
                <w:sz w:val="20"/>
                <w:szCs w:val="20"/>
                <w:color w:val="auto"/>
              </w:rPr>
            </w:pPr>
            <w:r>
              <w:rPr>
                <w:rFonts w:ascii="Arial" w:cs="Arial" w:eastAsia="Arial" w:hAnsi="Arial"/>
                <w:sz w:val="18"/>
                <w:szCs w:val="18"/>
                <w:color w:val="auto"/>
              </w:rPr>
              <w:t>Secretary</w:t>
            </w:r>
          </w:p>
        </w:tc>
      </w:tr>
      <w:tr>
        <w:trPr>
          <w:trHeight w:val="526"/>
        </w:trPr>
        <w:tc>
          <w:tcPr>
            <w:tcW w:w="36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2021-05-25T06:03:05Z</dcterms:created>
  <dcterms:modified xsi:type="dcterms:W3CDTF">2021-05-25T06:03:05Z</dcterms:modified>
</cp:coreProperties>
</file>