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Washington, D. 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2 )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Number 20030N200</w:t>
      </w:r>
    </w:p>
    <w:p>
      <w:pPr>
        <w:spacing w:after="0" w:line="200"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12/31/2007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 - - - - - - - - - - - - - - - - - - - - - - - - - - - -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7" w:lineRule="exact"/>
        <w:rPr>
          <w:sz w:val="24"/>
          <w:szCs w:val="24"/>
          <w:color w:val="auto"/>
        </w:rPr>
      </w:pPr>
    </w:p>
    <w:p>
      <w:pPr>
        <w:jc w:val="both"/>
        <w:ind w:left="420" w:right="7159" w:hanging="412"/>
        <w:spacing w:after="0" w:line="268"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ClearBridge Advisors, LLC Tax Identification No.:</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01-0846058</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48,807,229</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60,312,633</w:t>
      </w:r>
    </w:p>
    <w:p>
      <w:pPr>
        <w:spacing w:after="0" w:line="4"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60,312,633</w:t>
      </w:r>
    </w:p>
    <w:p>
      <w:pPr>
        <w:spacing w:after="0" w:line="208" w:lineRule="exact"/>
        <w:rPr>
          <w:rFonts w:ascii="Courier New" w:cs="Courier New" w:eastAsia="Courier New" w:hAnsi="Courier New"/>
          <w:sz w:val="18"/>
          <w:szCs w:val="18"/>
          <w:color w:val="auto"/>
        </w:rPr>
      </w:pPr>
    </w:p>
    <w:p>
      <w:pPr>
        <w:ind w:left="420" w:right="293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420" w:right="451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6.12%</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6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Smith Barney Fund Management LLC Tax Identification No.:</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13-2616913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40" w:hanging="311"/>
        <w:spacing w:after="0" w:line="238"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40" w:hanging="311"/>
        <w:spacing w:after="0" w:line="238"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692,375</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- 0 -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692,375</w:t>
      </w:r>
    </w:p>
    <w:p>
      <w:pPr>
        <w:spacing w:after="0" w:line="4"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692,375</w:t>
      </w:r>
    </w:p>
    <w:p>
      <w:pPr>
        <w:sectPr>
          <w:pgSz w:w="11900" w:h="16838" w:orient="portrait"/>
          <w:cols w:equalWidth="0" w:num="1">
            <w:col w:w="10219"/>
          </w:cols>
          <w:pgMar w:left="240" w:top="244" w:right="1440" w:bottom="0" w:gutter="0" w:footer="0" w:header="0"/>
        </w:sectPr>
      </w:pPr>
    </w:p>
    <w:bookmarkStart w:id="1" w:name="page2"/>
    <w:bookmarkEnd w:id="1"/>
    <w:p>
      <w:pPr>
        <w:ind w:left="420" w:right="293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420" w:right="451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0.07%</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 - - - - - - - - - - - - - - - - - - - - - - - - -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96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960"/>
        <w:spacing w:after="0" w:line="238" w:lineRule="auto"/>
        <w:rPr>
          <w:sz w:val="20"/>
          <w:szCs w:val="20"/>
          <w:color w:val="auto"/>
        </w:rPr>
      </w:pPr>
      <w:r>
        <w:rPr>
          <w:rFonts w:ascii="Courier New" w:cs="Courier New" w:eastAsia="Courier New" w:hAnsi="Courier New"/>
          <w:sz w:val="18"/>
          <w:szCs w:val="18"/>
          <w:color w:val="auto"/>
        </w:rPr>
        <w:t>1500 Market Street</w:t>
      </w:r>
    </w:p>
    <w:p>
      <w:pPr>
        <w:ind w:left="960"/>
        <w:spacing w:after="0"/>
        <w:rPr>
          <w:sz w:val="20"/>
          <w:szCs w:val="20"/>
          <w:color w:val="auto"/>
        </w:rPr>
      </w:pPr>
      <w:r>
        <w:rPr>
          <w:rFonts w:ascii="Courier New" w:cs="Courier New" w:eastAsia="Courier New" w:hAnsi="Courier New"/>
          <w:sz w:val="18"/>
          <w:szCs w:val="18"/>
          <w:color w:val="auto"/>
        </w:rPr>
        <w:t>Philadelphia, PA 19102 United States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960"/>
        <w:spacing w:after="0" w:line="238" w:lineRule="auto"/>
        <w:rPr>
          <w:sz w:val="20"/>
          <w:szCs w:val="20"/>
          <w:color w:val="auto"/>
        </w:rPr>
      </w:pPr>
      <w:r>
        <w:rPr>
          <w:rFonts w:ascii="Courier New" w:cs="Courier New" w:eastAsia="Courier New" w:hAnsi="Courier New"/>
          <w:sz w:val="18"/>
          <w:szCs w:val="18"/>
          <w:color w:val="auto"/>
        </w:rPr>
        <w:t>ClearBridge Advisors, LLC</w:t>
      </w:r>
    </w:p>
    <w:p>
      <w:pPr>
        <w:ind w:left="960"/>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960"/>
        <w:spacing w:after="0" w:line="238" w:lineRule="auto"/>
        <w:rPr>
          <w:sz w:val="20"/>
          <w:szCs w:val="20"/>
          <w:color w:val="auto"/>
        </w:rPr>
      </w:pPr>
      <w:r>
        <w:rPr>
          <w:rFonts w:ascii="Courier New" w:cs="Courier New" w:eastAsia="Courier New" w:hAnsi="Courier New"/>
          <w:sz w:val="18"/>
          <w:szCs w:val="18"/>
          <w:color w:val="auto"/>
        </w:rPr>
        <w:t>399 Park Avenue</w:t>
      </w:r>
    </w:p>
    <w:p>
      <w:pPr>
        <w:ind w:left="960"/>
        <w:spacing w:after="0"/>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960"/>
        <w:spacing w:after="0" w:line="238" w:lineRule="auto"/>
        <w:rPr>
          <w:sz w:val="20"/>
          <w:szCs w:val="20"/>
          <w:color w:val="auto"/>
        </w:rPr>
      </w:pPr>
      <w:r>
        <w:rPr>
          <w:rFonts w:ascii="Courier New" w:cs="Courier New" w:eastAsia="Courier New" w:hAnsi="Courier New"/>
          <w:sz w:val="18"/>
          <w:szCs w:val="18"/>
          <w:color w:val="auto"/>
        </w:rPr>
        <w:t>ClearBridge Advisors, LLC</w:t>
      </w:r>
    </w:p>
    <w:p>
      <w:pPr>
        <w:ind w:left="1060"/>
        <w:spacing w:after="0"/>
        <w:rPr>
          <w:sz w:val="20"/>
          <w:szCs w:val="20"/>
          <w:color w:val="auto"/>
        </w:rPr>
      </w:pPr>
      <w:r>
        <w:rPr>
          <w:rFonts w:ascii="Courier New" w:cs="Courier New" w:eastAsia="Courier New" w:hAnsi="Courier New"/>
          <w:sz w:val="18"/>
          <w:szCs w:val="18"/>
          <w:color w:val="auto"/>
        </w:rPr>
        <w:t>Delaware Limited Liability Corporation</w:t>
      </w:r>
    </w:p>
    <w:p>
      <w:pPr>
        <w:ind w:left="960"/>
        <w:spacing w:after="0" w:line="237" w:lineRule="auto"/>
        <w:rPr>
          <w:sz w:val="20"/>
          <w:szCs w:val="20"/>
          <w:color w:val="auto"/>
        </w:rPr>
      </w:pPr>
      <w:r>
        <w:rPr>
          <w:rFonts w:ascii="Courier New" w:cs="Courier New" w:eastAsia="Courier New" w:hAnsi="Courier New"/>
          <w:sz w:val="18"/>
          <w:szCs w:val="18"/>
          <w:color w:val="auto"/>
        </w:rPr>
        <w:t>Smith Barney Fund Management LLC</w:t>
      </w:r>
    </w:p>
    <w:p>
      <w:pPr>
        <w:ind w:left="1060"/>
        <w:spacing w:after="0" w:line="238" w:lineRule="auto"/>
        <w:rPr>
          <w:sz w:val="20"/>
          <w:szCs w:val="20"/>
          <w:color w:val="auto"/>
        </w:rPr>
      </w:pPr>
      <w:r>
        <w:rPr>
          <w:rFonts w:ascii="Courier New" w:cs="Courier New" w:eastAsia="Courier New" w:hAnsi="Courier New"/>
          <w:sz w:val="18"/>
          <w:szCs w:val="18"/>
          <w:color w:val="auto"/>
        </w:rPr>
        <w:t>Delaware Limited Liability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96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20030N200</w:t>
      </w:r>
    </w:p>
    <w:p>
      <w:pPr>
        <w:spacing w:after="0" w:line="207" w:lineRule="exact"/>
        <w:rPr>
          <w:sz w:val="20"/>
          <w:szCs w:val="20"/>
          <w:color w:val="auto"/>
        </w:rPr>
      </w:pPr>
    </w:p>
    <w:p>
      <w:pPr>
        <w:ind w:left="960" w:right="367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 2(b), check whether the person filing is a:</w:t>
      </w:r>
    </w:p>
    <w:p>
      <w:pPr>
        <w:ind w:left="1160" w:hanging="415"/>
        <w:spacing w:after="0" w:line="233"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under Section 15 of the Act.</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3(a)(6) of the Act.</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580" w:right="3359" w:hanging="835"/>
        <w:spacing w:after="0" w:line="235" w:lineRule="auto"/>
        <w:tabs>
          <w:tab w:leader="none" w:pos="11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1" w:lineRule="exact"/>
        <w:rPr>
          <w:rFonts w:ascii="Courier New" w:cs="Courier New" w:eastAsia="Courier New" w:hAnsi="Courier New"/>
          <w:sz w:val="18"/>
          <w:szCs w:val="18"/>
          <w:color w:val="auto"/>
        </w:rPr>
      </w:pPr>
    </w:p>
    <w:p>
      <w:pPr>
        <w:ind w:left="1160" w:hanging="415"/>
        <w:spacing w:after="0" w:line="238"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ind w:left="1580"/>
        <w:spacing w:after="0"/>
        <w:rPr>
          <w:sz w:val="20"/>
          <w:szCs w:val="20"/>
          <w:color w:val="auto"/>
        </w:rPr>
      </w:pPr>
      <w:r>
        <w:rPr>
          <w:rFonts w:ascii="Courier New" w:cs="Courier New" w:eastAsia="Courier New" w:hAnsi="Courier New"/>
          <w:sz w:val="18"/>
          <w:szCs w:val="18"/>
          <w:color w:val="auto"/>
        </w:rPr>
        <w:t>to ERISA of 1974 or Endowment Funds; see 240.13d-1(b)(ii)(F).</w:t>
      </w:r>
    </w:p>
    <w:p>
      <w:pPr>
        <w:spacing w:after="0" w:line="3" w:lineRule="exact"/>
        <w:rPr>
          <w:sz w:val="20"/>
          <w:szCs w:val="20"/>
          <w:color w:val="auto"/>
        </w:rPr>
      </w:pPr>
    </w:p>
    <w:p>
      <w:pPr>
        <w:ind w:left="1160" w:hanging="415"/>
        <w:spacing w:after="0"/>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240.13d-1(b)(ii)(G),</w:t>
      </w:r>
    </w:p>
    <w:p>
      <w:pPr>
        <w:spacing w:after="0" w:line="16"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1160" w:hanging="415"/>
        <w:spacing w:after="0" w:line="238"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61,005,008</w:t>
      </w:r>
    </w:p>
    <w:p>
      <w:pPr>
        <w:ind w:left="1160" w:hanging="415"/>
        <w:spacing w:after="0" w:line="238"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6.19%</w:t>
      </w:r>
    </w:p>
    <w:p>
      <w:pPr>
        <w:ind w:left="1160" w:hanging="415"/>
        <w:spacing w:after="0" w:line="238"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419"/>
        <w:spacing w:after="0" w:line="238" w:lineRule="auto"/>
        <w:tabs>
          <w:tab w:leader="none" w:pos="1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800" w:hanging="317"/>
        <w:spacing w:after="0" w:line="238" w:lineRule="auto"/>
        <w:tabs>
          <w:tab w:leader="none" w:pos="18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1480" w:right="4099" w:hanging="419"/>
        <w:spacing w:after="0" w:line="235" w:lineRule="auto"/>
        <w:tabs>
          <w:tab w:leader="none" w:pos="158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49,499,604</w:t>
      </w:r>
    </w:p>
    <w:p>
      <w:pPr>
        <w:spacing w:after="0" w:line="1" w:lineRule="exact"/>
        <w:rPr>
          <w:rFonts w:ascii="Courier New" w:cs="Courier New" w:eastAsia="Courier New" w:hAnsi="Courier New"/>
          <w:sz w:val="18"/>
          <w:szCs w:val="18"/>
          <w:color w:val="auto"/>
        </w:rPr>
      </w:pPr>
    </w:p>
    <w:p>
      <w:pPr>
        <w:ind w:left="1700" w:hanging="639"/>
        <w:spacing w:after="0" w:line="238" w:lineRule="auto"/>
        <w:tabs>
          <w:tab w:leader="none" w:pos="17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800" w:hanging="212"/>
        <w:spacing w:after="0" w:line="238" w:lineRule="auto"/>
        <w:tabs>
          <w:tab w:leader="none" w:pos="1800" w:val="left"/>
        </w:tabs>
        <w:numPr>
          <w:ilvl w:val="3"/>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1480" w:right="2739" w:hanging="419"/>
        <w:spacing w:after="0" w:line="235" w:lineRule="auto"/>
        <w:tabs>
          <w:tab w:leader="none" w:pos="158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49,499,604</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pacing w:after="0" w:line="209" w:lineRule="exact"/>
        <w:rPr>
          <w:sz w:val="20"/>
          <w:szCs w:val="20"/>
          <w:color w:val="auto"/>
        </w:rPr>
      </w:pPr>
    </w:p>
    <w:p>
      <w:pPr>
        <w:ind w:left="1060" w:right="315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w:t>
      </w:r>
    </w:p>
    <w:p>
      <w:pPr>
        <w:sectPr>
          <w:pgSz w:w="11900" w:h="16838" w:orient="portrait"/>
          <w:cols w:equalWidth="0" w:num="1">
            <w:col w:w="10219"/>
          </w:cols>
          <w:pgMar w:left="240" w:top="142" w:right="1440" w:bottom="0" w:gutter="0" w:footer="0" w:header="0"/>
        </w:sectPr>
      </w:pPr>
    </w:p>
    <w:bookmarkStart w:id="2" w:name="page3"/>
    <w:bookmarkEnd w:id="2"/>
    <w:p>
      <w:pPr>
        <w:ind w:left="1060"/>
        <w:spacing w:after="0"/>
        <w:rPr>
          <w:sz w:val="20"/>
          <w:szCs w:val="20"/>
          <w:color w:val="auto"/>
        </w:rPr>
      </w:pPr>
      <w:r>
        <w:rPr>
          <w:rFonts w:ascii="Courier New" w:cs="Courier New" w:eastAsia="Courier New" w:hAnsi="Courier New"/>
          <w:sz w:val="18"/>
          <w:szCs w:val="18"/>
          <w:color w:val="auto"/>
        </w:rPr>
        <w:t>holding company:</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060"/>
        <w:spacing w:after="0" w:line="238" w:lineRule="auto"/>
        <w:rPr>
          <w:sz w:val="20"/>
          <w:szCs w:val="20"/>
          <w:color w:val="auto"/>
        </w:rPr>
      </w:pPr>
      <w:r>
        <w:rPr>
          <w:rFonts w:ascii="Courier New" w:cs="Courier New" w:eastAsia="Courier New" w:hAnsi="Courier New"/>
          <w:sz w:val="18"/>
          <w:szCs w:val="18"/>
          <w:color w:val="auto"/>
        </w:rPr>
        <w:t>ClearBridge Advisors, LLC</w:t>
      </w:r>
    </w:p>
    <w:p>
      <w:pPr>
        <w:ind w:left="1060"/>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Signature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23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Advisors,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Terrence J. Murphy</w:t>
      </w:r>
    </w:p>
    <w:p>
      <w:pPr>
        <w:ind w:left="740"/>
        <w:spacing w:after="0" w:line="238" w:lineRule="auto"/>
        <w:rPr>
          <w:sz w:val="20"/>
          <w:szCs w:val="20"/>
          <w:color w:val="auto"/>
        </w:rPr>
      </w:pPr>
      <w:r>
        <w:rPr>
          <w:rFonts w:ascii="Courier New" w:cs="Courier New" w:eastAsia="Courier New" w:hAnsi="Courier New"/>
          <w:sz w:val="18"/>
          <w:szCs w:val="18"/>
          <w:color w:val="auto"/>
        </w:rPr>
        <w:t>Terrence J. Murphy, Chief Operating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Terrence J. Murphy</w:t>
      </w:r>
    </w:p>
    <w:p>
      <w:pPr>
        <w:ind w:left="740"/>
        <w:spacing w:after="0" w:line="238" w:lineRule="auto"/>
        <w:rPr>
          <w:sz w:val="20"/>
          <w:szCs w:val="20"/>
          <w:color w:val="auto"/>
        </w:rPr>
      </w:pPr>
      <w:r>
        <w:rPr>
          <w:rFonts w:ascii="Courier New" w:cs="Courier New" w:eastAsia="Courier New" w:hAnsi="Courier New"/>
          <w:sz w:val="18"/>
          <w:szCs w:val="18"/>
          <w:color w:val="auto"/>
        </w:rPr>
        <w:t>Terrence J. Murphy,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419" w:firstLine="737"/>
        <w:spacing w:after="0" w:line="237" w:lineRule="auto"/>
        <w:rPr>
          <w:sz w:val="20"/>
          <w:szCs w:val="20"/>
          <w:color w:val="auto"/>
        </w:rPr>
      </w:pPr>
      <w:r>
        <w:rPr>
          <w:rFonts w:ascii="Courier New" w:cs="Courier New" w:eastAsia="Courier New" w:hAnsi="Courier New"/>
          <w:sz w:val="18"/>
          <w:szCs w:val="18"/>
          <w:color w:val="auto"/>
        </w:rPr>
        <w:t>This Joint Filing Agreement confirms the agreement by and among the undersigned that the Schedule 13G is filed on behalf of (i) each member of the group identified in Item 8 and (ii) the other reporting person(s) identified in Item 6 that may be deemed to beneficially own more than five percent of the issuers outstanding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Advisors,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Terrence J. Murphy</w:t>
      </w:r>
    </w:p>
    <w:p>
      <w:pPr>
        <w:ind w:left="740"/>
        <w:spacing w:after="0" w:line="238" w:lineRule="auto"/>
        <w:rPr>
          <w:sz w:val="20"/>
          <w:szCs w:val="20"/>
          <w:color w:val="auto"/>
        </w:rPr>
      </w:pPr>
      <w:r>
        <w:rPr>
          <w:rFonts w:ascii="Courier New" w:cs="Courier New" w:eastAsia="Courier New" w:hAnsi="Courier New"/>
          <w:sz w:val="18"/>
          <w:szCs w:val="18"/>
          <w:color w:val="auto"/>
        </w:rPr>
        <w:t>Terrence J. Murphy, Chief Operating Officer</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Smith Barney Fund Management LLC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Terrence J. Murphy</w:t>
      </w:r>
    </w:p>
    <w:p>
      <w:pPr>
        <w:jc w:val="right"/>
        <w:ind w:right="4939"/>
        <w:spacing w:after="0" w:line="238" w:lineRule="auto"/>
        <w:rPr>
          <w:sz w:val="20"/>
          <w:szCs w:val="20"/>
          <w:color w:val="auto"/>
        </w:rPr>
      </w:pPr>
      <w:r>
        <w:rPr>
          <w:rFonts w:ascii="Courier New" w:cs="Courier New" w:eastAsia="Courier New" w:hAnsi="Courier New"/>
          <w:sz w:val="18"/>
          <w:szCs w:val="18"/>
          <w:color w:val="auto"/>
        </w:rPr>
        <w:t>Terrence J. Murphy, Chief Operating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7"/>
    </w:lvl>
  </w:abstractNum>
  <w:abstractNum w:abstractNumId="9">
    <w:nsid w:val="4DB127F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2019-12-11T15:58:00Z</dcterms:created>
  <dcterms:modified xsi:type="dcterms:W3CDTF">2019-12-11T15:58:00Z</dcterms:modified>
</cp:coreProperties>
</file>