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Courier New" w:cs="Courier New" w:eastAsia="Courier New" w:hAnsi="Courier New"/>
          <w:sz w:val="18"/>
          <w:szCs w:val="18"/>
          <w:color w:val="auto"/>
        </w:rPr>
        <w:t>SCHEDULE SC 13G/A</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(Amendment No.)</w:t>
      </w:r>
    </w:p>
    <w:p>
      <w:pPr>
        <w:spacing w:after="0" w:line="37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COMCAST CORP</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20030N200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previsions of the Act (however, see the Notes)</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5220" w:type="dxa"/>
            <w:vAlign w:val="bottom"/>
          </w:tcPr>
          <w:p>
            <w:pPr>
              <w:ind w:left="38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1(b)</w:t>
            </w:r>
          </w:p>
        </w:tc>
        <w:tc>
          <w:tcPr>
            <w:tcW w:w="5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COMCAST CORP</w:t>
            </w:r>
          </w:p>
        </w:tc>
        <w:tc>
          <w:tcPr>
            <w:tcW w:w="0" w:type="dxa"/>
            <w:vAlign w:val="bottom"/>
          </w:tcPr>
          <w:p>
            <w:pPr>
              <w:spacing w:after="0"/>
              <w:rPr>
                <w:sz w:val="1"/>
                <w:szCs w:val="1"/>
                <w:color w:val="auto"/>
              </w:rPr>
            </w:pPr>
          </w:p>
        </w:tc>
      </w:tr>
      <w:tr>
        <w:trPr>
          <w:trHeight w:val="235"/>
        </w:trPr>
        <w:tc>
          <w:tcPr>
            <w:tcW w:w="4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5220" w:type="dxa"/>
            <w:vAlign w:val="bottom"/>
          </w:tcPr>
          <w:p>
            <w:pPr>
              <w:ind w:left="380"/>
              <w:spacing w:after="0"/>
              <w:rPr>
                <w:sz w:val="20"/>
                <w:szCs w:val="20"/>
                <w:color w:val="auto"/>
              </w:rPr>
            </w:pPr>
            <w:r>
              <w:rPr>
                <w:rFonts w:ascii="Courier New" w:cs="Courier New" w:eastAsia="Courier New" w:hAnsi="Courier New"/>
                <w:sz w:val="18"/>
                <w:szCs w:val="18"/>
                <w:color w:val="auto"/>
                <w:w w:val="97"/>
              </w:rPr>
              <w:t>ADDRESS OF ISSUERS PRINCIPAL EXECUTIVE OFFICES</w:t>
            </w:r>
          </w:p>
        </w:tc>
        <w:tc>
          <w:tcPr>
            <w:tcW w:w="0" w:type="dxa"/>
            <w:vAlign w:val="bottom"/>
          </w:tcPr>
          <w:p>
            <w:pPr>
              <w:spacing w:after="0"/>
              <w:rPr>
                <w:sz w:val="1"/>
                <w:szCs w:val="1"/>
                <w:color w:val="auto"/>
              </w:rPr>
            </w:pPr>
          </w:p>
        </w:tc>
      </w:tr>
    </w:tbl>
    <w:p>
      <w:pPr>
        <w:ind w:left="860"/>
        <w:spacing w:after="0" w:line="238" w:lineRule="auto"/>
        <w:rPr>
          <w:sz w:val="20"/>
          <w:szCs w:val="20"/>
          <w:color w:val="auto"/>
        </w:rPr>
      </w:pPr>
      <w:r>
        <w:rPr>
          <w:rFonts w:ascii="Courier New" w:cs="Courier New" w:eastAsia="Courier New" w:hAnsi="Courier New"/>
          <w:sz w:val="18"/>
          <w:szCs w:val="18"/>
          <w:color w:val="auto"/>
        </w:rPr>
        <w:t>1500 MARKET ST</w:t>
      </w:r>
    </w:p>
    <w:p>
      <w:pPr>
        <w:ind w:left="860"/>
        <w:spacing w:after="0"/>
        <w:rPr>
          <w:sz w:val="20"/>
          <w:szCs w:val="20"/>
          <w:color w:val="auto"/>
        </w:rPr>
      </w:pPr>
      <w:r>
        <w:rPr>
          <w:rFonts w:ascii="Courier New" w:cs="Courier New" w:eastAsia="Courier New" w:hAnsi="Courier New"/>
          <w:sz w:val="18"/>
          <w:szCs w:val="18"/>
          <w:color w:val="auto"/>
        </w:rPr>
        <w:t>PHILADELPHIA, PENNSYLVANIA 19102-2148</w:t>
      </w:r>
    </w:p>
    <w:tbl>
      <w:tblPr>
        <w:tblLayout w:type="fixed"/>
        <w:tblInd w:w="0" w:type="dxa"/>
        <w:tblCellMar>
          <w:top w:w="0" w:type="dxa"/>
          <w:left w:w="0" w:type="dxa"/>
          <w:bottom w:w="0" w:type="dxa"/>
          <w:right w:w="0" w:type="dxa"/>
        </w:tblCellMar>
      </w:tblPr>
      <w:tr>
        <w:trPr>
          <w:trHeight w:val="171"/>
        </w:trPr>
        <w:tc>
          <w:tcPr>
            <w:tcW w:w="1640" w:type="dxa"/>
            <w:vAlign w:val="bottom"/>
          </w:tcPr>
          <w:p>
            <w:pPr>
              <w:spacing w:after="0" w:line="170" w:lineRule="exact"/>
              <w:rPr>
                <w:sz w:val="20"/>
                <w:szCs w:val="20"/>
                <w:color w:val="auto"/>
              </w:rPr>
            </w:pPr>
            <w:r>
              <w:rPr>
                <w:rFonts w:ascii="Courier New" w:cs="Courier New" w:eastAsia="Courier New" w:hAnsi="Courier New"/>
                <w:sz w:val="18"/>
                <w:szCs w:val="18"/>
                <w:color w:val="auto"/>
              </w:rPr>
              <w:t>Item 2(a)</w:t>
            </w:r>
          </w:p>
        </w:tc>
        <w:tc>
          <w:tcPr>
            <w:tcW w:w="384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296"/>
        </w:trPr>
        <w:tc>
          <w:tcPr>
            <w:tcW w:w="54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Davis Selected Advisers, L.P.</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6"/>
              </w:rPr>
              <w:t>ADDRESS OF PRINCIPAL BUSINESS OFFICE</w:t>
            </w:r>
          </w:p>
        </w:tc>
        <w:tc>
          <w:tcPr>
            <w:tcW w:w="0" w:type="dxa"/>
            <w:vAlign w:val="bottom"/>
          </w:tcPr>
          <w:p>
            <w:pPr>
              <w:spacing w:after="0"/>
              <w:rPr>
                <w:sz w:val="1"/>
                <w:szCs w:val="1"/>
                <w:color w:val="auto"/>
              </w:rPr>
            </w:pPr>
          </w:p>
        </w:tc>
      </w:tr>
      <w:tr>
        <w:trPr>
          <w:trHeight w:val="203"/>
        </w:trPr>
        <w:tc>
          <w:tcPr>
            <w:tcW w:w="54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2949 East Elvira Road, Suite 101</w:t>
            </w:r>
          </w:p>
        </w:tc>
        <w:tc>
          <w:tcPr>
            <w:tcW w:w="0" w:type="dxa"/>
            <w:vAlign w:val="bottom"/>
          </w:tcPr>
          <w:p>
            <w:pPr>
              <w:spacing w:after="0"/>
              <w:rPr>
                <w:sz w:val="1"/>
                <w:szCs w:val="1"/>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Tucson,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Arizona 85706</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203"/>
        </w:trPr>
        <w:tc>
          <w:tcPr>
            <w:tcW w:w="54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Colorado Limited Partnership</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Common</w:t>
            </w:r>
          </w:p>
        </w:tc>
        <w:tc>
          <w:tcPr>
            <w:tcW w:w="3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35"/>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860"/>
        <w:spacing w:after="0" w:line="238" w:lineRule="auto"/>
        <w:rPr>
          <w:sz w:val="20"/>
          <w:szCs w:val="20"/>
          <w:color w:val="auto"/>
        </w:rPr>
      </w:pPr>
      <w:r>
        <w:rPr>
          <w:rFonts w:ascii="Courier New" w:cs="Courier New" w:eastAsia="Courier New" w:hAnsi="Courier New"/>
          <w:sz w:val="18"/>
          <w:szCs w:val="18"/>
          <w:color w:val="auto"/>
        </w:rPr>
        <w:t>20030N200</w:t>
      </w: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FIELD PURSUANT TO RULE 13d-1(b)</w:t>
      </w:r>
    </w:p>
    <w:p>
      <w:pPr>
        <w:spacing w:after="0" w:line="169" w:lineRule="exact"/>
        <w:rPr>
          <w:sz w:val="24"/>
          <w:szCs w:val="24"/>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w:t>
      </w:r>
    </w:p>
    <w:p>
      <w:pPr>
        <w:ind w:right="7159" w:firstLine="948"/>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Advisers Act of 1940 Item 4 OWNERSHIP</w:t>
      </w: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60,215,622 shares</w:t>
      </w:r>
    </w:p>
    <w:p>
      <w:pPr>
        <w:spacing w:after="0" w:line="169" w:lineRule="exact"/>
        <w:rPr>
          <w:sz w:val="24"/>
          <w:szCs w:val="24"/>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(b) Percent of class:</w:t>
      </w:r>
      <w:r>
        <w:rPr>
          <w:sz w:val="20"/>
          <w:szCs w:val="20"/>
          <w:color w:val="auto"/>
        </w:rPr>
        <w:tab/>
      </w:r>
      <w:r>
        <w:rPr>
          <w:rFonts w:ascii="Courier New" w:cs="Courier New" w:eastAsia="Courier New" w:hAnsi="Courier New"/>
          <w:sz w:val="16"/>
          <w:szCs w:val="16"/>
          <w:color w:val="auto"/>
        </w:rPr>
        <w:t>7.30%</w:t>
      </w:r>
    </w:p>
    <w:p>
      <w:pPr>
        <w:spacing w:after="0" w:line="31" w:lineRule="exact"/>
        <w:rPr>
          <w:sz w:val="24"/>
          <w:szCs w:val="24"/>
          <w:color w:val="auto"/>
        </w:rPr>
      </w:pPr>
    </w:p>
    <w:p>
      <w:pPr>
        <w:ind w:left="1480" w:hanging="62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69" w:lineRule="exact"/>
        <w:rPr>
          <w:sz w:val="24"/>
          <w:szCs w:val="24"/>
          <w:color w:val="auto"/>
        </w:rPr>
      </w:pPr>
    </w:p>
    <w:p>
      <w:pPr>
        <w:ind w:left="2540" w:right="4619" w:hanging="1689"/>
        <w:spacing w:after="0" w:line="257" w:lineRule="auto"/>
        <w:tabs>
          <w:tab w:leader="none" w:pos="14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to direct the vote N/A</w:t>
      </w:r>
    </w:p>
    <w:p>
      <w:pPr>
        <w:ind w:left="1700" w:right="3039" w:hanging="849"/>
        <w:spacing w:after="0" w:line="238" w:lineRule="auto"/>
        <w:tabs>
          <w:tab w:leader="none" w:pos="148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Davis Selected Advisers, L.P. 60,215,622 shares</w:t>
      </w:r>
    </w:p>
    <w:p>
      <w:pPr>
        <w:ind w:left="1480" w:hanging="629"/>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54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Not applicable</w:t>
      </w:r>
    </w:p>
    <w:p>
      <w:pPr>
        <w:spacing w:after="0" w:line="169"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 applicable</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7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or such securities and were not acquired in connection with or as a participant in any transaction having such purposes or effect.</w:t>
      </w:r>
    </w:p>
    <w:p>
      <w:pPr>
        <w:spacing w:after="0" w:line="68" w:lineRule="exact"/>
        <w:rPr>
          <w:sz w:val="20"/>
          <w:szCs w:val="20"/>
          <w:color w:val="auto"/>
        </w:rPr>
      </w:pPr>
    </w:p>
    <w:p>
      <w:pPr>
        <w:ind w:right="28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12" w:right="1440" w:bottom="1440" w:gutter="0" w:footer="0" w:header="0"/>
        </w:sectPr>
      </w:pP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Anthony Frazia</w:t>
      </w:r>
    </w:p>
    <w:p>
      <w:pPr>
        <w:spacing w:after="0" w:line="200" w:lineRule="exact"/>
        <w:rPr>
          <w:sz w:val="20"/>
          <w:szCs w:val="20"/>
          <w:color w:val="auto"/>
        </w:rPr>
      </w:pPr>
    </w:p>
    <w:p>
      <w:pPr>
        <w:sectPr>
          <w:pgSz w:w="11900" w:h="16838" w:orient="portrait"/>
          <w:cols w:equalWidth="0" w:num="2">
            <w:col w:w="1820" w:space="720"/>
            <w:col w:w="7679"/>
          </w:cols>
          <w:pgMar w:left="240" w:top="312"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939"/>
        <w:spacing w:after="0" w:line="278" w:lineRule="auto"/>
        <w:rPr>
          <w:sz w:val="20"/>
          <w:szCs w:val="20"/>
          <w:color w:val="auto"/>
        </w:rPr>
      </w:pPr>
      <w:r>
        <w:rPr>
          <w:rFonts w:ascii="Courier New" w:cs="Courier New" w:eastAsia="Courier New" w:hAnsi="Courier New"/>
          <w:sz w:val="18"/>
          <w:szCs w:val="18"/>
          <w:color w:val="auto"/>
        </w:rPr>
        <w:t>Anthony Frazia,JD, CRCP Co-Chief Compliance Officer/Director of Institutional Operations, Compliance and Risk Management</w:t>
      </w:r>
    </w:p>
    <w:p>
      <w:pPr>
        <w:spacing w:after="0" w:line="200" w:lineRule="exact"/>
        <w:rPr>
          <w:sz w:val="20"/>
          <w:szCs w:val="20"/>
          <w:color w:val="auto"/>
        </w:rPr>
      </w:pPr>
    </w:p>
    <w:p>
      <w:pPr>
        <w:sectPr>
          <w:pgSz w:w="11900" w:h="16838" w:orient="portrait"/>
          <w:cols w:equalWidth="0" w:num="2">
            <w:col w:w="1820" w:space="720"/>
            <w:col w:w="7679"/>
          </w:cols>
          <w:pgMar w:left="240" w:top="312" w:right="1440" w:bottom="1440" w:gutter="0" w:footer="0" w:header="0"/>
          <w:type w:val="continuous"/>
        </w:sectPr>
      </w:pPr>
    </w:p>
    <w:p>
      <w:pPr>
        <w:spacing w:after="0" w:line="10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2005</w:t>
      </w:r>
    </w:p>
    <w:sectPr>
      <w:pgSz w:w="11900" w:h="16838" w:orient="portrait"/>
      <w:cols w:equalWidth="0" w:num="2">
        <w:col w:w="1820" w:space="720"/>
        <w:col w:w="767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2019-12-15T06:43:38Z</dcterms:created>
  <dcterms:modified xsi:type="dcterms:W3CDTF">2019-12-15T06:43:38Z</dcterms:modified>
</cp:coreProperties>
</file>