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03713_8ka.htm"/>
      <w:bookmarkStart w:id="1" w:name="ksdp203713_8ka"/>
      <w:bookmarkEnd w:id="0"/>
      <w:bookmarkEnd w:id="1"/>
      <w:r>
        <w:rPr/>
        <w:t> </w:t>
      </w:r>
    </w:p>
    <w:p>
      <w:pPr>
        <w:pStyle w:val="TextBody"/>
        <w:pBdr>
          <w:bottom w:val="single" w:sz="24" w:space="1" w:color="000000"/>
        </w:pBdr>
        <w:bidi w:val="0"/>
        <w:jc w:val="left"/>
        <w:rPr/>
      </w:pPr>
      <w:r>
        <w:rPr/>
        <w:t> </w:t>
      </w:r>
    </w:p>
    <w:p>
      <w:pPr>
        <w:pStyle w:val="TextBody"/>
        <w:bidi w:val="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WASHINGTON, D.C. 20549</w:t>
      </w:r>
    </w:p>
    <w:p>
      <w:pPr>
        <w:pStyle w:val="TextBody"/>
        <w:bidi w:val="0"/>
        <w:jc w:val="center"/>
        <w:rPr>
          <w:sz w:val="20"/>
        </w:rPr>
      </w:pPr>
      <w:r>
        <w:rPr>
          <w:sz w:val="20"/>
        </w:rPr>
        <w:t>____________________________</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E_edei--DocumentType_c20231003__20"/>
      <w:bookmarkEnd w:id="2"/>
      <w:r>
        <w:rPr>
          <w:rFonts w:ascii="Times New Roman;Times;Serif" w:hAnsi="Times New Roman;Times;Serif"/>
          <w:b/>
          <w:i w:val="false"/>
          <w:caps w:val="false"/>
          <w:smallCaps w:val="false"/>
          <w:sz w:val="28"/>
        </w:rPr>
        <w:t>8-K/A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Exchange Act of 1934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val="false"/>
          <w:i w:val="false"/>
          <w:caps w:val="false"/>
          <w:smallCaps w:val="false"/>
          <w:sz w:val="20"/>
        </w:rPr>
        <w:t>October 3, 2023</w:t>
      </w:r>
    </w:p>
    <w:p>
      <w:pPr>
        <w:pStyle w:val="TextBody"/>
        <w:bidi w:val="0"/>
        <w:spacing w:before="0" w:after="0"/>
        <w:ind w:left="0" w:right="0" w:hanging="0"/>
        <w:jc w:val="center"/>
        <w:rPr>
          <w:caps w:val="false"/>
          <w:smallCaps w:val="false"/>
        </w:rPr>
      </w:pPr>
      <w:r>
        <w:rPr>
          <w:caps w:val="false"/>
          <w:smallCaps w:val="false"/>
        </w:rPr>
        <w:t> </w:t>
      </w:r>
    </w:p>
    <w:tbl>
      <w:tblPr>
        <w:tblW w:w="9675" w:type="dxa"/>
        <w:jc w:val="left"/>
        <w:tblInd w:w="0" w:type="dxa"/>
        <w:tblLayout w:type="fixed"/>
        <w:tblCellMar>
          <w:top w:w="0" w:type="dxa"/>
          <w:left w:w="0" w:type="dxa"/>
          <w:bottom w:w="0" w:type="dxa"/>
          <w:right w:w="0" w:type="dxa"/>
        </w:tblCellMar>
      </w:tblPr>
      <w:tblGrid>
        <w:gridCol w:w="3275"/>
        <w:gridCol w:w="3620"/>
        <w:gridCol w:w="2780"/>
      </w:tblGrid>
      <w:tr>
        <w:trPr/>
        <w:tc>
          <w:tcPr>
            <w:tcW w:w="3275"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center"/>
              <w:rPr>
                <w:b/>
                <w:sz w:val="28"/>
              </w:rPr>
            </w:pPr>
            <w:bookmarkStart w:id="4" w:name="xdx_909_edei--EntityRegistrantName_c2023"/>
            <w:bookmarkEnd w:id="4"/>
            <w:r>
              <w:rPr>
                <w:b/>
                <w:sz w:val="28"/>
              </w:rPr>
              <w:t>Comcast Corporation</w:t>
            </w:r>
          </w:p>
        </w:tc>
        <w:tc>
          <w:tcPr>
            <w:tcW w:w="278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Specified in its Charter)</w:t>
            </w:r>
          </w:p>
        </w:tc>
        <w:tc>
          <w:tcPr>
            <w:tcW w:w="278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center"/>
              <w:rPr>
                <w:b/>
                <w:sz w:val="20"/>
              </w:rPr>
            </w:pPr>
            <w:bookmarkStart w:id="5" w:name="xdx_90F_edei--EntityIncorporationStateCo"/>
            <w:bookmarkEnd w:id="5"/>
            <w:r>
              <w:rPr>
                <w:b/>
                <w:sz w:val="20"/>
              </w:rPr>
              <w:t>Pennsylvania</w:t>
            </w:r>
          </w:p>
        </w:tc>
        <w:tc>
          <w:tcPr>
            <w:tcW w:w="278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78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center"/>
              <w:rPr/>
            </w:pPr>
            <w:r>
              <w:rPr/>
              <w:t> </w:t>
            </w:r>
          </w:p>
        </w:tc>
        <w:tc>
          <w:tcPr>
            <w:tcW w:w="278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center"/>
              <w:rPr>
                <w:b/>
                <w:sz w:val="20"/>
              </w:rPr>
            </w:pPr>
            <w:bookmarkStart w:id="6" w:name="xdx_90B_edei--EntityFileNumber_c20231003"/>
            <w:bookmarkEnd w:id="6"/>
            <w:r>
              <w:rPr>
                <w:b/>
                <w:sz w:val="20"/>
              </w:rPr>
              <w:t>001-32871</w:t>
            </w:r>
          </w:p>
        </w:tc>
        <w:tc>
          <w:tcPr>
            <w:tcW w:w="362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center"/>
              <w:rPr>
                <w:b/>
                <w:sz w:val="20"/>
              </w:rPr>
            </w:pPr>
            <w:bookmarkStart w:id="7" w:name="xdx_907_edei--EntityTaxIdentificationNum"/>
            <w:bookmarkEnd w:id="7"/>
            <w:r>
              <w:rPr>
                <w:b/>
                <w:sz w:val="20"/>
              </w:rPr>
              <w:t>27-0000798</w:t>
            </w:r>
          </w:p>
        </w:tc>
      </w:tr>
      <w:tr>
        <w:trPr/>
        <w:tc>
          <w:tcPr>
            <w:tcW w:w="3275" w:type="dxa"/>
            <w:tcBorders/>
            <w:vAlign w:val="center"/>
          </w:tcPr>
          <w:p>
            <w:pPr>
              <w:pStyle w:val="TableContents"/>
              <w:bidi w:val="0"/>
              <w:spacing w:before="0" w:after="283"/>
              <w:jc w:val="center"/>
              <w:rPr>
                <w:sz w:val="20"/>
              </w:rPr>
            </w:pPr>
            <w:r>
              <w:rPr>
                <w:sz w:val="20"/>
              </w:rPr>
              <w:t>(Commission File Number)</w:t>
            </w:r>
          </w:p>
        </w:tc>
        <w:tc>
          <w:tcPr>
            <w:tcW w:w="362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center"/>
              <w:rPr>
                <w:sz w:val="20"/>
              </w:rPr>
            </w:pPr>
            <w:r>
              <w:rPr>
                <w:sz w:val="20"/>
              </w:rPr>
              <w:t>(IRS Employer Identification No.)</w:t>
            </w:r>
          </w:p>
        </w:tc>
      </w:tr>
      <w:tr>
        <w:trPr/>
        <w:tc>
          <w:tcPr>
            <w:tcW w:w="3275" w:type="dxa"/>
            <w:tcBorders/>
            <w:vAlign w:val="center"/>
          </w:tcPr>
          <w:p>
            <w:pPr>
              <w:pStyle w:val="TableContents"/>
              <w:bidi w:val="0"/>
              <w:spacing w:before="0" w:after="283"/>
              <w:jc w:val="center"/>
              <w:rPr/>
            </w:pPr>
            <w:r>
              <w:rPr/>
              <w:t> </w:t>
            </w:r>
          </w:p>
        </w:tc>
        <w:tc>
          <w:tcPr>
            <w:tcW w:w="362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center"/>
              <w:rPr/>
            </w:pPr>
            <w:r>
              <w:rPr/>
              <w:t> </w:t>
            </w:r>
          </w:p>
        </w:tc>
      </w:tr>
      <w:tr>
        <w:trPr/>
        <w:tc>
          <w:tcPr>
            <w:tcW w:w="3275" w:type="dxa"/>
            <w:tcBorders/>
            <w:vAlign w:val="center"/>
          </w:tcPr>
          <w:p>
            <w:pPr>
              <w:pStyle w:val="TableContents"/>
              <w:bidi w:val="0"/>
              <w:spacing w:before="0" w:after="283"/>
              <w:jc w:val="center"/>
              <w:rPr>
                <w:b/>
                <w:sz w:val="20"/>
              </w:rPr>
            </w:pPr>
            <w:bookmarkStart w:id="8" w:name="xdx_901_edei--EntityAddressAddressLine1_"/>
            <w:bookmarkEnd w:id="8"/>
            <w:r>
              <w:rPr>
                <w:b/>
                <w:sz w:val="20"/>
              </w:rPr>
              <w:t>One Comcast Center</w:t>
            </w:r>
          </w:p>
        </w:tc>
        <w:tc>
          <w:tcPr>
            <w:tcW w:w="362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center"/>
              <w:rPr/>
            </w:pPr>
            <w:r>
              <w:rPr/>
              <w:t> </w:t>
            </w:r>
          </w:p>
        </w:tc>
      </w:tr>
      <w:tr>
        <w:trPr/>
        <w:tc>
          <w:tcPr>
            <w:tcW w:w="3275" w:type="dxa"/>
            <w:tcBorders/>
            <w:vAlign w:val="center"/>
          </w:tcPr>
          <w:p>
            <w:pPr>
              <w:pStyle w:val="TableContents"/>
              <w:bidi w:val="0"/>
              <w:spacing w:before="0" w:after="283"/>
              <w:jc w:val="center"/>
              <w:rPr>
                <w:b/>
                <w:sz w:val="20"/>
              </w:rPr>
            </w:pPr>
            <w:bookmarkStart w:id="9" w:name="xdx_90F_edei--EntityAddressCityOrTown_c2"/>
            <w:bookmarkEnd w:id="9"/>
            <w:r>
              <w:rPr>
                <w:b/>
                <w:sz w:val="20"/>
              </w:rPr>
              <w:t xml:space="preserve">Philadelphia, </w:t>
            </w:r>
            <w:bookmarkStart w:id="10" w:name="xdx_905_edei--EntityAddressStateOrProvin"/>
            <w:bookmarkEnd w:id="10"/>
            <w:r>
              <w:rPr>
                <w:b/>
                <w:sz w:val="20"/>
              </w:rPr>
              <w:t>PA</w:t>
            </w:r>
          </w:p>
        </w:tc>
        <w:tc>
          <w:tcPr>
            <w:tcW w:w="362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center"/>
              <w:rPr>
                <w:b/>
                <w:sz w:val="20"/>
              </w:rPr>
            </w:pPr>
            <w:bookmarkStart w:id="11" w:name="xdx_901_edei--EntityAddressPostalZipCode"/>
            <w:bookmarkEnd w:id="11"/>
            <w:r>
              <w:rPr>
                <w:b/>
                <w:sz w:val="20"/>
              </w:rPr>
              <w:t>19103-2838</w:t>
            </w:r>
          </w:p>
        </w:tc>
      </w:tr>
      <w:tr>
        <w:trPr/>
        <w:tc>
          <w:tcPr>
            <w:tcW w:w="3275" w:type="dxa"/>
            <w:tcBorders/>
            <w:vAlign w:val="center"/>
          </w:tcPr>
          <w:p>
            <w:pPr>
              <w:pStyle w:val="TableContents"/>
              <w:bidi w:val="0"/>
              <w:spacing w:before="0" w:after="283"/>
              <w:jc w:val="center"/>
              <w:rPr>
                <w:sz w:val="20"/>
              </w:rPr>
            </w:pPr>
            <w:r>
              <w:rPr>
                <w:sz w:val="20"/>
              </w:rPr>
              <w:t>(Address of Principal Executive Offices)</w:t>
            </w:r>
          </w:p>
        </w:tc>
        <w:tc>
          <w:tcPr>
            <w:tcW w:w="362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6_edei--CityAreaCode_c20231003__20"/>
      <w:bookmarkEnd w:id="12"/>
      <w:r>
        <w:rPr>
          <w:rFonts w:ascii="Times New Roman;Times;Serif" w:hAnsi="Times New Roman;Times;Serif"/>
          <w:b/>
          <w:i w:val="false"/>
          <w:caps w:val="false"/>
          <w:smallCaps w:val="false"/>
          <w:sz w:val="20"/>
        </w:rPr>
        <w:t xml:space="preserve">215) </w:t>
      </w:r>
      <w:bookmarkStart w:id="13" w:name="xdx_90B_edei--LocalPhoneNumber_c20231003"/>
      <w:bookmarkEnd w:id="13"/>
      <w:r>
        <w:rPr>
          <w:rFonts w:ascii="Times New Roman;Times;Serif" w:hAnsi="Times New Roman;Times;Serif"/>
          <w:b/>
          <w:i w:val="false"/>
          <w:caps w:val="false"/>
          <w:smallCaps w:val="false"/>
          <w:sz w:val="20"/>
        </w:rPr>
        <w:t>286-1700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283"/>
        <w:jc w:val="left"/>
        <w:rPr/>
      </w:pPr>
      <w:r>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0_edei--WrittenCommunications_c202"/>
            <w:bookmarkEnd w:id="14"/>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ind w:left="36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8_edei--SolicitingMaterial_c202310"/>
            <w:bookmarkEnd w:id="15"/>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F_edei--PreCommencementTenderOffer"/>
            <w:bookmarkEnd w:id="16"/>
            <w:r>
              <w:rPr/>
              <w:t>☐</w:t>
            </w:r>
          </w:p>
        </w:tc>
        <w:tc>
          <w:tcPr>
            <w:tcW w:w="9937"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4_edei--PreCommencementIssuerTende"/>
            <w:bookmarkEnd w:id="17"/>
            <w:r>
              <w:rPr/>
              <w:t>☐</w:t>
            </w:r>
          </w:p>
        </w:tc>
        <w:tc>
          <w:tcPr>
            <w:tcW w:w="9937"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4552"/>
        <w:gridCol w:w="120"/>
        <w:gridCol w:w="1577"/>
        <w:gridCol w:w="60"/>
        <w:gridCol w:w="3896"/>
      </w:tblGrid>
      <w:tr>
        <w:trPr/>
        <w:tc>
          <w:tcPr>
            <w:tcW w:w="4552"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120" w:type="dxa"/>
            <w:tcBorders/>
            <w:tcMar>
              <w:bottom w:w="0" w:type="dxa"/>
            </w:tcMar>
            <w:vAlign w:val="center"/>
          </w:tcPr>
          <w:p>
            <w:pPr>
              <w:pStyle w:val="TableContents"/>
              <w:bidi w:val="0"/>
              <w:spacing w:before="0" w:after="283"/>
              <w:jc w:val="left"/>
              <w:rPr/>
            </w:pPr>
            <w:r>
              <w:rPr/>
              <w:t>  </w:t>
            </w:r>
          </w:p>
        </w:tc>
        <w:tc>
          <w:tcPr>
            <w:tcW w:w="1577"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896"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4552" w:type="dxa"/>
            <w:tcBorders/>
            <w:tcMar>
              <w:bottom w:w="0" w:type="dxa"/>
            </w:tcMar>
            <w:vAlign w:val="center"/>
          </w:tcPr>
          <w:p>
            <w:pPr>
              <w:pStyle w:val="TableContents"/>
              <w:bidi w:val="0"/>
              <w:spacing w:before="0" w:after="283"/>
              <w:jc w:val="center"/>
              <w:rPr>
                <w:sz w:val="20"/>
              </w:rPr>
            </w:pPr>
            <w:bookmarkStart w:id="18" w:name="xdx_909_edei--Security12bTitle_c20231003"/>
            <w:bookmarkEnd w:id="18"/>
            <w:r>
              <w:rPr>
                <w:sz w:val="20"/>
              </w:rPr>
              <w:t>Class A Common Stock, $0.01 par value</w:t>
            </w:r>
          </w:p>
        </w:tc>
        <w:tc>
          <w:tcPr>
            <w:tcW w:w="120" w:type="dxa"/>
            <w:tcBorders/>
            <w:tcMar>
              <w:bottom w:w="0" w:type="dxa"/>
            </w:tcMar>
            <w:vAlign w:val="center"/>
          </w:tcPr>
          <w:p>
            <w:pPr>
              <w:pStyle w:val="TableContents"/>
              <w:bidi w:val="0"/>
              <w:spacing w:before="0" w:after="283"/>
              <w:jc w:val="left"/>
              <w:rPr/>
            </w:pPr>
            <w:r>
              <w:rPr/>
              <w:t> </w:t>
            </w:r>
          </w:p>
        </w:tc>
        <w:tc>
          <w:tcPr>
            <w:tcW w:w="1577" w:type="dxa"/>
            <w:tcBorders/>
            <w:tcMar>
              <w:bottom w:w="0" w:type="dxa"/>
            </w:tcMar>
            <w:vAlign w:val="center"/>
          </w:tcPr>
          <w:p>
            <w:pPr>
              <w:pStyle w:val="TableContents"/>
              <w:bidi w:val="0"/>
              <w:spacing w:before="0" w:after="283"/>
              <w:jc w:val="center"/>
              <w:rPr>
                <w:sz w:val="20"/>
              </w:rPr>
            </w:pPr>
            <w:bookmarkStart w:id="19" w:name="xdx_902_edei--TradingSymbol_c20231003__2"/>
            <w:bookmarkEnd w:id="19"/>
            <w:r>
              <w:rPr>
                <w:sz w:val="20"/>
              </w:rPr>
              <w:t>CMCSA</w:t>
            </w:r>
          </w:p>
        </w:tc>
        <w:tc>
          <w:tcPr>
            <w:tcW w:w="60" w:type="dxa"/>
            <w:tcBorders/>
            <w:tcMar>
              <w:bottom w:w="0" w:type="dxa"/>
            </w:tcMar>
            <w:vAlign w:val="center"/>
          </w:tcPr>
          <w:p>
            <w:pPr>
              <w:pStyle w:val="TableContents"/>
              <w:bidi w:val="0"/>
              <w:spacing w:before="0" w:after="283"/>
              <w:jc w:val="center"/>
              <w:rPr/>
            </w:pPr>
            <w:r>
              <w:rPr/>
              <w:t> </w:t>
            </w:r>
          </w:p>
        </w:tc>
        <w:tc>
          <w:tcPr>
            <w:tcW w:w="3896" w:type="dxa"/>
            <w:tcBorders/>
            <w:tcMar>
              <w:bottom w:w="0" w:type="dxa"/>
            </w:tcMar>
            <w:vAlign w:val="center"/>
          </w:tcPr>
          <w:p>
            <w:pPr>
              <w:pStyle w:val="TableContents"/>
              <w:bidi w:val="0"/>
              <w:spacing w:before="0" w:after="283"/>
              <w:jc w:val="center"/>
              <w:rPr>
                <w:sz w:val="20"/>
              </w:rPr>
            </w:pPr>
            <w:bookmarkStart w:id="20" w:name="xdx_90D_edei--SecurityExchangeName_c2023"/>
            <w:bookmarkEnd w:id="20"/>
            <w:r>
              <w:rPr>
                <w:sz w:val="20"/>
              </w:rPr>
              <w:t>The Nasdaq Stock Market LLC</w:t>
            </w:r>
          </w:p>
        </w:tc>
      </w:tr>
      <w:tr>
        <w:trPr/>
        <w:tc>
          <w:tcPr>
            <w:tcW w:w="4552" w:type="dxa"/>
            <w:tcBorders/>
            <w:tcMar>
              <w:bottom w:w="0" w:type="dxa"/>
            </w:tcMar>
            <w:vAlign w:val="center"/>
          </w:tcPr>
          <w:p>
            <w:pPr>
              <w:pStyle w:val="TableContents"/>
              <w:bidi w:val="0"/>
              <w:spacing w:before="0" w:after="283"/>
              <w:jc w:val="center"/>
              <w:rPr>
                <w:sz w:val="20"/>
              </w:rPr>
            </w:pPr>
            <w:bookmarkStart w:id="21" w:name="xdx_907_edei--Security12bTitle_c20231003"/>
            <w:bookmarkEnd w:id="21"/>
            <w:r>
              <w:rPr>
                <w:sz w:val="20"/>
              </w:rPr>
              <w:t>0.000% Notes due 2026</w:t>
            </w:r>
          </w:p>
        </w:tc>
        <w:tc>
          <w:tcPr>
            <w:tcW w:w="120" w:type="dxa"/>
            <w:tcBorders/>
            <w:tcMar>
              <w:bottom w:w="0" w:type="dxa"/>
            </w:tcMar>
            <w:vAlign w:val="center"/>
          </w:tcPr>
          <w:p>
            <w:pPr>
              <w:pStyle w:val="TableContents"/>
              <w:bidi w:val="0"/>
              <w:spacing w:before="0" w:after="283"/>
              <w:jc w:val="left"/>
              <w:rPr/>
            </w:pPr>
            <w:r>
              <w:rPr/>
              <w:t> </w:t>
            </w:r>
          </w:p>
        </w:tc>
        <w:tc>
          <w:tcPr>
            <w:tcW w:w="1577" w:type="dxa"/>
            <w:tcBorders/>
            <w:tcMar>
              <w:bottom w:w="0" w:type="dxa"/>
            </w:tcMar>
            <w:vAlign w:val="center"/>
          </w:tcPr>
          <w:p>
            <w:pPr>
              <w:pStyle w:val="TableContents"/>
              <w:bidi w:val="0"/>
              <w:spacing w:before="0" w:after="283"/>
              <w:jc w:val="center"/>
              <w:rPr>
                <w:sz w:val="20"/>
              </w:rPr>
            </w:pPr>
            <w:bookmarkStart w:id="22" w:name="xdx_90D_edei--TradingSymbol_c20231003__2"/>
            <w:bookmarkEnd w:id="22"/>
            <w:r>
              <w:rPr>
                <w:sz w:val="20"/>
              </w:rPr>
              <w:t>CMCS26</w:t>
            </w:r>
          </w:p>
        </w:tc>
        <w:tc>
          <w:tcPr>
            <w:tcW w:w="60" w:type="dxa"/>
            <w:tcBorders/>
            <w:tcMar>
              <w:bottom w:w="0" w:type="dxa"/>
            </w:tcMar>
            <w:vAlign w:val="center"/>
          </w:tcPr>
          <w:p>
            <w:pPr>
              <w:pStyle w:val="TableContents"/>
              <w:bidi w:val="0"/>
              <w:spacing w:before="0" w:after="283"/>
              <w:jc w:val="left"/>
              <w:rPr/>
            </w:pPr>
            <w:r>
              <w:rPr/>
              <w:t> </w:t>
            </w:r>
          </w:p>
        </w:tc>
        <w:tc>
          <w:tcPr>
            <w:tcW w:w="3896" w:type="dxa"/>
            <w:tcBorders/>
            <w:tcMar>
              <w:bottom w:w="0" w:type="dxa"/>
            </w:tcMar>
            <w:vAlign w:val="center"/>
          </w:tcPr>
          <w:p>
            <w:pPr>
              <w:pStyle w:val="TableContents"/>
              <w:bidi w:val="0"/>
              <w:spacing w:before="0" w:after="283"/>
              <w:jc w:val="center"/>
              <w:rPr>
                <w:sz w:val="20"/>
              </w:rPr>
            </w:pPr>
            <w:bookmarkStart w:id="23" w:name="xdx_90D_edei--SecurityExchangeName_c2023"/>
            <w:bookmarkEnd w:id="23"/>
            <w:r>
              <w:rPr>
                <w:sz w:val="20"/>
              </w:rPr>
              <w:t>The Nasdaq Stock Market LLC</w:t>
            </w:r>
          </w:p>
        </w:tc>
      </w:tr>
      <w:tr>
        <w:trPr/>
        <w:tc>
          <w:tcPr>
            <w:tcW w:w="4552" w:type="dxa"/>
            <w:tcBorders/>
            <w:tcMar>
              <w:bottom w:w="0" w:type="dxa"/>
            </w:tcMar>
            <w:vAlign w:val="center"/>
          </w:tcPr>
          <w:p>
            <w:pPr>
              <w:pStyle w:val="TableContents"/>
              <w:bidi w:val="0"/>
              <w:spacing w:before="0" w:after="283"/>
              <w:jc w:val="center"/>
              <w:rPr>
                <w:sz w:val="20"/>
              </w:rPr>
            </w:pPr>
            <w:bookmarkStart w:id="24" w:name="xdx_908_edei--Security12bTitle_c20231003"/>
            <w:bookmarkEnd w:id="24"/>
            <w:r>
              <w:rPr>
                <w:sz w:val="20"/>
              </w:rPr>
              <w:t>0.250% Notes due 2027</w:t>
            </w:r>
          </w:p>
        </w:tc>
        <w:tc>
          <w:tcPr>
            <w:tcW w:w="120" w:type="dxa"/>
            <w:tcBorders/>
            <w:tcMar>
              <w:bottom w:w="0" w:type="dxa"/>
            </w:tcMar>
            <w:vAlign w:val="center"/>
          </w:tcPr>
          <w:p>
            <w:pPr>
              <w:pStyle w:val="TableContents"/>
              <w:bidi w:val="0"/>
              <w:spacing w:before="0" w:after="283"/>
              <w:jc w:val="left"/>
              <w:rPr/>
            </w:pPr>
            <w:r>
              <w:rPr/>
              <w:t> </w:t>
            </w:r>
          </w:p>
        </w:tc>
        <w:tc>
          <w:tcPr>
            <w:tcW w:w="1577" w:type="dxa"/>
            <w:tcBorders/>
            <w:tcMar>
              <w:bottom w:w="0" w:type="dxa"/>
            </w:tcMar>
            <w:vAlign w:val="center"/>
          </w:tcPr>
          <w:p>
            <w:pPr>
              <w:pStyle w:val="TableContents"/>
              <w:bidi w:val="0"/>
              <w:spacing w:before="0" w:after="283"/>
              <w:jc w:val="center"/>
              <w:rPr>
                <w:sz w:val="20"/>
              </w:rPr>
            </w:pPr>
            <w:bookmarkStart w:id="25" w:name="xdx_90D_edei--TradingSymbol_c20231003__2"/>
            <w:bookmarkEnd w:id="25"/>
            <w:r>
              <w:rPr>
                <w:sz w:val="20"/>
              </w:rPr>
              <w:t>CMCS27</w:t>
            </w:r>
          </w:p>
        </w:tc>
        <w:tc>
          <w:tcPr>
            <w:tcW w:w="60" w:type="dxa"/>
            <w:tcBorders/>
            <w:tcMar>
              <w:bottom w:w="0" w:type="dxa"/>
            </w:tcMar>
            <w:vAlign w:val="center"/>
          </w:tcPr>
          <w:p>
            <w:pPr>
              <w:pStyle w:val="TableContents"/>
              <w:bidi w:val="0"/>
              <w:spacing w:before="0" w:after="283"/>
              <w:jc w:val="left"/>
              <w:rPr/>
            </w:pPr>
            <w:r>
              <w:rPr/>
              <w:t> </w:t>
            </w:r>
          </w:p>
        </w:tc>
        <w:tc>
          <w:tcPr>
            <w:tcW w:w="3896" w:type="dxa"/>
            <w:tcBorders/>
            <w:tcMar>
              <w:bottom w:w="0" w:type="dxa"/>
            </w:tcMar>
            <w:vAlign w:val="center"/>
          </w:tcPr>
          <w:p>
            <w:pPr>
              <w:pStyle w:val="TableContents"/>
              <w:bidi w:val="0"/>
              <w:spacing w:before="0" w:after="283"/>
              <w:jc w:val="center"/>
              <w:rPr>
                <w:sz w:val="20"/>
              </w:rPr>
            </w:pPr>
            <w:bookmarkStart w:id="26" w:name="xdx_909_edei--SecurityExchangeName_c2023"/>
            <w:bookmarkEnd w:id="26"/>
            <w:r>
              <w:rPr>
                <w:sz w:val="20"/>
              </w:rPr>
              <w:t>The Nasdaq Stock Market LLC</w:t>
            </w:r>
          </w:p>
        </w:tc>
      </w:tr>
      <w:tr>
        <w:trPr/>
        <w:tc>
          <w:tcPr>
            <w:tcW w:w="4552" w:type="dxa"/>
            <w:tcBorders/>
            <w:tcMar>
              <w:bottom w:w="0" w:type="dxa"/>
            </w:tcMar>
            <w:vAlign w:val="center"/>
          </w:tcPr>
          <w:p>
            <w:pPr>
              <w:pStyle w:val="TableContents"/>
              <w:bidi w:val="0"/>
              <w:spacing w:before="0" w:after="283"/>
              <w:jc w:val="center"/>
              <w:rPr>
                <w:sz w:val="20"/>
              </w:rPr>
            </w:pPr>
            <w:bookmarkStart w:id="27" w:name="xdx_900_edei--Security12bTitle_c20231003"/>
            <w:bookmarkEnd w:id="27"/>
            <w:r>
              <w:rPr>
                <w:sz w:val="20"/>
              </w:rPr>
              <w:t>1.500% Notes due 2029</w:t>
            </w:r>
          </w:p>
        </w:tc>
        <w:tc>
          <w:tcPr>
            <w:tcW w:w="120" w:type="dxa"/>
            <w:tcBorders/>
            <w:tcMar>
              <w:bottom w:w="0" w:type="dxa"/>
            </w:tcMar>
            <w:vAlign w:val="center"/>
          </w:tcPr>
          <w:p>
            <w:pPr>
              <w:pStyle w:val="TableContents"/>
              <w:bidi w:val="0"/>
              <w:spacing w:before="0" w:after="283"/>
              <w:jc w:val="left"/>
              <w:rPr/>
            </w:pPr>
            <w:r>
              <w:rPr/>
              <w:t> </w:t>
            </w:r>
          </w:p>
        </w:tc>
        <w:tc>
          <w:tcPr>
            <w:tcW w:w="1577" w:type="dxa"/>
            <w:tcBorders/>
            <w:tcMar>
              <w:bottom w:w="0" w:type="dxa"/>
            </w:tcMar>
            <w:vAlign w:val="center"/>
          </w:tcPr>
          <w:p>
            <w:pPr>
              <w:pStyle w:val="TableContents"/>
              <w:bidi w:val="0"/>
              <w:spacing w:before="0" w:after="283"/>
              <w:jc w:val="center"/>
              <w:rPr>
                <w:sz w:val="20"/>
              </w:rPr>
            </w:pPr>
            <w:bookmarkStart w:id="28" w:name="xdx_90A_edei--TradingSymbol_c20231003__2"/>
            <w:bookmarkEnd w:id="28"/>
            <w:r>
              <w:rPr>
                <w:sz w:val="20"/>
              </w:rPr>
              <w:t>CMCS29</w:t>
            </w:r>
          </w:p>
        </w:tc>
        <w:tc>
          <w:tcPr>
            <w:tcW w:w="60" w:type="dxa"/>
            <w:tcBorders/>
            <w:tcMar>
              <w:bottom w:w="0" w:type="dxa"/>
            </w:tcMar>
            <w:vAlign w:val="center"/>
          </w:tcPr>
          <w:p>
            <w:pPr>
              <w:pStyle w:val="TableContents"/>
              <w:bidi w:val="0"/>
              <w:spacing w:before="0" w:after="283"/>
              <w:jc w:val="left"/>
              <w:rPr/>
            </w:pPr>
            <w:r>
              <w:rPr/>
              <w:t> </w:t>
            </w:r>
          </w:p>
        </w:tc>
        <w:tc>
          <w:tcPr>
            <w:tcW w:w="3896" w:type="dxa"/>
            <w:tcBorders/>
            <w:tcMar>
              <w:bottom w:w="0" w:type="dxa"/>
            </w:tcMar>
            <w:vAlign w:val="center"/>
          </w:tcPr>
          <w:p>
            <w:pPr>
              <w:pStyle w:val="TableContents"/>
              <w:bidi w:val="0"/>
              <w:spacing w:before="0" w:after="283"/>
              <w:jc w:val="center"/>
              <w:rPr>
                <w:sz w:val="20"/>
              </w:rPr>
            </w:pPr>
            <w:bookmarkStart w:id="29" w:name="xdx_90F_edei--SecurityExchangeName_c2023"/>
            <w:bookmarkEnd w:id="29"/>
            <w:r>
              <w:rPr>
                <w:sz w:val="20"/>
              </w:rPr>
              <w:t>The Nasdaq Stock Market LLC</w:t>
            </w:r>
          </w:p>
        </w:tc>
      </w:tr>
      <w:tr>
        <w:trPr/>
        <w:tc>
          <w:tcPr>
            <w:tcW w:w="4552" w:type="dxa"/>
            <w:tcBorders/>
            <w:tcMar>
              <w:bottom w:w="0" w:type="dxa"/>
            </w:tcMar>
            <w:vAlign w:val="center"/>
          </w:tcPr>
          <w:p>
            <w:pPr>
              <w:pStyle w:val="TableContents"/>
              <w:bidi w:val="0"/>
              <w:spacing w:before="0" w:after="283"/>
              <w:jc w:val="center"/>
              <w:rPr>
                <w:sz w:val="20"/>
              </w:rPr>
            </w:pPr>
            <w:bookmarkStart w:id="30" w:name="xdx_905_edei--Security12bTitle_c20231003"/>
            <w:bookmarkEnd w:id="30"/>
            <w:r>
              <w:rPr>
                <w:sz w:val="20"/>
              </w:rPr>
              <w:t>0.250% Notes due 2029</w:t>
            </w:r>
          </w:p>
        </w:tc>
        <w:tc>
          <w:tcPr>
            <w:tcW w:w="120" w:type="dxa"/>
            <w:tcBorders/>
            <w:tcMar>
              <w:bottom w:w="0" w:type="dxa"/>
            </w:tcMar>
            <w:vAlign w:val="center"/>
          </w:tcPr>
          <w:p>
            <w:pPr>
              <w:pStyle w:val="TableContents"/>
              <w:bidi w:val="0"/>
              <w:spacing w:before="0" w:after="283"/>
              <w:jc w:val="left"/>
              <w:rPr/>
            </w:pPr>
            <w:r>
              <w:rPr/>
              <w:t> </w:t>
            </w:r>
          </w:p>
        </w:tc>
        <w:tc>
          <w:tcPr>
            <w:tcW w:w="1577" w:type="dxa"/>
            <w:tcBorders/>
            <w:tcMar>
              <w:bottom w:w="0" w:type="dxa"/>
            </w:tcMar>
            <w:vAlign w:val="center"/>
          </w:tcPr>
          <w:p>
            <w:pPr>
              <w:pStyle w:val="TableContents"/>
              <w:bidi w:val="0"/>
              <w:spacing w:before="0" w:after="283"/>
              <w:jc w:val="center"/>
              <w:rPr>
                <w:sz w:val="20"/>
              </w:rPr>
            </w:pPr>
            <w:bookmarkStart w:id="31" w:name="xdx_90E_edei--TradingSymbol_c20231003__2"/>
            <w:bookmarkEnd w:id="31"/>
            <w:r>
              <w:rPr>
                <w:sz w:val="20"/>
              </w:rPr>
              <w:t>CMCS29A</w:t>
            </w:r>
          </w:p>
        </w:tc>
        <w:tc>
          <w:tcPr>
            <w:tcW w:w="60" w:type="dxa"/>
            <w:tcBorders/>
            <w:tcMar>
              <w:bottom w:w="0" w:type="dxa"/>
            </w:tcMar>
            <w:vAlign w:val="center"/>
          </w:tcPr>
          <w:p>
            <w:pPr>
              <w:pStyle w:val="TableContents"/>
              <w:bidi w:val="0"/>
              <w:spacing w:before="0" w:after="283"/>
              <w:jc w:val="left"/>
              <w:rPr/>
            </w:pPr>
            <w:r>
              <w:rPr/>
              <w:t> </w:t>
            </w:r>
          </w:p>
        </w:tc>
        <w:tc>
          <w:tcPr>
            <w:tcW w:w="3896" w:type="dxa"/>
            <w:tcBorders/>
            <w:tcMar>
              <w:bottom w:w="0" w:type="dxa"/>
            </w:tcMar>
            <w:vAlign w:val="center"/>
          </w:tcPr>
          <w:p>
            <w:pPr>
              <w:pStyle w:val="TableContents"/>
              <w:bidi w:val="0"/>
              <w:spacing w:before="0" w:after="283"/>
              <w:jc w:val="center"/>
              <w:rPr>
                <w:sz w:val="20"/>
              </w:rPr>
            </w:pPr>
            <w:bookmarkStart w:id="32" w:name="xdx_90F_edei--SecurityExchangeName_c2023"/>
            <w:bookmarkEnd w:id="32"/>
            <w:r>
              <w:rPr>
                <w:sz w:val="20"/>
              </w:rPr>
              <w:t>The Nasdaq Stock Market LLC</w:t>
            </w:r>
          </w:p>
        </w:tc>
      </w:tr>
      <w:tr>
        <w:trPr/>
        <w:tc>
          <w:tcPr>
            <w:tcW w:w="4552" w:type="dxa"/>
            <w:tcBorders/>
            <w:tcMar>
              <w:bottom w:w="0" w:type="dxa"/>
            </w:tcMar>
            <w:vAlign w:val="center"/>
          </w:tcPr>
          <w:p>
            <w:pPr>
              <w:pStyle w:val="TableContents"/>
              <w:bidi w:val="0"/>
              <w:spacing w:before="0" w:after="283"/>
              <w:jc w:val="center"/>
              <w:rPr>
                <w:sz w:val="20"/>
              </w:rPr>
            </w:pPr>
            <w:bookmarkStart w:id="33" w:name="xdx_90E_edei--Security12bTitle_c20231003"/>
            <w:bookmarkEnd w:id="33"/>
            <w:r>
              <w:rPr>
                <w:sz w:val="20"/>
              </w:rPr>
              <w:t>0.750% Notes due 2032</w:t>
            </w:r>
          </w:p>
        </w:tc>
        <w:tc>
          <w:tcPr>
            <w:tcW w:w="120" w:type="dxa"/>
            <w:tcBorders/>
            <w:tcMar>
              <w:bottom w:w="0" w:type="dxa"/>
            </w:tcMar>
            <w:vAlign w:val="center"/>
          </w:tcPr>
          <w:p>
            <w:pPr>
              <w:pStyle w:val="TableContents"/>
              <w:bidi w:val="0"/>
              <w:spacing w:before="0" w:after="283"/>
              <w:jc w:val="left"/>
              <w:rPr/>
            </w:pPr>
            <w:r>
              <w:rPr/>
              <w:t> </w:t>
            </w:r>
          </w:p>
        </w:tc>
        <w:tc>
          <w:tcPr>
            <w:tcW w:w="1577" w:type="dxa"/>
            <w:tcBorders/>
            <w:tcMar>
              <w:bottom w:w="0" w:type="dxa"/>
            </w:tcMar>
            <w:vAlign w:val="center"/>
          </w:tcPr>
          <w:p>
            <w:pPr>
              <w:pStyle w:val="TableContents"/>
              <w:bidi w:val="0"/>
              <w:spacing w:before="0" w:after="283"/>
              <w:jc w:val="center"/>
              <w:rPr>
                <w:sz w:val="20"/>
              </w:rPr>
            </w:pPr>
            <w:bookmarkStart w:id="34" w:name="xdx_90B_edei--TradingSymbol_c20231003__2"/>
            <w:bookmarkEnd w:id="34"/>
            <w:r>
              <w:rPr>
                <w:sz w:val="20"/>
              </w:rPr>
              <w:t>CMCS32</w:t>
            </w:r>
          </w:p>
        </w:tc>
        <w:tc>
          <w:tcPr>
            <w:tcW w:w="60" w:type="dxa"/>
            <w:tcBorders/>
            <w:tcMar>
              <w:bottom w:w="0" w:type="dxa"/>
            </w:tcMar>
            <w:vAlign w:val="center"/>
          </w:tcPr>
          <w:p>
            <w:pPr>
              <w:pStyle w:val="TableContents"/>
              <w:bidi w:val="0"/>
              <w:spacing w:before="0" w:after="283"/>
              <w:jc w:val="left"/>
              <w:rPr/>
            </w:pPr>
            <w:r>
              <w:rPr/>
              <w:t> </w:t>
            </w:r>
          </w:p>
        </w:tc>
        <w:tc>
          <w:tcPr>
            <w:tcW w:w="3896" w:type="dxa"/>
            <w:tcBorders/>
            <w:tcMar>
              <w:bottom w:w="0" w:type="dxa"/>
            </w:tcMar>
            <w:vAlign w:val="center"/>
          </w:tcPr>
          <w:p>
            <w:pPr>
              <w:pStyle w:val="TableContents"/>
              <w:bidi w:val="0"/>
              <w:spacing w:before="0" w:after="283"/>
              <w:jc w:val="center"/>
              <w:rPr>
                <w:sz w:val="20"/>
              </w:rPr>
            </w:pPr>
            <w:bookmarkStart w:id="35" w:name="xdx_909_edei--SecurityExchangeName_c2023"/>
            <w:bookmarkEnd w:id="35"/>
            <w:r>
              <w:rPr>
                <w:sz w:val="20"/>
              </w:rPr>
              <w:t>The Nasdaq Stock Market LLC</w:t>
            </w:r>
          </w:p>
        </w:tc>
      </w:tr>
      <w:tr>
        <w:trPr/>
        <w:tc>
          <w:tcPr>
            <w:tcW w:w="4552" w:type="dxa"/>
            <w:tcBorders/>
            <w:tcMar>
              <w:bottom w:w="0" w:type="dxa"/>
            </w:tcMar>
            <w:vAlign w:val="center"/>
          </w:tcPr>
          <w:p>
            <w:pPr>
              <w:pStyle w:val="TableContents"/>
              <w:bidi w:val="0"/>
              <w:spacing w:before="0" w:after="283"/>
              <w:jc w:val="center"/>
              <w:rPr>
                <w:sz w:val="20"/>
              </w:rPr>
            </w:pPr>
            <w:bookmarkStart w:id="36" w:name="xdx_901_edei--Security12bTitle_c20231003"/>
            <w:bookmarkEnd w:id="36"/>
            <w:r>
              <w:rPr>
                <w:sz w:val="20"/>
              </w:rPr>
              <w:t>1.875% Notes due 2036</w:t>
            </w:r>
          </w:p>
        </w:tc>
        <w:tc>
          <w:tcPr>
            <w:tcW w:w="120" w:type="dxa"/>
            <w:tcBorders/>
            <w:tcMar>
              <w:bottom w:w="0" w:type="dxa"/>
            </w:tcMar>
            <w:vAlign w:val="center"/>
          </w:tcPr>
          <w:p>
            <w:pPr>
              <w:pStyle w:val="TableContents"/>
              <w:bidi w:val="0"/>
              <w:spacing w:before="0" w:after="283"/>
              <w:jc w:val="left"/>
              <w:rPr/>
            </w:pPr>
            <w:r>
              <w:rPr/>
              <w:t> </w:t>
            </w:r>
          </w:p>
        </w:tc>
        <w:tc>
          <w:tcPr>
            <w:tcW w:w="1577" w:type="dxa"/>
            <w:tcBorders/>
            <w:tcMar>
              <w:bottom w:w="0" w:type="dxa"/>
            </w:tcMar>
            <w:vAlign w:val="center"/>
          </w:tcPr>
          <w:p>
            <w:pPr>
              <w:pStyle w:val="TableContents"/>
              <w:bidi w:val="0"/>
              <w:spacing w:before="0" w:after="283"/>
              <w:jc w:val="center"/>
              <w:rPr>
                <w:sz w:val="20"/>
              </w:rPr>
            </w:pPr>
            <w:bookmarkStart w:id="37" w:name="xdx_902_edei--TradingSymbol_c20231003__2"/>
            <w:bookmarkEnd w:id="37"/>
            <w:r>
              <w:rPr>
                <w:sz w:val="20"/>
              </w:rPr>
              <w:t>CMCS36</w:t>
            </w:r>
          </w:p>
        </w:tc>
        <w:tc>
          <w:tcPr>
            <w:tcW w:w="60" w:type="dxa"/>
            <w:tcBorders/>
            <w:tcMar>
              <w:bottom w:w="0" w:type="dxa"/>
            </w:tcMar>
            <w:vAlign w:val="center"/>
          </w:tcPr>
          <w:p>
            <w:pPr>
              <w:pStyle w:val="TableContents"/>
              <w:bidi w:val="0"/>
              <w:spacing w:before="0" w:after="283"/>
              <w:jc w:val="left"/>
              <w:rPr/>
            </w:pPr>
            <w:r>
              <w:rPr/>
              <w:t> </w:t>
            </w:r>
          </w:p>
        </w:tc>
        <w:tc>
          <w:tcPr>
            <w:tcW w:w="3896" w:type="dxa"/>
            <w:tcBorders/>
            <w:tcMar>
              <w:bottom w:w="0" w:type="dxa"/>
            </w:tcMar>
            <w:vAlign w:val="center"/>
          </w:tcPr>
          <w:p>
            <w:pPr>
              <w:pStyle w:val="TableContents"/>
              <w:bidi w:val="0"/>
              <w:spacing w:before="0" w:after="283"/>
              <w:jc w:val="center"/>
              <w:rPr>
                <w:sz w:val="20"/>
              </w:rPr>
            </w:pPr>
            <w:bookmarkStart w:id="38" w:name="xdx_90A_edei--SecurityExchangeName_c2023"/>
            <w:bookmarkEnd w:id="38"/>
            <w:r>
              <w:rPr>
                <w:sz w:val="20"/>
              </w:rPr>
              <w:t>The Nasdaq Stock Market LLC</w:t>
            </w:r>
          </w:p>
        </w:tc>
      </w:tr>
      <w:tr>
        <w:trPr/>
        <w:tc>
          <w:tcPr>
            <w:tcW w:w="4552" w:type="dxa"/>
            <w:tcBorders/>
            <w:tcMar>
              <w:bottom w:w="0" w:type="dxa"/>
            </w:tcMar>
            <w:vAlign w:val="center"/>
          </w:tcPr>
          <w:p>
            <w:pPr>
              <w:pStyle w:val="TableContents"/>
              <w:bidi w:val="0"/>
              <w:spacing w:before="0" w:after="283"/>
              <w:jc w:val="center"/>
              <w:rPr>
                <w:sz w:val="20"/>
              </w:rPr>
            </w:pPr>
            <w:bookmarkStart w:id="39" w:name="xdx_90C_edei--Security12bTitle_c20231003"/>
            <w:bookmarkEnd w:id="39"/>
            <w:r>
              <w:rPr>
                <w:sz w:val="20"/>
              </w:rPr>
              <w:t>1.250% Notes due 2040</w:t>
            </w:r>
          </w:p>
        </w:tc>
        <w:tc>
          <w:tcPr>
            <w:tcW w:w="120" w:type="dxa"/>
            <w:tcBorders/>
            <w:tcMar>
              <w:bottom w:w="0" w:type="dxa"/>
            </w:tcMar>
            <w:vAlign w:val="center"/>
          </w:tcPr>
          <w:p>
            <w:pPr>
              <w:pStyle w:val="TableContents"/>
              <w:bidi w:val="0"/>
              <w:spacing w:before="0" w:after="283"/>
              <w:jc w:val="left"/>
              <w:rPr/>
            </w:pPr>
            <w:r>
              <w:rPr/>
              <w:t> </w:t>
            </w:r>
          </w:p>
        </w:tc>
        <w:tc>
          <w:tcPr>
            <w:tcW w:w="1577" w:type="dxa"/>
            <w:tcBorders/>
            <w:tcMar>
              <w:bottom w:w="0" w:type="dxa"/>
            </w:tcMar>
            <w:vAlign w:val="center"/>
          </w:tcPr>
          <w:p>
            <w:pPr>
              <w:pStyle w:val="TableContents"/>
              <w:bidi w:val="0"/>
              <w:spacing w:before="0" w:after="283"/>
              <w:jc w:val="center"/>
              <w:rPr>
                <w:sz w:val="20"/>
              </w:rPr>
            </w:pPr>
            <w:bookmarkStart w:id="40" w:name="xdx_905_edei--TradingSymbol_c20231003__2"/>
            <w:bookmarkEnd w:id="40"/>
            <w:r>
              <w:rPr>
                <w:sz w:val="20"/>
              </w:rPr>
              <w:t>CMCS40</w:t>
            </w:r>
          </w:p>
        </w:tc>
        <w:tc>
          <w:tcPr>
            <w:tcW w:w="60" w:type="dxa"/>
            <w:tcBorders/>
            <w:tcMar>
              <w:bottom w:w="0" w:type="dxa"/>
            </w:tcMar>
            <w:vAlign w:val="center"/>
          </w:tcPr>
          <w:p>
            <w:pPr>
              <w:pStyle w:val="TableContents"/>
              <w:bidi w:val="0"/>
              <w:spacing w:before="0" w:after="283"/>
              <w:jc w:val="left"/>
              <w:rPr/>
            </w:pPr>
            <w:r>
              <w:rPr/>
              <w:t> </w:t>
            </w:r>
          </w:p>
        </w:tc>
        <w:tc>
          <w:tcPr>
            <w:tcW w:w="3896" w:type="dxa"/>
            <w:tcBorders/>
            <w:tcMar>
              <w:bottom w:w="0" w:type="dxa"/>
            </w:tcMar>
            <w:vAlign w:val="center"/>
          </w:tcPr>
          <w:p>
            <w:pPr>
              <w:pStyle w:val="TableContents"/>
              <w:bidi w:val="0"/>
              <w:spacing w:before="0" w:after="283"/>
              <w:jc w:val="center"/>
              <w:rPr>
                <w:sz w:val="20"/>
              </w:rPr>
            </w:pPr>
            <w:bookmarkStart w:id="41" w:name="xdx_90A_edei--SecurityExchangeName_c2023"/>
            <w:bookmarkEnd w:id="41"/>
            <w:r>
              <w:rPr>
                <w:sz w:val="20"/>
              </w:rPr>
              <w:t>The Nasdaq Stock Market LLC</w:t>
            </w:r>
          </w:p>
        </w:tc>
      </w:tr>
      <w:tr>
        <w:trPr/>
        <w:tc>
          <w:tcPr>
            <w:tcW w:w="4552" w:type="dxa"/>
            <w:tcBorders/>
            <w:tcMar>
              <w:bottom w:w="0" w:type="dxa"/>
            </w:tcMar>
            <w:vAlign w:val="center"/>
          </w:tcPr>
          <w:p>
            <w:pPr>
              <w:pStyle w:val="TableContents"/>
              <w:bidi w:val="0"/>
              <w:spacing w:before="0" w:after="283"/>
              <w:jc w:val="center"/>
              <w:rPr>
                <w:sz w:val="20"/>
              </w:rPr>
            </w:pPr>
            <w:bookmarkStart w:id="42" w:name="xdx_90D_edei--Security12bTitle_c20231003"/>
            <w:bookmarkEnd w:id="42"/>
            <w:r>
              <w:rPr>
                <w:sz w:val="20"/>
              </w:rPr>
              <w:t>5.50% Notes due 2029</w:t>
            </w:r>
          </w:p>
        </w:tc>
        <w:tc>
          <w:tcPr>
            <w:tcW w:w="120" w:type="dxa"/>
            <w:tcBorders/>
            <w:tcMar>
              <w:bottom w:w="0" w:type="dxa"/>
            </w:tcMar>
            <w:vAlign w:val="center"/>
          </w:tcPr>
          <w:p>
            <w:pPr>
              <w:pStyle w:val="TableContents"/>
              <w:bidi w:val="0"/>
              <w:spacing w:before="0" w:after="283"/>
              <w:jc w:val="left"/>
              <w:rPr/>
            </w:pPr>
            <w:r>
              <w:rPr/>
              <w:t> </w:t>
            </w:r>
          </w:p>
        </w:tc>
        <w:tc>
          <w:tcPr>
            <w:tcW w:w="1577" w:type="dxa"/>
            <w:tcBorders/>
            <w:tcMar>
              <w:bottom w:w="0" w:type="dxa"/>
            </w:tcMar>
            <w:vAlign w:val="center"/>
          </w:tcPr>
          <w:p>
            <w:pPr>
              <w:pStyle w:val="TableContents"/>
              <w:bidi w:val="0"/>
              <w:spacing w:before="0" w:after="283"/>
              <w:jc w:val="center"/>
              <w:rPr>
                <w:sz w:val="20"/>
              </w:rPr>
            </w:pPr>
            <w:bookmarkStart w:id="43" w:name="xdx_90F_edei--TradingSymbol_c20231003__2"/>
            <w:bookmarkEnd w:id="43"/>
            <w:r>
              <w:rPr>
                <w:sz w:val="20"/>
              </w:rPr>
              <w:t>CCGBP29</w:t>
            </w:r>
          </w:p>
        </w:tc>
        <w:tc>
          <w:tcPr>
            <w:tcW w:w="60" w:type="dxa"/>
            <w:tcBorders/>
            <w:tcMar>
              <w:bottom w:w="0" w:type="dxa"/>
            </w:tcMar>
            <w:vAlign w:val="center"/>
          </w:tcPr>
          <w:p>
            <w:pPr>
              <w:pStyle w:val="TableContents"/>
              <w:bidi w:val="0"/>
              <w:spacing w:before="0" w:after="283"/>
              <w:jc w:val="left"/>
              <w:rPr/>
            </w:pPr>
            <w:r>
              <w:rPr/>
              <w:t> </w:t>
            </w:r>
          </w:p>
        </w:tc>
        <w:tc>
          <w:tcPr>
            <w:tcW w:w="3896" w:type="dxa"/>
            <w:tcBorders/>
            <w:tcMar>
              <w:bottom w:w="0" w:type="dxa"/>
            </w:tcMar>
            <w:vAlign w:val="center"/>
          </w:tcPr>
          <w:p>
            <w:pPr>
              <w:pStyle w:val="TableContents"/>
              <w:bidi w:val="0"/>
              <w:spacing w:before="0" w:after="283"/>
              <w:jc w:val="center"/>
              <w:rPr>
                <w:sz w:val="20"/>
              </w:rPr>
            </w:pPr>
            <w:bookmarkStart w:id="44" w:name="xdx_90F_edei--SecurityExchangeName_c2023"/>
            <w:bookmarkEnd w:id="44"/>
            <w:r>
              <w:rPr>
                <w:sz w:val="20"/>
              </w:rPr>
              <w:t>New York Stock Exchange</w:t>
            </w:r>
          </w:p>
        </w:tc>
      </w:tr>
      <w:tr>
        <w:trPr/>
        <w:tc>
          <w:tcPr>
            <w:tcW w:w="4552" w:type="dxa"/>
            <w:tcBorders/>
            <w:tcMar>
              <w:bottom w:w="0" w:type="dxa"/>
            </w:tcMar>
            <w:vAlign w:val="center"/>
          </w:tcPr>
          <w:p>
            <w:pPr>
              <w:pStyle w:val="TableContents"/>
              <w:bidi w:val="0"/>
              <w:spacing w:before="0" w:after="283"/>
              <w:jc w:val="center"/>
              <w:rPr>
                <w:sz w:val="20"/>
              </w:rPr>
            </w:pPr>
            <w:bookmarkStart w:id="45" w:name="xdx_906_edei--Security12bTitle_c20231003"/>
            <w:bookmarkEnd w:id="45"/>
            <w:r>
              <w:rPr>
                <w:sz w:val="20"/>
              </w:rPr>
              <w:t>2.0% Exchangeable Subordinated Debentures due 2029</w:t>
            </w:r>
          </w:p>
        </w:tc>
        <w:tc>
          <w:tcPr>
            <w:tcW w:w="120" w:type="dxa"/>
            <w:tcBorders/>
            <w:tcMar>
              <w:bottom w:w="0" w:type="dxa"/>
            </w:tcMar>
            <w:vAlign w:val="center"/>
          </w:tcPr>
          <w:p>
            <w:pPr>
              <w:pStyle w:val="TableContents"/>
              <w:bidi w:val="0"/>
              <w:spacing w:before="0" w:after="283"/>
              <w:jc w:val="left"/>
              <w:rPr/>
            </w:pPr>
            <w:r>
              <w:rPr/>
              <w:t> </w:t>
            </w:r>
          </w:p>
        </w:tc>
        <w:tc>
          <w:tcPr>
            <w:tcW w:w="1577" w:type="dxa"/>
            <w:tcBorders/>
            <w:tcMar>
              <w:bottom w:w="0" w:type="dxa"/>
            </w:tcMar>
            <w:vAlign w:val="center"/>
          </w:tcPr>
          <w:p>
            <w:pPr>
              <w:pStyle w:val="TableContents"/>
              <w:bidi w:val="0"/>
              <w:spacing w:before="0" w:after="283"/>
              <w:jc w:val="center"/>
              <w:rPr>
                <w:sz w:val="20"/>
              </w:rPr>
            </w:pPr>
            <w:bookmarkStart w:id="46" w:name="xdx_902_edei--TradingSymbol_c20231003__2"/>
            <w:bookmarkEnd w:id="46"/>
            <w:r>
              <w:rPr>
                <w:sz w:val="20"/>
              </w:rPr>
              <w:t>CCZ</w:t>
            </w:r>
          </w:p>
        </w:tc>
        <w:tc>
          <w:tcPr>
            <w:tcW w:w="60" w:type="dxa"/>
            <w:tcBorders/>
            <w:tcMar>
              <w:bottom w:w="0" w:type="dxa"/>
            </w:tcMar>
            <w:vAlign w:val="center"/>
          </w:tcPr>
          <w:p>
            <w:pPr>
              <w:pStyle w:val="TableContents"/>
              <w:bidi w:val="0"/>
              <w:spacing w:before="0" w:after="283"/>
              <w:jc w:val="left"/>
              <w:rPr/>
            </w:pPr>
            <w:r>
              <w:rPr/>
              <w:t> </w:t>
            </w:r>
          </w:p>
        </w:tc>
        <w:tc>
          <w:tcPr>
            <w:tcW w:w="3896" w:type="dxa"/>
            <w:tcBorders/>
            <w:tcMar>
              <w:bottom w:w="0" w:type="dxa"/>
            </w:tcMar>
            <w:vAlign w:val="center"/>
          </w:tcPr>
          <w:p>
            <w:pPr>
              <w:pStyle w:val="TableContents"/>
              <w:bidi w:val="0"/>
              <w:spacing w:before="0" w:after="283"/>
              <w:jc w:val="center"/>
              <w:rPr>
                <w:sz w:val="20"/>
              </w:rPr>
            </w:pPr>
            <w:bookmarkStart w:id="47" w:name="xdx_90E_edei--SecurityExchangeName_c2023"/>
            <w:bookmarkEnd w:id="47"/>
            <w:r>
              <w:rPr>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bookmarkStart w:id="48" w:name="xdx_90D_edei--EntityEmergingGrowthCompan"/>
      <w:bookmarkEnd w:id="48"/>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single" w:sz="8" w:space="1" w:color="000000"/>
        </w:pBdr>
        <w:bidi w:val="0"/>
        <w:jc w:val="left"/>
        <w:rPr/>
      </w:pPr>
      <w:r>
        <w:rPr/>
        <w:t> </w:t>
      </w:r>
    </w:p>
    <w:p>
      <w:pPr>
        <w:pStyle w:val="TextBody"/>
        <w:bidi w:val="0"/>
        <w:ind w:left="0" w:right="0" w:hanging="0"/>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49" w:name="xdx_90E_edei--AmendmentDescription_c2023"/>
      <w:bookmarkEnd w:id="49"/>
      <w:r>
        <w:rPr>
          <w:rFonts w:ascii="Times New Roman;Times;Serif" w:hAnsi="Times New Roman;Times;Serif"/>
          <w:b w:val="false"/>
          <w:i w:val="false"/>
          <w:caps w:val="false"/>
          <w:smallCaps w:val="false"/>
          <w:sz w:val="20"/>
        </w:rPr>
        <w:t>This Current Report on Form 8-K/A (this “Amendment”) amends the Current Report on Form 8-K filed by Comcast Corporation (the “Company”) with the Securities and Exchange Commission on October 3, 2023 (the “Original Form 8-K”). The Original Form 8-K reported the appointment of Louise F. Brady as a director of the Company, but the Board of Directors of the Company (the “Board”) had not then determined her Board committee assignments.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Item 5.02 of Form 8-K, this Amendment is being filed solely to supplement and amend the Original Form 8-K to disclose Ms. Brady’s Board committee assignments. No other disclosure in the Original Form 8-K is amended by this Amendment.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797"/>
        <w:gridCol w:w="9370"/>
      </w:tblGrid>
      <w:tr>
        <w:trPr/>
        <w:tc>
          <w:tcPr>
            <w:tcW w:w="3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b/>
              </w:rPr>
            </w:pPr>
            <w:r>
              <w:rPr>
                <w:b/>
              </w:rPr>
              <w:t>Item 5.02.</w:t>
            </w:r>
          </w:p>
        </w:tc>
        <w:tc>
          <w:tcPr>
            <w:tcW w:w="9370" w:type="dxa"/>
            <w:tcBorders/>
            <w:vAlign w:val="center"/>
          </w:tcPr>
          <w:p>
            <w:pPr>
              <w:pStyle w:val="TableContents"/>
              <w:bidi w:val="0"/>
              <w:spacing w:before="0" w:after="283"/>
              <w:jc w:val="left"/>
              <w:rPr>
                <w:b/>
              </w:rPr>
            </w:pPr>
            <w:r>
              <w:rPr>
                <w:b/>
              </w:rPr>
              <w:t>Departure of Directors or Certain Officers; Election of Directors; Appointment of Certain Officers; Compensatory Arrangements of Certain Officers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5, 2023, the Board appointed Ms. Brady to serve on the Audit Committee of the Board, effective immediately.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8900" w:type="dxa"/>
        <w:jc w:val="left"/>
        <w:tblInd w:w="0" w:type="dxa"/>
        <w:tblLayout w:type="fixed"/>
        <w:tblCellMar>
          <w:top w:w="0" w:type="dxa"/>
          <w:left w:w="0" w:type="dxa"/>
          <w:bottom w:w="0" w:type="dxa"/>
          <w:right w:w="0" w:type="dxa"/>
        </w:tblCellMar>
      </w:tblPr>
      <w:tblGrid>
        <w:gridCol w:w="470"/>
        <w:gridCol w:w="1535"/>
        <w:gridCol w:w="545"/>
        <w:gridCol w:w="6350"/>
      </w:tblGrid>
      <w:tr>
        <w:trPr/>
        <w:tc>
          <w:tcPr>
            <w:tcW w:w="2005" w:type="dxa"/>
            <w:gridSpan w:val="2"/>
            <w:tcBorders/>
            <w:vAlign w:val="center"/>
          </w:tcPr>
          <w:p>
            <w:pPr>
              <w:pStyle w:val="TableContents"/>
              <w:bidi w:val="0"/>
              <w:spacing w:before="0" w:after="283"/>
              <w:jc w:val="left"/>
              <w:rPr/>
            </w:pPr>
            <w:r>
              <w:rPr/>
              <w:t> </w:t>
            </w:r>
          </w:p>
        </w:tc>
        <w:tc>
          <w:tcPr>
            <w:tcW w:w="6895" w:type="dxa"/>
            <w:gridSpan w:val="2"/>
            <w:tcBorders/>
            <w:vAlign w:val="center"/>
          </w:tcPr>
          <w:p>
            <w:pPr>
              <w:pStyle w:val="TableContents"/>
              <w:bidi w:val="0"/>
              <w:spacing w:before="0" w:after="283"/>
              <w:jc w:val="left"/>
              <w:rPr>
                <w:b/>
                <w:sz w:val="20"/>
              </w:rPr>
            </w:pPr>
            <w:r>
              <w:rPr>
                <w:b/>
                <w:sz w:val="20"/>
              </w:rPr>
              <w:t>COMCAST CORPORATION</w:t>
            </w:r>
          </w:p>
        </w:tc>
      </w:tr>
      <w:tr>
        <w:trPr/>
        <w:tc>
          <w:tcPr>
            <w:tcW w:w="2005" w:type="dxa"/>
            <w:gridSpan w:val="2"/>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6350"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sz w:val="20"/>
              </w:rPr>
            </w:pPr>
            <w:r>
              <w:rPr>
                <w:sz w:val="20"/>
              </w:rPr>
              <w:t>Date:</w:t>
            </w:r>
          </w:p>
        </w:tc>
        <w:tc>
          <w:tcPr>
            <w:tcW w:w="1535" w:type="dxa"/>
            <w:tcBorders/>
            <w:vAlign w:val="center"/>
          </w:tcPr>
          <w:p>
            <w:pPr>
              <w:pStyle w:val="TableContents"/>
              <w:bidi w:val="0"/>
              <w:spacing w:before="0" w:after="283"/>
              <w:jc w:val="left"/>
              <w:rPr>
                <w:sz w:val="20"/>
              </w:rPr>
            </w:pPr>
            <w:r>
              <w:rPr>
                <w:sz w:val="20"/>
              </w:rPr>
              <w:t xml:space="preserve">December 6, 2023 </w:t>
            </w:r>
          </w:p>
        </w:tc>
        <w:tc>
          <w:tcPr>
            <w:tcW w:w="545" w:type="dxa"/>
            <w:tcBorders/>
            <w:vAlign w:val="center"/>
          </w:tcPr>
          <w:p>
            <w:pPr>
              <w:pStyle w:val="TableContents"/>
              <w:bidi w:val="0"/>
              <w:spacing w:before="0" w:after="283"/>
              <w:jc w:val="left"/>
              <w:rPr>
                <w:sz w:val="20"/>
              </w:rPr>
            </w:pPr>
            <w:r>
              <w:rPr>
                <w:sz w:val="20"/>
              </w:rPr>
              <w:t>By:</w:t>
            </w:r>
          </w:p>
        </w:tc>
        <w:tc>
          <w:tcPr>
            <w:tcW w:w="635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Elizabeth Wideman</w:t>
            </w:r>
          </w:p>
        </w:tc>
      </w:tr>
      <w:tr>
        <w:trPr/>
        <w:tc>
          <w:tcPr>
            <w:tcW w:w="47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6350" w:type="dxa"/>
            <w:tcBorders/>
            <w:vAlign w:val="center"/>
          </w:tcPr>
          <w:p>
            <w:pPr>
              <w:pStyle w:val="TableContents"/>
              <w:bidi w:val="0"/>
              <w:spacing w:before="0" w:after="283"/>
              <w:jc w:val="left"/>
              <w:rPr>
                <w:sz w:val="20"/>
              </w:rPr>
            </w:pPr>
            <w:r>
              <w:rPr>
                <w:sz w:val="20"/>
              </w:rPr>
              <w:t>Elizabeth Wideman</w:t>
            </w:r>
          </w:p>
        </w:tc>
      </w:tr>
      <w:tr>
        <w:trPr/>
        <w:tc>
          <w:tcPr>
            <w:tcW w:w="47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6350" w:type="dxa"/>
            <w:tcBorders/>
            <w:vAlign w:val="center"/>
          </w:tcPr>
          <w:p>
            <w:pPr>
              <w:pStyle w:val="TableContents"/>
              <w:bidi w:val="0"/>
              <w:spacing w:before="0" w:after="283"/>
              <w:jc w:val="left"/>
              <w:rPr>
                <w:sz w:val="20"/>
              </w:rPr>
            </w:pPr>
            <w:r>
              <w:rPr>
                <w:sz w:val="20"/>
              </w:rPr>
              <w:t>Senior Vice President, Senior Deputy General Counsel and Assistant Secretary</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601</Words>
  <Characters>3292</Characters>
  <CharactersWithSpaces>3895</CharactersWithSpaces>
  <Paragraphs>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