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15, 2005</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as Specified in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320" w:type="dxa"/>
        <w:tblCellMar>
          <w:top w:w="0" w:type="dxa"/>
          <w:left w:w="0" w:type="dxa"/>
          <w:bottom w:w="0" w:type="dxa"/>
          <w:right w:w="0" w:type="dxa"/>
        </w:tblCellMar>
      </w:tblPr>
      <w:tr>
        <w:trPr>
          <w:trHeight w:val="220"/>
        </w:trPr>
        <w:tc>
          <w:tcPr>
            <w:tcW w:w="45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0"/>
              </w:rPr>
              <w:t>000-50093</w:t>
            </w:r>
          </w:p>
        </w:tc>
        <w:tc>
          <w:tcPr>
            <w:tcW w:w="4080" w:type="dxa"/>
            <w:vAlign w:val="bottom"/>
          </w:tcPr>
          <w:p>
            <w:pPr>
              <w:jc w:val="right"/>
              <w:ind w:right="710"/>
              <w:spacing w:after="0"/>
              <w:rPr>
                <w:sz w:val="20"/>
                <w:szCs w:val="20"/>
                <w:color w:val="auto"/>
              </w:rPr>
            </w:pPr>
            <w:r>
              <w:rPr>
                <w:rFonts w:ascii="Arial" w:cs="Arial" w:eastAsia="Arial" w:hAnsi="Arial"/>
                <w:sz w:val="18"/>
                <w:szCs w:val="18"/>
                <w:b w:val="1"/>
                <w:bCs w:val="1"/>
                <w:color w:val="auto"/>
              </w:rPr>
              <w:t>27-0000798</w:t>
            </w:r>
          </w:p>
        </w:tc>
      </w:tr>
      <w:tr>
        <w:trPr>
          <w:trHeight w:val="230"/>
        </w:trPr>
        <w:tc>
          <w:tcPr>
            <w:tcW w:w="4560" w:type="dxa"/>
            <w:vAlign w:val="bottom"/>
          </w:tcPr>
          <w:p>
            <w:pPr>
              <w:jc w:val="center"/>
              <w:ind w:right="1530"/>
              <w:spacing w:after="0"/>
              <w:rPr>
                <w:sz w:val="20"/>
                <w:szCs w:val="20"/>
                <w:color w:val="auto"/>
              </w:rPr>
            </w:pPr>
            <w:r>
              <w:rPr>
                <w:rFonts w:ascii="Arial" w:cs="Arial" w:eastAsia="Arial" w:hAnsi="Arial"/>
                <w:sz w:val="18"/>
                <w:szCs w:val="18"/>
                <w:color w:val="auto"/>
                <w:w w:val="92"/>
              </w:rPr>
              <w:t>(Commission File Number)</w:t>
            </w:r>
          </w:p>
        </w:tc>
        <w:tc>
          <w:tcPr>
            <w:tcW w:w="4080" w:type="dxa"/>
            <w:vAlign w:val="bottom"/>
          </w:tcPr>
          <w:p>
            <w:pPr>
              <w:jc w:val="center"/>
              <w:ind w:left="15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5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4"/>
              </w:rPr>
              <w:t>1500 Market Street</w:t>
            </w:r>
          </w:p>
        </w:tc>
        <w:tc>
          <w:tcPr>
            <w:tcW w:w="4080" w:type="dxa"/>
            <w:vAlign w:val="bottom"/>
          </w:tcPr>
          <w:p>
            <w:pPr>
              <w:spacing w:after="0"/>
              <w:rPr>
                <w:sz w:val="24"/>
                <w:szCs w:val="24"/>
                <w:color w:val="auto"/>
              </w:rPr>
            </w:pPr>
          </w:p>
        </w:tc>
      </w:tr>
      <w:tr>
        <w:trPr>
          <w:trHeight w:val="220"/>
        </w:trPr>
        <w:tc>
          <w:tcPr>
            <w:tcW w:w="45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2"/>
              </w:rPr>
              <w:t>Philadelphia, PA</w:t>
            </w:r>
          </w:p>
        </w:tc>
        <w:tc>
          <w:tcPr>
            <w:tcW w:w="4080" w:type="dxa"/>
            <w:vAlign w:val="bottom"/>
          </w:tcPr>
          <w:p>
            <w:pPr>
              <w:jc w:val="right"/>
              <w:ind w:right="910"/>
              <w:spacing w:after="0"/>
              <w:rPr>
                <w:sz w:val="20"/>
                <w:szCs w:val="20"/>
                <w:color w:val="auto"/>
              </w:rPr>
            </w:pPr>
            <w:r>
              <w:rPr>
                <w:rFonts w:ascii="Arial" w:cs="Arial" w:eastAsia="Arial" w:hAnsi="Arial"/>
                <w:sz w:val="18"/>
                <w:szCs w:val="18"/>
                <w:b w:val="1"/>
                <w:bCs w:val="1"/>
                <w:color w:val="auto"/>
              </w:rPr>
              <w:t>19102</w:t>
            </w:r>
          </w:p>
        </w:tc>
      </w:tr>
      <w:tr>
        <w:trPr>
          <w:trHeight w:val="230"/>
        </w:trPr>
        <w:tc>
          <w:tcPr>
            <w:tcW w:w="4560" w:type="dxa"/>
            <w:vAlign w:val="bottom"/>
          </w:tcPr>
          <w:p>
            <w:pPr>
              <w:jc w:val="center"/>
              <w:ind w:right="1530"/>
              <w:spacing w:after="0"/>
              <w:rPr>
                <w:sz w:val="20"/>
                <w:szCs w:val="20"/>
                <w:color w:val="auto"/>
              </w:rPr>
            </w:pPr>
            <w:r>
              <w:rPr>
                <w:rFonts w:ascii="Arial" w:cs="Arial" w:eastAsia="Arial" w:hAnsi="Arial"/>
                <w:sz w:val="18"/>
                <w:szCs w:val="18"/>
                <w:color w:val="auto"/>
                <w:w w:val="92"/>
              </w:rPr>
              <w:t>(Address of Principal Executive Offices)</w:t>
            </w:r>
          </w:p>
        </w:tc>
        <w:tc>
          <w:tcPr>
            <w:tcW w:w="4080" w:type="dxa"/>
            <w:vAlign w:val="bottom"/>
          </w:tcPr>
          <w:p>
            <w:pPr>
              <w:jc w:val="center"/>
              <w:ind w:left="15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665-1700</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400" w:lineRule="exact"/>
        <w:rPr>
          <w:sz w:val="24"/>
          <w:szCs w:val="24"/>
          <w:color w:val="auto"/>
        </w:rPr>
      </w:pPr>
    </w:p>
    <w:p>
      <w:pPr>
        <w:ind w:right="4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733425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left="340" w:firstLine="684"/>
        <w:spacing w:after="0" w:line="255" w:lineRule="auto"/>
        <w:rPr>
          <w:sz w:val="20"/>
          <w:szCs w:val="20"/>
          <w:color w:val="auto"/>
        </w:rPr>
      </w:pPr>
      <w:r>
        <w:rPr>
          <w:rFonts w:ascii="Arial" w:cs="Arial" w:eastAsia="Arial" w:hAnsi="Arial"/>
          <w:sz w:val="18"/>
          <w:szCs w:val="18"/>
          <w:color w:val="auto"/>
        </w:rPr>
        <w:t>The Company hereby files the following forms of grant document which will be used to evidence a restricted stock grant made to a non-employee director under the Company’s Amended and Restated 2002 Restricted Stock Plan (the “Plan”). These forms of grant document are attached as Exhibits to this Current Report on Form 8-K and are incorporated herein by reference. These forms of grant document contain all of the material terms and conditions of any restricted stock unit grant under the Plan, other than the name of the grantee, the date of grant, the number of units subject to the grant and the vesting schedule. Restricted stock units evidenced by the form of grant document under the Plan are in all cases subject to the terms and conditions of the Plan.</w:t>
      </w:r>
    </w:p>
    <w:p>
      <w:pPr>
        <w:spacing w:after="0" w:line="15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Grant Document under the Plan:</w:t>
      </w:r>
    </w:p>
    <w:p>
      <w:pPr>
        <w:spacing w:after="0" w:line="18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Restricted Stock Unit Award for awards granted in 2005</w:t>
      </w:r>
    </w:p>
    <w:p>
      <w:pPr>
        <w:spacing w:after="0" w:line="198" w:lineRule="exact"/>
        <w:rPr>
          <w:sz w:val="24"/>
          <w:szCs w:val="24"/>
          <w:color w:val="auto"/>
        </w:rPr>
      </w:pPr>
    </w:p>
    <w:p>
      <w:pPr>
        <w:ind w:left="980"/>
        <w:spacing w:after="0"/>
        <w:rPr>
          <w:sz w:val="20"/>
          <w:szCs w:val="20"/>
          <w:color w:val="auto"/>
        </w:rPr>
      </w:pPr>
      <w:r>
        <w:rPr>
          <w:rFonts w:ascii="Arial" w:cs="Arial" w:eastAsia="Arial" w:hAnsi="Arial"/>
          <w:sz w:val="18"/>
          <w:szCs w:val="18"/>
          <w:color w:val="auto"/>
        </w:rPr>
        <w:t>Restricted Stock Unit Award for awards granted after 2005</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(c) Exhibits</w:t>
      </w:r>
    </w:p>
    <w:p>
      <w:pPr>
        <w:spacing w:after="0" w:line="200" w:lineRule="exact"/>
        <w:rPr>
          <w:sz w:val="24"/>
          <w:szCs w:val="24"/>
          <w:color w:val="auto"/>
        </w:rPr>
      </w:pPr>
    </w:p>
    <w:p>
      <w:pPr>
        <w:spacing w:after="0" w:line="210" w:lineRule="exact"/>
        <w:rPr>
          <w:sz w:val="24"/>
          <w:szCs w:val="24"/>
          <w:color w:val="auto"/>
        </w:rPr>
      </w:pPr>
    </w:p>
    <w:p>
      <w:pPr>
        <w:ind w:left="660"/>
        <w:spacing w:after="0"/>
        <w:tabs>
          <w:tab w:leader="none" w:pos="63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585" w:right="319" w:bottom="0" w:gutter="0" w:footer="0" w:header="0"/>
        </w:sectPr>
      </w:pPr>
    </w:p>
    <w:bookmarkStart w:id="1" w:name="page2"/>
    <w:bookmarkEnd w:id="1"/>
    <w:tbl>
      <w:tblPr>
        <w:tblLayout w:type="fixed"/>
        <w:tblInd w:w="660" w:type="dxa"/>
        <w:tblCellMar>
          <w:top w:w="0" w:type="dxa"/>
          <w:left w:w="0" w:type="dxa"/>
          <w:bottom w:w="0" w:type="dxa"/>
          <w:right w:w="0" w:type="dxa"/>
        </w:tblCellMar>
      </w:tblPr>
      <w:tr>
        <w:trPr>
          <w:trHeight w:val="216"/>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10.1</w:t>
            </w:r>
          </w:p>
        </w:tc>
        <w:tc>
          <w:tcPr>
            <w:tcW w:w="9200" w:type="dxa"/>
            <w:vAlign w:val="bottom"/>
          </w:tcPr>
          <w:p>
            <w:pPr>
              <w:ind w:left="620"/>
              <w:spacing w:after="0"/>
              <w:rPr>
                <w:sz w:val="20"/>
                <w:szCs w:val="20"/>
                <w:color w:val="auto"/>
              </w:rPr>
            </w:pPr>
            <w:r>
              <w:rPr>
                <w:rFonts w:ascii="Arial" w:cs="Arial" w:eastAsia="Arial" w:hAnsi="Arial"/>
                <w:sz w:val="18"/>
                <w:szCs w:val="18"/>
                <w:color w:val="auto"/>
                <w:w w:val="89"/>
              </w:rPr>
              <w:t>Form of grant document under the Comcast Corporation Amended and Restated 2002 Restricted Stock Plan for awards</w:t>
            </w:r>
          </w:p>
        </w:tc>
      </w:tr>
      <w:tr>
        <w:trPr>
          <w:trHeight w:val="230"/>
        </w:trPr>
        <w:tc>
          <w:tcPr>
            <w:tcW w:w="940" w:type="dxa"/>
            <w:vAlign w:val="bottom"/>
          </w:tcPr>
          <w:p>
            <w:pPr>
              <w:spacing w:after="0"/>
              <w:rPr>
                <w:sz w:val="20"/>
                <w:szCs w:val="20"/>
                <w:color w:val="auto"/>
              </w:rPr>
            </w:pPr>
          </w:p>
        </w:tc>
        <w:tc>
          <w:tcPr>
            <w:tcW w:w="9200" w:type="dxa"/>
            <w:vAlign w:val="bottom"/>
          </w:tcPr>
          <w:p>
            <w:pPr>
              <w:ind w:left="620"/>
              <w:spacing w:after="0"/>
              <w:rPr>
                <w:sz w:val="20"/>
                <w:szCs w:val="20"/>
                <w:color w:val="auto"/>
              </w:rPr>
            </w:pPr>
            <w:r>
              <w:rPr>
                <w:rFonts w:ascii="Arial" w:cs="Arial" w:eastAsia="Arial" w:hAnsi="Arial"/>
                <w:sz w:val="18"/>
                <w:szCs w:val="18"/>
                <w:color w:val="auto"/>
              </w:rPr>
              <w:t>granted in 2005.</w:t>
            </w:r>
          </w:p>
        </w:tc>
      </w:tr>
      <w:tr>
        <w:trPr>
          <w:trHeight w:val="418"/>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10.2</w:t>
            </w:r>
          </w:p>
        </w:tc>
        <w:tc>
          <w:tcPr>
            <w:tcW w:w="9200" w:type="dxa"/>
            <w:vAlign w:val="bottom"/>
          </w:tcPr>
          <w:p>
            <w:pPr>
              <w:ind w:left="620"/>
              <w:spacing w:after="0"/>
              <w:rPr>
                <w:sz w:val="20"/>
                <w:szCs w:val="20"/>
                <w:color w:val="auto"/>
              </w:rPr>
            </w:pPr>
            <w:r>
              <w:rPr>
                <w:rFonts w:ascii="Arial" w:cs="Arial" w:eastAsia="Arial" w:hAnsi="Arial"/>
                <w:sz w:val="18"/>
                <w:szCs w:val="18"/>
                <w:color w:val="auto"/>
                <w:w w:val="89"/>
              </w:rPr>
              <w:t>Form of grant document under the Comcast Corporation Amended and Restated 2002 Restricted Stock Plan for awards</w:t>
            </w:r>
          </w:p>
        </w:tc>
      </w:tr>
      <w:tr>
        <w:trPr>
          <w:trHeight w:val="230"/>
        </w:trPr>
        <w:tc>
          <w:tcPr>
            <w:tcW w:w="940" w:type="dxa"/>
            <w:vAlign w:val="bottom"/>
          </w:tcPr>
          <w:p>
            <w:pPr>
              <w:spacing w:after="0"/>
              <w:rPr>
                <w:sz w:val="20"/>
                <w:szCs w:val="20"/>
                <w:color w:val="auto"/>
              </w:rPr>
            </w:pPr>
          </w:p>
        </w:tc>
        <w:tc>
          <w:tcPr>
            <w:tcW w:w="9200" w:type="dxa"/>
            <w:vAlign w:val="bottom"/>
          </w:tcPr>
          <w:p>
            <w:pPr>
              <w:ind w:left="620"/>
              <w:spacing w:after="0"/>
              <w:rPr>
                <w:sz w:val="20"/>
                <w:szCs w:val="20"/>
                <w:color w:val="auto"/>
              </w:rPr>
            </w:pPr>
            <w:r>
              <w:rPr>
                <w:rFonts w:ascii="Arial" w:cs="Arial" w:eastAsia="Arial" w:hAnsi="Arial"/>
                <w:sz w:val="18"/>
                <w:szCs w:val="18"/>
                <w:color w:val="auto"/>
              </w:rPr>
              <w:t>granted after 2005.</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520" w:type="dxa"/>
            <w:vAlign w:val="bottom"/>
            <w:gridSpan w:val="3"/>
          </w:tcPr>
          <w:p>
            <w:pPr>
              <w:ind w:left="1540"/>
              <w:spacing w:after="0"/>
              <w:rPr>
                <w:sz w:val="20"/>
                <w:szCs w:val="20"/>
                <w:color w:val="auto"/>
              </w:rPr>
            </w:pPr>
            <w:r>
              <w:rPr>
                <w:rFonts w:ascii="Arial" w:cs="Arial" w:eastAsia="Arial" w:hAnsi="Arial"/>
                <w:sz w:val="18"/>
                <w:szCs w:val="18"/>
                <w:color w:val="auto"/>
              </w:rPr>
              <w:t>COMCAST CORPORATION</w:t>
            </w:r>
          </w:p>
        </w:tc>
        <w:tc>
          <w:tcPr>
            <w:tcW w:w="20" w:type="dxa"/>
            <w:vAlign w:val="bottom"/>
          </w:tcPr>
          <w:p>
            <w:pPr>
              <w:spacing w:after="0"/>
              <w:rPr>
                <w:sz w:val="20"/>
                <w:szCs w:val="20"/>
                <w:color w:val="auto"/>
              </w:rPr>
            </w:pPr>
          </w:p>
        </w:tc>
      </w:tr>
      <w:tr>
        <w:trPr>
          <w:trHeight w:val="432"/>
        </w:trPr>
        <w:tc>
          <w:tcPr>
            <w:tcW w:w="680" w:type="dxa"/>
            <w:vAlign w:val="bottom"/>
          </w:tcPr>
          <w:p>
            <w:pPr>
              <w:ind w:left="20"/>
              <w:spacing w:after="0"/>
              <w:rPr>
                <w:sz w:val="20"/>
                <w:szCs w:val="20"/>
                <w:color w:val="auto"/>
              </w:rPr>
            </w:pPr>
            <w:r>
              <w:rPr>
                <w:rFonts w:ascii="Arial" w:cs="Arial" w:eastAsia="Arial" w:hAnsi="Arial"/>
                <w:sz w:val="18"/>
                <w:szCs w:val="18"/>
                <w:color w:val="auto"/>
              </w:rPr>
              <w:t>Date:</w:t>
            </w:r>
          </w:p>
        </w:tc>
        <w:tc>
          <w:tcPr>
            <w:tcW w:w="3220" w:type="dxa"/>
            <w:vAlign w:val="bottom"/>
          </w:tcPr>
          <w:p>
            <w:pPr>
              <w:ind w:left="260"/>
              <w:spacing w:after="0"/>
              <w:rPr>
                <w:sz w:val="20"/>
                <w:szCs w:val="20"/>
                <w:color w:val="auto"/>
              </w:rPr>
            </w:pPr>
            <w:r>
              <w:rPr>
                <w:rFonts w:ascii="Arial" w:cs="Arial" w:eastAsia="Arial" w:hAnsi="Arial"/>
                <w:sz w:val="18"/>
                <w:szCs w:val="18"/>
                <w:color w:val="auto"/>
              </w:rPr>
              <w:t>November 15, 2005</w:t>
            </w:r>
          </w:p>
        </w:tc>
        <w:tc>
          <w:tcPr>
            <w:tcW w:w="7520" w:type="dxa"/>
            <w:vAlign w:val="bottom"/>
            <w:gridSpan w:val="3"/>
          </w:tcPr>
          <w:p>
            <w:pPr>
              <w:ind w:left="1540"/>
              <w:spacing w:after="0"/>
              <w:rPr>
                <w:sz w:val="20"/>
                <w:szCs w:val="20"/>
                <w:color w:val="auto"/>
              </w:rPr>
            </w:pPr>
            <w:r>
              <w:rPr>
                <w:rFonts w:ascii="Arial" w:cs="Arial" w:eastAsia="Arial" w:hAnsi="Arial"/>
                <w:sz w:val="18"/>
                <w:szCs w:val="18"/>
                <w:color w:val="auto"/>
              </w:rPr>
              <w:t>By:   /s/ Arthur R. Block</w:t>
            </w:r>
          </w:p>
        </w:tc>
        <w:tc>
          <w:tcPr>
            <w:tcW w:w="20" w:type="dxa"/>
            <w:vAlign w:val="bottom"/>
          </w:tcPr>
          <w:p>
            <w:pPr>
              <w:spacing w:after="0"/>
              <w:rPr>
                <w:sz w:val="24"/>
                <w:szCs w:val="24"/>
                <w:color w:val="auto"/>
              </w:rPr>
            </w:pPr>
          </w:p>
        </w:tc>
      </w:tr>
      <w:tr>
        <w:trPr>
          <w:trHeight w:val="195"/>
        </w:trPr>
        <w:tc>
          <w:tcPr>
            <w:tcW w:w="6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Arthur R. Block</w:t>
            </w:r>
          </w:p>
        </w:tc>
        <w:tc>
          <w:tcPr>
            <w:tcW w:w="20" w:type="dxa"/>
            <w:vAlign w:val="bottom"/>
          </w:tcPr>
          <w:p>
            <w:pPr>
              <w:spacing w:after="0"/>
              <w:rPr>
                <w:sz w:val="16"/>
                <w:szCs w:val="16"/>
                <w:color w:val="auto"/>
              </w:rPr>
            </w:pPr>
          </w:p>
        </w:tc>
      </w:tr>
      <w:tr>
        <w:trPr>
          <w:trHeight w:val="216"/>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ind w:left="200"/>
              <w:spacing w:after="0"/>
              <w:rPr>
                <w:sz w:val="20"/>
                <w:szCs w:val="20"/>
                <w:color w:val="auto"/>
              </w:rPr>
            </w:pPr>
            <w:r>
              <w:rPr>
                <w:rFonts w:ascii="Arial" w:cs="Arial" w:eastAsia="Arial" w:hAnsi="Arial"/>
                <w:sz w:val="18"/>
                <w:szCs w:val="18"/>
                <w:color w:val="auto"/>
              </w:rPr>
              <w:t>Senior Vice President, General Counsel</w:t>
            </w:r>
          </w:p>
        </w:tc>
        <w:tc>
          <w:tcPr>
            <w:tcW w:w="2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and Secretary</w:t>
            </w:r>
          </w:p>
        </w:tc>
        <w:tc>
          <w:tcPr>
            <w:tcW w:w="20" w:type="dxa"/>
            <w:vAlign w:val="bottom"/>
          </w:tcPr>
          <w:p>
            <w:pPr>
              <w:spacing w:after="0"/>
              <w:rPr>
                <w:sz w:val="20"/>
                <w:szCs w:val="20"/>
                <w:color w:val="auto"/>
              </w:rPr>
            </w:pPr>
          </w:p>
        </w:tc>
      </w:tr>
      <w:tr>
        <w:trPr>
          <w:trHeight w:val="648"/>
        </w:trPr>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8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680" w:type="dxa"/>
            <w:vAlign w:val="bottom"/>
            <w:tcBorders>
              <w:bottom w:val="single" w:sz="8" w:color="808080"/>
            </w:tcBorders>
          </w:tcPr>
          <w:p>
            <w:pPr>
              <w:spacing w:after="0"/>
              <w:rPr>
                <w:sz w:val="7"/>
                <w:szCs w:val="7"/>
                <w:color w:val="auto"/>
              </w:rPr>
            </w:pPr>
          </w:p>
        </w:tc>
        <w:tc>
          <w:tcPr>
            <w:tcW w:w="3220" w:type="dxa"/>
            <w:vAlign w:val="bottom"/>
            <w:tcBorders>
              <w:bottom w:val="single" w:sz="8" w:color="808080"/>
            </w:tcBorders>
          </w:tcPr>
          <w:p>
            <w:pPr>
              <w:spacing w:after="0"/>
              <w:rPr>
                <w:sz w:val="7"/>
                <w:szCs w:val="7"/>
                <w:color w:val="auto"/>
              </w:rPr>
            </w:pPr>
          </w:p>
        </w:tc>
        <w:tc>
          <w:tcPr>
            <w:tcW w:w="208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47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10360" w:val="left"/>
        </w:tabs>
        <w:rPr>
          <w:sz w:val="20"/>
          <w:szCs w:val="20"/>
          <w:color w:val="auto"/>
        </w:rPr>
      </w:pPr>
      <w:r>
        <w:rPr>
          <w:rFonts w:ascii="Arial" w:cs="Arial" w:eastAsia="Arial" w:hAnsi="Arial"/>
          <w:sz w:val="18"/>
          <w:szCs w:val="18"/>
          <w:color w:val="auto"/>
        </w:rPr>
        <w:t>This is a Restricted Stock Award dated November 20, 2005 from Comcast Corporation (the “Company”) to</w:t>
      </w:r>
      <w:r>
        <w:rPr>
          <w:sz w:val="20"/>
          <w:szCs w:val="20"/>
          <w:color w:val="auto"/>
        </w:rPr>
        <w:tab/>
      </w:r>
      <w:r>
        <w:rPr>
          <w:rFonts w:ascii="Arial" w:cs="Arial" w:eastAsia="Arial" w:hAnsi="Arial"/>
          <w:sz w:val="16"/>
          <w:szCs w:val="16"/>
          <w:color w:val="auto"/>
        </w:rPr>
        <w:t>(the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11" w:lineRule="exact"/>
        <w:rPr>
          <w:sz w:val="20"/>
          <w:szCs w:val="20"/>
          <w:color w:val="auto"/>
        </w:rPr>
      </w:pPr>
    </w:p>
    <w:p>
      <w:pPr>
        <w:ind w:left="1660" w:hanging="355"/>
        <w:spacing w:after="0"/>
        <w:tabs>
          <w:tab w:leader="none" w:pos="166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are defined below or, if not defined below, have the meanings given to them in the Plan.</w:t>
      </w:r>
    </w:p>
    <w:p>
      <w:pPr>
        <w:spacing w:after="0" w:line="248" w:lineRule="exact"/>
        <w:rPr>
          <w:rFonts w:ascii="Arial" w:cs="Arial" w:eastAsia="Arial" w:hAnsi="Arial"/>
          <w:sz w:val="16"/>
          <w:szCs w:val="16"/>
          <w:color w:val="auto"/>
        </w:rPr>
      </w:pPr>
    </w:p>
    <w:p>
      <w:pPr>
        <w:ind w:right="100" w:firstLine="1953"/>
        <w:spacing w:after="0" w:line="259" w:lineRule="auto"/>
        <w:tabs>
          <w:tab w:leader="none" w:pos="2295"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an unfunded bookkeeping account established pursuant to Paragraph 4.d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86" w:lineRule="exact"/>
        <w:rPr>
          <w:rFonts w:ascii="Arial" w:cs="Arial" w:eastAsia="Arial" w:hAnsi="Arial"/>
          <w:sz w:val="18"/>
          <w:szCs w:val="18"/>
          <w:color w:val="auto"/>
        </w:rPr>
      </w:pPr>
    </w:p>
    <w:p>
      <w:pPr>
        <w:ind w:left="2320" w:hanging="367"/>
        <w:spacing w:after="0"/>
        <w:tabs>
          <w:tab w:leader="none" w:pos="2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hereby granted.</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2320" w:hanging="367"/>
        <w:spacing w:after="0"/>
        <w:tabs>
          <w:tab w:leader="none" w:pos="2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225" w:lineRule="exact"/>
        <w:rPr>
          <w:rFonts w:ascii="Arial" w:cs="Arial" w:eastAsia="Arial" w:hAnsi="Arial"/>
          <w:sz w:val="18"/>
          <w:szCs w:val="18"/>
          <w:color w:val="auto"/>
        </w:rPr>
      </w:pPr>
    </w:p>
    <w:p>
      <w:pPr>
        <w:ind w:left="2320" w:hanging="367"/>
        <w:spacing w:after="0"/>
        <w:tabs>
          <w:tab w:leader="none" w:pos="2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first set forth above, on which the Company awarded the Restricted Stock.</w:t>
      </w:r>
    </w:p>
    <w:p>
      <w:pPr>
        <w:spacing w:after="0" w:line="225" w:lineRule="exact"/>
        <w:rPr>
          <w:rFonts w:ascii="Arial" w:cs="Arial" w:eastAsia="Arial" w:hAnsi="Arial"/>
          <w:sz w:val="18"/>
          <w:szCs w:val="18"/>
          <w:color w:val="auto"/>
        </w:rPr>
      </w:pPr>
    </w:p>
    <w:p>
      <w:pPr>
        <w:ind w:left="2320" w:hanging="367"/>
        <w:spacing w:after="0"/>
        <w:tabs>
          <w:tab w:leader="none" w:pos="2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225" w:lineRule="exact"/>
        <w:rPr>
          <w:rFonts w:ascii="Arial" w:cs="Arial" w:eastAsia="Arial" w:hAnsi="Arial"/>
          <w:sz w:val="18"/>
          <w:szCs w:val="18"/>
          <w:color w:val="auto"/>
        </w:rPr>
      </w:pPr>
    </w:p>
    <w:p>
      <w:pPr>
        <w:ind w:left="2320" w:hanging="367"/>
        <w:spacing w:after="0"/>
        <w:tabs>
          <w:tab w:leader="none" w:pos="2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2940" w:hanging="339"/>
        <w:spacing w:after="0"/>
        <w:tabs>
          <w:tab w:leader="none" w:pos="2940" w:val="left"/>
        </w:tabs>
        <w:numPr>
          <w:ilvl w:val="2"/>
          <w:numId w:val="2"/>
        </w:numPr>
        <w:rPr>
          <w:rFonts w:ascii="Arial" w:cs="Arial" w:eastAsia="Arial" w:hAnsi="Arial"/>
          <w:sz w:val="18"/>
          <w:szCs w:val="18"/>
          <w:color w:val="auto"/>
        </w:rPr>
      </w:pPr>
      <w:r>
        <w:rPr>
          <w:rFonts w:ascii="Arial" w:cs="Arial" w:eastAsia="Arial" w:hAnsi="Arial"/>
          <w:sz w:val="18"/>
          <w:szCs w:val="18"/>
          <w:color w:val="auto"/>
        </w:rPr>
        <w:t>Grantee, if Grantee’s service on the Board is terminated by reason of Disability; or</w:t>
      </w:r>
    </w:p>
    <w:p>
      <w:pPr>
        <w:spacing w:after="0" w:line="225" w:lineRule="exact"/>
        <w:rPr>
          <w:rFonts w:ascii="Arial" w:cs="Arial" w:eastAsia="Arial" w:hAnsi="Arial"/>
          <w:sz w:val="18"/>
          <w:szCs w:val="18"/>
          <w:color w:val="auto"/>
        </w:rPr>
      </w:pPr>
    </w:p>
    <w:p>
      <w:pPr>
        <w:ind w:left="2940" w:hanging="339"/>
        <w:spacing w:after="0"/>
        <w:tabs>
          <w:tab w:leader="none" w:pos="2940" w:val="left"/>
        </w:tabs>
        <w:numPr>
          <w:ilvl w:val="2"/>
          <w:numId w:val="2"/>
        </w:numPr>
        <w:rPr>
          <w:rFonts w:ascii="Arial" w:cs="Arial" w:eastAsia="Arial" w:hAnsi="Arial"/>
          <w:sz w:val="17"/>
          <w:szCs w:val="17"/>
          <w:color w:val="auto"/>
        </w:rPr>
      </w:pPr>
      <w:r>
        <w:rPr>
          <w:rFonts w:ascii="Arial" w:cs="Arial" w:eastAsia="Arial" w:hAnsi="Arial"/>
          <w:sz w:val="17"/>
          <w:szCs w:val="17"/>
          <w:color w:val="auto"/>
        </w:rPr>
        <w:t>Grantee’s duly-appointed legal guardian following Grantee’s termination of service on the Board by reason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Disability, acting on Grantee’s behalf.</w:t>
      </w:r>
    </w:p>
    <w:p>
      <w:pPr>
        <w:spacing w:after="0" w:line="210" w:lineRule="exact"/>
        <w:rPr>
          <w:rFonts w:ascii="Arial" w:cs="Arial" w:eastAsia="Arial" w:hAnsi="Arial"/>
          <w:sz w:val="17"/>
          <w:szCs w:val="17"/>
          <w:color w:val="auto"/>
        </w:rPr>
      </w:pPr>
    </w:p>
    <w:p>
      <w:pPr>
        <w:ind w:right="20" w:firstLine="1953"/>
        <w:spacing w:after="0" w:line="277" w:lineRule="auto"/>
        <w:tabs>
          <w:tab w:leader="none" w:pos="231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service that is treated by the Board as a retirement under its policies and practices as in effect from time to time.</w:t>
      </w:r>
    </w:p>
    <w:p>
      <w:pPr>
        <w:spacing w:after="0" w:line="170" w:lineRule="exact"/>
        <w:rPr>
          <w:rFonts w:ascii="Arial" w:cs="Arial" w:eastAsia="Arial" w:hAnsi="Arial"/>
          <w:sz w:val="18"/>
          <w:szCs w:val="18"/>
          <w:color w:val="auto"/>
        </w:rPr>
      </w:pPr>
    </w:p>
    <w:p>
      <w:pPr>
        <w:ind w:left="2320" w:hanging="367"/>
        <w:spacing w:after="0"/>
        <w:tabs>
          <w:tab w:leader="none" w:pos="2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225" w:lineRule="exact"/>
        <w:rPr>
          <w:rFonts w:ascii="Arial" w:cs="Arial" w:eastAsia="Arial" w:hAnsi="Arial"/>
          <w:sz w:val="18"/>
          <w:szCs w:val="18"/>
          <w:color w:val="auto"/>
        </w:rPr>
      </w:pPr>
    </w:p>
    <w:p>
      <w:pPr>
        <w:ind w:left="2320" w:hanging="367"/>
        <w:spacing w:after="0"/>
        <w:tabs>
          <w:tab w:leader="none" w:pos="2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Grantee, following Grantee’s termination of service pursuant to a Normal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320" w:hanging="367"/>
        <w:spacing w:after="0"/>
        <w:tabs>
          <w:tab w:leader="none" w:pos="2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225" w:lineRule="exact"/>
        <w:rPr>
          <w:rFonts w:ascii="Arial" w:cs="Arial" w:eastAsia="Arial" w:hAnsi="Arial"/>
          <w:sz w:val="18"/>
          <w:szCs w:val="18"/>
          <w:color w:val="auto"/>
        </w:rPr>
      </w:pPr>
    </w:p>
    <w:p>
      <w:pPr>
        <w:ind w:left="2320" w:hanging="367"/>
        <w:spacing w:after="0"/>
        <w:tabs>
          <w:tab w:leader="none" w:pos="2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the Company’s Class A Common Stock, par value $.01 per share.</w:t>
      </w:r>
    </w:p>
    <w:p>
      <w:pPr>
        <w:spacing w:after="0" w:line="225" w:lineRule="exact"/>
        <w:rPr>
          <w:rFonts w:ascii="Arial" w:cs="Arial" w:eastAsia="Arial" w:hAnsi="Arial"/>
          <w:sz w:val="18"/>
          <w:szCs w:val="18"/>
          <w:color w:val="auto"/>
        </w:rPr>
      </w:pPr>
    </w:p>
    <w:p>
      <w:pPr>
        <w:ind w:left="2320" w:hanging="367"/>
        <w:spacing w:after="0"/>
        <w:tabs>
          <w:tab w:leader="none" w:pos="2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Vesting Date</w:t>
      </w:r>
      <w:r>
        <w:rPr>
          <w:rFonts w:ascii="Arial" w:cs="Arial" w:eastAsia="Arial" w:hAnsi="Arial"/>
          <w:sz w:val="17"/>
          <w:szCs w:val="17"/>
          <w:color w:val="auto"/>
        </w:rPr>
        <w:t>” means the date(s) on which Grantee vests in all or a portion of the Shares, as provided in Paragraph 3.</w:t>
      </w:r>
    </w:p>
    <w:p>
      <w:pPr>
        <w:spacing w:after="0" w:line="236" w:lineRule="exact"/>
        <w:rPr>
          <w:rFonts w:ascii="Arial" w:cs="Arial" w:eastAsia="Arial" w:hAnsi="Arial"/>
          <w:sz w:val="17"/>
          <w:szCs w:val="17"/>
          <w:color w:val="auto"/>
        </w:rPr>
      </w:pPr>
    </w:p>
    <w:p>
      <w:pPr>
        <w:ind w:left="2320" w:hanging="367"/>
        <w:spacing w:after="0"/>
        <w:tabs>
          <w:tab w:leader="none" w:pos="2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660" w:hanging="355"/>
        <w:spacing w:after="0"/>
        <w:tabs>
          <w:tab w:leader="none" w:pos="166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w:t>
      </w:r>
      <w:r>
        <w:rPr>
          <w:rFonts w:ascii="Arial" w:cs="Arial" w:eastAsia="Arial" w:hAnsi="Arial"/>
          <w:sz w:val="16"/>
          <w:szCs w:val="16"/>
          <w:color w:val="auto"/>
        </w:rPr>
        <w:t>. Subject to the terms and conditions set forth herein and in the Plan, the Company hereby grants to Grantee</w:t>
      </w:r>
    </w:p>
    <w:p>
      <w:pPr>
        <w:spacing w:after="0" w:line="46" w:lineRule="exact"/>
        <w:rPr>
          <w:sz w:val="20"/>
          <w:szCs w:val="20"/>
          <w:color w:val="auto"/>
        </w:rPr>
      </w:pPr>
    </w:p>
    <w:p>
      <w:pPr>
        <w:ind w:left="1060" w:hanging="105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Shares.</w:t>
      </w:r>
    </w:p>
    <w:p>
      <w:pPr>
        <w:spacing w:after="0" w:line="210" w:lineRule="exact"/>
        <w:rPr>
          <w:rFonts w:ascii="Arial" w:cs="Arial" w:eastAsia="Arial" w:hAnsi="Arial"/>
          <w:sz w:val="18"/>
          <w:szCs w:val="18"/>
          <w:color w:val="auto"/>
        </w:rPr>
      </w:pPr>
    </w:p>
    <w:p>
      <w:pPr>
        <w:ind w:right="600" w:firstLine="1305"/>
        <w:spacing w:after="0" w:line="342" w:lineRule="auto"/>
        <w:tabs>
          <w:tab w:leader="none" w:pos="1971"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 Subject to the terms and conditions set forth herein and in the Plan, Grantee shall be fully and immediately vested in the Shares on the Date of Grant and, except as otherwise provided in Paragraph 4, shall be entitled to the delivery of Shares.</w:t>
      </w:r>
    </w:p>
    <w:p>
      <w:pPr>
        <w:spacing w:after="0" w:line="123" w:lineRule="exact"/>
        <w:rPr>
          <w:rFonts w:ascii="Arial" w:cs="Arial" w:eastAsia="Arial" w:hAnsi="Arial"/>
          <w:sz w:val="16"/>
          <w:szCs w:val="16"/>
          <w:color w:val="auto"/>
        </w:rPr>
      </w:pPr>
    </w:p>
    <w:p>
      <w:pPr>
        <w:ind w:left="1660" w:hanging="355"/>
        <w:spacing w:after="0"/>
        <w:tabs>
          <w:tab w:leader="none" w:pos="166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Grantee may elect to defer the receipt of Shares otherwise issuable under this Award, consistent, however, with the following:</w:t>
      </w:r>
    </w:p>
    <w:p>
      <w:pPr>
        <w:spacing w:after="0" w:line="225" w:lineRule="exact"/>
        <w:rPr>
          <w:sz w:val="20"/>
          <w:szCs w:val="20"/>
          <w:color w:val="auto"/>
        </w:rPr>
      </w:pPr>
    </w:p>
    <w:p>
      <w:pPr>
        <w:ind w:left="2300" w:hanging="347"/>
        <w:spacing w:after="0"/>
        <w:tabs>
          <w:tab w:leader="none" w:pos="2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2601"/>
        <w:spacing w:after="0" w:line="308" w:lineRule="auto"/>
        <w:tabs>
          <w:tab w:leader="none" w:pos="2938"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Initial Election</w:t>
      </w:r>
      <w:r>
        <w:rPr>
          <w:rFonts w:ascii="Arial" w:cs="Arial" w:eastAsia="Arial" w:hAnsi="Arial"/>
          <w:sz w:val="17"/>
          <w:szCs w:val="17"/>
          <w:color w:val="auto"/>
        </w:rPr>
        <w:t>. Grantee shall have the right to make an Initial Election to defer the receipt of all or a portion of the Shares hereby granted by filing an Initial Election to defer the receipt of such Shares on the form provided by the Committee for this purpose.</w:t>
      </w:r>
    </w:p>
    <w:p>
      <w:pPr>
        <w:spacing w:after="0" w:line="146" w:lineRule="exact"/>
        <w:rPr>
          <w:rFonts w:ascii="Arial" w:cs="Arial" w:eastAsia="Arial" w:hAnsi="Arial"/>
          <w:sz w:val="17"/>
          <w:szCs w:val="17"/>
          <w:color w:val="auto"/>
        </w:rPr>
      </w:pPr>
    </w:p>
    <w:p>
      <w:pPr>
        <w:ind w:left="2940" w:hanging="339"/>
        <w:spacing w:after="0"/>
        <w:tabs>
          <w:tab w:leader="none" w:pos="294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Deadline for Deferral Election</w:t>
      </w:r>
      <w:r>
        <w:rPr>
          <w:rFonts w:ascii="Arial" w:cs="Arial" w:eastAsia="Arial" w:hAnsi="Arial"/>
          <w:sz w:val="16"/>
          <w:szCs w:val="16"/>
          <w:color w:val="auto"/>
        </w:rPr>
        <w:t>. An Initial Election to defer the receipt of Shares hereby granted shall not be effective</w:t>
      </w:r>
    </w:p>
    <w:p>
      <w:pPr>
        <w:spacing w:after="0" w:line="46" w:lineRule="exact"/>
        <w:rPr>
          <w:sz w:val="20"/>
          <w:szCs w:val="20"/>
          <w:color w:val="auto"/>
        </w:rPr>
      </w:pPr>
    </w:p>
    <w:p>
      <w:pPr>
        <w:ind w:right="860"/>
        <w:spacing w:after="0" w:line="205" w:lineRule="auto"/>
        <w:rPr>
          <w:sz w:val="20"/>
          <w:szCs w:val="20"/>
          <w:color w:val="auto"/>
        </w:rPr>
      </w:pPr>
      <w:r>
        <w:rPr>
          <w:rFonts w:ascii="Arial" w:cs="Arial" w:eastAsia="Arial" w:hAnsi="Arial"/>
          <w:sz w:val="18"/>
          <w:szCs w:val="18"/>
          <w:color w:val="auto"/>
        </w:rPr>
        <w:t>unless it is filed with the Committee on or before the close of business on the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following approval of the amendments to the Plan to permit participation by the Company’s Non-Employee Directors in the Plan.</w:t>
      </w:r>
    </w:p>
    <w:p>
      <w:pPr>
        <w:sectPr>
          <w:pgSz w:w="11900" w:h="16838" w:orient="portrait"/>
          <w:cols w:equalWidth="0" w:num="1">
            <w:col w:w="11420"/>
          </w:cols>
          <w:pgMar w:left="240" w:top="121" w:right="239" w:bottom="50" w:gutter="0" w:footer="0" w:header="0"/>
        </w:sectPr>
      </w:pPr>
    </w:p>
    <w:bookmarkStart w:id="3" w:name="page4"/>
    <w:bookmarkEnd w:id="3"/>
    <w:p>
      <w:pPr>
        <w:spacing w:after="0" w:line="110" w:lineRule="exact"/>
        <w:rPr>
          <w:sz w:val="20"/>
          <w:szCs w:val="20"/>
          <w:color w:val="auto"/>
        </w:rPr>
      </w:pPr>
    </w:p>
    <w:p>
      <w:pPr>
        <w:ind w:right="220" w:firstLine="2601"/>
        <w:spacing w:after="0" w:line="259" w:lineRule="auto"/>
        <w:tabs>
          <w:tab w:leader="none" w:pos="293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Subject to Paragraph 4.b, all Shares issuable hereunder shall be delivered to Grantee without any legend or restrictions (except those that may be imposed by the Committee, in its sole judgment, under Paragraph 6), on the date designated by Grantee, which shall not be earlier than January 2 of the third calendar year beginning after the Date of Grant, nor later than January 2 of the eleventh calendar year beginning after the Date of Grant.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00" w:firstLine="1953"/>
        <w:spacing w:after="0" w:line="277" w:lineRule="auto"/>
        <w:tabs>
          <w:tab w:leader="none" w:pos="230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Subsequent Elections/Acceleration Elections</w:t>
      </w:r>
      <w:r>
        <w:rPr>
          <w:rFonts w:ascii="Arial" w:cs="Arial" w:eastAsia="Arial" w:hAnsi="Arial"/>
          <w:sz w:val="18"/>
          <w:szCs w:val="18"/>
          <w:color w:val="auto"/>
        </w:rPr>
        <w:t>. No Subsequent Election shall be effective until 12 months after the date on which a Subsequent Election is filed with the Committee.</w:t>
      </w:r>
    </w:p>
    <w:p>
      <w:pPr>
        <w:spacing w:after="0" w:line="170" w:lineRule="exact"/>
        <w:rPr>
          <w:rFonts w:ascii="Arial" w:cs="Arial" w:eastAsia="Arial" w:hAnsi="Arial"/>
          <w:sz w:val="18"/>
          <w:szCs w:val="18"/>
          <w:color w:val="auto"/>
        </w:rPr>
      </w:pPr>
    </w:p>
    <w:p>
      <w:pPr>
        <w:jc w:val="both"/>
        <w:ind w:right="140" w:firstLine="2601"/>
        <w:spacing w:after="0" w:line="279" w:lineRule="auto"/>
        <w:tabs>
          <w:tab w:leader="none" w:pos="2938" w:val="left"/>
        </w:tabs>
        <w:numPr>
          <w:ilvl w:val="1"/>
          <w:numId w:val="8"/>
        </w:numPr>
        <w:rPr>
          <w:rFonts w:ascii="Arial" w:cs="Arial" w:eastAsia="Arial" w:hAnsi="Arial"/>
          <w:sz w:val="17"/>
          <w:szCs w:val="17"/>
          <w:color w:val="auto"/>
        </w:rPr>
      </w:pPr>
      <w:r>
        <w:rPr>
          <w:rFonts w:ascii="Arial" w:cs="Arial" w:eastAsia="Arial" w:hAnsi="Arial"/>
          <w:sz w:val="17"/>
          <w:szCs w:val="17"/>
          <w:color w:val="auto"/>
        </w:rPr>
        <w:t>If Grantee makes an Initial Election, or pursuant to this Paragraph 5.b(1) makes a Subsequent Election, to defer the distribution date for Shares issuable with respect to some or all of the Shares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71" w:lineRule="exact"/>
        <w:rPr>
          <w:rFonts w:ascii="Arial" w:cs="Arial" w:eastAsia="Arial" w:hAnsi="Arial"/>
          <w:sz w:val="17"/>
          <w:szCs w:val="17"/>
          <w:color w:val="auto"/>
        </w:rPr>
      </w:pPr>
    </w:p>
    <w:p>
      <w:pPr>
        <w:jc w:val="both"/>
        <w:ind w:right="300" w:firstLine="2601"/>
        <w:spacing w:after="0" w:line="302" w:lineRule="auto"/>
        <w:tabs>
          <w:tab w:leader="none" w:pos="2938"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Grantee dies before Shares subject to an Initial Election under Paragraph 5.a are to be delivered, the estate or beneficiary to whom the right to delivery of such Shares shall have passed may make a Subsequent Election to defer receipt of all or any portion of such Shares for five additional years from the date delivery of Shares would otherwise by made, provided that such Subsequent Election must be filed with the Committee at least one year before the date on which the distribution would otherwise be made, as reflected on Grantee’s last Election.</w:t>
      </w:r>
    </w:p>
    <w:p>
      <w:pPr>
        <w:spacing w:after="0" w:line="154" w:lineRule="exact"/>
        <w:rPr>
          <w:rFonts w:ascii="Arial" w:cs="Arial" w:eastAsia="Arial" w:hAnsi="Arial"/>
          <w:sz w:val="16"/>
          <w:szCs w:val="16"/>
          <w:color w:val="auto"/>
        </w:rPr>
      </w:pPr>
    </w:p>
    <w:p>
      <w:pPr>
        <w:ind w:firstLine="2601"/>
        <w:spacing w:after="0" w:line="312" w:lineRule="auto"/>
        <w:tabs>
          <w:tab w:leader="none" w:pos="2938" w:val="left"/>
        </w:tabs>
        <w:numPr>
          <w:ilvl w:val="1"/>
          <w:numId w:val="8"/>
        </w:numPr>
        <w:rPr>
          <w:rFonts w:ascii="Arial" w:cs="Arial" w:eastAsia="Arial" w:hAnsi="Arial"/>
          <w:sz w:val="16"/>
          <w:szCs w:val="16"/>
          <w:color w:val="auto"/>
        </w:rPr>
      </w:pPr>
      <w:r>
        <w:rPr>
          <w:rFonts w:ascii="Arial" w:cs="Arial" w:eastAsia="Arial" w:hAnsi="Arial"/>
          <w:sz w:val="16"/>
          <w:szCs w:val="16"/>
          <w:color w:val="auto"/>
        </w:rPr>
        <w:t>In lieu of a Subsequent Election described in Paragraph 5.b(2), the estate or beneficiary to whom the right to delivery of Shares shall have passed may, as soon as practicable following the Grantee’s death, make an Acceleration Election to accelerate the delivery date of such Shares from the date delivery of such Shares would otherwise be made to a date that is as soon as practicable following the Grantee’s death.</w:t>
      </w:r>
    </w:p>
    <w:p>
      <w:pPr>
        <w:spacing w:after="0" w:line="146" w:lineRule="exact"/>
        <w:rPr>
          <w:rFonts w:ascii="Arial" w:cs="Arial" w:eastAsia="Arial" w:hAnsi="Arial"/>
          <w:sz w:val="16"/>
          <w:szCs w:val="16"/>
          <w:color w:val="auto"/>
        </w:rPr>
      </w:pPr>
    </w:p>
    <w:p>
      <w:pPr>
        <w:ind w:right="20" w:firstLine="2601"/>
        <w:spacing w:after="0" w:line="312" w:lineRule="auto"/>
        <w:tabs>
          <w:tab w:leader="none" w:pos="2938"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Grantee becomes a Disabled Grantee before the Shares subject to an Initial Election under Paragraph 4.a are to be delivered, Grantee may, as soon as practicable following the date on which Grantee becomes a Disabled Grantee, elect to accelerate the distribution date of such Shares from the date payment would otherwise be made to a date that is as soon as practicable following the date the Disabled Grantee became disabled.</w:t>
      </w:r>
    </w:p>
    <w:p>
      <w:pPr>
        <w:spacing w:after="0" w:line="146" w:lineRule="exact"/>
        <w:rPr>
          <w:rFonts w:ascii="Arial" w:cs="Arial" w:eastAsia="Arial" w:hAnsi="Arial"/>
          <w:sz w:val="16"/>
          <w:szCs w:val="16"/>
          <w:color w:val="auto"/>
        </w:rPr>
      </w:pPr>
    </w:p>
    <w:p>
      <w:pPr>
        <w:ind w:firstLine="2601"/>
        <w:spacing w:after="0" w:line="312" w:lineRule="auto"/>
        <w:tabs>
          <w:tab w:leader="none" w:pos="2938"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Grantee becomes a Retired Grantee before Shares subject to an Initial Election under Paragraph 4.a are to be delivered, Grantee may make a Subsequent Election to defer all or any portion of such Shares for five additional years from the date delivery of Shares would otherwise be made. Such a Subsequent Election must be filed with the at least one year before the date on which the distribution would otherwise be made.</w:t>
      </w:r>
    </w:p>
    <w:p>
      <w:pPr>
        <w:spacing w:after="0" w:line="146" w:lineRule="exact"/>
        <w:rPr>
          <w:rFonts w:ascii="Arial" w:cs="Arial" w:eastAsia="Arial" w:hAnsi="Arial"/>
          <w:sz w:val="16"/>
          <w:szCs w:val="16"/>
          <w:color w:val="auto"/>
        </w:rPr>
      </w:pPr>
    </w:p>
    <w:p>
      <w:pPr>
        <w:ind w:right="120" w:firstLine="1953"/>
        <w:spacing w:after="0" w:line="277" w:lineRule="auto"/>
        <w:tabs>
          <w:tab w:leader="none" w:pos="229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As provided in the Plan and as described in the prospectus for the Plan, a Grantee with an Account may be eligible to make a Diversification Election on an election form supplied by the Committee for this purpose.</w:t>
      </w:r>
    </w:p>
    <w:p>
      <w:pPr>
        <w:spacing w:after="0" w:line="170" w:lineRule="exact"/>
        <w:rPr>
          <w:rFonts w:ascii="Arial" w:cs="Arial" w:eastAsia="Arial" w:hAnsi="Arial"/>
          <w:sz w:val="18"/>
          <w:szCs w:val="18"/>
          <w:color w:val="auto"/>
        </w:rPr>
      </w:pPr>
    </w:p>
    <w:p>
      <w:pPr>
        <w:ind w:right="20" w:firstLine="1953"/>
        <w:spacing w:after="0" w:line="312" w:lineRule="auto"/>
        <w:tabs>
          <w:tab w:leader="none" w:pos="230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Book Accounts</w:t>
      </w:r>
      <w:r>
        <w:rPr>
          <w:rFonts w:ascii="Arial" w:cs="Arial" w:eastAsia="Arial" w:hAnsi="Arial"/>
          <w:sz w:val="16"/>
          <w:szCs w:val="16"/>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Diversification Election, then to the extent an Account is deemed invested in the Income Fund, the Committee shall credit earnings with respect to such Account at the Applicable Interest Rate.</w:t>
      </w:r>
    </w:p>
    <w:p>
      <w:pPr>
        <w:spacing w:after="0" w:line="170" w:lineRule="exact"/>
        <w:rPr>
          <w:sz w:val="20"/>
          <w:szCs w:val="20"/>
          <w:color w:val="auto"/>
        </w:rPr>
      </w:pPr>
    </w:p>
    <w:p>
      <w:pPr>
        <w:ind w:right="60" w:firstLine="1953"/>
        <w:spacing w:after="0" w:line="255" w:lineRule="auto"/>
        <w:tabs>
          <w:tab w:leader="none" w:pos="2295"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93" w:lineRule="exact"/>
        <w:rPr>
          <w:rFonts w:ascii="Arial" w:cs="Arial" w:eastAsia="Arial" w:hAnsi="Arial"/>
          <w:sz w:val="18"/>
          <w:szCs w:val="18"/>
          <w:color w:val="auto"/>
        </w:rPr>
      </w:pPr>
    </w:p>
    <w:p>
      <w:pPr>
        <w:ind w:right="180" w:firstLine="1953"/>
        <w:spacing w:after="0" w:line="312" w:lineRule="auto"/>
        <w:tabs>
          <w:tab w:leader="none" w:pos="2320"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xml:space="preserve"> The right of Grantee to receive Shares subject to an Election under this Paragraph 4,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46" w:lineRule="exact"/>
        <w:rPr>
          <w:rFonts w:ascii="Arial" w:cs="Arial" w:eastAsia="Arial" w:hAnsi="Arial"/>
          <w:sz w:val="16"/>
          <w:szCs w:val="16"/>
          <w:color w:val="auto"/>
        </w:rPr>
      </w:pPr>
    </w:p>
    <w:p>
      <w:pPr>
        <w:ind w:firstLine="1305"/>
        <w:spacing w:after="0" w:line="264" w:lineRule="auto"/>
        <w:tabs>
          <w:tab w:leader="none" w:pos="165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81" w:lineRule="exact"/>
        <w:rPr>
          <w:rFonts w:ascii="Arial" w:cs="Arial" w:eastAsia="Arial" w:hAnsi="Arial"/>
          <w:sz w:val="18"/>
          <w:szCs w:val="18"/>
          <w:color w:val="auto"/>
        </w:rPr>
      </w:pPr>
    </w:p>
    <w:p>
      <w:pPr>
        <w:ind w:right="160" w:firstLine="1305"/>
        <w:spacing w:after="0" w:line="342" w:lineRule="auto"/>
        <w:tabs>
          <w:tab w:leader="none" w:pos="165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Securities Laws</w:t>
      </w:r>
      <w:r>
        <w:rPr>
          <w:rFonts w:ascii="Arial" w:cs="Arial" w:eastAsia="Arial" w:hAnsi="Arial"/>
          <w:sz w:val="16"/>
          <w:szCs w:val="16"/>
          <w:color w:val="auto"/>
        </w:rPr>
        <w:t>. The Committee may from time to time impose any conditions on the Shares as it deems necessary or advisable to ensure that the Plan satisfies the conditions of Rule 16b-3, and that Shares are issued and resold in compliance with the Securities Act of 1933, as amended.</w:t>
      </w:r>
    </w:p>
    <w:p>
      <w:pPr>
        <w:spacing w:after="0" w:line="123" w:lineRule="exact"/>
        <w:rPr>
          <w:rFonts w:ascii="Arial" w:cs="Arial" w:eastAsia="Arial" w:hAnsi="Arial"/>
          <w:sz w:val="16"/>
          <w:szCs w:val="16"/>
          <w:color w:val="auto"/>
        </w:rPr>
      </w:pPr>
    </w:p>
    <w:p>
      <w:pPr>
        <w:ind w:right="140" w:firstLine="1305"/>
        <w:spacing w:after="0" w:line="342" w:lineRule="auto"/>
        <w:tabs>
          <w:tab w:leader="none" w:pos="165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Except as otherwise provided in Paragraph 4, within ten (10) business days of the Date of Grant, the Company shall, without payment from Grantee, deliver to Grantee a certificate for the Shares without any legend or restrictions, except for such restrictions as may be</w:t>
      </w:r>
    </w:p>
    <w:p>
      <w:pPr>
        <w:sectPr>
          <w:pgSz w:w="11900" w:h="16948" w:orient="portrait"/>
          <w:cols w:equalWidth="0" w:num="1">
            <w:col w:w="11380"/>
          </w:cols>
          <w:pgMar w:left="240" w:top="125" w:right="279" w:bottom="0" w:gutter="0" w:footer="0" w:header="0"/>
        </w:sectPr>
      </w:pPr>
    </w:p>
    <w:bookmarkStart w:id="4" w:name="page5"/>
    <w:bookmarkEnd w:id="4"/>
    <w:p>
      <w:pPr>
        <w:ind w:right="160"/>
        <w:spacing w:after="0" w:line="276" w:lineRule="auto"/>
        <w:rPr>
          <w:sz w:val="20"/>
          <w:szCs w:val="20"/>
          <w:color w:val="auto"/>
        </w:rPr>
      </w:pPr>
      <w:r>
        <w:rPr>
          <w:rFonts w:ascii="Arial" w:cs="Arial" w:eastAsia="Arial" w:hAnsi="Arial"/>
          <w:sz w:val="17"/>
          <w:szCs w:val="17"/>
          <w:color w:val="auto"/>
        </w:rPr>
        <w:t>imposed by the Committee, in its sole judgment, under Paragraph 6, provided that no certificates for Shares will be delivered to Grantee until appropriate arrangements have been made for the withholding of any taxes which may be due with respect to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173" w:lineRule="exact"/>
        <w:rPr>
          <w:sz w:val="20"/>
          <w:szCs w:val="20"/>
          <w:color w:val="auto"/>
        </w:rPr>
      </w:pPr>
    </w:p>
    <w:p>
      <w:pPr>
        <w:ind w:right="520" w:firstLine="1305"/>
        <w:spacing w:after="0" w:line="277" w:lineRule="auto"/>
        <w:tabs>
          <w:tab w:leader="none" w:pos="165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Award Not to Affect Service</w:t>
      </w:r>
      <w:r>
        <w:rPr>
          <w:rFonts w:ascii="Arial" w:cs="Arial" w:eastAsia="Arial" w:hAnsi="Arial"/>
          <w:sz w:val="18"/>
          <w:szCs w:val="18"/>
          <w:color w:val="auto"/>
        </w:rPr>
        <w:t>. The Award granted hereunder shall not confer upon Grantee any right to continue in service to the Company as a director or to the Company or any subsidiary or affiliate of the Company in any other capacity.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60" w:hanging="355"/>
        <w:spacing w:after="0"/>
        <w:tabs>
          <w:tab w:leader="none" w:pos="1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953"/>
        <w:spacing w:after="0" w:line="286" w:lineRule="auto"/>
        <w:tabs>
          <w:tab w:leader="none" w:pos="2295"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165" w:lineRule="exact"/>
        <w:rPr>
          <w:rFonts w:ascii="Arial" w:cs="Arial" w:eastAsia="Arial" w:hAnsi="Arial"/>
          <w:sz w:val="17"/>
          <w:szCs w:val="17"/>
          <w:color w:val="auto"/>
        </w:rPr>
      </w:pPr>
    </w:p>
    <w:p>
      <w:pPr>
        <w:ind w:right="220" w:firstLine="1953"/>
        <w:spacing w:after="0" w:line="277" w:lineRule="auto"/>
        <w:tabs>
          <w:tab w:leader="none" w:pos="23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70" w:lineRule="exact"/>
        <w:rPr>
          <w:rFonts w:ascii="Arial" w:cs="Arial" w:eastAsia="Arial" w:hAnsi="Arial"/>
          <w:sz w:val="18"/>
          <w:szCs w:val="18"/>
          <w:color w:val="auto"/>
        </w:rPr>
      </w:pPr>
    </w:p>
    <w:p>
      <w:pPr>
        <w:ind w:right="500" w:firstLine="1953"/>
        <w:spacing w:after="0" w:line="277" w:lineRule="auto"/>
        <w:tabs>
          <w:tab w:leader="none" w:pos="2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17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ind w:left="544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Lawrence S. Smith</w:t>
            </w:r>
          </w:p>
        </w:tc>
        <w:tc>
          <w:tcPr>
            <w:tcW w:w="20" w:type="dxa"/>
            <w:vAlign w:val="bottom"/>
          </w:tcPr>
          <w:p>
            <w:pPr>
              <w:spacing w:after="0"/>
              <w:rPr>
                <w:sz w:val="20"/>
                <w:szCs w:val="20"/>
                <w:color w:val="auto"/>
              </w:rPr>
            </w:pPr>
          </w:p>
        </w:tc>
      </w:tr>
      <w:tr>
        <w:trPr>
          <w:trHeight w:val="224"/>
        </w:trPr>
        <w:tc>
          <w:tcPr>
            <w:tcW w:w="66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Lawrence S. Smith</w:t>
            </w:r>
          </w:p>
        </w:tc>
        <w:tc>
          <w:tcPr>
            <w:tcW w:w="20" w:type="dxa"/>
            <w:vAlign w:val="bottom"/>
          </w:tcPr>
          <w:p>
            <w:pPr>
              <w:spacing w:after="0"/>
              <w:rPr>
                <w:sz w:val="19"/>
                <w:szCs w:val="19"/>
                <w:color w:val="auto"/>
              </w:rPr>
            </w:pPr>
          </w:p>
        </w:tc>
      </w:tr>
      <w:tr>
        <w:trPr>
          <w:trHeight w:val="634"/>
        </w:trPr>
        <w:tc>
          <w:tcPr>
            <w:tcW w:w="6620" w:type="dxa"/>
            <w:vAlign w:val="bottom"/>
          </w:tcPr>
          <w:p>
            <w:pPr>
              <w:ind w:left="5440"/>
              <w:spacing w:after="0"/>
              <w:rPr>
                <w:sz w:val="20"/>
                <w:szCs w:val="20"/>
                <w:color w:val="auto"/>
              </w:rPr>
            </w:pPr>
            <w:r>
              <w:rPr>
                <w:rFonts w:ascii="Arial" w:cs="Arial" w:eastAsia="Arial" w:hAnsi="Arial"/>
                <w:sz w:val="18"/>
                <w:szCs w:val="18"/>
                <w:color w:val="auto"/>
              </w:rPr>
              <w:t>ATTEST:</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Arthur R. Block</w:t>
            </w:r>
          </w:p>
        </w:tc>
        <w:tc>
          <w:tcPr>
            <w:tcW w:w="20" w:type="dxa"/>
            <w:vAlign w:val="bottom"/>
          </w:tcPr>
          <w:p>
            <w:pPr>
              <w:spacing w:after="0"/>
              <w:rPr>
                <w:sz w:val="24"/>
                <w:szCs w:val="24"/>
                <w:color w:val="auto"/>
              </w:rPr>
            </w:pPr>
          </w:p>
        </w:tc>
      </w:tr>
      <w:tr>
        <w:trPr>
          <w:trHeight w:val="224"/>
        </w:trPr>
        <w:tc>
          <w:tcPr>
            <w:tcW w:w="66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Arthur R. Block</w:t>
            </w:r>
          </w:p>
        </w:tc>
        <w:tc>
          <w:tcPr>
            <w:tcW w:w="20" w:type="dxa"/>
            <w:vAlign w:val="bottom"/>
          </w:tcPr>
          <w:p>
            <w:pPr>
              <w:spacing w:after="0"/>
              <w:rPr>
                <w:sz w:val="19"/>
                <w:szCs w:val="19"/>
                <w:color w:val="auto"/>
              </w:rPr>
            </w:pPr>
          </w:p>
        </w:tc>
      </w:tr>
      <w:tr>
        <w:trPr>
          <w:trHeight w:val="634"/>
        </w:trPr>
        <w:tc>
          <w:tcPr>
            <w:tcW w:w="6620" w:type="dxa"/>
            <w:vAlign w:val="bottom"/>
          </w:tcPr>
          <w:p>
            <w:pPr>
              <w:jc w:val="right"/>
              <w:ind w:right="770"/>
              <w:spacing w:after="0"/>
              <w:rPr>
                <w:sz w:val="20"/>
                <w:szCs w:val="20"/>
                <w:color w:val="auto"/>
              </w:rPr>
            </w:pPr>
            <w:r>
              <w:rPr>
                <w:rFonts w:ascii="Arial" w:cs="Arial" w:eastAsia="Arial" w:hAnsi="Arial"/>
                <w:sz w:val="18"/>
                <w:szCs w:val="18"/>
                <w:color w:val="auto"/>
              </w:rPr>
              <w:t>5</w:t>
            </w: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6620" w:type="dxa"/>
            <w:vAlign w:val="bottom"/>
            <w:tcBorders>
              <w:bottom w:val="single" w:sz="8" w:color="808080"/>
            </w:tcBorders>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10440" w:val="left"/>
        </w:tabs>
        <w:rPr>
          <w:sz w:val="20"/>
          <w:szCs w:val="20"/>
          <w:color w:val="auto"/>
        </w:rPr>
      </w:pPr>
      <w:r>
        <w:rPr>
          <w:rFonts w:ascii="Arial" w:cs="Arial" w:eastAsia="Arial" w:hAnsi="Arial"/>
          <w:sz w:val="18"/>
          <w:szCs w:val="18"/>
          <w:color w:val="auto"/>
        </w:rPr>
        <w:t>This is a Restricted Stock Award dated November 20, 200__ from Comcast Corporation (the “Company”) to</w:t>
      </w:r>
      <w:r>
        <w:rPr>
          <w:sz w:val="20"/>
          <w:szCs w:val="20"/>
          <w:color w:val="auto"/>
        </w:rPr>
        <w:tab/>
      </w:r>
      <w:r>
        <w:rPr>
          <w:rFonts w:ascii="Arial" w:cs="Arial" w:eastAsia="Arial" w:hAnsi="Arial"/>
          <w:sz w:val="16"/>
          <w:szCs w:val="16"/>
          <w:color w:val="auto"/>
        </w:rPr>
        <w:t>(the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11" w:lineRule="exact"/>
        <w:rPr>
          <w:sz w:val="20"/>
          <w:szCs w:val="20"/>
          <w:color w:val="auto"/>
        </w:rPr>
      </w:pPr>
    </w:p>
    <w:p>
      <w:pPr>
        <w:ind w:left="2020" w:hanging="715"/>
        <w:spacing w:after="0"/>
        <w:tabs>
          <w:tab w:leader="none" w:pos="202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herein are defined below or, if not defined below, have the meanings given to them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right="320" w:firstLine="1953"/>
        <w:spacing w:after="0" w:line="259" w:lineRule="auto"/>
        <w:tabs>
          <w:tab w:leader="none" w:pos="2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an unfunded bookkeeping account established pursuant to Paragraph 4.d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86" w:lineRule="exact"/>
        <w:rPr>
          <w:rFonts w:ascii="Arial" w:cs="Arial" w:eastAsia="Arial" w:hAnsi="Arial"/>
          <w:sz w:val="18"/>
          <w:szCs w:val="18"/>
          <w:color w:val="auto"/>
        </w:rPr>
      </w:pPr>
    </w:p>
    <w:p>
      <w:pPr>
        <w:ind w:left="2680" w:hanging="727"/>
        <w:spacing w:after="0"/>
        <w:tabs>
          <w:tab w:leader="none" w:pos="2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hereby granted.</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first set forth above, on which the Company awarded the Restricted Stock.</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Grantee, if Grantee’s service on the Board is terminated by reason of Disability; or</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Grantee’s duly-appointed legal guardian following Grantee’s termination of service on the Board by reason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Disability, acting on Grantee’s behalf.</w:t>
      </w:r>
    </w:p>
    <w:p>
      <w:pPr>
        <w:spacing w:after="0" w:line="210" w:lineRule="exact"/>
        <w:rPr>
          <w:rFonts w:ascii="Arial" w:cs="Arial" w:eastAsia="Arial" w:hAnsi="Arial"/>
          <w:sz w:val="16"/>
          <w:szCs w:val="16"/>
          <w:color w:val="auto"/>
        </w:rPr>
      </w:pPr>
    </w:p>
    <w:p>
      <w:pPr>
        <w:ind w:right="560" w:firstLine="1953"/>
        <w:spacing w:after="0" w:line="277" w:lineRule="auto"/>
        <w:tabs>
          <w:tab w:leader="none" w:pos="26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service that is treated by the Board as a retirement under its policies and practices as in effect from time to time.</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680" w:hanging="727"/>
        <w:spacing w:after="0"/>
        <w:tabs>
          <w:tab w:leader="none" w:pos="26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Retired Grantee</w:t>
      </w:r>
      <w:r>
        <w:rPr>
          <w:rFonts w:ascii="Arial" w:cs="Arial" w:eastAsia="Arial" w:hAnsi="Arial"/>
          <w:sz w:val="17"/>
          <w:szCs w:val="17"/>
          <w:color w:val="auto"/>
        </w:rPr>
        <w:t>” means Grantee, following Grantee’s termination of service pursuant to a Normal Retirement.</w:t>
      </w:r>
    </w:p>
    <w:p>
      <w:pPr>
        <w:spacing w:after="0" w:line="236" w:lineRule="exact"/>
        <w:rPr>
          <w:rFonts w:ascii="Arial" w:cs="Arial" w:eastAsia="Arial" w:hAnsi="Arial"/>
          <w:sz w:val="17"/>
          <w:szCs w:val="17"/>
          <w:color w:val="auto"/>
        </w:rPr>
      </w:pPr>
    </w:p>
    <w:p>
      <w:pPr>
        <w:ind w:left="2680" w:hanging="727"/>
        <w:spacing w:after="0"/>
        <w:tabs>
          <w:tab w:leader="none" w:pos="2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the Company’s Class A Common Stock, par value $.01 per share.</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the date(s) on which Grantee vests in all or a portion of the Shares, as provided in Paragraph 3.</w:t>
      </w:r>
    </w:p>
    <w:p>
      <w:pPr>
        <w:spacing w:after="0" w:line="248" w:lineRule="exact"/>
        <w:rPr>
          <w:rFonts w:ascii="Arial" w:cs="Arial" w:eastAsia="Arial" w:hAnsi="Arial"/>
          <w:sz w:val="16"/>
          <w:szCs w:val="16"/>
          <w:color w:val="auto"/>
        </w:rPr>
      </w:pPr>
    </w:p>
    <w:p>
      <w:pPr>
        <w:ind w:left="2680" w:hanging="727"/>
        <w:spacing w:after="0"/>
        <w:tabs>
          <w:tab w:leader="none" w:pos="2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380" w:firstLine="1305"/>
        <w:spacing w:after="0" w:line="277" w:lineRule="auto"/>
        <w:tabs>
          <w:tab w:leader="none" w:pos="201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conditions set forth herein and in the Plan, the Company hereby grants to Grantee [___________] Shares.</w:t>
      </w:r>
    </w:p>
    <w:p>
      <w:pPr>
        <w:spacing w:after="0" w:line="170" w:lineRule="exact"/>
        <w:rPr>
          <w:rFonts w:ascii="Arial" w:cs="Arial" w:eastAsia="Arial" w:hAnsi="Arial"/>
          <w:sz w:val="18"/>
          <w:szCs w:val="18"/>
          <w:color w:val="auto"/>
        </w:rPr>
      </w:pPr>
    </w:p>
    <w:p>
      <w:pPr>
        <w:ind w:right="600" w:firstLine="1305"/>
        <w:spacing w:after="0" w:line="342" w:lineRule="auto"/>
        <w:tabs>
          <w:tab w:leader="none" w:pos="1971"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 Subject to the terms and conditions set forth herein and in the Plan, Grantee shall be fully and immediately vested in the Shares on the Date of Grant and, except as otherwise provided in Paragraph 4, shall be entitled to the delivery of Shares.</w:t>
      </w:r>
    </w:p>
    <w:p>
      <w:pPr>
        <w:spacing w:after="0" w:line="123" w:lineRule="exact"/>
        <w:rPr>
          <w:rFonts w:ascii="Arial" w:cs="Arial" w:eastAsia="Arial" w:hAnsi="Arial"/>
          <w:sz w:val="16"/>
          <w:szCs w:val="16"/>
          <w:color w:val="auto"/>
        </w:rPr>
      </w:pPr>
    </w:p>
    <w:p>
      <w:pPr>
        <w:ind w:left="2020" w:hanging="715"/>
        <w:spacing w:after="0"/>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Grantee may elect to defer the receipt of Shares otherwise issuable under this Award, consistent, however, with the following:</w:t>
      </w:r>
    </w:p>
    <w:p>
      <w:pPr>
        <w:spacing w:after="0" w:line="225" w:lineRule="exact"/>
        <w:rPr>
          <w:sz w:val="20"/>
          <w:szCs w:val="20"/>
          <w:color w:val="auto"/>
        </w:rPr>
      </w:pPr>
    </w:p>
    <w:p>
      <w:pPr>
        <w:ind w:left="2660" w:hanging="707"/>
        <w:spacing w:after="0"/>
        <w:tabs>
          <w:tab w:leader="none" w:pos="26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2601"/>
        <w:spacing w:after="0" w:line="308" w:lineRule="auto"/>
        <w:tabs>
          <w:tab w:leader="none" w:pos="3298"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Initial Election</w:t>
      </w:r>
      <w:r>
        <w:rPr>
          <w:rFonts w:ascii="Arial" w:cs="Arial" w:eastAsia="Arial" w:hAnsi="Arial"/>
          <w:sz w:val="17"/>
          <w:szCs w:val="17"/>
          <w:color w:val="auto"/>
        </w:rPr>
        <w:t>. Grantee shall have the right to make an Initial Election to defer the receipt of all or a portion of the Shares hereby granted by filing an Initial Election to defer the receipt of such Shares on the form provided by the Committee for this purpose.</w:t>
      </w:r>
    </w:p>
    <w:p>
      <w:pPr>
        <w:spacing w:after="0" w:line="146" w:lineRule="exact"/>
        <w:rPr>
          <w:rFonts w:ascii="Arial" w:cs="Arial" w:eastAsia="Arial" w:hAnsi="Arial"/>
          <w:sz w:val="17"/>
          <w:szCs w:val="17"/>
          <w:color w:val="auto"/>
        </w:rPr>
      </w:pPr>
    </w:p>
    <w:p>
      <w:pPr>
        <w:ind w:right="340" w:firstLine="2601"/>
        <w:spacing w:after="0" w:line="277" w:lineRule="auto"/>
        <w:tabs>
          <w:tab w:leader="none" w:pos="3298"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Deadline for Deferral Election</w:t>
      </w:r>
      <w:r>
        <w:rPr>
          <w:rFonts w:ascii="Arial" w:cs="Arial" w:eastAsia="Arial" w:hAnsi="Arial"/>
          <w:sz w:val="18"/>
          <w:szCs w:val="18"/>
          <w:color w:val="auto"/>
        </w:rPr>
        <w:t>. An Initial Election to defer the receipt of Shares hereby granted shall not be effective unless it is filed with the Committee on or before December 31, 200__</w:t>
      </w:r>
    </w:p>
    <w:p>
      <w:pPr>
        <w:sectPr>
          <w:pgSz w:w="11900" w:h="16838" w:orient="portrait"/>
          <w:cols w:equalWidth="0" w:num="1">
            <w:col w:w="11420"/>
          </w:cols>
          <w:pgMar w:left="240" w:top="121" w:right="239" w:bottom="58" w:gutter="0" w:footer="0" w:header="0"/>
        </w:sectPr>
      </w:pPr>
    </w:p>
    <w:bookmarkStart w:id="6" w:name="page7"/>
    <w:bookmarkEnd w:id="6"/>
    <w:p>
      <w:pPr>
        <w:spacing w:after="0" w:line="110" w:lineRule="exact"/>
        <w:rPr>
          <w:sz w:val="20"/>
          <w:szCs w:val="20"/>
          <w:color w:val="auto"/>
        </w:rPr>
      </w:pPr>
    </w:p>
    <w:p>
      <w:pPr>
        <w:jc w:val="both"/>
        <w:ind w:right="140" w:firstLine="2601"/>
        <w:spacing w:after="0" w:line="259" w:lineRule="auto"/>
        <w:tabs>
          <w:tab w:leader="none" w:pos="329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Subject to Paragraph 4.b, all Shares issuable hereunder shall be delivered to Grantee without any legend or restrictions (except those that may be imposed by the Committee, in its sole judgment, under Paragraph 6), on the date designated by Grantee, which shall not be earlier than January 2 of the third calendar year beginning after the Date of Grant, nor later than January 2 of the eleventh calendar year beginning after the Date of Grant.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firstLine="1953"/>
        <w:spacing w:after="0" w:line="277" w:lineRule="auto"/>
        <w:tabs>
          <w:tab w:leader="none" w:pos="266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Subsequent Elections/Acceleration Elections</w:t>
      </w:r>
      <w:r>
        <w:rPr>
          <w:rFonts w:ascii="Arial" w:cs="Arial" w:eastAsia="Arial" w:hAnsi="Arial"/>
          <w:sz w:val="18"/>
          <w:szCs w:val="18"/>
          <w:color w:val="auto"/>
        </w:rPr>
        <w:t>. No Subsequent Election shall be effective until 12 months after the date on which a Subsequent Election is filed with the Committee.</w:t>
      </w:r>
    </w:p>
    <w:p>
      <w:pPr>
        <w:spacing w:after="0" w:line="170" w:lineRule="exact"/>
        <w:rPr>
          <w:rFonts w:ascii="Arial" w:cs="Arial" w:eastAsia="Arial" w:hAnsi="Arial"/>
          <w:sz w:val="18"/>
          <w:szCs w:val="18"/>
          <w:color w:val="auto"/>
        </w:rPr>
      </w:pPr>
    </w:p>
    <w:p>
      <w:pPr>
        <w:ind w:right="80" w:firstLine="2601"/>
        <w:spacing w:after="0" w:line="279" w:lineRule="auto"/>
        <w:tabs>
          <w:tab w:leader="none" w:pos="3298"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Grantee makes an Initial Election, or pursuant to this Paragraph 5.b(1) makes a Subsequent Election, to defer the distribution date for Shares issuable with respect to some or all of the Shares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71" w:lineRule="exact"/>
        <w:rPr>
          <w:rFonts w:ascii="Arial" w:cs="Arial" w:eastAsia="Arial" w:hAnsi="Arial"/>
          <w:sz w:val="17"/>
          <w:szCs w:val="17"/>
          <w:color w:val="auto"/>
        </w:rPr>
      </w:pPr>
    </w:p>
    <w:p>
      <w:pPr>
        <w:ind w:right="100" w:firstLine="2601"/>
        <w:spacing w:after="0" w:line="302" w:lineRule="auto"/>
        <w:tabs>
          <w:tab w:leader="none" w:pos="3298"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Grantee dies before Shares subject to an Initial Election under Paragraph 5.a are to be delivered, the estate or beneficiary to whom the right to delivery of such Shares shall have passed may make a Subsequent Election to defer receipt of all or any portion of such Shares for five additional years from the date delivery of Shares would otherwise by made, provided that such Subsequent Election must be filed with the Committee at least one year before the date on which the distribution would otherwise be made, as reflected on Grantee’s last Election.</w:t>
      </w:r>
    </w:p>
    <w:p>
      <w:pPr>
        <w:spacing w:after="0" w:line="154" w:lineRule="exact"/>
        <w:rPr>
          <w:rFonts w:ascii="Arial" w:cs="Arial" w:eastAsia="Arial" w:hAnsi="Arial"/>
          <w:sz w:val="16"/>
          <w:szCs w:val="16"/>
          <w:color w:val="auto"/>
        </w:rPr>
      </w:pPr>
    </w:p>
    <w:p>
      <w:pPr>
        <w:ind w:right="120" w:firstLine="2601"/>
        <w:spacing w:after="0" w:line="312" w:lineRule="auto"/>
        <w:tabs>
          <w:tab w:leader="none" w:pos="3298"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 lieu of a Subsequent Election described in Paragraph 5.b(2), the estate or beneficiary to whom the right to delivery of Shares shall have passed may, as soon as practicable following the Grantee’s death, make an Acceleration Election to accelerate the delivery date of such Shares from the date delivery of such Shares would otherwise be made to a date that is as soon as practicable following the Grantee’s death.</w:t>
      </w:r>
    </w:p>
    <w:p>
      <w:pPr>
        <w:spacing w:after="0" w:line="146" w:lineRule="exact"/>
        <w:rPr>
          <w:rFonts w:ascii="Arial" w:cs="Arial" w:eastAsia="Arial" w:hAnsi="Arial"/>
          <w:sz w:val="16"/>
          <w:szCs w:val="16"/>
          <w:color w:val="auto"/>
        </w:rPr>
      </w:pPr>
    </w:p>
    <w:p>
      <w:pPr>
        <w:ind w:right="20" w:firstLine="2601"/>
        <w:spacing w:after="0" w:line="259" w:lineRule="auto"/>
        <w:tabs>
          <w:tab w:leader="none" w:pos="32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Grantee becomes a Disabled Grantee before the Shares subject to an Initial Election under Paragraph 4.a are to be delivered, Grantee may, as soon as practicable following the date on which Grantee becomes a Disabled Grantee, elect to accelerate the distribution date of such Shares from the date payment would otherwise be made to a date that is as soon as practicable following the date the Disabled Grantee became disabled.</w:t>
      </w:r>
    </w:p>
    <w:p>
      <w:pPr>
        <w:spacing w:after="0" w:line="186" w:lineRule="exact"/>
        <w:rPr>
          <w:rFonts w:ascii="Arial" w:cs="Arial" w:eastAsia="Arial" w:hAnsi="Arial"/>
          <w:sz w:val="18"/>
          <w:szCs w:val="18"/>
          <w:color w:val="auto"/>
        </w:rPr>
      </w:pPr>
    </w:p>
    <w:p>
      <w:pPr>
        <w:ind w:right="20" w:firstLine="2601"/>
        <w:spacing w:after="0" w:line="312" w:lineRule="auto"/>
        <w:tabs>
          <w:tab w:leader="none" w:pos="3298"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Grantee becomes a Retired Grantee before Shares subject to an Initial Election under Paragraph 4.a are to be delivered, Grantee may make a Subsequent Election to defer all or any portion of such Shares for five additional years from the date delivery of Shares would otherwise be made. Such a Subsequent Election must be filed with the at least one year before the date on which the distribution would otherwise be made.</w:t>
      </w:r>
    </w:p>
    <w:p>
      <w:pPr>
        <w:spacing w:after="0" w:line="146" w:lineRule="exact"/>
        <w:rPr>
          <w:rFonts w:ascii="Arial" w:cs="Arial" w:eastAsia="Arial" w:hAnsi="Arial"/>
          <w:sz w:val="16"/>
          <w:szCs w:val="16"/>
          <w:color w:val="auto"/>
        </w:rPr>
      </w:pPr>
    </w:p>
    <w:p>
      <w:pPr>
        <w:ind w:right="420" w:firstLine="1953"/>
        <w:spacing w:after="0" w:line="308" w:lineRule="auto"/>
        <w:tabs>
          <w:tab w:leader="none" w:pos="2655"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Diversification Election</w:t>
      </w:r>
      <w:r>
        <w:rPr>
          <w:rFonts w:ascii="Arial" w:cs="Arial" w:eastAsia="Arial" w:hAnsi="Arial"/>
          <w:sz w:val="17"/>
          <w:szCs w:val="17"/>
          <w:color w:val="auto"/>
        </w:rPr>
        <w:t>. As provided in the Plan and as described in the prospectus for the Plan, a Grantee with an Account may be eligible to make a Diversification Election on an election form supplied by the Committee for this purpose.</w:t>
      </w:r>
    </w:p>
    <w:p>
      <w:pPr>
        <w:spacing w:after="0" w:line="146" w:lineRule="exact"/>
        <w:rPr>
          <w:rFonts w:ascii="Arial" w:cs="Arial" w:eastAsia="Arial" w:hAnsi="Arial"/>
          <w:sz w:val="17"/>
          <w:szCs w:val="17"/>
          <w:color w:val="auto"/>
        </w:rPr>
      </w:pPr>
    </w:p>
    <w:p>
      <w:pPr>
        <w:jc w:val="both"/>
        <w:ind w:right="40" w:firstLine="1953"/>
        <w:spacing w:after="0" w:line="259" w:lineRule="auto"/>
        <w:tabs>
          <w:tab w:leader="none" w:pos="266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Diversification Election, then to the extent an Account is deemed invested in the Income Fund, the Committee shall credit earnings with respect to such Account at the Applicable Interest Rate.</w:t>
      </w:r>
    </w:p>
    <w:p>
      <w:pPr>
        <w:spacing w:after="0" w:line="170" w:lineRule="exact"/>
        <w:rPr>
          <w:sz w:val="20"/>
          <w:szCs w:val="20"/>
          <w:color w:val="auto"/>
        </w:rPr>
      </w:pPr>
    </w:p>
    <w:p>
      <w:pPr>
        <w:ind w:right="80" w:firstLine="1953"/>
        <w:spacing w:after="0" w:line="255" w:lineRule="auto"/>
        <w:tabs>
          <w:tab w:leader="none" w:pos="2655"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93" w:lineRule="exact"/>
        <w:rPr>
          <w:rFonts w:ascii="Arial" w:cs="Arial" w:eastAsia="Arial" w:hAnsi="Arial"/>
          <w:sz w:val="18"/>
          <w:szCs w:val="18"/>
          <w:color w:val="auto"/>
        </w:rPr>
      </w:pPr>
    </w:p>
    <w:p>
      <w:pPr>
        <w:ind w:right="180" w:firstLine="1953"/>
        <w:spacing w:after="0" w:line="259" w:lineRule="auto"/>
        <w:tabs>
          <w:tab w:leader="none" w:pos="268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Non-Assignability, Etc.</w:t>
      </w:r>
      <w:r>
        <w:rPr>
          <w:rFonts w:ascii="Arial" w:cs="Arial" w:eastAsia="Arial" w:hAnsi="Arial"/>
          <w:sz w:val="18"/>
          <w:szCs w:val="18"/>
          <w:color w:val="auto"/>
        </w:rPr>
        <w:t xml:space="preserve"> The right of Grantee to receive Shares subject to an Election under this Paragraph 4,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86" w:lineRule="exact"/>
        <w:rPr>
          <w:rFonts w:ascii="Arial" w:cs="Arial" w:eastAsia="Arial" w:hAnsi="Arial"/>
          <w:sz w:val="18"/>
          <w:szCs w:val="18"/>
          <w:color w:val="auto"/>
        </w:rPr>
      </w:pPr>
    </w:p>
    <w:p>
      <w:pPr>
        <w:ind w:right="60" w:firstLine="1305"/>
        <w:spacing w:after="0" w:line="264" w:lineRule="auto"/>
        <w:tabs>
          <w:tab w:leader="none" w:pos="201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81" w:lineRule="exact"/>
        <w:rPr>
          <w:rFonts w:ascii="Arial" w:cs="Arial" w:eastAsia="Arial" w:hAnsi="Arial"/>
          <w:sz w:val="18"/>
          <w:szCs w:val="18"/>
          <w:color w:val="auto"/>
        </w:rPr>
      </w:pPr>
    </w:p>
    <w:p>
      <w:pPr>
        <w:ind w:firstLine="1305"/>
        <w:spacing w:after="0" w:line="342" w:lineRule="auto"/>
        <w:tabs>
          <w:tab w:leader="none" w:pos="2017"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Securities Laws</w:t>
      </w:r>
      <w:r>
        <w:rPr>
          <w:rFonts w:ascii="Arial" w:cs="Arial" w:eastAsia="Arial" w:hAnsi="Arial"/>
          <w:sz w:val="16"/>
          <w:szCs w:val="16"/>
          <w:color w:val="auto"/>
        </w:rPr>
        <w:t>. The Committee may from time to time impose any conditions on the Shares as it deems necessary or advisable to ensure that the Plan satisfies the conditions of Rule 16b-3, and that Shares are issued and resold in compliance with the Securities Act of 1933, as amended.</w:t>
      </w:r>
    </w:p>
    <w:p>
      <w:pPr>
        <w:sectPr>
          <w:pgSz w:w="11900" w:h="16948" w:orient="portrait"/>
          <w:cols w:equalWidth="0" w:num="1">
            <w:col w:w="11400"/>
          </w:cols>
          <w:pgMar w:left="240" w:top="125" w:right="259" w:bottom="0" w:gutter="0" w:footer="0" w:header="0"/>
        </w:sectPr>
      </w:pPr>
    </w:p>
    <w:bookmarkStart w:id="7" w:name="page8"/>
    <w:bookmarkEnd w:id="7"/>
    <w:p>
      <w:pPr>
        <w:ind w:right="40" w:firstLine="1305"/>
        <w:spacing w:after="0" w:line="291" w:lineRule="auto"/>
        <w:tabs>
          <w:tab w:leader="none" w:pos="2017"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Except as otherwise provided in Paragraph 4, within ten (10) business days of the Date of Grant, the Company shall, without payment from Grantee, deliver to Grantee a certificate for the Shares without any legend or restrictions, except for such restrictions as may be imposed by the Committee, in its sole judgment, under Paragraph 6, provided that no certificates for Shares will be delivered to Grantee until appropriate arrangements have been made for the withholding of any taxes which may be due with respect to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167" w:lineRule="exact"/>
        <w:rPr>
          <w:rFonts w:ascii="Arial" w:cs="Arial" w:eastAsia="Arial" w:hAnsi="Arial"/>
          <w:sz w:val="16"/>
          <w:szCs w:val="16"/>
          <w:color w:val="auto"/>
        </w:rPr>
      </w:pPr>
    </w:p>
    <w:p>
      <w:pPr>
        <w:ind w:right="140" w:firstLine="1305"/>
        <w:spacing w:after="0" w:line="277" w:lineRule="auto"/>
        <w:tabs>
          <w:tab w:leader="none" w:pos="201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Award Not to Affect Service</w:t>
      </w:r>
      <w:r>
        <w:rPr>
          <w:rFonts w:ascii="Arial" w:cs="Arial" w:eastAsia="Arial" w:hAnsi="Arial"/>
          <w:sz w:val="18"/>
          <w:szCs w:val="18"/>
          <w:color w:val="auto"/>
        </w:rPr>
        <w:t>. The Award granted hereunder shall not confer upon Grantee any right to continue in service to the Company as a director or to the Company or any subsidiary or affiliate of the Company in any other capacity.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20" w:hanging="715"/>
        <w:spacing w:after="0"/>
        <w:tabs>
          <w:tab w:leader="none" w:pos="20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953"/>
        <w:spacing w:after="0" w:line="286" w:lineRule="auto"/>
        <w:tabs>
          <w:tab w:leader="none" w:pos="2655"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165" w:lineRule="exact"/>
        <w:rPr>
          <w:rFonts w:ascii="Arial" w:cs="Arial" w:eastAsia="Arial" w:hAnsi="Arial"/>
          <w:sz w:val="17"/>
          <w:szCs w:val="17"/>
          <w:color w:val="auto"/>
        </w:rPr>
      </w:pPr>
    </w:p>
    <w:p>
      <w:pPr>
        <w:ind w:right="20" w:firstLine="1953"/>
        <w:spacing w:after="0" w:line="277" w:lineRule="auto"/>
        <w:tabs>
          <w:tab w:leader="none" w:pos="26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70" w:lineRule="exact"/>
        <w:rPr>
          <w:rFonts w:ascii="Arial" w:cs="Arial" w:eastAsia="Arial" w:hAnsi="Arial"/>
          <w:sz w:val="18"/>
          <w:szCs w:val="18"/>
          <w:color w:val="auto"/>
        </w:rPr>
      </w:pPr>
    </w:p>
    <w:p>
      <w:pPr>
        <w:ind w:right="120" w:firstLine="1953"/>
        <w:spacing w:after="0" w:line="277" w:lineRule="auto"/>
        <w:tabs>
          <w:tab w:leader="none" w:pos="26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1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604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Lawrence S. Smith</w:t>
            </w:r>
          </w:p>
        </w:tc>
      </w:tr>
      <w:tr>
        <w:trPr>
          <w:trHeight w:val="224"/>
        </w:trPr>
        <w:tc>
          <w:tcPr>
            <w:tcW w:w="11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Lawrence S. Smith</w:t>
            </w:r>
          </w:p>
        </w:tc>
      </w:tr>
      <w:tr>
        <w:trPr>
          <w:trHeight w:val="634"/>
        </w:trPr>
        <w:tc>
          <w:tcPr>
            <w:tcW w:w="1180" w:type="dxa"/>
            <w:vAlign w:val="bottom"/>
          </w:tcPr>
          <w:p>
            <w:pPr>
              <w:spacing w:after="0"/>
              <w:rPr>
                <w:sz w:val="20"/>
                <w:szCs w:val="20"/>
                <w:color w:val="auto"/>
              </w:rPr>
            </w:pPr>
            <w:r>
              <w:rPr>
                <w:rFonts w:ascii="Arial" w:cs="Arial" w:eastAsia="Arial" w:hAnsi="Arial"/>
                <w:sz w:val="18"/>
                <w:szCs w:val="18"/>
                <w:color w:val="auto"/>
              </w:rPr>
              <w:t>ATTEST:</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Arthur R. Block</w:t>
            </w:r>
          </w:p>
        </w:tc>
      </w:tr>
      <w:tr>
        <w:trPr>
          <w:trHeight w:val="224"/>
        </w:trPr>
        <w:tc>
          <w:tcPr>
            <w:tcW w:w="11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Arthur R. Block</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o"/>
      <w:numFmt w:val="bullet"/>
      <w:start w:val="1"/>
    </w:lvl>
  </w:abstractNum>
  <w:abstractNum w:abstractNumId="1">
    <w:nsid w:val="140E0F7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
    <w:nsid w:val="3352255A"/>
    <w:multiLevelType w:val="hybridMultilevel"/>
    <w:lvl w:ilvl="0">
      <w:lvlJc w:val="left"/>
      <w:lvlText w:val="%1."/>
      <w:numFmt w:val="lowerLetter"/>
      <w:start w:val="12"/>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
      <w:numFmt w:val="bullet"/>
      <w:start w:val="1"/>
    </w:lvl>
    <w:lvl w:ilvl="1">
      <w:lvlJc w:val="left"/>
      <w:lvlText w:val="%2."/>
      <w:numFmt w:val="decimal"/>
      <w:start w:val="3"/>
    </w:lvl>
  </w:abstractNum>
  <w:abstractNum w:abstractNumId="5">
    <w:nsid w:val="7FDCC233"/>
    <w:multiLevelType w:val="hybridMultilevel"/>
    <w:lvl w:ilvl="0">
      <w:lvlJc w:val="left"/>
      <w:lvlText w:val="%1."/>
      <w:numFmt w:val="lowerLetter"/>
      <w:start w:val="1"/>
    </w:lvl>
    <w:lvl w:ilvl="1">
      <w:lvlJc w:val="left"/>
      <w:lvlText w:val="(%2)"/>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lowerLetter"/>
      <w:start w:val="2"/>
    </w:lvl>
    <w:lvl w:ilvl="1">
      <w:lvlJc w:val="left"/>
      <w:lvlText w:val="(%2)"/>
      <w:numFmt w:val="decimal"/>
      <w:start w:val="1"/>
    </w:lvl>
  </w:abstractNum>
  <w:abstractNum w:abstractNumId="8">
    <w:nsid w:val="6B68079A"/>
    <w:multiLevelType w:val="hybridMultilevel"/>
    <w:lvl w:ilvl="0">
      <w:lvlJc w:val="left"/>
      <w:lvlText w:val="%1"/>
      <w:numFmt w:val="decimal"/>
      <w:start w:val="1"/>
    </w:lvl>
    <w:lvl w:ilvl="1">
      <w:lvlJc w:val="left"/>
      <w:lvlText w:val="%2."/>
      <w:numFmt w:val="lowerLetter"/>
      <w:start w:val="5"/>
    </w:lvl>
  </w:abstractNum>
  <w:abstractNum w:abstractNumId="9">
    <w:nsid w:val="4E6AFB66"/>
    <w:multiLevelType w:val="hybridMultilevel"/>
    <w:lvl w:ilvl="0">
      <w:lvlJc w:val="left"/>
      <w:lvlText w:val="%1."/>
      <w:numFmt w:val="decimal"/>
      <w:start w:val="5"/>
    </w:lvl>
    <w:lvl w:ilvl="1">
      <w:lvlJc w:val="left"/>
      <w:lvlText w:val="%2"/>
      <w:numFmt w:val="lowerLetter"/>
      <w:start w:val="1"/>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9"/>
    </w:lvl>
    <w:lvl w:ilvl="1">
      <w:lvlJc w:val="left"/>
      <w:lvlText w:val="%2."/>
      <w:numFmt w:val="lowerLetter"/>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lowerLetter"/>
      <w:start w:val="1"/>
    </w:lvl>
    <w:lvl w:ilvl="1">
      <w:lvlJc w:val="left"/>
      <w:lvlText w:val="(%2)"/>
      <w:numFmt w:val="decimal"/>
      <w:start w:val="1"/>
    </w:lvl>
  </w:abstractNum>
  <w:abstractNum w:abstractNumId="14">
    <w:nsid w:val="7C83E458"/>
    <w:multiLevelType w:val="hybridMultilevel"/>
    <w:lvl w:ilvl="0">
      <w:lvlJc w:val="left"/>
      <w:lvlText w:val="%1"/>
      <w:numFmt w:val="decimal"/>
      <w:start w:val="1"/>
    </w:lvl>
    <w:lvl w:ilvl="1">
      <w:lvlJc w:val="left"/>
      <w:lvlText w:val="%2."/>
      <w:numFmt w:val="lowerLetter"/>
      <w:start w:val="11"/>
    </w:lvl>
  </w:abstractNum>
  <w:abstractNum w:abstractNumId="15">
    <w:nsid w:val="257130A3"/>
    <w:multiLevelType w:val="hybridMultilevel"/>
    <w:lvl w:ilvl="0">
      <w:lvlJc w:val="left"/>
      <w:lvlText w:val="%1."/>
      <w:numFmt w:val="decimal"/>
      <w:start w:val="2"/>
    </w:lvl>
    <w:lvl w:ilvl="1">
      <w:lvlJc w:val="left"/>
      <w:lvlText w:val="%2"/>
      <w:numFmt w:val="lowerLetter"/>
      <w:start w:val="1"/>
    </w:lvl>
  </w:abstractNum>
  <w:abstractNum w:abstractNumId="16">
    <w:nsid w:val="62BBD95A"/>
    <w:multiLevelType w:val="hybridMultilevel"/>
    <w:lvl w:ilvl="0">
      <w:lvlJc w:val="left"/>
      <w:lvlText w:val="%1."/>
      <w:numFmt w:val="lowerLetter"/>
      <w:start w:val="1"/>
    </w:lvl>
    <w:lvl w:ilvl="1">
      <w:lvlJc w:val="left"/>
      <w:lvlText w:val="(%2)"/>
      <w:numFmt w:val="decimal"/>
      <w:start w:val="1"/>
    </w:lvl>
  </w:abstractNum>
  <w:abstractNum w:abstractNumId="17">
    <w:nsid w:val="436C6125"/>
    <w:multiLevelType w:val="hybridMultilevel"/>
    <w:lvl w:ilvl="0">
      <w:lvlJc w:val="left"/>
      <w:lvlText w:val="(%1)"/>
      <w:numFmt w:val="decimal"/>
      <w:start w:val="3"/>
    </w:lvl>
  </w:abstractNum>
  <w:abstractNum w:abstractNumId="18">
    <w:nsid w:val="628C895D"/>
    <w:multiLevelType w:val="hybridMultilevel"/>
    <w:lvl w:ilvl="0">
      <w:lvlJc w:val="left"/>
      <w:lvlText w:val="%1."/>
      <w:numFmt w:val="lowerLetter"/>
      <w:start w:val="2"/>
    </w:lvl>
    <w:lvl w:ilvl="1">
      <w:lvlJc w:val="left"/>
      <w:lvlText w:val="(%2)"/>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5"/>
    </w:lvl>
  </w:abstractNum>
  <w:abstractNum w:abstractNumId="20">
    <w:nsid w:val="721DA317"/>
    <w:multiLevelType w:val="hybridMultilevel"/>
    <w:lvl w:ilvl="0">
      <w:lvlJc w:val="left"/>
      <w:lvlText w:val="%1."/>
      <w:numFmt w:val="decimal"/>
      <w:start w:val="5"/>
    </w:lvl>
    <w:lvl w:ilvl="1">
      <w:lvlJc w:val="left"/>
      <w:lvlText w:val="%2"/>
      <w:numFmt w:val="lowerLetter"/>
      <w:start w:val="1"/>
    </w:lvl>
  </w:abstractNum>
  <w:abstractNum w:abstractNumId="21">
    <w:nsid w:val="2443A858"/>
    <w:multiLevelType w:val="hybridMultilevel"/>
    <w:lvl w:ilvl="0">
      <w:lvlJc w:val="left"/>
      <w:lvlText w:val="%1."/>
      <w:numFmt w:val="decimal"/>
      <w:start w:val="7"/>
    </w:lvl>
  </w:abstractNum>
  <w:abstractNum w:abstractNumId="22">
    <w:nsid w:val="2D1D5AE9"/>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2019-12-15T05:15:52Z</dcterms:created>
  <dcterms:modified xsi:type="dcterms:W3CDTF">2019-12-15T05:15:52Z</dcterms:modified>
</cp:coreProperties>
</file>