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Comcast Corporation</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20030N101</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2012</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20030N101</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91,189,857</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91,189,857</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91,189,857</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4.3%</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20030N101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One Comcast Center</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19103-2838</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960" w:space="520"/>
            <w:col w:w="1260" w:space="320"/>
            <w:col w:w="7159"/>
          </w:cols>
          <w:pgMar w:left="240" w:top="142" w:right="1440" w:bottom="0" w:gutter="0" w:footer="0" w:header="0"/>
          <w:type w:val="continuous"/>
        </w:sectPr>
      </w:pP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20030N101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 (e) [X] An investment adviser in accordance with</w:t>
      </w:r>
    </w:p>
    <w:p>
      <w:pPr>
        <w:sectPr>
          <w:pgSz w:w="11900" w:h="16838" w:orient="portrait"/>
          <w:cols w:equalWidth="0" w:num="2">
            <w:col w:w="640" w:space="100"/>
            <w:col w:w="947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939"/>
        <w:spacing w:after="0" w:line="237" w:lineRule="auto"/>
        <w:rPr>
          <w:sz w:val="20"/>
          <w:szCs w:val="20"/>
          <w:color w:val="auto"/>
        </w:rPr>
      </w:pPr>
      <w:r>
        <w:rPr>
          <w:rFonts w:ascii="Courier New" w:cs="Courier New" w:eastAsia="Courier New" w:hAnsi="Courier New"/>
          <w:sz w:val="18"/>
          <w:szCs w:val="18"/>
          <w:color w:val="auto"/>
        </w:rPr>
        <w:t>Capital Research Global Investors is deemed to be the beneficial owner of 91,189,857 shares or 4.3% of the 2,118,906,684 shares believed to be outstanding as a result of CRMC acting as investment adviser to various investment companies registered under Section 8 of the Investment Company Act of 1940.</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20030N101</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6, 2013</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 Armour - Senior Vice President</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Herbert Y. Poon</w:t>
      </w:r>
    </w:p>
    <w:p>
      <w:pPr>
        <w:ind w:left="1580"/>
        <w:spacing w:after="0" w:line="238" w:lineRule="auto"/>
        <w:rPr>
          <w:sz w:val="20"/>
          <w:szCs w:val="20"/>
          <w:color w:val="auto"/>
        </w:rPr>
      </w:pPr>
      <w:r>
        <w:rPr>
          <w:rFonts w:ascii="Courier New" w:cs="Courier New" w:eastAsia="Courier New" w:hAnsi="Courier New"/>
          <w:sz w:val="18"/>
          <w:szCs w:val="18"/>
          <w:color w:val="auto"/>
        </w:rPr>
        <w:t>Herbert Y. Poon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29, 2010 included as an Exhibit to Schedule 13G filed with the Securities and Exchange Commission by Capital Research Global Investors on January 10, 2011 with respect to Portfolio Recovery Associates,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20030N101</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2019-12-07T04:03:22Z</dcterms:created>
  <dcterms:modified xsi:type="dcterms:W3CDTF">2019-12-07T04:03:22Z</dcterms:modified>
</cp:coreProperties>
</file>