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0" w:type="dxa"/>
        <w:tblCellMar>
          <w:top w:w="0" w:type="dxa"/>
          <w:left w:w="0" w:type="dxa"/>
          <w:bottom w:w="0" w:type="dxa"/>
          <w:right w:w="0" w:type="dxa"/>
        </w:tblCellMar>
      </w:tblPr>
      <w:tr>
        <w:trPr>
          <w:trHeight w:val="287"/>
        </w:trPr>
        <w:tc>
          <w:tcPr>
            <w:tcW w:w="7820" w:type="dxa"/>
            <w:vAlign w:val="bottom"/>
          </w:tcPr>
          <w:p>
            <w:pPr>
              <w:jc w:val="center"/>
              <w:ind w:left="2723"/>
              <w:spacing w:after="0"/>
              <w:rPr>
                <w:sz w:val="20"/>
                <w:szCs w:val="20"/>
                <w:color w:val="auto"/>
              </w:rPr>
            </w:pPr>
            <w:r>
              <w:rPr>
                <w:rFonts w:ascii="Times New Roman" w:cs="Times New Roman" w:eastAsia="Times New Roman" w:hAnsi="Times New Roman"/>
                <w:sz w:val="22"/>
                <w:szCs w:val="22"/>
                <w:b w:val="1"/>
                <w:bCs w:val="1"/>
                <w:color w:val="auto"/>
                <w:w w:val="97"/>
              </w:rPr>
              <w:t>SECURITIES AND EXCHANGE COMMISSION</w:t>
            </w:r>
          </w:p>
        </w:tc>
        <w:tc>
          <w:tcPr>
            <w:tcW w:w="2520" w:type="dxa"/>
            <w:vAlign w:val="bottom"/>
          </w:tcPr>
          <w:p>
            <w:pPr>
              <w:spacing w:after="0"/>
              <w:rPr>
                <w:sz w:val="24"/>
                <w:szCs w:val="24"/>
                <w:color w:val="auto"/>
              </w:rPr>
            </w:pPr>
          </w:p>
        </w:tc>
      </w:tr>
      <w:tr>
        <w:trPr>
          <w:trHeight w:val="540"/>
        </w:trPr>
        <w:tc>
          <w:tcPr>
            <w:tcW w:w="7820" w:type="dxa"/>
            <w:vAlign w:val="bottom"/>
          </w:tcPr>
          <w:p>
            <w:pPr>
              <w:jc w:val="center"/>
              <w:ind w:left="2703"/>
              <w:spacing w:after="0"/>
              <w:rPr>
                <w:sz w:val="20"/>
                <w:szCs w:val="20"/>
                <w:color w:val="auto"/>
              </w:rPr>
            </w:pPr>
            <w:r>
              <w:rPr>
                <w:rFonts w:ascii="Times New Roman" w:cs="Times New Roman" w:eastAsia="Times New Roman" w:hAnsi="Times New Roman"/>
                <w:sz w:val="22"/>
                <w:szCs w:val="22"/>
                <w:b w:val="1"/>
                <w:bCs w:val="1"/>
                <w:color w:val="auto"/>
                <w:w w:val="96"/>
              </w:rPr>
              <w:t>WASHINGTON, D.C. 20549</w:t>
            </w:r>
          </w:p>
        </w:tc>
        <w:tc>
          <w:tcPr>
            <w:tcW w:w="2520" w:type="dxa"/>
            <w:vAlign w:val="bottom"/>
          </w:tcPr>
          <w:p>
            <w:pPr>
              <w:spacing w:after="0"/>
              <w:rPr>
                <w:sz w:val="24"/>
                <w:szCs w:val="24"/>
                <w:color w:val="auto"/>
              </w:rPr>
            </w:pPr>
          </w:p>
        </w:tc>
      </w:tr>
      <w:tr>
        <w:trPr>
          <w:trHeight w:val="540"/>
        </w:trPr>
        <w:tc>
          <w:tcPr>
            <w:tcW w:w="7820" w:type="dxa"/>
            <w:vAlign w:val="bottom"/>
          </w:tcPr>
          <w:p>
            <w:pPr>
              <w:jc w:val="center"/>
              <w:ind w:left="2703"/>
              <w:spacing w:after="0"/>
              <w:rPr>
                <w:sz w:val="20"/>
                <w:szCs w:val="20"/>
                <w:color w:val="auto"/>
              </w:rPr>
            </w:pPr>
            <w:r>
              <w:rPr>
                <w:rFonts w:ascii="Times New Roman" w:cs="Times New Roman" w:eastAsia="Times New Roman" w:hAnsi="Times New Roman"/>
                <w:sz w:val="22"/>
                <w:szCs w:val="22"/>
                <w:color w:val="auto"/>
                <w:w w:val="97"/>
              </w:rPr>
              <w:t>_____________________</w:t>
            </w:r>
          </w:p>
        </w:tc>
        <w:tc>
          <w:tcPr>
            <w:tcW w:w="2520" w:type="dxa"/>
            <w:vAlign w:val="bottom"/>
          </w:tcPr>
          <w:p>
            <w:pPr>
              <w:spacing w:after="0"/>
              <w:rPr>
                <w:sz w:val="24"/>
                <w:szCs w:val="24"/>
                <w:color w:val="auto"/>
              </w:rPr>
            </w:pPr>
          </w:p>
        </w:tc>
      </w:tr>
      <w:tr>
        <w:trPr>
          <w:trHeight w:val="540"/>
        </w:trPr>
        <w:tc>
          <w:tcPr>
            <w:tcW w:w="7820" w:type="dxa"/>
            <w:vAlign w:val="bottom"/>
          </w:tcPr>
          <w:p>
            <w:pPr>
              <w:jc w:val="center"/>
              <w:ind w:left="2703"/>
              <w:spacing w:after="0"/>
              <w:rPr>
                <w:sz w:val="20"/>
                <w:szCs w:val="20"/>
                <w:color w:val="auto"/>
              </w:rPr>
            </w:pPr>
            <w:r>
              <w:rPr>
                <w:rFonts w:ascii="Times New Roman" w:cs="Times New Roman" w:eastAsia="Times New Roman" w:hAnsi="Times New Roman"/>
                <w:sz w:val="22"/>
                <w:szCs w:val="22"/>
                <w:b w:val="1"/>
                <w:bCs w:val="1"/>
                <w:color w:val="auto"/>
                <w:w w:val="97"/>
              </w:rPr>
              <w:t>FORM 8-K</w:t>
            </w:r>
          </w:p>
        </w:tc>
        <w:tc>
          <w:tcPr>
            <w:tcW w:w="2520" w:type="dxa"/>
            <w:vAlign w:val="bottom"/>
          </w:tcPr>
          <w:p>
            <w:pPr>
              <w:spacing w:after="0"/>
              <w:rPr>
                <w:sz w:val="24"/>
                <w:szCs w:val="24"/>
                <w:color w:val="auto"/>
              </w:rPr>
            </w:pPr>
          </w:p>
        </w:tc>
      </w:tr>
      <w:tr>
        <w:trPr>
          <w:trHeight w:val="524"/>
        </w:trPr>
        <w:tc>
          <w:tcPr>
            <w:tcW w:w="7820" w:type="dxa"/>
            <w:vAlign w:val="bottom"/>
          </w:tcPr>
          <w:p>
            <w:pPr>
              <w:jc w:val="center"/>
              <w:ind w:left="2703"/>
              <w:spacing w:after="0"/>
              <w:rPr>
                <w:sz w:val="20"/>
                <w:szCs w:val="20"/>
                <w:color w:val="auto"/>
              </w:rPr>
            </w:pPr>
            <w:r>
              <w:rPr>
                <w:rFonts w:ascii="Times New Roman" w:cs="Times New Roman" w:eastAsia="Times New Roman" w:hAnsi="Times New Roman"/>
                <w:sz w:val="22"/>
                <w:szCs w:val="22"/>
                <w:b w:val="1"/>
                <w:bCs w:val="1"/>
                <w:color w:val="auto"/>
                <w:w w:val="98"/>
              </w:rPr>
              <w:t>CURRENT REPORT</w:t>
            </w:r>
          </w:p>
        </w:tc>
        <w:tc>
          <w:tcPr>
            <w:tcW w:w="2520" w:type="dxa"/>
            <w:vAlign w:val="bottom"/>
          </w:tcPr>
          <w:p>
            <w:pPr>
              <w:spacing w:after="0"/>
              <w:rPr>
                <w:sz w:val="24"/>
                <w:szCs w:val="24"/>
                <w:color w:val="auto"/>
              </w:rPr>
            </w:pPr>
          </w:p>
        </w:tc>
      </w:tr>
      <w:tr>
        <w:trPr>
          <w:trHeight w:val="270"/>
        </w:trPr>
        <w:tc>
          <w:tcPr>
            <w:tcW w:w="7820" w:type="dxa"/>
            <w:vAlign w:val="bottom"/>
          </w:tcPr>
          <w:p>
            <w:pPr>
              <w:jc w:val="center"/>
              <w:ind w:left="2703"/>
              <w:spacing w:after="0"/>
              <w:rPr>
                <w:sz w:val="20"/>
                <w:szCs w:val="20"/>
                <w:color w:val="auto"/>
              </w:rPr>
            </w:pPr>
            <w:r>
              <w:rPr>
                <w:rFonts w:ascii="Times New Roman" w:cs="Times New Roman" w:eastAsia="Times New Roman" w:hAnsi="Times New Roman"/>
                <w:sz w:val="22"/>
                <w:szCs w:val="22"/>
                <w:b w:val="1"/>
                <w:bCs w:val="1"/>
                <w:color w:val="auto"/>
                <w:w w:val="97"/>
              </w:rPr>
              <w:t>Pursuant To Section 13 Or 15(d) of</w:t>
            </w:r>
          </w:p>
        </w:tc>
        <w:tc>
          <w:tcPr>
            <w:tcW w:w="2520" w:type="dxa"/>
            <w:vAlign w:val="bottom"/>
          </w:tcPr>
          <w:p>
            <w:pPr>
              <w:spacing w:after="0"/>
              <w:rPr>
                <w:sz w:val="23"/>
                <w:szCs w:val="23"/>
                <w:color w:val="auto"/>
              </w:rPr>
            </w:pPr>
          </w:p>
        </w:tc>
      </w:tr>
      <w:tr>
        <w:trPr>
          <w:trHeight w:val="287"/>
        </w:trPr>
        <w:tc>
          <w:tcPr>
            <w:tcW w:w="7820" w:type="dxa"/>
            <w:vAlign w:val="bottom"/>
          </w:tcPr>
          <w:p>
            <w:pPr>
              <w:jc w:val="center"/>
              <w:ind w:left="2723"/>
              <w:spacing w:after="0"/>
              <w:rPr>
                <w:sz w:val="20"/>
                <w:szCs w:val="20"/>
                <w:color w:val="auto"/>
              </w:rPr>
            </w:pPr>
            <w:r>
              <w:rPr>
                <w:rFonts w:ascii="Times New Roman" w:cs="Times New Roman" w:eastAsia="Times New Roman" w:hAnsi="Times New Roman"/>
                <w:sz w:val="22"/>
                <w:szCs w:val="22"/>
                <w:b w:val="1"/>
                <w:bCs w:val="1"/>
                <w:color w:val="auto"/>
                <w:w w:val="98"/>
              </w:rPr>
              <w:t>The Securities Exchange Act of 1934</w:t>
            </w:r>
          </w:p>
        </w:tc>
        <w:tc>
          <w:tcPr>
            <w:tcW w:w="2520" w:type="dxa"/>
            <w:vAlign w:val="bottom"/>
          </w:tcPr>
          <w:p>
            <w:pPr>
              <w:spacing w:after="0"/>
              <w:rPr>
                <w:sz w:val="24"/>
                <w:szCs w:val="24"/>
                <w:color w:val="auto"/>
              </w:rPr>
            </w:pPr>
          </w:p>
        </w:tc>
      </w:tr>
      <w:tr>
        <w:trPr>
          <w:trHeight w:val="758"/>
        </w:trPr>
        <w:tc>
          <w:tcPr>
            <w:tcW w:w="7820" w:type="dxa"/>
            <w:vAlign w:val="bottom"/>
          </w:tcPr>
          <w:p>
            <w:pPr>
              <w:jc w:val="center"/>
              <w:ind w:left="2723"/>
              <w:spacing w:after="0"/>
              <w:rPr>
                <w:sz w:val="20"/>
                <w:szCs w:val="20"/>
                <w:color w:val="auto"/>
              </w:rPr>
            </w:pPr>
            <w:r>
              <w:rPr>
                <w:rFonts w:ascii="Times New Roman" w:cs="Times New Roman" w:eastAsia="Times New Roman" w:hAnsi="Times New Roman"/>
                <w:sz w:val="18"/>
                <w:szCs w:val="18"/>
                <w:color w:val="auto"/>
                <w:w w:val="99"/>
              </w:rPr>
              <w:t>Date of report (Date of earliest event reported): May 3, 2005</w:t>
            </w:r>
          </w:p>
        </w:tc>
        <w:tc>
          <w:tcPr>
            <w:tcW w:w="2520" w:type="dxa"/>
            <w:vAlign w:val="bottom"/>
          </w:tcPr>
          <w:p>
            <w:pPr>
              <w:spacing w:after="0"/>
              <w:rPr>
                <w:sz w:val="24"/>
                <w:szCs w:val="24"/>
                <w:color w:val="auto"/>
              </w:rPr>
            </w:pPr>
          </w:p>
        </w:tc>
      </w:tr>
      <w:tr>
        <w:trPr>
          <w:trHeight w:val="495"/>
        </w:trPr>
        <w:tc>
          <w:tcPr>
            <w:tcW w:w="7820" w:type="dxa"/>
            <w:vAlign w:val="bottom"/>
          </w:tcPr>
          <w:p>
            <w:pPr>
              <w:jc w:val="center"/>
              <w:ind w:left="2703"/>
              <w:spacing w:after="0"/>
              <w:rPr>
                <w:sz w:val="20"/>
                <w:szCs w:val="20"/>
                <w:color w:val="auto"/>
              </w:rPr>
            </w:pPr>
            <w:r>
              <w:rPr>
                <w:rFonts w:ascii="Times New Roman" w:cs="Times New Roman" w:eastAsia="Times New Roman" w:hAnsi="Times New Roman"/>
                <w:sz w:val="22"/>
                <w:szCs w:val="22"/>
                <w:b w:val="1"/>
                <w:bCs w:val="1"/>
                <w:color w:val="auto"/>
                <w:w w:val="97"/>
              </w:rPr>
              <w:t>COMCAST CORPORATION</w:t>
            </w:r>
          </w:p>
        </w:tc>
        <w:tc>
          <w:tcPr>
            <w:tcW w:w="2520" w:type="dxa"/>
            <w:vAlign w:val="bottom"/>
          </w:tcPr>
          <w:p>
            <w:pPr>
              <w:spacing w:after="0"/>
              <w:rPr>
                <w:sz w:val="24"/>
                <w:szCs w:val="24"/>
                <w:color w:val="auto"/>
              </w:rPr>
            </w:pPr>
          </w:p>
        </w:tc>
      </w:tr>
      <w:tr>
        <w:trPr>
          <w:trHeight w:val="216"/>
        </w:trPr>
        <w:tc>
          <w:tcPr>
            <w:tcW w:w="7820" w:type="dxa"/>
            <w:vAlign w:val="bottom"/>
          </w:tcPr>
          <w:p>
            <w:pPr>
              <w:jc w:val="center"/>
              <w:ind w:left="2723"/>
              <w:spacing w:after="0"/>
              <w:rPr>
                <w:sz w:val="20"/>
                <w:szCs w:val="20"/>
                <w:color w:val="auto"/>
              </w:rPr>
            </w:pPr>
            <w:r>
              <w:rPr>
                <w:rFonts w:ascii="Times New Roman" w:cs="Times New Roman" w:eastAsia="Times New Roman" w:hAnsi="Times New Roman"/>
                <w:sz w:val="18"/>
                <w:szCs w:val="18"/>
                <w:color w:val="auto"/>
                <w:w w:val="99"/>
              </w:rPr>
              <w:t>(Exact Name of Registrant</w:t>
            </w:r>
          </w:p>
        </w:tc>
        <w:tc>
          <w:tcPr>
            <w:tcW w:w="2520" w:type="dxa"/>
            <w:vAlign w:val="bottom"/>
          </w:tcPr>
          <w:p>
            <w:pPr>
              <w:spacing w:after="0"/>
              <w:rPr>
                <w:sz w:val="18"/>
                <w:szCs w:val="18"/>
                <w:color w:val="auto"/>
              </w:rPr>
            </w:pPr>
          </w:p>
        </w:tc>
      </w:tr>
      <w:tr>
        <w:trPr>
          <w:trHeight w:val="234"/>
        </w:trPr>
        <w:tc>
          <w:tcPr>
            <w:tcW w:w="7820" w:type="dxa"/>
            <w:vAlign w:val="bottom"/>
          </w:tcPr>
          <w:p>
            <w:pPr>
              <w:jc w:val="center"/>
              <w:ind w:left="2703"/>
              <w:spacing w:after="0"/>
              <w:rPr>
                <w:sz w:val="20"/>
                <w:szCs w:val="20"/>
                <w:color w:val="auto"/>
              </w:rPr>
            </w:pPr>
            <w:r>
              <w:rPr>
                <w:rFonts w:ascii="Times New Roman" w:cs="Times New Roman" w:eastAsia="Times New Roman" w:hAnsi="Times New Roman"/>
                <w:sz w:val="18"/>
                <w:szCs w:val="18"/>
                <w:color w:val="auto"/>
                <w:w w:val="99"/>
              </w:rPr>
              <w:t>as Specified in Charter)</w:t>
            </w:r>
          </w:p>
        </w:tc>
        <w:tc>
          <w:tcPr>
            <w:tcW w:w="2520" w:type="dxa"/>
            <w:vAlign w:val="bottom"/>
          </w:tcPr>
          <w:p>
            <w:pPr>
              <w:spacing w:after="0"/>
              <w:rPr>
                <w:sz w:val="20"/>
                <w:szCs w:val="20"/>
                <w:color w:val="auto"/>
              </w:rPr>
            </w:pPr>
          </w:p>
        </w:tc>
      </w:tr>
      <w:tr>
        <w:trPr>
          <w:trHeight w:val="459"/>
        </w:trPr>
        <w:tc>
          <w:tcPr>
            <w:tcW w:w="7820" w:type="dxa"/>
            <w:vAlign w:val="bottom"/>
          </w:tcPr>
          <w:p>
            <w:pPr>
              <w:jc w:val="center"/>
              <w:ind w:left="2583"/>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520" w:type="dxa"/>
            <w:vAlign w:val="bottom"/>
          </w:tcPr>
          <w:p>
            <w:pPr>
              <w:spacing w:after="0"/>
              <w:rPr>
                <w:sz w:val="24"/>
                <w:szCs w:val="24"/>
                <w:color w:val="auto"/>
              </w:rPr>
            </w:pPr>
          </w:p>
        </w:tc>
      </w:tr>
      <w:tr>
        <w:trPr>
          <w:trHeight w:val="243"/>
        </w:trPr>
        <w:tc>
          <w:tcPr>
            <w:tcW w:w="7820" w:type="dxa"/>
            <w:vAlign w:val="bottom"/>
          </w:tcPr>
          <w:p>
            <w:pPr>
              <w:jc w:val="center"/>
              <w:ind w:left="2563"/>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520" w:type="dxa"/>
            <w:vAlign w:val="bottom"/>
          </w:tcPr>
          <w:p>
            <w:pPr>
              <w:spacing w:after="0"/>
              <w:rPr>
                <w:sz w:val="21"/>
                <w:szCs w:val="21"/>
                <w:color w:val="auto"/>
              </w:rPr>
            </w:pPr>
          </w:p>
        </w:tc>
      </w:tr>
      <w:tr>
        <w:trPr>
          <w:trHeight w:val="414"/>
        </w:trPr>
        <w:tc>
          <w:tcPr>
            <w:tcW w:w="7820" w:type="dxa"/>
            <w:vAlign w:val="bottom"/>
          </w:tcPr>
          <w:p>
            <w:pPr>
              <w:jc w:val="center"/>
              <w:ind w:right="4783"/>
              <w:spacing w:after="0"/>
              <w:rPr>
                <w:sz w:val="20"/>
                <w:szCs w:val="20"/>
                <w:color w:val="auto"/>
              </w:rPr>
            </w:pPr>
            <w:r>
              <w:rPr>
                <w:rFonts w:ascii="Times New Roman" w:cs="Times New Roman" w:eastAsia="Times New Roman" w:hAnsi="Times New Roman"/>
                <w:sz w:val="18"/>
                <w:szCs w:val="18"/>
                <w:b w:val="1"/>
                <w:bCs w:val="1"/>
                <w:color w:val="auto"/>
                <w:w w:val="99"/>
              </w:rPr>
              <w:t>000-50093</w:t>
            </w:r>
          </w:p>
        </w:tc>
        <w:tc>
          <w:tcPr>
            <w:tcW w:w="2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234"/>
        </w:trPr>
        <w:tc>
          <w:tcPr>
            <w:tcW w:w="7820" w:type="dxa"/>
            <w:vAlign w:val="bottom"/>
          </w:tcPr>
          <w:p>
            <w:pPr>
              <w:jc w:val="center"/>
              <w:ind w:right="4783"/>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7820" w:type="dxa"/>
            <w:vAlign w:val="bottom"/>
          </w:tcPr>
          <w:p>
            <w:pPr>
              <w:jc w:val="center"/>
              <w:ind w:right="4803"/>
              <w:spacing w:after="0"/>
              <w:rPr>
                <w:sz w:val="20"/>
                <w:szCs w:val="20"/>
                <w:color w:val="auto"/>
              </w:rPr>
            </w:pPr>
            <w:r>
              <w:rPr>
                <w:rFonts w:ascii="Times New Roman" w:cs="Times New Roman" w:eastAsia="Times New Roman" w:hAnsi="Times New Roman"/>
                <w:sz w:val="18"/>
                <w:szCs w:val="18"/>
                <w:b w:val="1"/>
                <w:bCs w:val="1"/>
                <w:color w:val="auto"/>
                <w:w w:val="99"/>
              </w:rPr>
              <w:t>1500 Market Street</w:t>
            </w:r>
          </w:p>
        </w:tc>
        <w:tc>
          <w:tcPr>
            <w:tcW w:w="2520" w:type="dxa"/>
            <w:vAlign w:val="bottom"/>
          </w:tcPr>
          <w:p>
            <w:pPr>
              <w:spacing w:after="0"/>
              <w:rPr>
                <w:sz w:val="24"/>
                <w:szCs w:val="24"/>
                <w:color w:val="auto"/>
              </w:rPr>
            </w:pPr>
          </w:p>
        </w:tc>
      </w:tr>
      <w:tr>
        <w:trPr>
          <w:trHeight w:val="220"/>
        </w:trPr>
        <w:tc>
          <w:tcPr>
            <w:tcW w:w="7820" w:type="dxa"/>
            <w:vAlign w:val="bottom"/>
          </w:tcPr>
          <w:p>
            <w:pPr>
              <w:jc w:val="center"/>
              <w:ind w:right="4803"/>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252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19102</w:t>
            </w:r>
          </w:p>
        </w:tc>
      </w:tr>
      <w:tr>
        <w:trPr>
          <w:trHeight w:val="234"/>
        </w:trPr>
        <w:tc>
          <w:tcPr>
            <w:tcW w:w="7820" w:type="dxa"/>
            <w:vAlign w:val="bottom"/>
          </w:tcPr>
          <w:p>
            <w:pPr>
              <w:jc w:val="center"/>
              <w:ind w:right="4783"/>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648"/>
        </w:trPr>
        <w:tc>
          <w:tcPr>
            <w:tcW w:w="7820" w:type="dxa"/>
            <w:vAlign w:val="bottom"/>
          </w:tcPr>
          <w:p>
            <w:pPr>
              <w:jc w:val="center"/>
              <w:ind w:left="2703"/>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(215) 665-1700</w:t>
            </w:r>
          </w:p>
        </w:tc>
        <w:tc>
          <w:tcPr>
            <w:tcW w:w="2520" w:type="dxa"/>
            <w:vAlign w:val="bottom"/>
          </w:tcPr>
          <w:p>
            <w:pPr>
              <w:spacing w:after="0"/>
              <w:rPr>
                <w:sz w:val="24"/>
                <w:szCs w:val="24"/>
                <w:color w:val="auto"/>
              </w:rPr>
            </w:pPr>
          </w:p>
        </w:tc>
      </w:tr>
      <w:tr>
        <w:trPr>
          <w:trHeight w:val="414"/>
        </w:trPr>
        <w:tc>
          <w:tcPr>
            <w:tcW w:w="7820" w:type="dxa"/>
            <w:vAlign w:val="bottom"/>
          </w:tcPr>
          <w:p>
            <w:pPr>
              <w:jc w:val="center"/>
              <w:ind w:left="2723"/>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520" w:type="dxa"/>
            <w:vAlign w:val="bottom"/>
          </w:tcPr>
          <w:p>
            <w:pPr>
              <w:spacing w:after="0"/>
              <w:rPr>
                <w:sz w:val="24"/>
                <w:szCs w:val="24"/>
                <w:color w:val="auto"/>
              </w:rPr>
            </w:pPr>
          </w:p>
        </w:tc>
      </w:tr>
      <w:tr>
        <w:trPr>
          <w:trHeight w:val="234"/>
        </w:trPr>
        <w:tc>
          <w:tcPr>
            <w:tcW w:w="7820" w:type="dxa"/>
            <w:vAlign w:val="bottom"/>
          </w:tcPr>
          <w:p>
            <w:pPr>
              <w:jc w:val="center"/>
              <w:ind w:left="2703"/>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520" w:type="dxa"/>
            <w:vAlign w:val="bottom"/>
          </w:tcPr>
          <w:p>
            <w:pPr>
              <w:spacing w:after="0"/>
              <w:rPr>
                <w:sz w:val="20"/>
                <w:szCs w:val="20"/>
                <w:color w:val="auto"/>
              </w:rPr>
            </w:pPr>
          </w:p>
        </w:tc>
      </w:tr>
      <w:tr>
        <w:trPr>
          <w:trHeight w:val="498"/>
        </w:trPr>
        <w:tc>
          <w:tcPr>
            <w:tcW w:w="7820" w:type="dxa"/>
            <w:vAlign w:val="bottom"/>
          </w:tcPr>
          <w:p>
            <w:pPr>
              <w:jc w:val="center"/>
              <w:ind w:left="2703"/>
              <w:spacing w:after="0"/>
              <w:rPr>
                <w:sz w:val="20"/>
                <w:szCs w:val="20"/>
                <w:color w:val="auto"/>
              </w:rPr>
            </w:pPr>
            <w:r>
              <w:rPr>
                <w:rFonts w:ascii="Times New Roman" w:cs="Times New Roman" w:eastAsia="Times New Roman" w:hAnsi="Times New Roman"/>
                <w:sz w:val="22"/>
                <w:szCs w:val="22"/>
                <w:color w:val="auto"/>
                <w:w w:val="97"/>
              </w:rPr>
              <w:t>_____________________</w:t>
            </w:r>
          </w:p>
        </w:tc>
        <w:tc>
          <w:tcPr>
            <w:tcW w:w="2520" w:type="dxa"/>
            <w:vAlign w:val="bottom"/>
          </w:tcPr>
          <w:p>
            <w:pPr>
              <w:spacing w:after="0"/>
              <w:rPr>
                <w:sz w:val="24"/>
                <w:szCs w:val="24"/>
                <w:color w:val="auto"/>
              </w:rPr>
            </w:pPr>
          </w:p>
        </w:tc>
      </w:tr>
    </w:tbl>
    <w:p>
      <w:pPr>
        <w:spacing w:after="0" w:line="21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ind w:firstLine="324"/>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660" w:hanging="598"/>
        <w:spacing w:after="0" w:line="236" w:lineRule="auto"/>
        <w:tabs>
          <w:tab w:leader="none" w:pos="6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2" w:lineRule="exact"/>
        <w:rPr>
          <w:rFonts w:ascii="Times New Roman" w:cs="Times New Roman" w:eastAsia="Times New Roman" w:hAnsi="Times New Roman"/>
          <w:sz w:val="43"/>
          <w:szCs w:val="43"/>
          <w:color w:val="auto"/>
          <w:vertAlign w:val="subscript"/>
        </w:rPr>
      </w:pPr>
    </w:p>
    <w:p>
      <w:pPr>
        <w:ind w:left="660" w:hanging="598"/>
        <w:spacing w:after="0" w:line="236" w:lineRule="auto"/>
        <w:tabs>
          <w:tab w:leader="none" w:pos="6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4" w:lineRule="exact"/>
        <w:rPr>
          <w:rFonts w:ascii="Times New Roman" w:cs="Times New Roman" w:eastAsia="Times New Roman" w:hAnsi="Times New Roman"/>
          <w:sz w:val="43"/>
          <w:szCs w:val="43"/>
          <w:color w:val="auto"/>
          <w:vertAlign w:val="subscript"/>
        </w:rPr>
      </w:pPr>
    </w:p>
    <w:p>
      <w:pPr>
        <w:ind w:left="660" w:hanging="598"/>
        <w:spacing w:after="0" w:line="236" w:lineRule="auto"/>
        <w:tabs>
          <w:tab w:leader="none" w:pos="6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4" w:lineRule="exact"/>
        <w:rPr>
          <w:rFonts w:ascii="Times New Roman" w:cs="Times New Roman" w:eastAsia="Times New Roman" w:hAnsi="Times New Roman"/>
          <w:sz w:val="43"/>
          <w:szCs w:val="43"/>
          <w:color w:val="auto"/>
          <w:vertAlign w:val="subscript"/>
        </w:rPr>
      </w:pPr>
    </w:p>
    <w:p>
      <w:pPr>
        <w:ind w:left="660" w:hanging="598"/>
        <w:spacing w:after="0" w:line="236" w:lineRule="auto"/>
        <w:tabs>
          <w:tab w:leader="none" w:pos="660" w:val="left"/>
        </w:tabs>
        <w:numPr>
          <w:ilvl w:val="0"/>
          <w:numId w:val="1"/>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470535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1139190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094" w:right="7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0" w:lineRule="exact"/>
        <w:rPr>
          <w:sz w:val="20"/>
          <w:szCs w:val="20"/>
          <w:color w:val="auto"/>
        </w:rPr>
      </w:pPr>
    </w:p>
    <w:p>
      <w:pPr>
        <w:spacing w:after="0" w:line="3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May 3, 2005, Comcast Corporation (“Comcast”) issued a press release announcing that AT&amp;T Corp. reached a settlement of certain At Home litigation. Comcast will pay AT&amp;T Corp. $170 million to reimburse it for Comcast’s portion of AT&amp;T’s settlement. As Comcast noted in its April 28, 2005, press release, because this settlement was reached prior to the filing of Comcast's Form 10-Q for the first quarter 2005, it must reflect its portion of the settlement in its first quarter earnings. The press release is attached hereto as Exhibit 99.1. Comcast does not intend for this Item 2.02 or Exhibit 99.1 to be treated as “filed” under the Securities Exchange Act of 1934, as amended, or incorporated by reference into its filings under the Securities Act of 1933, as amended.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Exhibits</w:t>
      </w:r>
    </w:p>
    <w:p>
      <w:pPr>
        <w:spacing w:after="0" w:line="288"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2"/>
          <w:szCs w:val="22"/>
          <w:color w:val="auto"/>
        </w:rPr>
        <w:t>Exhibit 99.1</w:t>
      </w:r>
      <w:r>
        <w:rPr>
          <w:sz w:val="20"/>
          <w:szCs w:val="20"/>
          <w:color w:val="auto"/>
        </w:rPr>
        <w:tab/>
      </w:r>
      <w:r>
        <w:rPr>
          <w:rFonts w:ascii="Times New Roman" w:cs="Times New Roman" w:eastAsia="Times New Roman" w:hAnsi="Times New Roman"/>
          <w:sz w:val="21"/>
          <w:szCs w:val="21"/>
          <w:color w:val="auto"/>
        </w:rPr>
        <w:t>Comcast Corporation press release dated May 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720725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3" w:right="2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2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COMCAST CORPORATION</w:t>
            </w:r>
          </w:p>
        </w:tc>
        <w:tc>
          <w:tcPr>
            <w:tcW w:w="20" w:type="dxa"/>
            <w:vAlign w:val="bottom"/>
          </w:tcPr>
          <w:p>
            <w:pPr>
              <w:spacing w:after="0"/>
              <w:rPr>
                <w:sz w:val="24"/>
                <w:szCs w:val="24"/>
                <w:color w:val="auto"/>
              </w:rPr>
            </w:pPr>
          </w:p>
        </w:tc>
      </w:tr>
      <w:tr>
        <w:trPr>
          <w:trHeight w:val="540"/>
        </w:trPr>
        <w:tc>
          <w:tcPr>
            <w:tcW w:w="3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Date:   May 4, 2005</w:t>
            </w:r>
          </w:p>
        </w:tc>
        <w:tc>
          <w:tcPr>
            <w:tcW w:w="7620" w:type="dxa"/>
            <w:vAlign w:val="bottom"/>
            <w:gridSpan w:val="2"/>
          </w:tcPr>
          <w:p>
            <w:pPr>
              <w:ind w:left="980"/>
              <w:spacing w:after="0"/>
              <w:rPr>
                <w:sz w:val="20"/>
                <w:szCs w:val="20"/>
                <w:color w:val="auto"/>
              </w:rPr>
            </w:pPr>
            <w:r>
              <w:rPr>
                <w:rFonts w:ascii="Times New Roman" w:cs="Times New Roman" w:eastAsia="Times New Roman" w:hAnsi="Times New Roman"/>
                <w:sz w:val="22"/>
                <w:szCs w:val="22"/>
                <w:color w:val="auto"/>
              </w:rPr>
              <w:t>By:   /s/ Arthur R. Block</w:t>
            </w:r>
          </w:p>
        </w:tc>
        <w:tc>
          <w:tcPr>
            <w:tcW w:w="20" w:type="dxa"/>
            <w:vAlign w:val="bottom"/>
          </w:tcPr>
          <w:p>
            <w:pPr>
              <w:spacing w:after="0"/>
              <w:rPr>
                <w:sz w:val="24"/>
                <w:szCs w:val="24"/>
                <w:color w:val="auto"/>
              </w:rPr>
            </w:pPr>
          </w:p>
        </w:tc>
      </w:tr>
      <w:tr>
        <w:trPr>
          <w:trHeight w:val="251"/>
        </w:trPr>
        <w:tc>
          <w:tcPr>
            <w:tcW w:w="720" w:type="dxa"/>
            <w:vAlign w:val="bottom"/>
          </w:tcPr>
          <w:p>
            <w:pPr>
              <w:spacing w:after="0"/>
              <w:rPr>
                <w:sz w:val="21"/>
                <w:szCs w:val="21"/>
                <w:color w:val="auto"/>
              </w:rPr>
            </w:pPr>
          </w:p>
        </w:tc>
        <w:tc>
          <w:tcPr>
            <w:tcW w:w="3080" w:type="dxa"/>
            <w:vAlign w:val="bottom"/>
            <w:tcBorders>
              <w:top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6080" w:type="dxa"/>
            <w:vAlign w:val="bottom"/>
            <w:tcBorders>
              <w:top w:val="single" w:sz="8" w:color="auto"/>
            </w:tcBorders>
          </w:tcPr>
          <w:p>
            <w:pPr>
              <w:spacing w:after="0" w:line="251" w:lineRule="exact"/>
              <w:rPr>
                <w:sz w:val="20"/>
                <w:szCs w:val="20"/>
                <w:color w:val="auto"/>
              </w:rPr>
            </w:pPr>
            <w:r>
              <w:rPr>
                <w:rFonts w:ascii="Times New Roman" w:cs="Times New Roman" w:eastAsia="Times New Roman" w:hAnsi="Times New Roman"/>
                <w:sz w:val="22"/>
                <w:szCs w:val="22"/>
                <w:color w:val="auto"/>
              </w:rPr>
              <w:t>Name: Arthur R. Block</w:t>
            </w:r>
          </w:p>
        </w:tc>
        <w:tc>
          <w:tcPr>
            <w:tcW w:w="20" w:type="dxa"/>
            <w:vAlign w:val="bottom"/>
          </w:tcPr>
          <w:p>
            <w:pPr>
              <w:spacing w:after="0"/>
              <w:rPr>
                <w:sz w:val="21"/>
                <w:szCs w:val="21"/>
                <w:color w:val="auto"/>
              </w:rPr>
            </w:pPr>
          </w:p>
        </w:tc>
      </w:tr>
      <w:tr>
        <w:trPr>
          <w:trHeight w:val="283"/>
        </w:trPr>
        <w:tc>
          <w:tcPr>
            <w:tcW w:w="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620" w:type="dxa"/>
            <w:vAlign w:val="bottom"/>
            <w:gridSpan w:val="2"/>
          </w:tcPr>
          <w:p>
            <w:pPr>
              <w:ind w:left="1540"/>
              <w:spacing w:after="0"/>
              <w:rPr>
                <w:sz w:val="20"/>
                <w:szCs w:val="20"/>
                <w:color w:val="auto"/>
              </w:rPr>
            </w:pPr>
            <w:r>
              <w:rPr>
                <w:rFonts w:ascii="Times New Roman" w:cs="Times New Roman" w:eastAsia="Times New Roman" w:hAnsi="Times New Roman"/>
                <w:sz w:val="22"/>
                <w:szCs w:val="22"/>
                <w:color w:val="auto"/>
              </w:rPr>
              <w:t>Title: Senior Vice President, General Counsel and Secretary</w:t>
            </w:r>
          </w:p>
        </w:tc>
        <w:tc>
          <w:tcPr>
            <w:tcW w:w="20" w:type="dxa"/>
            <w:vAlign w:val="bottom"/>
          </w:tcPr>
          <w:p>
            <w:pPr>
              <w:spacing w:after="0"/>
              <w:rPr>
                <w:sz w:val="24"/>
                <w:szCs w:val="24"/>
                <w:color w:val="auto"/>
              </w:rPr>
            </w:pPr>
          </w:p>
        </w:tc>
      </w:tr>
      <w:tr>
        <w:trPr>
          <w:trHeight w:val="633"/>
        </w:trPr>
        <w:tc>
          <w:tcPr>
            <w:tcW w:w="7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0" w:right="219" w:bottom="1440" w:gutter="0" w:footer="0" w:header="0"/>
        </w:sectPr>
      </w:pPr>
    </w:p>
    <w:bookmarkStart w:id="3" w:name="page4"/>
    <w:bookmarkEnd w:id="3"/>
    <w:p>
      <w:pPr>
        <w:ind w:left="76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032635"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032635" cy="523240"/>
                    </a:xfrm>
                    <a:prstGeom prst="rect">
                      <a:avLst/>
                    </a:prstGeom>
                    <a:noFill/>
                  </pic:spPr>
                </pic:pic>
              </a:graphicData>
            </a:graphic>
          </wp:anchor>
        </w:drawing>
        <w:t>PRESS RELEASE</w:t>
      </w:r>
    </w:p>
    <w:p>
      <w:pPr>
        <w:spacing w:after="0" w:line="3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Comcast Corporation</w:t>
      </w:r>
    </w:p>
    <w:p>
      <w:pPr>
        <w:spacing w:after="0" w:line="14"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1500 Market St.</w:t>
      </w:r>
    </w:p>
    <w:p>
      <w:pPr>
        <w:spacing w:after="0" w:line="3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Philadelphia, PA 19102</w:t>
      </w:r>
    </w:p>
    <w:p>
      <w:pPr>
        <w:spacing w:after="0" w:line="3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www.comcast.com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Investor Contacts:</w:t>
            </w:r>
          </w:p>
        </w:tc>
        <w:tc>
          <w:tcPr>
            <w:tcW w:w="10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920" w:type="dxa"/>
            <w:vAlign w:val="bottom"/>
            <w:gridSpan w:val="3"/>
          </w:tcPr>
          <w:p>
            <w:pPr>
              <w:ind w:left="1160"/>
              <w:spacing w:after="0"/>
              <w:rPr>
                <w:sz w:val="20"/>
                <w:szCs w:val="20"/>
                <w:color w:val="auto"/>
              </w:rPr>
            </w:pPr>
            <w:r>
              <w:rPr>
                <w:rFonts w:ascii="Arial" w:cs="Arial" w:eastAsia="Arial" w:hAnsi="Arial"/>
                <w:sz w:val="18"/>
                <w:szCs w:val="18"/>
                <w:b w:val="1"/>
                <w:bCs w:val="1"/>
                <w:color w:val="auto"/>
              </w:rPr>
              <w:t>Press Contacts:</w:t>
            </w:r>
          </w:p>
        </w:tc>
        <w:tc>
          <w:tcPr>
            <w:tcW w:w="1600" w:type="dxa"/>
            <w:vAlign w:val="bottom"/>
          </w:tcPr>
          <w:p>
            <w:pPr>
              <w:spacing w:after="0"/>
              <w:rPr>
                <w:sz w:val="17"/>
                <w:szCs w:val="17"/>
                <w:color w:val="auto"/>
              </w:rPr>
            </w:pPr>
          </w:p>
        </w:tc>
      </w:tr>
      <w:tr>
        <w:trPr>
          <w:trHeight w:val="241"/>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Marlene S. Dooner</w:t>
            </w:r>
          </w:p>
        </w:tc>
        <w:tc>
          <w:tcPr>
            <w:tcW w:w="6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1960" w:type="dxa"/>
            <w:vAlign w:val="bottom"/>
          </w:tcPr>
          <w:p>
            <w:pPr>
              <w:ind w:left="20"/>
              <w:spacing w:after="0"/>
              <w:rPr>
                <w:sz w:val="20"/>
                <w:szCs w:val="20"/>
                <w:color w:val="auto"/>
              </w:rPr>
            </w:pPr>
            <w:r>
              <w:rPr>
                <w:rFonts w:ascii="Arial" w:cs="Arial" w:eastAsia="Arial" w:hAnsi="Arial"/>
                <w:sz w:val="18"/>
                <w:szCs w:val="18"/>
                <w:color w:val="auto"/>
              </w:rPr>
              <w:t>981-7392</w:t>
            </w:r>
          </w:p>
        </w:tc>
        <w:tc>
          <w:tcPr>
            <w:tcW w:w="11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D’Arcy Rudnay</w:t>
            </w:r>
          </w:p>
        </w:tc>
        <w:tc>
          <w:tcPr>
            <w:tcW w:w="3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(215) 981-8582</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Leslie A. Arena</w:t>
            </w: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1960" w:type="dxa"/>
            <w:vAlign w:val="bottom"/>
          </w:tcPr>
          <w:p>
            <w:pPr>
              <w:ind w:left="20"/>
              <w:spacing w:after="0"/>
              <w:rPr>
                <w:sz w:val="20"/>
                <w:szCs w:val="20"/>
                <w:color w:val="auto"/>
              </w:rPr>
            </w:pPr>
            <w:r>
              <w:rPr>
                <w:rFonts w:ascii="Arial" w:cs="Arial" w:eastAsia="Arial" w:hAnsi="Arial"/>
                <w:sz w:val="18"/>
                <w:szCs w:val="18"/>
                <w:color w:val="auto"/>
              </w:rPr>
              <w:t>981-8511</w:t>
            </w:r>
          </w:p>
        </w:tc>
        <w:tc>
          <w:tcPr>
            <w:tcW w:w="2920" w:type="dxa"/>
            <w:vAlign w:val="bottom"/>
            <w:gridSpan w:val="3"/>
          </w:tcPr>
          <w:p>
            <w:pPr>
              <w:ind w:left="1160"/>
              <w:spacing w:after="0"/>
              <w:rPr>
                <w:sz w:val="20"/>
                <w:szCs w:val="20"/>
                <w:color w:val="auto"/>
              </w:rPr>
            </w:pPr>
            <w:r>
              <w:rPr>
                <w:rFonts w:ascii="Arial" w:cs="Arial" w:eastAsia="Arial" w:hAnsi="Arial"/>
                <w:sz w:val="18"/>
                <w:szCs w:val="18"/>
                <w:color w:val="auto"/>
              </w:rPr>
              <w:t>Tim Fitzpatrick</w:t>
            </w:r>
          </w:p>
        </w:tc>
        <w:tc>
          <w:tcPr>
            <w:tcW w:w="1600" w:type="dxa"/>
            <w:vAlign w:val="bottom"/>
          </w:tcPr>
          <w:p>
            <w:pPr>
              <w:jc w:val="right"/>
              <w:spacing w:after="0"/>
              <w:rPr>
                <w:sz w:val="20"/>
                <w:szCs w:val="20"/>
                <w:color w:val="auto"/>
              </w:rPr>
            </w:pPr>
            <w:r>
              <w:rPr>
                <w:rFonts w:ascii="Arial" w:cs="Arial" w:eastAsia="Arial" w:hAnsi="Arial"/>
                <w:sz w:val="18"/>
                <w:szCs w:val="18"/>
                <w:color w:val="auto"/>
              </w:rPr>
              <w:t>(215) 981-8515</w:t>
            </w:r>
          </w:p>
        </w:tc>
      </w:tr>
      <w:tr>
        <w:trPr>
          <w:trHeight w:val="243"/>
        </w:trPr>
        <w:tc>
          <w:tcPr>
            <w:tcW w:w="2220" w:type="dxa"/>
            <w:vAlign w:val="bottom"/>
            <w:gridSpan w:val="2"/>
          </w:tcPr>
          <w:p>
            <w:pPr>
              <w:spacing w:after="0"/>
              <w:rPr>
                <w:sz w:val="20"/>
                <w:szCs w:val="20"/>
                <w:color w:val="auto"/>
              </w:rPr>
            </w:pPr>
            <w:r>
              <w:rPr>
                <w:rFonts w:ascii="Arial" w:cs="Arial" w:eastAsia="Arial" w:hAnsi="Arial"/>
                <w:sz w:val="18"/>
                <w:szCs w:val="18"/>
                <w:color w:val="auto"/>
              </w:rPr>
              <w:t>Daniel J. Goodwin</w:t>
            </w: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1960" w:type="dxa"/>
            <w:vAlign w:val="bottom"/>
          </w:tcPr>
          <w:p>
            <w:pPr>
              <w:ind w:left="20"/>
              <w:spacing w:after="0"/>
              <w:rPr>
                <w:sz w:val="20"/>
                <w:szCs w:val="20"/>
                <w:color w:val="auto"/>
              </w:rPr>
            </w:pPr>
            <w:r>
              <w:rPr>
                <w:rFonts w:ascii="Arial" w:cs="Arial" w:eastAsia="Arial" w:hAnsi="Arial"/>
                <w:sz w:val="18"/>
                <w:szCs w:val="18"/>
                <w:color w:val="auto"/>
              </w:rPr>
              <w:t>981-7518</w:t>
            </w:r>
          </w:p>
        </w:tc>
        <w:tc>
          <w:tcPr>
            <w:tcW w:w="1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IMMEDIATE RELEASE</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AT&amp;T REACHES AT HOME LITIGATION SETTLEMENT</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i w:val="1"/>
          <w:iCs w:val="1"/>
          <w:color w:val="auto"/>
        </w:rPr>
        <w:t>Comcast Payment of $170 Million Results in Update to First Quarter 2005 Results</w:t>
      </w:r>
    </w:p>
    <w:p>
      <w:pPr>
        <w:spacing w:after="0" w:line="28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PHILADELPHIA </w:t>
      </w:r>
      <w:r>
        <w:rPr>
          <w:rFonts w:ascii="Times New Roman" w:cs="Times New Roman" w:eastAsia="Times New Roman" w:hAnsi="Times New Roman"/>
          <w:sz w:val="22"/>
          <w:szCs w:val="22"/>
          <w:color w:val="auto"/>
        </w:rPr>
        <w:t>(May 3, 2005) - Comcast Corporation (NASDAQ: CMCSA, CMCSK) today announced that AT&amp;T Corp.</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reached a settlement of certain At Home litigation. Comcast will pay AT&amp;T Corp. $170 million to reimburse it for Comcast’s portion of AT&amp;T’s settlement. Pursuant to the terms of its acquisition of AT&amp;T Broadband from AT&amp;T, Comcast is contractually liable for 50% of the $340 million settlement amount for these lawsuits, which are described below. The settlement also releases all claims by AT&amp;T and AT&amp;T Broadband in the At Home bankruptcy. The settlement is subject to the approval of the United States Bankruptcy Court for the Northern District of California.</w:t>
      </w:r>
    </w:p>
    <w:p>
      <w:pPr>
        <w:spacing w:after="0" w:line="238"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1"/>
          <w:szCs w:val="21"/>
          <w:color w:val="auto"/>
        </w:rPr>
        <w:t>As Comcast noted in its April 28, 2005 press release, because this settlement was reached prior to the filing of Comcast’s Form 10-Q for the first quarter 2005, it must reflect its portion of the settlement in its first quarter earnings. Below are selected items from Comcast’s release that reflect the changes resulting from the payment obligation (amounts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130175</wp:posOffset>
            </wp:positionV>
            <wp:extent cx="34290" cy="1645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1645920"/>
                    </a:xfrm>
                    <a:prstGeom prst="rect">
                      <a:avLst/>
                    </a:prstGeom>
                    <a:noFill/>
                  </pic:spPr>
                </pic:pic>
              </a:graphicData>
            </a:graphic>
          </wp:anchor>
        </w:drawing>
        <w:drawing>
          <wp:anchor simplePos="0" relativeHeight="251657728" behindDoc="1" locked="0" layoutInCell="0" allowOverlap="1">
            <wp:simplePos x="0" y="0"/>
            <wp:positionH relativeFrom="column">
              <wp:posOffset>5266690</wp:posOffset>
            </wp:positionH>
            <wp:positionV relativeFrom="paragraph">
              <wp:posOffset>139065</wp:posOffset>
            </wp:positionV>
            <wp:extent cx="34290" cy="1628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162877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139065</wp:posOffset>
            </wp:positionV>
            <wp:extent cx="34290" cy="1628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1628775"/>
                    </a:xfrm>
                    <a:prstGeom prst="rect">
                      <a:avLst/>
                    </a:prstGeom>
                    <a:noFill/>
                  </pic:spPr>
                </pic:pic>
              </a:graphicData>
            </a:graphic>
          </wp:anchor>
        </w:drawing>
        <w:drawing>
          <wp:anchor simplePos="0" relativeHeight="251657728" behindDoc="1" locked="0" layoutInCell="0" allowOverlap="1">
            <wp:simplePos x="0" y="0"/>
            <wp:positionH relativeFrom="column">
              <wp:posOffset>6861810</wp:posOffset>
            </wp:positionH>
            <wp:positionV relativeFrom="paragraph">
              <wp:posOffset>130175</wp:posOffset>
            </wp:positionV>
            <wp:extent cx="42545" cy="1645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45" cy="1645920"/>
                    </a:xfrm>
                    <a:prstGeom prst="rect">
                      <a:avLst/>
                    </a:prstGeom>
                    <a:noFill/>
                  </pic:spPr>
                </pic:pic>
              </a:graphicData>
            </a:graphic>
          </wp:anchor>
        </w:drawing>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79"/>
        </w:trPr>
        <w:tc>
          <w:tcPr>
            <w:tcW w:w="40" w:type="dxa"/>
            <w:vAlign w:val="bottom"/>
            <w:tcBorders>
              <w:top w:val="single" w:sz="8" w:color="808080"/>
              <w:right w:val="single" w:sz="8" w:color="2C2C2C"/>
            </w:tcBorders>
          </w:tcPr>
          <w:p>
            <w:pPr>
              <w:spacing w:after="0"/>
              <w:rPr>
                <w:sz w:val="24"/>
                <w:szCs w:val="24"/>
                <w:color w:val="auto"/>
              </w:rPr>
            </w:pPr>
          </w:p>
        </w:tc>
        <w:tc>
          <w:tcPr>
            <w:tcW w:w="7720" w:type="dxa"/>
            <w:vAlign w:val="bottom"/>
            <w:tcBorders>
              <w:top w:val="single" w:sz="8" w:color="2C2C2C"/>
              <w:right w:val="single" w:sz="8" w:color="2C2C2C"/>
            </w:tcBorders>
          </w:tcPr>
          <w:p>
            <w:pPr>
              <w:spacing w:after="0"/>
              <w:rPr>
                <w:sz w:val="24"/>
                <w:szCs w:val="24"/>
                <w:color w:val="auto"/>
              </w:rPr>
            </w:pPr>
          </w:p>
        </w:tc>
        <w:tc>
          <w:tcPr>
            <w:tcW w:w="1320" w:type="dxa"/>
            <w:vAlign w:val="bottom"/>
            <w:tcBorders>
              <w:top w:val="single" w:sz="8" w:color="2C2C2C"/>
              <w:right w:val="single" w:sz="8" w:color="2C2C2C"/>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As Stated on</w:t>
            </w:r>
          </w:p>
        </w:tc>
        <w:tc>
          <w:tcPr>
            <w:tcW w:w="118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As</w:t>
            </w:r>
          </w:p>
        </w:tc>
        <w:tc>
          <w:tcPr>
            <w:tcW w:w="20" w:type="dxa"/>
            <w:vAlign w:val="bottom"/>
            <w:tcBorders>
              <w:top w:val="single" w:sz="8" w:color="808080"/>
            </w:tcBorders>
          </w:tcPr>
          <w:p>
            <w:pPr>
              <w:spacing w:after="0"/>
              <w:rPr>
                <w:sz w:val="24"/>
                <w:szCs w:val="24"/>
                <w:color w:val="auto"/>
              </w:rPr>
            </w:pPr>
          </w:p>
        </w:tc>
      </w:tr>
      <w:tr>
        <w:trPr>
          <w:trHeight w:val="270"/>
        </w:trPr>
        <w:tc>
          <w:tcPr>
            <w:tcW w:w="40" w:type="dxa"/>
            <w:vAlign w:val="bottom"/>
            <w:tcBorders>
              <w:right w:val="single" w:sz="8" w:color="2C2C2C"/>
            </w:tcBorders>
          </w:tcPr>
          <w:p>
            <w:pPr>
              <w:spacing w:after="0"/>
              <w:rPr>
                <w:sz w:val="23"/>
                <w:szCs w:val="23"/>
                <w:color w:val="auto"/>
              </w:rPr>
            </w:pPr>
          </w:p>
        </w:tc>
        <w:tc>
          <w:tcPr>
            <w:tcW w:w="7720" w:type="dxa"/>
            <w:vAlign w:val="bottom"/>
            <w:tcBorders>
              <w:right w:val="single" w:sz="8" w:color="2C2C2C"/>
            </w:tcBorders>
          </w:tcPr>
          <w:p>
            <w:pPr>
              <w:spacing w:after="0"/>
              <w:rPr>
                <w:sz w:val="23"/>
                <w:szCs w:val="23"/>
                <w:color w:val="auto"/>
              </w:rPr>
            </w:pPr>
          </w:p>
        </w:tc>
        <w:tc>
          <w:tcPr>
            <w:tcW w:w="1320" w:type="dxa"/>
            <w:vAlign w:val="bottom"/>
            <w:tcBorders>
              <w:right w:val="single" w:sz="8" w:color="2C2C2C"/>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April 28,</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6"/>
              </w:rPr>
              <w:t>Updated</w:t>
            </w:r>
          </w:p>
        </w:tc>
      </w:tr>
      <w:tr>
        <w:trPr>
          <w:trHeight w:val="287"/>
        </w:trPr>
        <w:tc>
          <w:tcPr>
            <w:tcW w:w="40" w:type="dxa"/>
            <w:vAlign w:val="bottom"/>
            <w:tcBorders>
              <w:right w:val="single" w:sz="8" w:color="2C2C2C"/>
            </w:tcBorders>
          </w:tcPr>
          <w:p>
            <w:pPr>
              <w:spacing w:after="0"/>
              <w:rPr>
                <w:sz w:val="24"/>
                <w:szCs w:val="24"/>
                <w:color w:val="auto"/>
              </w:rPr>
            </w:pPr>
          </w:p>
        </w:tc>
        <w:tc>
          <w:tcPr>
            <w:tcW w:w="7720" w:type="dxa"/>
            <w:vAlign w:val="bottom"/>
            <w:tcBorders>
              <w:bottom w:val="single" w:sz="8" w:color="2C2C2C"/>
              <w:right w:val="single" w:sz="8" w:color="2C2C2C"/>
            </w:tcBorders>
          </w:tcPr>
          <w:p>
            <w:pPr>
              <w:spacing w:after="0"/>
              <w:rPr>
                <w:sz w:val="24"/>
                <w:szCs w:val="24"/>
                <w:color w:val="auto"/>
              </w:rPr>
            </w:pPr>
          </w:p>
        </w:tc>
        <w:tc>
          <w:tcPr>
            <w:tcW w:w="1320" w:type="dxa"/>
            <w:vAlign w:val="bottom"/>
            <w:tcBorders>
              <w:bottom w:val="single" w:sz="8" w:color="2C2C2C"/>
              <w:right w:val="single" w:sz="8" w:color="2C2C2C"/>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2005</w:t>
            </w:r>
          </w:p>
        </w:tc>
        <w:tc>
          <w:tcPr>
            <w:tcW w:w="11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Borders>
              <w:right w:val="single" w:sz="8" w:color="2C2C2C"/>
            </w:tcBorders>
          </w:tcPr>
          <w:p>
            <w:pPr>
              <w:spacing w:after="0"/>
              <w:rPr>
                <w:sz w:val="22"/>
                <w:szCs w:val="22"/>
                <w:color w:val="auto"/>
              </w:rPr>
            </w:pPr>
          </w:p>
        </w:tc>
        <w:tc>
          <w:tcPr>
            <w:tcW w:w="7720" w:type="dxa"/>
            <w:vAlign w:val="bottom"/>
            <w:tcBorders>
              <w:bottom w:val="single" w:sz="8" w:color="2C2C2C"/>
              <w:right w:val="single" w:sz="8" w:color="2C2C2C"/>
            </w:tcBorders>
          </w:tcPr>
          <w:p>
            <w:pPr>
              <w:spacing w:after="0"/>
              <w:rPr>
                <w:sz w:val="20"/>
                <w:szCs w:val="20"/>
                <w:color w:val="auto"/>
              </w:rPr>
            </w:pPr>
            <w:r>
              <w:rPr>
                <w:rFonts w:ascii="Times New Roman" w:cs="Times New Roman" w:eastAsia="Times New Roman" w:hAnsi="Times New Roman"/>
                <w:sz w:val="22"/>
                <w:szCs w:val="22"/>
                <w:color w:val="auto"/>
              </w:rPr>
              <w:t>Operating Cash Flow</w:t>
            </w:r>
          </w:p>
        </w:tc>
        <w:tc>
          <w:tcPr>
            <w:tcW w:w="1320" w:type="dxa"/>
            <w:vAlign w:val="bottom"/>
            <w:tcBorders>
              <w:bottom w:val="single" w:sz="8" w:color="2C2C2C"/>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$2,030</w:t>
            </w:r>
          </w:p>
        </w:tc>
        <w:tc>
          <w:tcPr>
            <w:tcW w:w="11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$2,030</w:t>
            </w:r>
          </w:p>
        </w:tc>
        <w:tc>
          <w:tcPr>
            <w:tcW w:w="20" w:type="dxa"/>
            <w:vAlign w:val="bottom"/>
          </w:tcPr>
          <w:p>
            <w:pPr>
              <w:spacing w:after="0"/>
              <w:rPr>
                <w:sz w:val="22"/>
                <w:szCs w:val="22"/>
                <w:color w:val="auto"/>
              </w:rPr>
            </w:pPr>
          </w:p>
        </w:tc>
      </w:tr>
      <w:tr>
        <w:trPr>
          <w:trHeight w:val="264"/>
        </w:trPr>
        <w:tc>
          <w:tcPr>
            <w:tcW w:w="40" w:type="dxa"/>
            <w:vAlign w:val="bottom"/>
            <w:tcBorders>
              <w:right w:val="single" w:sz="8" w:color="2C2C2C"/>
            </w:tcBorders>
          </w:tcPr>
          <w:p>
            <w:pPr>
              <w:spacing w:after="0"/>
              <w:rPr>
                <w:sz w:val="22"/>
                <w:szCs w:val="22"/>
                <w:color w:val="auto"/>
              </w:rPr>
            </w:pPr>
          </w:p>
        </w:tc>
        <w:tc>
          <w:tcPr>
            <w:tcW w:w="7720" w:type="dxa"/>
            <w:vAlign w:val="bottom"/>
            <w:tcBorders>
              <w:bottom w:val="single" w:sz="8" w:color="2C2C2C"/>
              <w:right w:val="single" w:sz="8" w:color="2C2C2C"/>
            </w:tcBorders>
          </w:tcPr>
          <w:p>
            <w:pPr>
              <w:spacing w:after="0"/>
              <w:rPr>
                <w:sz w:val="20"/>
                <w:szCs w:val="20"/>
                <w:color w:val="auto"/>
              </w:rPr>
            </w:pPr>
            <w:r>
              <w:rPr>
                <w:rFonts w:ascii="Times New Roman" w:cs="Times New Roman" w:eastAsia="Times New Roman" w:hAnsi="Times New Roman"/>
                <w:sz w:val="22"/>
                <w:szCs w:val="22"/>
                <w:color w:val="auto"/>
              </w:rPr>
              <w:t>Operating Income</w:t>
            </w:r>
          </w:p>
        </w:tc>
        <w:tc>
          <w:tcPr>
            <w:tcW w:w="1320" w:type="dxa"/>
            <w:vAlign w:val="bottom"/>
            <w:tcBorders>
              <w:bottom w:val="single" w:sz="8" w:color="2C2C2C"/>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$866</w:t>
            </w:r>
          </w:p>
        </w:tc>
        <w:tc>
          <w:tcPr>
            <w:tcW w:w="11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$866</w:t>
            </w:r>
          </w:p>
        </w:tc>
        <w:tc>
          <w:tcPr>
            <w:tcW w:w="20" w:type="dxa"/>
            <w:vAlign w:val="bottom"/>
          </w:tcPr>
          <w:p>
            <w:pPr>
              <w:spacing w:after="0"/>
              <w:rPr>
                <w:sz w:val="22"/>
                <w:szCs w:val="22"/>
                <w:color w:val="auto"/>
              </w:rPr>
            </w:pPr>
          </w:p>
        </w:tc>
      </w:tr>
      <w:tr>
        <w:trPr>
          <w:trHeight w:val="264"/>
        </w:trPr>
        <w:tc>
          <w:tcPr>
            <w:tcW w:w="40" w:type="dxa"/>
            <w:vAlign w:val="bottom"/>
            <w:tcBorders>
              <w:right w:val="single" w:sz="8" w:color="2C2C2C"/>
            </w:tcBorders>
          </w:tcPr>
          <w:p>
            <w:pPr>
              <w:spacing w:after="0"/>
              <w:rPr>
                <w:sz w:val="22"/>
                <w:szCs w:val="22"/>
                <w:color w:val="auto"/>
              </w:rPr>
            </w:pPr>
          </w:p>
        </w:tc>
        <w:tc>
          <w:tcPr>
            <w:tcW w:w="7720" w:type="dxa"/>
            <w:vAlign w:val="bottom"/>
            <w:tcBorders>
              <w:bottom w:val="single" w:sz="8" w:color="2C2C2C"/>
              <w:right w:val="single" w:sz="8" w:color="2C2C2C"/>
            </w:tcBorders>
          </w:tcPr>
          <w:p>
            <w:pPr>
              <w:spacing w:after="0"/>
              <w:rPr>
                <w:sz w:val="20"/>
                <w:szCs w:val="20"/>
                <w:color w:val="auto"/>
              </w:rPr>
            </w:pPr>
            <w:r>
              <w:rPr>
                <w:rFonts w:ascii="Times New Roman" w:cs="Times New Roman" w:eastAsia="Times New Roman" w:hAnsi="Times New Roman"/>
                <w:sz w:val="22"/>
                <w:szCs w:val="22"/>
                <w:color w:val="auto"/>
              </w:rPr>
              <w:t>Other Income (expense)</w:t>
            </w:r>
          </w:p>
        </w:tc>
        <w:tc>
          <w:tcPr>
            <w:tcW w:w="1320" w:type="dxa"/>
            <w:vAlign w:val="bottom"/>
            <w:tcBorders>
              <w:bottom w:val="single" w:sz="8" w:color="2C2C2C"/>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$62</w:t>
            </w:r>
          </w:p>
        </w:tc>
        <w:tc>
          <w:tcPr>
            <w:tcW w:w="11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$(108)</w:t>
            </w:r>
          </w:p>
        </w:tc>
        <w:tc>
          <w:tcPr>
            <w:tcW w:w="20" w:type="dxa"/>
            <w:vAlign w:val="bottom"/>
          </w:tcPr>
          <w:p>
            <w:pPr>
              <w:spacing w:after="0"/>
              <w:rPr>
                <w:sz w:val="22"/>
                <w:szCs w:val="22"/>
                <w:color w:val="auto"/>
              </w:rPr>
            </w:pPr>
          </w:p>
        </w:tc>
      </w:tr>
      <w:tr>
        <w:trPr>
          <w:trHeight w:val="264"/>
        </w:trPr>
        <w:tc>
          <w:tcPr>
            <w:tcW w:w="40" w:type="dxa"/>
            <w:vAlign w:val="bottom"/>
            <w:tcBorders>
              <w:right w:val="single" w:sz="8" w:color="2C2C2C"/>
            </w:tcBorders>
          </w:tcPr>
          <w:p>
            <w:pPr>
              <w:spacing w:after="0"/>
              <w:rPr>
                <w:sz w:val="22"/>
                <w:szCs w:val="22"/>
                <w:color w:val="auto"/>
              </w:rPr>
            </w:pPr>
          </w:p>
        </w:tc>
        <w:tc>
          <w:tcPr>
            <w:tcW w:w="7720" w:type="dxa"/>
            <w:vAlign w:val="bottom"/>
            <w:tcBorders>
              <w:bottom w:val="single" w:sz="8" w:color="2C2C2C"/>
              <w:right w:val="single" w:sz="8" w:color="2C2C2C"/>
            </w:tcBorders>
          </w:tcPr>
          <w:p>
            <w:pPr>
              <w:spacing w:after="0"/>
              <w:rPr>
                <w:sz w:val="20"/>
                <w:szCs w:val="20"/>
                <w:color w:val="auto"/>
              </w:rPr>
            </w:pPr>
            <w:r>
              <w:rPr>
                <w:rFonts w:ascii="Times New Roman" w:cs="Times New Roman" w:eastAsia="Times New Roman" w:hAnsi="Times New Roman"/>
                <w:sz w:val="22"/>
                <w:szCs w:val="22"/>
                <w:color w:val="auto"/>
              </w:rPr>
              <w:t>Income before Income Taxes and Minority Interest</w:t>
            </w:r>
          </w:p>
        </w:tc>
        <w:tc>
          <w:tcPr>
            <w:tcW w:w="1320" w:type="dxa"/>
            <w:vAlign w:val="bottom"/>
            <w:tcBorders>
              <w:bottom w:val="single" w:sz="8" w:color="2C2C2C"/>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$460</w:t>
            </w:r>
          </w:p>
        </w:tc>
        <w:tc>
          <w:tcPr>
            <w:tcW w:w="11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$290</w:t>
            </w:r>
          </w:p>
        </w:tc>
        <w:tc>
          <w:tcPr>
            <w:tcW w:w="20" w:type="dxa"/>
            <w:vAlign w:val="bottom"/>
          </w:tcPr>
          <w:p>
            <w:pPr>
              <w:spacing w:after="0"/>
              <w:rPr>
                <w:sz w:val="22"/>
                <w:szCs w:val="22"/>
                <w:color w:val="auto"/>
              </w:rPr>
            </w:pPr>
          </w:p>
        </w:tc>
      </w:tr>
      <w:tr>
        <w:trPr>
          <w:trHeight w:val="264"/>
        </w:trPr>
        <w:tc>
          <w:tcPr>
            <w:tcW w:w="40" w:type="dxa"/>
            <w:vAlign w:val="bottom"/>
            <w:tcBorders>
              <w:right w:val="single" w:sz="8" w:color="2C2C2C"/>
            </w:tcBorders>
          </w:tcPr>
          <w:p>
            <w:pPr>
              <w:spacing w:after="0"/>
              <w:rPr>
                <w:sz w:val="22"/>
                <w:szCs w:val="22"/>
                <w:color w:val="auto"/>
              </w:rPr>
            </w:pPr>
          </w:p>
        </w:tc>
        <w:tc>
          <w:tcPr>
            <w:tcW w:w="7720" w:type="dxa"/>
            <w:vAlign w:val="bottom"/>
            <w:tcBorders>
              <w:bottom w:val="single" w:sz="8" w:color="2C2C2C"/>
              <w:right w:val="single" w:sz="8" w:color="2C2C2C"/>
            </w:tcBorders>
          </w:tcPr>
          <w:p>
            <w:pPr>
              <w:spacing w:after="0"/>
              <w:rPr>
                <w:sz w:val="20"/>
                <w:szCs w:val="20"/>
                <w:color w:val="auto"/>
              </w:rPr>
            </w:pPr>
            <w:r>
              <w:rPr>
                <w:rFonts w:ascii="Times New Roman" w:cs="Times New Roman" w:eastAsia="Times New Roman" w:hAnsi="Times New Roman"/>
                <w:sz w:val="22"/>
                <w:szCs w:val="22"/>
                <w:color w:val="auto"/>
              </w:rPr>
              <w:t>Net Income</w:t>
            </w:r>
          </w:p>
        </w:tc>
        <w:tc>
          <w:tcPr>
            <w:tcW w:w="1320" w:type="dxa"/>
            <w:vAlign w:val="bottom"/>
            <w:tcBorders>
              <w:bottom w:val="single" w:sz="8" w:color="2C2C2C"/>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$313</w:t>
            </w:r>
          </w:p>
        </w:tc>
        <w:tc>
          <w:tcPr>
            <w:tcW w:w="11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$143</w:t>
            </w:r>
          </w:p>
        </w:tc>
        <w:tc>
          <w:tcPr>
            <w:tcW w:w="20" w:type="dxa"/>
            <w:vAlign w:val="bottom"/>
          </w:tcPr>
          <w:p>
            <w:pPr>
              <w:spacing w:after="0"/>
              <w:rPr>
                <w:sz w:val="22"/>
                <w:szCs w:val="22"/>
                <w:color w:val="auto"/>
              </w:rPr>
            </w:pPr>
          </w:p>
        </w:tc>
      </w:tr>
      <w:tr>
        <w:trPr>
          <w:trHeight w:val="264"/>
        </w:trPr>
        <w:tc>
          <w:tcPr>
            <w:tcW w:w="40" w:type="dxa"/>
            <w:vAlign w:val="bottom"/>
            <w:tcBorders>
              <w:bottom w:val="single" w:sz="8" w:color="2C2C2C"/>
              <w:right w:val="single" w:sz="8" w:color="2C2C2C"/>
            </w:tcBorders>
          </w:tcPr>
          <w:p>
            <w:pPr>
              <w:spacing w:after="0"/>
              <w:rPr>
                <w:sz w:val="22"/>
                <w:szCs w:val="22"/>
                <w:color w:val="auto"/>
              </w:rPr>
            </w:pPr>
          </w:p>
        </w:tc>
        <w:tc>
          <w:tcPr>
            <w:tcW w:w="7720" w:type="dxa"/>
            <w:vAlign w:val="bottom"/>
            <w:tcBorders>
              <w:bottom w:val="single" w:sz="8" w:color="2C2C2C"/>
              <w:right w:val="single" w:sz="8" w:color="2C2C2C"/>
            </w:tcBorders>
          </w:tcPr>
          <w:p>
            <w:pPr>
              <w:spacing w:after="0"/>
              <w:rPr>
                <w:sz w:val="20"/>
                <w:szCs w:val="20"/>
                <w:color w:val="auto"/>
              </w:rPr>
            </w:pPr>
            <w:r>
              <w:rPr>
                <w:rFonts w:ascii="Times New Roman" w:cs="Times New Roman" w:eastAsia="Times New Roman" w:hAnsi="Times New Roman"/>
                <w:sz w:val="22"/>
                <w:szCs w:val="22"/>
                <w:color w:val="auto"/>
              </w:rPr>
              <w:t>Diluted earnings per common share</w:t>
            </w:r>
          </w:p>
        </w:tc>
        <w:tc>
          <w:tcPr>
            <w:tcW w:w="1320" w:type="dxa"/>
            <w:vAlign w:val="bottom"/>
            <w:tcBorders>
              <w:bottom w:val="single" w:sz="8" w:color="2C2C2C"/>
              <w:right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$0.14</w:t>
            </w:r>
          </w:p>
        </w:tc>
        <w:tc>
          <w:tcPr>
            <w:tcW w:w="11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2"/>
                <w:szCs w:val="22"/>
                <w:color w:val="auto"/>
              </w:rPr>
              <w:t>$0.06</w:t>
            </w:r>
          </w:p>
        </w:tc>
        <w:tc>
          <w:tcPr>
            <w:tcW w:w="20" w:type="dxa"/>
            <w:vAlign w:val="bottom"/>
            <w:tcBorders>
              <w:bottom w:val="single" w:sz="8" w:color="2C2C2C"/>
            </w:tcBorders>
          </w:tcPr>
          <w:p>
            <w:pPr>
              <w:spacing w:after="0"/>
              <w:rPr>
                <w:sz w:val="22"/>
                <w:szCs w:val="22"/>
                <w:color w:val="auto"/>
              </w:rPr>
            </w:pPr>
          </w:p>
        </w:tc>
      </w:tr>
    </w:tbl>
    <w:p>
      <w:pPr>
        <w:spacing w:after="0" w:line="256"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22"/>
          <w:szCs w:val="22"/>
          <w:color w:val="auto"/>
        </w:rPr>
        <w:t>The lawsuits are: (i) a lawsuit filed against AT&amp;T and others in Santa Clara, California state court alleging various breaches of fiduciary duties, misappropriation of trade secrets and other causes of action and (ii) an action filed against AT&amp;T in the District Court for the Northern District of California alleging patent infringement. As part of the settlement, a lawsuit filed in the United States Bankruptcy Court against AT&amp;T, AT&amp;T Broadband and others seeking to recover alleged “preference” payments will be dismissed.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395605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0" w:right="2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Comcast Corporation</w:t>
      </w:r>
    </w:p>
    <w:p>
      <w:pPr>
        <w:spacing w:after="0" w:line="291"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22"/>
          <w:szCs w:val="22"/>
          <w:color w:val="auto"/>
        </w:rPr>
        <w:t>Comcast Corporation (Nasdaq: CMCSA, CMCSK) (http://www.comcast.com) is the nation's leading provider of cable, entertainment and communications products and services. With 21.5 million cable customers, 7.4 million high-speed Internet customers, and 1.2 million voice customers, Comcast is principally involved in the development, management and operation of broadband cable networks and in the delivery of programming content.</w:t>
      </w:r>
    </w:p>
    <w:p>
      <w:pPr>
        <w:spacing w:after="0" w:line="23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2"/>
          <w:szCs w:val="22"/>
          <w:color w:val="auto"/>
        </w:rPr>
        <w:t>The Company's content networks and investments include E! Entertainment Television, Style Network, The Golf Channel, Outdoor Life Network, G4, AZN Television, PBS KIDS Sprout, TV One and four Comcast SportsNets. The Company also has a majority ownership in Comcast-Spectacor, whose major holdings include the Philadelphia Flyers NHL hockey team, the Philadelphia 76ers NBA basketball team and two large multipurpose arenas in Philadelphia.</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549275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66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2019-12-15T07:21:35Z</dcterms:created>
  <dcterms:modified xsi:type="dcterms:W3CDTF">2019-12-15T07:21:35Z</dcterms:modified>
</cp:coreProperties>
</file>