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FORM 8-K</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CURRENT REPORT</w:t>
      </w:r>
    </w:p>
    <w:p>
      <w:pPr>
        <w:spacing w:after="0" w:line="201"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PURSUANT TO SECTION 13 OR 15(d) of the</w:t>
      </w:r>
    </w:p>
    <w:p>
      <w:pPr>
        <w:ind w:left="2640"/>
        <w:spacing w:after="0" w:line="238" w:lineRule="auto"/>
        <w:rPr>
          <w:sz w:val="20"/>
          <w:szCs w:val="20"/>
          <w:color w:val="auto"/>
        </w:rPr>
      </w:pPr>
      <w:r>
        <w:rPr>
          <w:rFonts w:ascii="Courier New" w:cs="Courier New" w:eastAsia="Courier New" w:hAnsi="Courier New"/>
          <w:sz w:val="18"/>
          <w:szCs w:val="18"/>
          <w:color w:val="auto"/>
        </w:rPr>
        <w:t>SECURITIES EXCHANGE ACT OF 1934</w:t>
      </w:r>
    </w:p>
    <w:p>
      <w:pPr>
        <w:spacing w:after="0" w:line="207" w:lineRule="exact"/>
        <w:rPr>
          <w:sz w:val="24"/>
          <w:szCs w:val="24"/>
          <w:color w:val="auto"/>
        </w:rPr>
      </w:pPr>
    </w:p>
    <w:p>
      <w:pPr>
        <w:jc w:val="center"/>
        <w:ind w:right="1459"/>
        <w:spacing w:after="0"/>
        <w:rPr>
          <w:sz w:val="20"/>
          <w:szCs w:val="20"/>
          <w:color w:val="auto"/>
        </w:rPr>
      </w:pPr>
      <w:r>
        <w:rPr>
          <w:rFonts w:ascii="Courier New" w:cs="Courier New" w:eastAsia="Courier New" w:hAnsi="Courier New"/>
          <w:sz w:val="16"/>
          <w:szCs w:val="16"/>
          <w:color w:val="auto"/>
        </w:rPr>
        <w:t>Date of Report (Date of earliest event reported): July 28, 2004</w:t>
      </w:r>
    </w:p>
    <w:p>
      <w:pPr>
        <w:spacing w:after="0" w:line="218"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COMCAST CORPORATION</w:t>
      </w:r>
    </w:p>
    <w:p>
      <w:pPr>
        <w:ind w:left="1380"/>
        <w:spacing w:after="0" w:line="238" w:lineRule="auto"/>
        <w:rPr>
          <w:sz w:val="20"/>
          <w:szCs w:val="20"/>
          <w:color w:val="auto"/>
        </w:rPr>
      </w:pPr>
      <w:r>
        <w:rPr>
          <w:rFonts w:ascii="Courier New" w:cs="Courier New" w:eastAsia="Courier New" w:hAnsi="Courier New"/>
          <w:sz w:val="18"/>
          <w:szCs w:val="18"/>
          <w:color w:val="auto"/>
        </w:rPr>
        <w:t>------------------------------------------------------</w:t>
      </w:r>
    </w:p>
    <w:p>
      <w:pPr>
        <w:ind w:left="1380"/>
        <w:spacing w:after="0"/>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38" w:orient="portrait"/>
          <w:cols w:equalWidth="0" w:num="1">
            <w:col w:w="10219"/>
          </w:cols>
          <w:pgMar w:left="240" w:top="244" w:right="1440" w:bottom="1440" w:gutter="0" w:footer="0" w:header="0"/>
        </w:sectPr>
      </w:pPr>
    </w:p>
    <w:p>
      <w:pPr>
        <w:spacing w:after="0" w:line="200"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Pennsylvania</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(State or other</w:t>
      </w:r>
    </w:p>
    <w:p>
      <w:pPr>
        <w:spacing w:after="0" w:line="238" w:lineRule="auto"/>
        <w:rPr>
          <w:sz w:val="20"/>
          <w:szCs w:val="20"/>
          <w:color w:val="auto"/>
        </w:rPr>
      </w:pPr>
      <w:r>
        <w:rPr>
          <w:rFonts w:ascii="Courier New" w:cs="Courier New" w:eastAsia="Courier New" w:hAnsi="Courier New"/>
          <w:sz w:val="18"/>
          <w:szCs w:val="18"/>
          <w:color w:val="auto"/>
        </w:rPr>
        <w:t>jurisdiction of</w:t>
      </w:r>
    </w:p>
    <w:p>
      <w:pPr>
        <w:spacing w:after="0" w:line="20" w:lineRule="exact"/>
        <w:rPr>
          <w:sz w:val="24"/>
          <w:szCs w:val="24"/>
          <w:color w:val="auto"/>
        </w:rPr>
      </w:pPr>
      <w:r>
        <w:rPr>
          <w:sz w:val="24"/>
          <w:szCs w:val="24"/>
          <w:color w:val="auto"/>
        </w:rPr>
        <w:br w:type="column"/>
      </w:r>
    </w:p>
    <w:p>
      <w:pPr>
        <w:spacing w:after="0" w:line="180" w:lineRule="exact"/>
        <w:rPr>
          <w:sz w:val="24"/>
          <w:szCs w:val="24"/>
          <w:color w:val="auto"/>
        </w:rPr>
      </w:pPr>
    </w:p>
    <w:p>
      <w:pPr>
        <w:ind w:left="520"/>
        <w:spacing w:after="0"/>
        <w:rPr>
          <w:sz w:val="20"/>
          <w:szCs w:val="20"/>
          <w:color w:val="auto"/>
        </w:rPr>
      </w:pPr>
      <w:r>
        <w:rPr>
          <w:rFonts w:ascii="Courier New" w:cs="Courier New" w:eastAsia="Courier New" w:hAnsi="Courier New"/>
          <w:sz w:val="18"/>
          <w:szCs w:val="18"/>
          <w:color w:val="auto"/>
        </w:rPr>
        <w:t>000-50093</w:t>
      </w:r>
    </w:p>
    <w:p>
      <w:pPr>
        <w:spacing w:after="0" w:line="4" w:lineRule="exact"/>
        <w:rPr>
          <w:sz w:val="24"/>
          <w:szCs w:val="24"/>
          <w:color w:val="auto"/>
        </w:rPr>
      </w:pPr>
    </w:p>
    <w:p>
      <w:pPr>
        <w:ind w:left="3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(Commission file</w:t>
      </w:r>
    </w:p>
    <w:p>
      <w:pPr>
        <w:ind w:left="520"/>
        <w:spacing w:after="0" w:line="238" w:lineRule="auto"/>
        <w:rPr>
          <w:sz w:val="20"/>
          <w:szCs w:val="20"/>
          <w:color w:val="auto"/>
        </w:rPr>
      </w:pPr>
      <w:r>
        <w:rPr>
          <w:rFonts w:ascii="Courier New" w:cs="Courier New" w:eastAsia="Courier New" w:hAnsi="Courier New"/>
          <w:sz w:val="18"/>
          <w:szCs w:val="18"/>
          <w:color w:val="auto"/>
        </w:rPr>
        <w:t>number)</w:t>
      </w:r>
    </w:p>
    <w:p>
      <w:pPr>
        <w:spacing w:after="0" w:line="20" w:lineRule="exact"/>
        <w:rPr>
          <w:sz w:val="24"/>
          <w:szCs w:val="24"/>
          <w:color w:val="auto"/>
        </w:rPr>
      </w:pPr>
      <w:r>
        <w:rPr>
          <w:sz w:val="24"/>
          <w:szCs w:val="24"/>
          <w:color w:val="auto"/>
        </w:rPr>
        <w:br w:type="column"/>
      </w:r>
    </w:p>
    <w:p>
      <w:pPr>
        <w:spacing w:after="0" w:line="180"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27-0000798</w:t>
      </w:r>
    </w:p>
    <w:p>
      <w:pPr>
        <w:ind w:left="520"/>
        <w:spacing w:after="0" w:line="238" w:lineRule="auto"/>
        <w:rPr>
          <w:sz w:val="20"/>
          <w:szCs w:val="20"/>
          <w:color w:val="auto"/>
        </w:rPr>
      </w:pPr>
      <w:r>
        <w:rPr>
          <w:rFonts w:ascii="Courier New" w:cs="Courier New" w:eastAsia="Courier New" w:hAnsi="Courier New"/>
          <w:sz w:val="18"/>
          <w:szCs w:val="18"/>
          <w:color w:val="auto"/>
        </w:rPr>
        <w:t>-------------</w:t>
      </w:r>
    </w:p>
    <w:p>
      <w:pPr>
        <w:ind w:left="200"/>
        <w:spacing w:after="0"/>
        <w:rPr>
          <w:sz w:val="20"/>
          <w:szCs w:val="20"/>
          <w:color w:val="auto"/>
        </w:rPr>
      </w:pPr>
      <w:r>
        <w:rPr>
          <w:rFonts w:ascii="Courier New" w:cs="Courier New" w:eastAsia="Courier New" w:hAnsi="Courier New"/>
          <w:sz w:val="18"/>
          <w:szCs w:val="18"/>
          <w:color w:val="auto"/>
        </w:rPr>
        <w:t>(IRS employer</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no.)</w:t>
      </w:r>
    </w:p>
    <w:p>
      <w:pPr>
        <w:spacing w:after="0" w:line="17" w:lineRule="exact"/>
        <w:rPr>
          <w:sz w:val="24"/>
          <w:szCs w:val="24"/>
          <w:color w:val="auto"/>
        </w:rPr>
      </w:pPr>
    </w:p>
    <w:p>
      <w:pPr>
        <w:sectPr>
          <w:pgSz w:w="11900" w:h="16838" w:orient="portrait"/>
          <w:cols w:equalWidth="0" w:num="3">
            <w:col w:w="2660" w:space="720"/>
            <w:col w:w="2000" w:space="640"/>
            <w:col w:w="4199"/>
          </w:cols>
          <w:pgMar w:left="240" w:top="244" w:right="1440" w:bottom="1440" w:gutter="0" w:footer="0" w:header="0"/>
          <w:type w:val="continuous"/>
        </w:sectPr>
      </w:pPr>
    </w:p>
    <w:p>
      <w:pPr>
        <w:spacing w:after="0"/>
        <w:rPr>
          <w:sz w:val="20"/>
          <w:szCs w:val="20"/>
          <w:color w:val="auto"/>
        </w:rPr>
      </w:pPr>
      <w:r>
        <w:rPr>
          <w:rFonts w:ascii="Courier New" w:cs="Courier New" w:eastAsia="Courier New" w:hAnsi="Courier New"/>
          <w:sz w:val="18"/>
          <w:szCs w:val="18"/>
          <w:color w:val="auto"/>
        </w:rPr>
        <w:t>incorporation)</w:t>
      </w:r>
    </w:p>
    <w:p>
      <w:pPr>
        <w:spacing w:after="0" w:line="206" w:lineRule="exact"/>
        <w:rPr>
          <w:sz w:val="24"/>
          <w:szCs w:val="24"/>
          <w:color w:val="auto"/>
        </w:rPr>
      </w:pPr>
    </w:p>
    <w:p>
      <w:pPr>
        <w:jc w:val="both"/>
        <w:ind w:left="1280" w:right="3039" w:firstLine="105"/>
        <w:spacing w:after="0" w:line="236" w:lineRule="auto"/>
        <w:rPr>
          <w:sz w:val="20"/>
          <w:szCs w:val="20"/>
          <w:color w:val="auto"/>
        </w:rPr>
      </w:pPr>
      <w:r>
        <w:rPr>
          <w:rFonts w:ascii="Courier New" w:cs="Courier New" w:eastAsia="Courier New" w:hAnsi="Courier New"/>
          <w:sz w:val="18"/>
          <w:szCs w:val="18"/>
          <w:color w:val="auto"/>
        </w:rPr>
        <w:t>1500 Market Street, Philadelphia, PA 19102-2148 -------------------------------------------------------- (Address of principal executive offices) (Zip Code)</w:t>
      </w:r>
    </w:p>
    <w:p>
      <w:pPr>
        <w:sectPr>
          <w:pgSz w:w="11900" w:h="16838" w:orient="portrait"/>
          <w:cols w:equalWidth="0" w:num="1">
            <w:col w:w="10219"/>
          </w:cols>
          <w:pgMar w:left="240" w:top="244" w:right="1440" w:bottom="1440" w:gutter="0" w:footer="0" w:header="0"/>
          <w:type w:val="continuous"/>
        </w:sectPr>
      </w:pPr>
    </w:p>
    <w:p>
      <w:pPr>
        <w:spacing w:after="0" w:line="203"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Registrant's telephone number, including area code (215) 665-1700</w:t>
      </w:r>
    </w:p>
    <w:p>
      <w:pPr>
        <w:ind w:left="622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0" w:lineRule="exact"/>
        <w:rPr>
          <w:sz w:val="24"/>
          <w:szCs w:val="24"/>
          <w:color w:val="auto"/>
        </w:rPr>
      </w:pPr>
    </w:p>
    <w:p>
      <w:pPr>
        <w:spacing w:after="0" w:line="38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7(c). Exhibits</w:t>
      </w:r>
    </w:p>
    <w:p>
      <w:pPr>
        <w:spacing w:after="0" w:line="201" w:lineRule="exact"/>
        <w:rPr>
          <w:sz w:val="24"/>
          <w:szCs w:val="24"/>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Exhibit 99.1</w:t>
      </w:r>
      <w:r>
        <w:rPr>
          <w:sz w:val="20"/>
          <w:szCs w:val="20"/>
          <w:color w:val="auto"/>
        </w:rPr>
        <w:tab/>
      </w:r>
      <w:r>
        <w:rPr>
          <w:rFonts w:ascii="Courier New" w:cs="Courier New" w:eastAsia="Courier New" w:hAnsi="Courier New"/>
          <w:sz w:val="16"/>
          <w:szCs w:val="16"/>
          <w:color w:val="auto"/>
        </w:rPr>
        <w:t>Comcast Corporation press release dated July 28, 2004.</w:t>
      </w:r>
    </w:p>
    <w:p>
      <w:pPr>
        <w:spacing w:after="0" w:line="201" w:lineRule="exact"/>
        <w:rPr>
          <w:sz w:val="24"/>
          <w:szCs w:val="24"/>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12.</w:t>
      </w:r>
      <w:r>
        <w:rPr>
          <w:sz w:val="20"/>
          <w:szCs w:val="20"/>
          <w:color w:val="auto"/>
        </w:rPr>
        <w:tab/>
      </w:r>
      <w:r>
        <w:rPr>
          <w:rFonts w:ascii="Courier New" w:cs="Courier New" w:eastAsia="Courier New" w:hAnsi="Courier New"/>
          <w:sz w:val="16"/>
          <w:szCs w:val="16"/>
          <w:color w:val="auto"/>
        </w:rPr>
        <w:t>Results of Operations and Financial Condition</w:t>
      </w:r>
    </w:p>
    <w:p>
      <w:pPr>
        <w:spacing w:after="0" w:line="207" w:lineRule="exact"/>
        <w:rPr>
          <w:sz w:val="24"/>
          <w:szCs w:val="24"/>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On July 28, 2004, Comcast Corporation ("Comcast") issued a press release reporting the results of its operations for the three and six months ended June 30, 2004. The press release is attached hereto as Exhibit 99.1. Comcast does not intend for this Item 12 or Exhibit 99.1 to be treated as "filed" under the Securities Exchange Act of 1934, as amended, or incorporated by reference into its filings under the Securities Act of 1933, as amended.</w:t>
      </w:r>
    </w:p>
    <w:p>
      <w:pPr>
        <w:sectPr>
          <w:pgSz w:w="11900" w:h="16838" w:orient="portrait"/>
          <w:cols w:equalWidth="0" w:num="1">
            <w:col w:w="10219"/>
          </w:cols>
          <w:pgMar w:left="240" w:top="244" w:right="1440" w:bottom="1440" w:gutter="0" w:footer="0" w:header="0"/>
          <w:type w:val="continuous"/>
        </w:sectPr>
      </w:pPr>
    </w:p>
    <w:bookmarkStart w:id="1" w:name="page2"/>
    <w:bookmarkEnd w:id="1"/>
    <w:p>
      <w:pPr>
        <w:ind w:left="3700"/>
        <w:spacing w:after="0"/>
        <w:rPr>
          <w:sz w:val="20"/>
          <w:szCs w:val="20"/>
          <w:color w:val="auto"/>
        </w:rPr>
      </w:pPr>
      <w:r>
        <w:rPr>
          <w:rFonts w:ascii="Courier New" w:cs="Courier New" w:eastAsia="Courier New" w:hAnsi="Courier New"/>
          <w:sz w:val="18"/>
          <w:szCs w:val="18"/>
          <w:color w:val="auto"/>
        </w:rPr>
        <w:t>SIGNATURES</w:t>
      </w:r>
    </w:p>
    <w:p>
      <w:pPr>
        <w:ind w:left="370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999" w:firstLine="632"/>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ectPr>
          <w:pgSz w:w="11900" w:h="16838" w:orient="portrait"/>
          <w:cols w:equalWidth="0" w:num="1">
            <w:col w:w="10219"/>
          </w:cols>
          <w:pgMar w:left="240" w:top="717" w:right="1440" w:bottom="1440" w:gutter="0" w:footer="0" w:header="0"/>
        </w:sect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July 28, 2004</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COMCAST CORPORATION</w:t>
      </w:r>
    </w:p>
    <w:p>
      <w:pPr>
        <w:spacing w:after="0" w:line="200" w:lineRule="exact"/>
        <w:rPr>
          <w:sz w:val="20"/>
          <w:szCs w:val="20"/>
          <w:color w:val="auto"/>
        </w:rPr>
      </w:pPr>
    </w:p>
    <w:p>
      <w:pPr>
        <w:sectPr>
          <w:pgSz w:w="11900" w:h="16838" w:orient="portrait"/>
          <w:cols w:equalWidth="0" w:num="3">
            <w:col w:w="640" w:space="220"/>
            <w:col w:w="3160" w:space="720"/>
            <w:col w:w="5479"/>
          </w:cols>
          <w:pgMar w:left="240" w:top="717" w:right="1440" w:bottom="1440" w:gutter="0" w:footer="0" w:header="0"/>
          <w:type w:val="continuous"/>
        </w:sectPr>
      </w:pPr>
    </w:p>
    <w:p>
      <w:pPr>
        <w:spacing w:after="0" w:line="18"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By: /s/ Lawrence J. Salva</w:t>
      </w:r>
    </w:p>
    <w:p>
      <w:pPr>
        <w:spacing w:after="0" w:line="4" w:lineRule="exact"/>
        <w:rPr>
          <w:sz w:val="20"/>
          <w:szCs w:val="20"/>
          <w:color w:val="auto"/>
        </w:rPr>
      </w:pPr>
    </w:p>
    <w:p>
      <w:pPr>
        <w:ind w:left="51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160"/>
        <w:spacing w:after="0"/>
        <w:rPr>
          <w:sz w:val="20"/>
          <w:szCs w:val="20"/>
          <w:color w:val="auto"/>
        </w:rPr>
      </w:pPr>
      <w:r>
        <w:rPr>
          <w:rFonts w:ascii="Courier New" w:cs="Courier New" w:eastAsia="Courier New" w:hAnsi="Courier New"/>
          <w:sz w:val="18"/>
          <w:szCs w:val="18"/>
          <w:color w:val="auto"/>
        </w:rPr>
        <w:t>Lawrence J. Salva</w:t>
      </w:r>
    </w:p>
    <w:p>
      <w:pPr>
        <w:ind w:left="5160"/>
        <w:spacing w:after="0" w:line="238" w:lineRule="auto"/>
        <w:rPr>
          <w:sz w:val="20"/>
          <w:szCs w:val="20"/>
          <w:color w:val="auto"/>
        </w:rPr>
      </w:pPr>
      <w:r>
        <w:rPr>
          <w:rFonts w:ascii="Courier New" w:cs="Courier New" w:eastAsia="Courier New" w:hAnsi="Courier New"/>
          <w:sz w:val="18"/>
          <w:szCs w:val="18"/>
          <w:color w:val="auto"/>
        </w:rPr>
        <w:t>Senior Vice President,</w:t>
      </w:r>
    </w:p>
    <w:p>
      <w:pPr>
        <w:ind w:left="5160"/>
        <w:spacing w:after="0"/>
        <w:rPr>
          <w:sz w:val="20"/>
          <w:szCs w:val="20"/>
          <w:color w:val="auto"/>
        </w:rPr>
      </w:pPr>
      <w:r>
        <w:rPr>
          <w:rFonts w:ascii="Courier New" w:cs="Courier New" w:eastAsia="Courier New" w:hAnsi="Courier New"/>
          <w:sz w:val="18"/>
          <w:szCs w:val="18"/>
          <w:color w:val="auto"/>
        </w:rPr>
        <w:t>Chief Accounting Officer and</w:t>
      </w:r>
    </w:p>
    <w:p>
      <w:pPr>
        <w:ind w:left="5160"/>
        <w:spacing w:after="0" w:line="237" w:lineRule="auto"/>
        <w:rPr>
          <w:sz w:val="20"/>
          <w:szCs w:val="20"/>
          <w:color w:val="auto"/>
        </w:rPr>
      </w:pPr>
      <w:r>
        <w:rPr>
          <w:rFonts w:ascii="Courier New" w:cs="Courier New" w:eastAsia="Courier New" w:hAnsi="Courier New"/>
          <w:sz w:val="18"/>
          <w:szCs w:val="18"/>
          <w:color w:val="auto"/>
        </w:rPr>
        <w:t>Controller</w:t>
      </w:r>
    </w:p>
    <w:p>
      <w:pPr>
        <w:spacing w:after="0" w:line="5" w:lineRule="exact"/>
        <w:rPr>
          <w:sz w:val="20"/>
          <w:szCs w:val="20"/>
          <w:color w:val="auto"/>
        </w:rPr>
      </w:pPr>
    </w:p>
    <w:p>
      <w:pPr>
        <w:ind w:left="5160"/>
        <w:spacing w:after="0"/>
        <w:rPr>
          <w:sz w:val="20"/>
          <w:szCs w:val="20"/>
          <w:color w:val="auto"/>
        </w:rPr>
      </w:pPr>
      <w:r>
        <w:rPr>
          <w:rFonts w:ascii="Courier New" w:cs="Courier New" w:eastAsia="Courier New" w:hAnsi="Courier New"/>
          <w:sz w:val="16"/>
          <w:szCs w:val="16"/>
          <w:color w:val="auto"/>
        </w:rPr>
        <w:t>(Principal Accounting Officer)</w:t>
      </w:r>
    </w:p>
    <w:p>
      <w:pPr>
        <w:sectPr>
          <w:pgSz w:w="11900" w:h="16838" w:orient="portrait"/>
          <w:cols w:equalWidth="0" w:num="1">
            <w:col w:w="10219"/>
          </w:cols>
          <w:pgMar w:left="240" w:top="717" w:right="1440" w:bottom="1440" w:gutter="0" w:footer="0" w:header="0"/>
          <w:type w:val="continuous"/>
        </w:sectPr>
      </w:pPr>
    </w:p>
    <w:bookmarkStart w:id="2" w:name="page3"/>
    <w:bookmarkEnd w:id="2"/>
    <w:p>
      <w:pPr>
        <w:jc w:val="right"/>
        <w:ind w:right="1779"/>
        <w:spacing w:after="0"/>
        <w:rPr>
          <w:sz w:val="20"/>
          <w:szCs w:val="20"/>
          <w:color w:val="auto"/>
        </w:rPr>
      </w:pPr>
      <w:r>
        <w:rPr>
          <w:rFonts w:ascii="Courier New" w:cs="Courier New" w:eastAsia="Courier New" w:hAnsi="Courier New"/>
          <w:sz w:val="18"/>
          <w:szCs w:val="18"/>
          <w:color w:val="auto"/>
        </w:rPr>
        <w:t>Exhibit 99.1</w:t>
      </w:r>
    </w:p>
    <w:p>
      <w:pPr>
        <w:spacing w:after="0" w:line="200" w:lineRule="exact"/>
        <w:rPr>
          <w:sz w:val="20"/>
          <w:szCs w:val="20"/>
          <w:color w:val="auto"/>
        </w:rPr>
      </w:pPr>
    </w:p>
    <w:p>
      <w:pPr>
        <w:spacing w:after="0" w:line="204" w:lineRule="exact"/>
        <w:rPr>
          <w:sz w:val="20"/>
          <w:szCs w:val="20"/>
          <w:color w:val="auto"/>
        </w:rPr>
      </w:pPr>
    </w:p>
    <w:p>
      <w:pPr>
        <w:jc w:val="center"/>
        <w:ind w:right="2099"/>
        <w:spacing w:after="0"/>
        <w:rPr>
          <w:sz w:val="20"/>
          <w:szCs w:val="20"/>
          <w:color w:val="auto"/>
        </w:rPr>
      </w:pPr>
      <w:r>
        <w:rPr>
          <w:rFonts w:ascii="Courier New" w:cs="Courier New" w:eastAsia="Courier New" w:hAnsi="Courier New"/>
          <w:sz w:val="18"/>
          <w:szCs w:val="18"/>
          <w:color w:val="auto"/>
        </w:rPr>
        <w:t>Comcast Reports Second Quarter 2004 Results</w:t>
      </w:r>
    </w:p>
    <w:p>
      <w:pPr>
        <w:spacing w:after="0" w:line="201" w:lineRule="exact"/>
        <w:rPr>
          <w:sz w:val="20"/>
          <w:szCs w:val="20"/>
          <w:color w:val="auto"/>
        </w:rPr>
      </w:pPr>
    </w:p>
    <w:p>
      <w:pPr>
        <w:jc w:val="center"/>
        <w:ind w:right="2099"/>
        <w:spacing w:after="0"/>
        <w:rPr>
          <w:sz w:val="20"/>
          <w:szCs w:val="20"/>
          <w:color w:val="auto"/>
        </w:rPr>
      </w:pPr>
      <w:r>
        <w:rPr>
          <w:rFonts w:ascii="Courier New" w:cs="Courier New" w:eastAsia="Courier New" w:hAnsi="Courier New"/>
          <w:sz w:val="18"/>
          <w:szCs w:val="18"/>
          <w:color w:val="auto"/>
        </w:rPr>
        <w:t>Cable Revenue Increased 10.4% to $4.839 Billion</w:t>
      </w:r>
    </w:p>
    <w:p>
      <w:pPr>
        <w:spacing w:after="0" w:line="201" w:lineRule="exact"/>
        <w:rPr>
          <w:sz w:val="20"/>
          <w:szCs w:val="20"/>
          <w:color w:val="auto"/>
        </w:rPr>
      </w:pPr>
    </w:p>
    <w:p>
      <w:pPr>
        <w:jc w:val="center"/>
        <w:ind w:right="2099"/>
        <w:spacing w:after="0"/>
        <w:rPr>
          <w:sz w:val="20"/>
          <w:szCs w:val="20"/>
          <w:color w:val="auto"/>
        </w:rPr>
      </w:pPr>
      <w:r>
        <w:rPr>
          <w:rFonts w:ascii="Courier New" w:cs="Courier New" w:eastAsia="Courier New" w:hAnsi="Courier New"/>
          <w:sz w:val="18"/>
          <w:szCs w:val="18"/>
          <w:color w:val="auto"/>
        </w:rPr>
        <w:t>Cable Operating Cash Flow Increased 20.1% to $1.920 Billion</w:t>
      </w:r>
    </w:p>
    <w:p>
      <w:pPr>
        <w:spacing w:after="0" w:line="207" w:lineRule="exact"/>
        <w:rPr>
          <w:sz w:val="20"/>
          <w:szCs w:val="20"/>
          <w:color w:val="auto"/>
        </w:rPr>
      </w:pPr>
    </w:p>
    <w:p>
      <w:pPr>
        <w:ind w:left="1800" w:right="3359" w:hanging="519"/>
        <w:spacing w:after="0" w:line="290" w:lineRule="auto"/>
        <w:tabs>
          <w:tab w:leader="none" w:pos="1780" w:val="left"/>
        </w:tabs>
        <w:rPr>
          <w:sz w:val="20"/>
          <w:szCs w:val="20"/>
          <w:color w:val="auto"/>
        </w:rPr>
      </w:pPr>
      <w:r>
        <w:rPr>
          <w:rFonts w:ascii="Courier New" w:cs="Courier New" w:eastAsia="Courier New" w:hAnsi="Courier New"/>
          <w:sz w:val="16"/>
          <w:szCs w:val="16"/>
          <w:color w:val="auto"/>
        </w:rPr>
        <w:t>2004</w:t>
        <w:tab/>
        <w:t>Guidance for Cable Operating Cash Flow Increased to Approximately $7.5 Billion or 18% Growth</w:t>
      </w:r>
    </w:p>
    <w:p>
      <w:pPr>
        <w:spacing w:after="0" w:line="164" w:lineRule="exact"/>
        <w:rPr>
          <w:sz w:val="20"/>
          <w:szCs w:val="20"/>
          <w:color w:val="auto"/>
        </w:rPr>
      </w:pPr>
    </w:p>
    <w:p>
      <w:pPr>
        <w:jc w:val="center"/>
        <w:ind w:right="2099"/>
        <w:spacing w:after="0"/>
        <w:rPr>
          <w:sz w:val="20"/>
          <w:szCs w:val="20"/>
          <w:color w:val="auto"/>
        </w:rPr>
      </w:pPr>
      <w:r>
        <w:rPr>
          <w:rFonts w:ascii="Courier New" w:cs="Courier New" w:eastAsia="Courier New" w:hAnsi="Courier New"/>
          <w:sz w:val="18"/>
          <w:szCs w:val="18"/>
          <w:color w:val="auto"/>
        </w:rPr>
        <w:t>Consolidated Operating Income Doubled to $852 Million</w:t>
      </w:r>
    </w:p>
    <w:p>
      <w:pPr>
        <w:spacing w:after="0" w:line="201"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$750 Million of Stock Repurchased</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Stock Repurchase Program Increased by $1 Billion</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PHILADELPHIA, July 28 -- Comcast Corporation (Nasdaq: CMCSA, CMCSK) today reported results for the quarter ended June 30, 2004. Comcast will discuss second quarter results on a conference call and webcast today at 8:30 AM Eastern Time. A live broadcast of the conference call will be available on the investor relations website at http://www.cmcsa.com and http://www.cmcsk.com.</w:t>
      </w:r>
    </w:p>
    <w:p>
      <w:pPr>
        <w:spacing w:after="0" w:line="6" w:lineRule="exact"/>
        <w:rPr>
          <w:sz w:val="20"/>
          <w:szCs w:val="20"/>
          <w:color w:val="auto"/>
        </w:rPr>
      </w:pPr>
    </w:p>
    <w:p>
      <w:pPr>
        <w:ind w:right="2099" w:firstLine="421"/>
        <w:spacing w:after="0" w:line="237" w:lineRule="auto"/>
        <w:rPr>
          <w:sz w:val="20"/>
          <w:szCs w:val="20"/>
          <w:color w:val="auto"/>
        </w:rPr>
      </w:pPr>
      <w:r>
        <w:rPr>
          <w:rFonts w:ascii="Courier New" w:cs="Courier New" w:eastAsia="Courier New" w:hAnsi="Courier New"/>
          <w:sz w:val="18"/>
          <w:szCs w:val="18"/>
          <w:color w:val="auto"/>
        </w:rPr>
        <w:t>Brian L. Roberts, Chairman and CEO of Comcast Corporation said, "We are again reporting outstanding results. Our cable division generated double-digit revenue growth of over 10% and Operating Cash Flow growth of 20% this quarter. As a result, we expect to report approximately $7.5 billion of Operating Cash Flow in 2004, a growth rate of 18%.</w:t>
      </w:r>
    </w:p>
    <w:p>
      <w:pPr>
        <w:spacing w:after="0" w:line="6" w:lineRule="exact"/>
        <w:rPr>
          <w:sz w:val="20"/>
          <w:szCs w:val="20"/>
          <w:color w:val="auto"/>
        </w:rPr>
      </w:pPr>
    </w:p>
    <w:p>
      <w:pPr>
        <w:ind w:right="1999" w:firstLine="421"/>
        <w:spacing w:after="0" w:line="237" w:lineRule="auto"/>
        <w:rPr>
          <w:sz w:val="20"/>
          <w:szCs w:val="20"/>
          <w:color w:val="auto"/>
        </w:rPr>
      </w:pPr>
      <w:r>
        <w:rPr>
          <w:rFonts w:ascii="Courier New" w:cs="Courier New" w:eastAsia="Courier New" w:hAnsi="Courier New"/>
          <w:sz w:val="18"/>
          <w:szCs w:val="18"/>
          <w:color w:val="auto"/>
        </w:rPr>
        <w:t>"Cable's strong second quarter results and improved outlook for the remainder of the year reflect robust growth in new video and high-speed Internet services as we deliver compelling video services like Comcast ON DEMAND and HDTV and as we continue to expand the features offered to our high-speed Internet customers. We are also generating significant operating improvements and scale efficiencies that are driving Operating Cash Flow growth and improving operating margins. We are reporting cable operating margins of nearly 40% for the second quarter - well ahead of our expectations. This strong performance demonstrates our continued operational success in the acquired cable systems and the ability to leverage our scale.</w:t>
      </w:r>
    </w:p>
    <w:p>
      <w:pPr>
        <w:spacing w:after="0" w:line="12" w:lineRule="exact"/>
        <w:rPr>
          <w:sz w:val="20"/>
          <w:szCs w:val="20"/>
          <w:color w:val="auto"/>
        </w:rPr>
      </w:pPr>
    </w:p>
    <w:p>
      <w:pPr>
        <w:ind w:right="1999" w:firstLine="421"/>
        <w:spacing w:after="0" w:line="235" w:lineRule="auto"/>
        <w:rPr>
          <w:sz w:val="20"/>
          <w:szCs w:val="20"/>
          <w:color w:val="auto"/>
        </w:rPr>
      </w:pPr>
      <w:r>
        <w:rPr>
          <w:rFonts w:ascii="Courier New" w:cs="Courier New" w:eastAsia="Courier New" w:hAnsi="Courier New"/>
          <w:sz w:val="18"/>
          <w:szCs w:val="18"/>
          <w:color w:val="auto"/>
        </w:rPr>
        <w:t>"The content division also posted strong results this quarter with revenue growth of 25% and almost 38% growth in Operating Cash Flow.</w:t>
      </w:r>
    </w:p>
    <w:p>
      <w:pPr>
        <w:spacing w:after="0" w:line="6" w:lineRule="exact"/>
        <w:rPr>
          <w:sz w:val="20"/>
          <w:szCs w:val="20"/>
          <w:color w:val="auto"/>
        </w:rPr>
      </w:pPr>
    </w:p>
    <w:p>
      <w:pPr>
        <w:ind w:right="1999" w:firstLine="421"/>
        <w:spacing w:after="0" w:line="237" w:lineRule="auto"/>
        <w:rPr>
          <w:sz w:val="20"/>
          <w:szCs w:val="20"/>
          <w:color w:val="auto"/>
        </w:rPr>
      </w:pPr>
      <w:r>
        <w:rPr>
          <w:rFonts w:ascii="Courier New" w:cs="Courier New" w:eastAsia="Courier New" w:hAnsi="Courier New"/>
          <w:sz w:val="18"/>
          <w:szCs w:val="18"/>
          <w:color w:val="auto"/>
        </w:rPr>
        <w:t>"With the upgrade of our networks now essentially complete, we generated $500 million of Free Cash Flow this quarter as cable capital expenditures declined 15% and Operating Cash Flow grew by more than 20%. We remain on track to reach our goal of $2 billion of Free Cash Flow this year. We will continue to make investments that support the Company's growth while returning capital to shareholders. Since the initiation of our $1 billion stock repurchase program in December 2003, we have repurchased $750 million of our stock, and I am pleased to announce that our Board of Directors has authorized a $1 billion increase to our repurchase program.</w:t>
      </w:r>
    </w:p>
    <w:p>
      <w:pPr>
        <w:spacing w:after="0" w:line="11" w:lineRule="exact"/>
        <w:rPr>
          <w:sz w:val="20"/>
          <w:szCs w:val="20"/>
          <w:color w:val="auto"/>
        </w:rPr>
      </w:pPr>
    </w:p>
    <w:p>
      <w:pPr>
        <w:ind w:right="2519" w:firstLine="421"/>
        <w:spacing w:after="0" w:line="237" w:lineRule="auto"/>
        <w:rPr>
          <w:sz w:val="20"/>
          <w:szCs w:val="20"/>
          <w:color w:val="auto"/>
        </w:rPr>
      </w:pPr>
      <w:r>
        <w:rPr>
          <w:rFonts w:ascii="Courier New" w:cs="Courier New" w:eastAsia="Courier New" w:hAnsi="Courier New"/>
          <w:sz w:val="18"/>
          <w:szCs w:val="18"/>
          <w:color w:val="auto"/>
        </w:rPr>
        <w:t>"We are confident in our ability to continue to provide outstanding operational and financial performance that leverages our newly-rebuilt networks, to deliver unmatched products to our customers and value to our shareholders."</w:t>
      </w:r>
    </w:p>
    <w:p>
      <w:pPr>
        <w:spacing w:after="0" w:line="202"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Comcast Cable Results</w:t>
      </w:r>
    </w:p>
    <w:p>
      <w:pPr>
        <w:spacing w:after="0" w:line="4" w:lineRule="exact"/>
        <w:rPr>
          <w:sz w:val="20"/>
          <w:szCs w:val="20"/>
          <w:color w:val="auto"/>
        </w:rPr>
      </w:pPr>
    </w:p>
    <w:p>
      <w:pPr>
        <w:ind w:right="1999" w:firstLine="421"/>
        <w:spacing w:after="0" w:line="237" w:lineRule="auto"/>
        <w:rPr>
          <w:sz w:val="20"/>
          <w:szCs w:val="20"/>
          <w:color w:val="auto"/>
        </w:rPr>
      </w:pPr>
      <w:r>
        <w:rPr>
          <w:rFonts w:ascii="Courier New" w:cs="Courier New" w:eastAsia="Courier New" w:hAnsi="Courier New"/>
          <w:sz w:val="18"/>
          <w:szCs w:val="18"/>
          <w:color w:val="auto"/>
        </w:rPr>
        <w:t>Cable results for the second quarter and the six months ended June 30, 2004 are presented on a pro forma basis. Pro forma cable results adjust only for acquisitions and dispositions and are presented as if the acquisitions and dispositions were effective on January 1, 2003. Please refer to Table 6-A for a reconciliation of pro forma data.</w:t>
      </w:r>
    </w:p>
    <w:p>
      <w:pPr>
        <w:spacing w:after="0" w:line="6" w:lineRule="exact"/>
        <w:rPr>
          <w:sz w:val="20"/>
          <w:szCs w:val="20"/>
          <w:color w:val="auto"/>
        </w:rPr>
      </w:pPr>
    </w:p>
    <w:p>
      <w:pPr>
        <w:ind w:right="2099" w:firstLine="421"/>
        <w:spacing w:after="0" w:line="237" w:lineRule="auto"/>
        <w:rPr>
          <w:sz w:val="20"/>
          <w:szCs w:val="20"/>
          <w:color w:val="auto"/>
        </w:rPr>
      </w:pPr>
      <w:r>
        <w:rPr>
          <w:rFonts w:ascii="Courier New" w:cs="Courier New" w:eastAsia="Courier New" w:hAnsi="Courier New"/>
          <w:sz w:val="18"/>
          <w:szCs w:val="18"/>
          <w:color w:val="auto"/>
        </w:rPr>
        <w:t>Comcast Cable reported revenue of $4.839 billion for the quarter ended June 30, 2004, representing a 10.4% increase from the second quarter of 2003. Video revenue for the quarter increased 6.9%, driven by a 5.7% increase in average monthly revenue per basic subscriber and a 20.5% increase in digital revenue primarily reflecting a 1.1 million increase in the number of digital cable subscribers. Basic subscribers of 21.5 million are essentially unchanged from a year ago but down 96,000 or 0.4%, from the prior quarter due to seasonality and modestly lower gross additions. During the second quarter of 2004, Comcast Cable added more than 206,000 digital cable subscribers to finish the quarter with nearly 8.1 million subscribers, or 37.5% of basic subscribers.</w:t>
      </w:r>
    </w:p>
    <w:p>
      <w:pPr>
        <w:spacing w:after="0" w:line="13" w:lineRule="exact"/>
        <w:rPr>
          <w:sz w:val="20"/>
          <w:szCs w:val="20"/>
          <w:color w:val="auto"/>
        </w:rPr>
      </w:pPr>
    </w:p>
    <w:p>
      <w:pPr>
        <w:ind w:right="2199" w:firstLine="421"/>
        <w:spacing w:after="0" w:line="268" w:lineRule="auto"/>
        <w:rPr>
          <w:sz w:val="20"/>
          <w:szCs w:val="20"/>
          <w:color w:val="auto"/>
        </w:rPr>
      </w:pPr>
      <w:r>
        <w:rPr>
          <w:rFonts w:ascii="Courier New" w:cs="Courier New" w:eastAsia="Courier New" w:hAnsi="Courier New"/>
          <w:sz w:val="16"/>
          <w:szCs w:val="16"/>
          <w:color w:val="auto"/>
        </w:rPr>
        <w:t>Video revenue growth reflects increasing consumer demand for new digital features, including Comcast ON DEMAND, high-definition television (HDTV) programming and digital video recorders (DVRs). During the second quarter, pay-per-view revenues increased 26.0%, driven by more movie and event purchases through the Comcast ON DEMAND service. Increasing demand for HDTV is also contributing to digital growth - at the end of the second quarter, Comcast had almost 600,000 HDTV set-top boxes in customers' homes.</w:t>
      </w:r>
    </w:p>
    <w:p>
      <w:pPr>
        <w:spacing w:after="0" w:line="1" w:lineRule="exact"/>
        <w:rPr>
          <w:sz w:val="20"/>
          <w:szCs w:val="20"/>
          <w:color w:val="auto"/>
        </w:rPr>
      </w:pPr>
    </w:p>
    <w:p>
      <w:pPr>
        <w:ind w:right="2319" w:firstLine="421"/>
        <w:spacing w:after="0" w:line="279" w:lineRule="auto"/>
        <w:rPr>
          <w:sz w:val="20"/>
          <w:szCs w:val="20"/>
          <w:color w:val="auto"/>
        </w:rPr>
      </w:pPr>
      <w:r>
        <w:rPr>
          <w:rFonts w:ascii="Courier New" w:cs="Courier New" w:eastAsia="Courier New" w:hAnsi="Courier New"/>
          <w:sz w:val="16"/>
          <w:szCs w:val="16"/>
          <w:color w:val="auto"/>
        </w:rPr>
        <w:t>High-speed Internet service revenues increased 39.2% to $763 million in the second quarter of 2004, reflecting continuing strong growth in subscribers. Comcast Cable ended the second quarter of 2004 with more than</w:t>
      </w:r>
    </w:p>
    <w:p>
      <w:pPr>
        <w:sectPr>
          <w:pgSz w:w="11900" w:h="16838" w:orient="portrait"/>
          <w:cols w:equalWidth="0" w:num="1">
            <w:col w:w="10219"/>
          </w:cols>
          <w:pgMar w:left="240" w:top="136" w:right="1440" w:bottom="0" w:gutter="0" w:footer="0" w:header="0"/>
        </w:sectPr>
      </w:pPr>
    </w:p>
    <w:bookmarkStart w:id="3" w:name="page4"/>
    <w:bookmarkEnd w:id="3"/>
    <w:p>
      <w:pPr>
        <w:ind w:right="1999"/>
        <w:spacing w:after="0" w:line="237" w:lineRule="auto"/>
        <w:rPr>
          <w:sz w:val="20"/>
          <w:szCs w:val="20"/>
          <w:color w:val="auto"/>
        </w:rPr>
      </w:pPr>
      <w:r>
        <w:rPr>
          <w:rFonts w:ascii="Courier New" w:cs="Courier New" w:eastAsia="Courier New" w:hAnsi="Courier New"/>
          <w:sz w:val="18"/>
          <w:szCs w:val="18"/>
          <w:color w:val="auto"/>
        </w:rPr>
        <w:t>6.0 million subscribers, a 36.8% increase from the same quarter last year. During the second quarter of 2004, Comcast Cable added 327,000 high-speed Internet subscribers resulting in a penetration rate of 16.1% of available homes. Comcast Cable added more than 1.1 million homes to the high-speed Internet service footprint in the second quarter of 2004, and this service is now available to 37.3 million, or 92.6%, of homes passed. Average monthly revenue per high-speed Internet subscriber was $43.52 in the second quarter of 2004, in line with the second quarter of 2003 and a $1.07 increase from the $42.45 reported in the first quarter of 2004.</w:t>
      </w:r>
    </w:p>
    <w:p>
      <w:pPr>
        <w:spacing w:after="0" w:line="5"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Advertising revenue for the second quarter of 2004 increased 15.3% to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$330 million, reflecting growth of 6.0% in local advertising and strong growth</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 25.4% in regional/national advertising as a result of the continuing</w:t>
      </w:r>
    </w:p>
    <w:p>
      <w:pPr>
        <w:spacing w:after="0" w:line="238" w:lineRule="auto"/>
        <w:rPr>
          <w:sz w:val="20"/>
          <w:szCs w:val="20"/>
          <w:color w:val="auto"/>
        </w:rPr>
      </w:pPr>
      <w:r>
        <w:rPr>
          <w:rFonts w:ascii="Courier New" w:cs="Courier New" w:eastAsia="Courier New" w:hAnsi="Courier New"/>
          <w:sz w:val="18"/>
          <w:szCs w:val="18"/>
          <w:color w:val="auto"/>
        </w:rPr>
        <w:t>success of our regional interconnect strategy.</w:t>
      </w:r>
    </w:p>
    <w:p>
      <w:pPr>
        <w:spacing w:after="0" w:line="5" w:lineRule="exact"/>
        <w:rPr>
          <w:sz w:val="20"/>
          <w:szCs w:val="20"/>
          <w:color w:val="auto"/>
        </w:rPr>
      </w:pPr>
    </w:p>
    <w:p>
      <w:pPr>
        <w:ind w:right="1999" w:firstLine="421"/>
        <w:spacing w:after="0" w:line="237" w:lineRule="auto"/>
        <w:rPr>
          <w:sz w:val="20"/>
          <w:szCs w:val="20"/>
          <w:color w:val="auto"/>
        </w:rPr>
      </w:pPr>
      <w:r>
        <w:rPr>
          <w:rFonts w:ascii="Courier New" w:cs="Courier New" w:eastAsia="Courier New" w:hAnsi="Courier New"/>
          <w:sz w:val="18"/>
          <w:szCs w:val="18"/>
          <w:color w:val="auto"/>
        </w:rPr>
        <w:t>As expected, cable phone revenue declined 13.8% from the second quarter of 2003 to $177 million in the second quarter of 2004, reflecting a 10.4% decrease in subscribers to 1.2 million and a 3.0% decline in average monthly revenue per subscriber to $47.71. Excluding telephone revenue, which is expected to decline throughout 2004, total revenue for Comcast Cable in the second quarter of 2004 increased 11.6%. Telephone results reflect the Company's focus on profitability, not unit growth, of the acquired circuit-switched telephone business as it begins to transition to VoIP phone service.</w:t>
      </w:r>
    </w:p>
    <w:p>
      <w:pPr>
        <w:spacing w:after="0" w:line="11" w:lineRule="exact"/>
        <w:rPr>
          <w:sz w:val="20"/>
          <w:szCs w:val="20"/>
          <w:color w:val="auto"/>
        </w:rPr>
      </w:pPr>
    </w:p>
    <w:p>
      <w:pPr>
        <w:ind w:right="2099" w:firstLine="421"/>
        <w:spacing w:after="0" w:line="237" w:lineRule="auto"/>
        <w:rPr>
          <w:sz w:val="20"/>
          <w:szCs w:val="20"/>
          <w:color w:val="auto"/>
        </w:rPr>
      </w:pPr>
      <w:r>
        <w:rPr>
          <w:rFonts w:ascii="Courier New" w:cs="Courier New" w:eastAsia="Courier New" w:hAnsi="Courier New"/>
          <w:sz w:val="18"/>
          <w:szCs w:val="18"/>
          <w:color w:val="auto"/>
        </w:rPr>
        <w:t>Cable operating income before depreciation and amortization (Operating Cash Flow) grew 20.1% to $1.920 billion for the quarter, an increase from the $1.598 billion reported for the second quarter of 2003. Operating Cash Flow increased due to solid revenue growth and lower customer service, phone and high-speed Internet service expenses. These declining expenses along with a reduction in the rate of growth in video programming costs contributed to Operating Cash Flow margins of 39.7% for the second quarter of 2004, an increase from the 36.5% in the second quarter of 2003.</w:t>
      </w:r>
    </w:p>
    <w:p>
      <w:pPr>
        <w:spacing w:after="0" w:line="10" w:lineRule="exact"/>
        <w:rPr>
          <w:sz w:val="20"/>
          <w:szCs w:val="20"/>
          <w:color w:val="auto"/>
        </w:rPr>
      </w:pPr>
    </w:p>
    <w:p>
      <w:pPr>
        <w:ind w:right="2099" w:firstLine="421"/>
        <w:spacing w:after="0" w:line="237" w:lineRule="auto"/>
        <w:rPr>
          <w:sz w:val="20"/>
          <w:szCs w:val="20"/>
          <w:color w:val="auto"/>
        </w:rPr>
      </w:pPr>
      <w:r>
        <w:rPr>
          <w:rFonts w:ascii="Courier New" w:cs="Courier New" w:eastAsia="Courier New" w:hAnsi="Courier New"/>
          <w:sz w:val="18"/>
          <w:szCs w:val="18"/>
          <w:color w:val="auto"/>
        </w:rPr>
        <w:t>Cable capital expenditures declined 14.8% to $893 million compared to the $1.047 billion in the second quarter of the prior year. The decline in cable capital expenditures reflects the near-completion of the Company's cable network upgrade. Comcast Cable finished the second quarter with 97% of its cable network upgraded to provide advanced services.</w:t>
      </w:r>
    </w:p>
    <w:p>
      <w:pPr>
        <w:spacing w:after="0" w:line="203"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Content</w:t>
      </w:r>
    </w:p>
    <w:p>
      <w:pPr>
        <w:spacing w:after="0" w:line="4" w:lineRule="exact"/>
        <w:rPr>
          <w:sz w:val="20"/>
          <w:szCs w:val="20"/>
          <w:color w:val="auto"/>
        </w:rPr>
      </w:pPr>
    </w:p>
    <w:p>
      <w:pPr>
        <w:ind w:right="2319" w:firstLine="421"/>
        <w:spacing w:after="0" w:line="236" w:lineRule="auto"/>
        <w:rPr>
          <w:sz w:val="20"/>
          <w:szCs w:val="20"/>
          <w:color w:val="auto"/>
        </w:rPr>
      </w:pPr>
      <w:r>
        <w:rPr>
          <w:rFonts w:ascii="Courier New" w:cs="Courier New" w:eastAsia="Courier New" w:hAnsi="Courier New"/>
          <w:sz w:val="18"/>
          <w:szCs w:val="18"/>
          <w:color w:val="auto"/>
        </w:rPr>
        <w:t>Comcast's content segment consists of the national networks E! Entertainment Television and Style Network (E! Networks), The Golf Channel, Outdoor Life Network and G4techTV.</w:t>
      </w:r>
    </w:p>
    <w:p>
      <w:pPr>
        <w:spacing w:after="0" w:line="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Comcast's content segment reported second quarter 2004 revenue of</w:t>
      </w:r>
    </w:p>
    <w:p>
      <w:pPr>
        <w:spacing w:after="0" w:line="238" w:lineRule="auto"/>
        <w:rPr>
          <w:sz w:val="20"/>
          <w:szCs w:val="20"/>
          <w:color w:val="auto"/>
        </w:rPr>
      </w:pPr>
      <w:r>
        <w:rPr>
          <w:rFonts w:ascii="Courier New" w:cs="Courier New" w:eastAsia="Courier New" w:hAnsi="Courier New"/>
          <w:sz w:val="18"/>
          <w:szCs w:val="18"/>
          <w:color w:val="auto"/>
        </w:rPr>
        <w:t>$199 million, a 25.3% increase above the second quarter of 2003 reflecting</w:t>
      </w:r>
    </w:p>
    <w:p>
      <w:pPr>
        <w:spacing w:after="0"/>
        <w:tabs>
          <w:tab w:leader="none" w:pos="7680" w:val="left"/>
        </w:tabs>
        <w:rPr>
          <w:sz w:val="20"/>
          <w:szCs w:val="20"/>
          <w:color w:val="auto"/>
        </w:rPr>
      </w:pPr>
      <w:r>
        <w:rPr>
          <w:rFonts w:ascii="Courier New" w:cs="Courier New" w:eastAsia="Courier New" w:hAnsi="Courier New"/>
          <w:sz w:val="18"/>
          <w:szCs w:val="18"/>
          <w:color w:val="auto"/>
        </w:rPr>
        <w:t>increases in distribution and advertising revenue for all the networks.</w:t>
      </w:r>
      <w:r>
        <w:rPr>
          <w:sz w:val="20"/>
          <w:szCs w:val="20"/>
          <w:color w:val="auto"/>
        </w:rPr>
        <w:tab/>
      </w:r>
      <w:r>
        <w:rPr>
          <w:rFonts w:ascii="Courier New" w:cs="Courier New" w:eastAsia="Courier New" w:hAnsi="Courier New"/>
          <w:sz w:val="16"/>
          <w:szCs w:val="16"/>
          <w:color w:val="auto"/>
        </w:rPr>
        <w:t>The</w:t>
      </w:r>
    </w:p>
    <w:p>
      <w:pPr>
        <w:spacing w:after="0" w:line="237" w:lineRule="auto"/>
        <w:rPr>
          <w:sz w:val="20"/>
          <w:szCs w:val="20"/>
          <w:color w:val="auto"/>
        </w:rPr>
      </w:pPr>
      <w:r>
        <w:rPr>
          <w:rFonts w:ascii="Courier New" w:cs="Courier New" w:eastAsia="Courier New" w:hAnsi="Courier New"/>
          <w:sz w:val="18"/>
          <w:szCs w:val="18"/>
          <w:color w:val="auto"/>
        </w:rPr>
        <w:t>Content segment reported Operating Cash Flow of $77 million in the second</w:t>
      </w:r>
    </w:p>
    <w:p>
      <w:pPr>
        <w:spacing w:after="0" w:line="238" w:lineRule="auto"/>
        <w:rPr>
          <w:sz w:val="20"/>
          <w:szCs w:val="20"/>
          <w:color w:val="auto"/>
        </w:rPr>
      </w:pPr>
      <w:r>
        <w:rPr>
          <w:rFonts w:ascii="Courier New" w:cs="Courier New" w:eastAsia="Courier New" w:hAnsi="Courier New"/>
          <w:sz w:val="18"/>
          <w:szCs w:val="18"/>
          <w:color w:val="auto"/>
        </w:rPr>
        <w:t>quarter of 2004, a 37.6% increase above the second quarter of 2003.</w:t>
      </w:r>
    </w:p>
    <w:p>
      <w:pPr>
        <w:spacing w:after="0" w:line="5" w:lineRule="exact"/>
        <w:rPr>
          <w:sz w:val="20"/>
          <w:szCs w:val="20"/>
          <w:color w:val="auto"/>
        </w:rPr>
      </w:pPr>
    </w:p>
    <w:p>
      <w:pPr>
        <w:ind w:right="1999" w:firstLine="421"/>
        <w:spacing w:after="0" w:line="237" w:lineRule="auto"/>
        <w:rPr>
          <w:sz w:val="20"/>
          <w:szCs w:val="20"/>
          <w:color w:val="auto"/>
        </w:rPr>
      </w:pPr>
      <w:r>
        <w:rPr>
          <w:rFonts w:ascii="Courier New" w:cs="Courier New" w:eastAsia="Courier New" w:hAnsi="Courier New"/>
          <w:sz w:val="18"/>
          <w:szCs w:val="18"/>
          <w:color w:val="auto"/>
        </w:rPr>
        <w:t>In an agreement with Liberty Media announced on July 21, Comcast will exchange its 120.3 million shares of Liberty Media common stock for 100% ownership in a subsidiary of Liberty Media that primarily holds $545 million in cash, a 100% ownership interest in International Channel Networks and a 10% ownership interest in E! Entertainment Television. This transaction is expected to close this week and will result in Comcast owning 60% of E! Entertainment Television.</w:t>
      </w:r>
    </w:p>
    <w:p>
      <w:pPr>
        <w:spacing w:after="0" w:line="205"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Corporate and Other</w:t>
      </w:r>
    </w:p>
    <w:p>
      <w:pPr>
        <w:spacing w:after="0" w:line="4" w:lineRule="exact"/>
        <w:rPr>
          <w:sz w:val="20"/>
          <w:szCs w:val="20"/>
          <w:color w:val="auto"/>
        </w:rPr>
      </w:pPr>
    </w:p>
    <w:p>
      <w:pPr>
        <w:ind w:right="1999" w:firstLine="421"/>
        <w:spacing w:after="0" w:line="237" w:lineRule="auto"/>
        <w:rPr>
          <w:sz w:val="20"/>
          <w:szCs w:val="20"/>
          <w:color w:val="auto"/>
        </w:rPr>
      </w:pPr>
      <w:r>
        <w:rPr>
          <w:rFonts w:ascii="Courier New" w:cs="Courier New" w:eastAsia="Courier New" w:hAnsi="Courier New"/>
          <w:sz w:val="18"/>
          <w:szCs w:val="18"/>
          <w:color w:val="auto"/>
        </w:rPr>
        <w:t>Corporate and Other includes Comcast-Spectacor, corporate overhead and other operations and eliminations between Comcast's businesses. In the second quarter of 2004, we reported Corporate and Other revenue of $29 million and an Operating Cash Flow loss of $45 million as compared to revenue of $56 million and an Operating Cash Flow loss of $41 million in the second quarter of 2003. The decline in revenue in the second quarter reflects fewer playoff games for teams owned by Comcast-Spectacor.</w:t>
      </w:r>
    </w:p>
    <w:p>
      <w:pPr>
        <w:spacing w:after="0" w:line="205"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Consolidated Results</w:t>
      </w:r>
    </w:p>
    <w:p>
      <w:pPr>
        <w:spacing w:after="0" w:line="4" w:lineRule="exact"/>
        <w:rPr>
          <w:sz w:val="20"/>
          <w:szCs w:val="20"/>
          <w:color w:val="auto"/>
        </w:rPr>
      </w:pPr>
    </w:p>
    <w:p>
      <w:pPr>
        <w:ind w:right="2199" w:firstLine="421"/>
        <w:spacing w:after="0" w:line="237" w:lineRule="auto"/>
        <w:rPr>
          <w:sz w:val="20"/>
          <w:szCs w:val="20"/>
          <w:color w:val="auto"/>
        </w:rPr>
      </w:pPr>
      <w:r>
        <w:rPr>
          <w:rFonts w:ascii="Courier New" w:cs="Courier New" w:eastAsia="Courier New" w:hAnsi="Courier New"/>
          <w:sz w:val="18"/>
          <w:szCs w:val="18"/>
          <w:color w:val="auto"/>
        </w:rPr>
        <w:t>Comcast sold its 57% ownership interest in QVC in September 2003. QVC's results, prior to its sale, are presented as discontinued operations. Consolidated amounts primarily reflect the results of the cable division as discussed above.</w:t>
      </w:r>
    </w:p>
    <w:p>
      <w:pPr>
        <w:spacing w:after="0" w:line="5" w:lineRule="exact"/>
        <w:rPr>
          <w:sz w:val="20"/>
          <w:szCs w:val="20"/>
          <w:color w:val="auto"/>
        </w:rPr>
      </w:pPr>
    </w:p>
    <w:p>
      <w:pPr>
        <w:ind w:right="3259" w:firstLine="421"/>
        <w:spacing w:after="0" w:line="268" w:lineRule="auto"/>
        <w:rPr>
          <w:sz w:val="20"/>
          <w:szCs w:val="20"/>
          <w:color w:val="auto"/>
        </w:rPr>
      </w:pPr>
      <w:r>
        <w:rPr>
          <w:rFonts w:ascii="Courier New" w:cs="Courier New" w:eastAsia="Courier New" w:hAnsi="Courier New"/>
          <w:sz w:val="16"/>
          <w:szCs w:val="16"/>
          <w:color w:val="auto"/>
        </w:rPr>
        <w:t>For the three months ended June 30, 2004, the Company reported consolidated revenues of $5.066 billion, a 10.3% increase to the</w:t>
      </w:r>
    </w:p>
    <w:p>
      <w:pPr>
        <w:ind w:right="1999"/>
        <w:spacing w:after="0" w:line="237" w:lineRule="auto"/>
        <w:rPr>
          <w:sz w:val="20"/>
          <w:szCs w:val="20"/>
          <w:color w:val="auto"/>
        </w:rPr>
      </w:pPr>
      <w:r>
        <w:rPr>
          <w:rFonts w:ascii="Courier New" w:cs="Courier New" w:eastAsia="Courier New" w:hAnsi="Courier New"/>
          <w:sz w:val="18"/>
          <w:szCs w:val="18"/>
          <w:color w:val="auto"/>
        </w:rPr>
        <w:t>$4.594 billion reported in the same period of 2003. Consolidated Operating Cash Flow increased to $1.952 billion or 21.1%, in the second quarter of 2004, from the $1.612 billion reported in the same prior year period. Operating income doubled to $852 million in the second quarter of 2004 compared to operating income of $425 million in the second quarter of 2003.</w:t>
      </w:r>
    </w:p>
    <w:p>
      <w:pPr>
        <w:spacing w:after="0" w:line="6" w:lineRule="exact"/>
        <w:rPr>
          <w:sz w:val="20"/>
          <w:szCs w:val="20"/>
          <w:color w:val="auto"/>
        </w:rPr>
      </w:pPr>
    </w:p>
    <w:p>
      <w:pPr>
        <w:ind w:right="2199" w:firstLine="421"/>
        <w:spacing w:after="0" w:line="237" w:lineRule="auto"/>
        <w:rPr>
          <w:sz w:val="20"/>
          <w:szCs w:val="20"/>
          <w:color w:val="auto"/>
        </w:rPr>
      </w:pPr>
      <w:r>
        <w:rPr>
          <w:rFonts w:ascii="Courier New" w:cs="Courier New" w:eastAsia="Courier New" w:hAnsi="Courier New"/>
          <w:sz w:val="18"/>
          <w:szCs w:val="18"/>
          <w:color w:val="auto"/>
        </w:rPr>
        <w:t>For the three months ended June 30, 2004, the Company reported consolidated net income of $262 million or $0.12 per share compared to a consolidated net loss from continuing operations of $93 million or $0.04 per share in the second quarter of 2003. This includes the effects of non-recurring mark-to-market adjustments that are included in investment income. For the six months ended June 30, 2004, the Company reported consolidated net income of $327 million or $0.14 per share compared to a</w:t>
      </w:r>
    </w:p>
    <w:p>
      <w:pPr>
        <w:sectPr>
          <w:pgSz w:w="11900" w:h="16838" w:orient="portrait"/>
          <w:cols w:equalWidth="0" w:num="1">
            <w:col w:w="10219"/>
          </w:cols>
          <w:pgMar w:left="240" w:top="142" w:right="1440" w:bottom="0" w:gutter="0" w:footer="0" w:header="0"/>
        </w:sectPr>
      </w:pPr>
    </w:p>
    <w:bookmarkStart w:id="4" w:name="page5"/>
    <w:bookmarkEnd w:id="4"/>
    <w:p>
      <w:pPr>
        <w:ind w:right="2099"/>
        <w:spacing w:after="0" w:line="237" w:lineRule="auto"/>
        <w:rPr>
          <w:sz w:val="20"/>
          <w:szCs w:val="20"/>
          <w:color w:val="auto"/>
        </w:rPr>
      </w:pPr>
      <w:r>
        <w:rPr>
          <w:rFonts w:ascii="Courier New" w:cs="Courier New" w:eastAsia="Courier New" w:hAnsi="Courier New"/>
          <w:sz w:val="18"/>
          <w:szCs w:val="18"/>
          <w:color w:val="auto"/>
        </w:rPr>
        <w:t>consolidated net loss from continuing operations of $448 million or $0.20 per share in the six months ended June 30, 2003. Please refer to the "Reconciliation of Net Income (Loss) to Free Cash Flow" in Table 6-B at the end of this release and the Company's Form 10-Q for further details on items affecting net income.</w:t>
      </w:r>
    </w:p>
    <w:p>
      <w:pPr>
        <w:spacing w:after="0" w:line="203"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Share Repurchase Program</w:t>
      </w:r>
    </w:p>
    <w:p>
      <w:pPr>
        <w:spacing w:after="0" w:line="4" w:lineRule="exact"/>
        <w:rPr>
          <w:sz w:val="20"/>
          <w:szCs w:val="20"/>
          <w:color w:val="auto"/>
        </w:rPr>
      </w:pPr>
    </w:p>
    <w:p>
      <w:pPr>
        <w:ind w:right="2199" w:firstLine="421"/>
        <w:spacing w:after="0" w:line="268" w:lineRule="auto"/>
        <w:rPr>
          <w:sz w:val="20"/>
          <w:szCs w:val="20"/>
          <w:color w:val="auto"/>
        </w:rPr>
      </w:pPr>
      <w:r>
        <w:rPr>
          <w:rFonts w:ascii="Courier New" w:cs="Courier New" w:eastAsia="Courier New" w:hAnsi="Courier New"/>
          <w:sz w:val="16"/>
          <w:szCs w:val="16"/>
          <w:color w:val="auto"/>
        </w:rPr>
        <w:t>Comcast's Board of Directors has authorized an increase of $1 billion to the existing share repurchase program announced on December 18, 2003. The Company is now authorized to repurchase up to $2 billion of its outstanding common stock and has current availability to purchase $1.25 billion of its stock. Comcast expects such repurchases to continue to occur from time to time in the open market or in private transactions, subject to market conditions. Through July 2004, the Company has repurchased $750 million of its Class A Special common stock or 26.7 million shares.</w:t>
      </w:r>
    </w:p>
    <w:p>
      <w:pPr>
        <w:spacing w:after="0" w:line="1" w:lineRule="exact"/>
        <w:rPr>
          <w:sz w:val="20"/>
          <w:szCs w:val="20"/>
          <w:color w:val="auto"/>
        </w:rPr>
      </w:pPr>
    </w:p>
    <w:p>
      <w:pPr>
        <w:ind w:right="1999" w:firstLine="421"/>
        <w:spacing w:after="0" w:line="237" w:lineRule="auto"/>
        <w:rPr>
          <w:sz w:val="20"/>
          <w:szCs w:val="20"/>
          <w:color w:val="auto"/>
        </w:rPr>
      </w:pPr>
      <w:r>
        <w:rPr>
          <w:rFonts w:ascii="Courier New" w:cs="Courier New" w:eastAsia="Courier New" w:hAnsi="Courier New"/>
          <w:sz w:val="18"/>
          <w:szCs w:val="18"/>
          <w:color w:val="auto"/>
        </w:rPr>
        <w:t>During the second quarter, the Company elected to redeem, for $400 million in cash, two debt issues that were exchangeable into Comcast Class A Special common stock, eliminating the need to issue 14.9 million shares. Including the open market repurchases of $700 million made since the resumption of the repurchase program in early May, the Company has invested $1.1 billion in its common stock and related securities.</w:t>
      </w:r>
    </w:p>
    <w:p>
      <w:pPr>
        <w:spacing w:after="0" w:line="204"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Financial Guidance 2004</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Comcast Cable Reaffirms:</w:t>
      </w:r>
    </w:p>
    <w:p>
      <w:pPr>
        <w:ind w:left="960" w:hanging="531"/>
        <w:spacing w:after="0" w:line="238" w:lineRule="auto"/>
        <w:tabs>
          <w:tab w:leader="none" w:pos="9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Revenue growth of approximately 10%.</w:t>
      </w:r>
    </w:p>
    <w:p>
      <w:pPr>
        <w:spacing w:after="0" w:line="4" w:lineRule="exact"/>
        <w:rPr>
          <w:rFonts w:ascii="Courier New" w:cs="Courier New" w:eastAsia="Courier New" w:hAnsi="Courier New"/>
          <w:sz w:val="18"/>
          <w:szCs w:val="18"/>
          <w:color w:val="auto"/>
        </w:rPr>
      </w:pPr>
    </w:p>
    <w:p>
      <w:pPr>
        <w:ind w:left="960" w:right="2199" w:hanging="531"/>
        <w:spacing w:after="0" w:line="237" w:lineRule="auto"/>
        <w:tabs>
          <w:tab w:leader="none" w:pos="9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High-speed Internet subscriber net additions of between 1.5 and 1.6 million and high-speed Internet service revenue growth of more than 30% while generating average monthly revenue per subscriber above $40.</w:t>
      </w:r>
    </w:p>
    <w:p>
      <w:pPr>
        <w:spacing w:after="0" w:line="4" w:lineRule="exact"/>
        <w:rPr>
          <w:rFonts w:ascii="Courier New" w:cs="Courier New" w:eastAsia="Courier New" w:hAnsi="Courier New"/>
          <w:sz w:val="18"/>
          <w:szCs w:val="18"/>
          <w:color w:val="auto"/>
        </w:rPr>
      </w:pPr>
    </w:p>
    <w:p>
      <w:pPr>
        <w:ind w:left="960" w:right="3159" w:hanging="531"/>
        <w:spacing w:after="0" w:line="235" w:lineRule="auto"/>
        <w:tabs>
          <w:tab w:leader="none" w:pos="9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Digital Cable subscriber net additions between 700,000 and 1 million.</w:t>
      </w:r>
    </w:p>
    <w:p>
      <w:pPr>
        <w:spacing w:after="0" w:line="1" w:lineRule="exact"/>
        <w:rPr>
          <w:rFonts w:ascii="Courier New" w:cs="Courier New" w:eastAsia="Courier New" w:hAnsi="Courier New"/>
          <w:sz w:val="18"/>
          <w:szCs w:val="18"/>
          <w:color w:val="auto"/>
        </w:rPr>
      </w:pPr>
    </w:p>
    <w:p>
      <w:pPr>
        <w:ind w:left="960" w:hanging="531"/>
        <w:spacing w:after="0" w:line="238" w:lineRule="auto"/>
        <w:tabs>
          <w:tab w:leader="none" w:pos="9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Cable capital expenditures of between $3.3 and $3.4 billion.</w:t>
      </w:r>
    </w:p>
    <w:p>
      <w:pPr>
        <w:spacing w:after="0" w:line="200" w:lineRule="exact"/>
        <w:rPr>
          <w:sz w:val="20"/>
          <w:szCs w:val="20"/>
          <w:color w:val="auto"/>
        </w:rPr>
      </w:pPr>
    </w:p>
    <w:p>
      <w:pPr>
        <w:spacing w:after="0" w:line="204"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Comcast Cable Updates:</w:t>
      </w:r>
    </w:p>
    <w:p>
      <w:pPr>
        <w:spacing w:after="0" w:line="4" w:lineRule="exact"/>
        <w:rPr>
          <w:sz w:val="20"/>
          <w:szCs w:val="20"/>
          <w:color w:val="auto"/>
        </w:rPr>
      </w:pPr>
    </w:p>
    <w:p>
      <w:pPr>
        <w:ind w:left="960" w:right="2199" w:hanging="531"/>
        <w:spacing w:after="0" w:line="237" w:lineRule="auto"/>
        <w:tabs>
          <w:tab w:leader="none" w:pos="9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Raised OCF guidance to approximately $7.5 billion or a growth rate of 18%, an increase from original guidance of 15% to 17% growth reflecting increased revenues as well as a reduction in the rate of growth in video programming costs and lower customer service, phone and high-speed Internet service expenses.</w:t>
      </w:r>
    </w:p>
    <w:p>
      <w:pPr>
        <w:spacing w:after="0" w:line="6" w:lineRule="exact"/>
        <w:rPr>
          <w:rFonts w:ascii="Courier New" w:cs="Courier New" w:eastAsia="Courier New" w:hAnsi="Courier New"/>
          <w:sz w:val="18"/>
          <w:szCs w:val="18"/>
          <w:color w:val="auto"/>
        </w:rPr>
      </w:pPr>
    </w:p>
    <w:p>
      <w:pPr>
        <w:ind w:left="960" w:right="2199" w:hanging="531"/>
        <w:spacing w:after="0" w:line="237" w:lineRule="auto"/>
        <w:tabs>
          <w:tab w:leader="none" w:pos="9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Expect to maintain basic subscribers of approximately 21.5 million, modestly below original guidance net additions of 0.5% or approximately 100,000 subscribers. The revised outlook for basic subscribers is not expected to have a meaningful impact on revenue, Operating Cash Flow or Operating Cash Flow margin.</w:t>
      </w:r>
    </w:p>
    <w:p>
      <w:pPr>
        <w:spacing w:after="0" w:line="6" w:lineRule="exact"/>
        <w:rPr>
          <w:rFonts w:ascii="Courier New" w:cs="Courier New" w:eastAsia="Courier New" w:hAnsi="Courier New"/>
          <w:sz w:val="18"/>
          <w:szCs w:val="18"/>
          <w:color w:val="auto"/>
        </w:rPr>
      </w:pPr>
    </w:p>
    <w:p>
      <w:pPr>
        <w:ind w:left="960" w:right="2199" w:hanging="531"/>
        <w:spacing w:after="0" w:line="237" w:lineRule="auto"/>
        <w:tabs>
          <w:tab w:leader="none" w:pos="9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Guidance for Cable Phone subscribers is lowered to a net loss of up to 100,000 subscribers in 2004 from original guidance of up to 50,000 additions. The outlook for Cable Phone subscribers reflects the Company's focus on profitability, not unit growth, of the acquired circuit-switched telephone business as it begins to transition to VoIP.</w:t>
      </w:r>
    </w:p>
    <w:p>
      <w:pPr>
        <w:spacing w:after="0" w:line="204"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Comcast Content Reaffirms:</w:t>
      </w:r>
    </w:p>
    <w:p>
      <w:pPr>
        <w:spacing w:after="0" w:line="4" w:lineRule="exact"/>
        <w:rPr>
          <w:sz w:val="20"/>
          <w:szCs w:val="20"/>
          <w:color w:val="auto"/>
        </w:rPr>
      </w:pPr>
    </w:p>
    <w:p>
      <w:pPr>
        <w:ind w:left="960" w:right="2099" w:hanging="531"/>
        <w:spacing w:after="0" w:line="236" w:lineRule="auto"/>
        <w:tabs>
          <w:tab w:leader="none" w:pos="9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a combined basis, Comcast expects its Content division, consisting of its national cable networks, to deliver revenue growth of at least 20% and OCF growth of at least 30% in 2004.</w:t>
      </w:r>
    </w:p>
    <w:p>
      <w:pPr>
        <w:spacing w:after="0" w:line="203"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Other Financial Guidance Reaffirmed:</w:t>
      </w:r>
    </w:p>
    <w:p>
      <w:pPr>
        <w:spacing w:after="0" w:line="4" w:lineRule="exact"/>
        <w:rPr>
          <w:sz w:val="20"/>
          <w:szCs w:val="20"/>
          <w:color w:val="auto"/>
        </w:rPr>
      </w:pPr>
    </w:p>
    <w:p>
      <w:pPr>
        <w:ind w:left="960" w:right="3159" w:hanging="531"/>
        <w:spacing w:after="0" w:line="235" w:lineRule="auto"/>
        <w:tabs>
          <w:tab w:leader="none" w:pos="9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Comcast expects to generate consolidated Free Cash Flow of $2 billion.</w:t>
      </w:r>
    </w:p>
    <w:p>
      <w:pPr>
        <w:spacing w:after="0" w:line="208" w:lineRule="exact"/>
        <w:rPr>
          <w:sz w:val="20"/>
          <w:szCs w:val="20"/>
          <w:color w:val="auto"/>
        </w:rPr>
      </w:pPr>
    </w:p>
    <w:p>
      <w:pPr>
        <w:ind w:right="1999" w:firstLine="421"/>
        <w:spacing w:after="0" w:line="268" w:lineRule="auto"/>
        <w:rPr>
          <w:sz w:val="20"/>
          <w:szCs w:val="20"/>
          <w:color w:val="auto"/>
        </w:rPr>
      </w:pPr>
      <w:r>
        <w:rPr>
          <w:rFonts w:ascii="Courier New" w:cs="Courier New" w:eastAsia="Courier New" w:hAnsi="Courier New"/>
          <w:sz w:val="16"/>
          <w:szCs w:val="16"/>
          <w:color w:val="auto"/>
        </w:rPr>
        <w:t>This press release contains forward-looking statements. Readers are cautioned that such forward-looking statements involve risks and uncertainties that could significantly affect actual results from those expressed in any such forward-looking statements. Readers are directed to Comcast's Quarterly Report on Form 10-Q for a description of such risks and uncertainties.</w:t>
      </w:r>
    </w:p>
    <w:p>
      <w:pPr>
        <w:spacing w:after="0" w:line="1" w:lineRule="exact"/>
        <w:rPr>
          <w:sz w:val="20"/>
          <w:szCs w:val="20"/>
          <w:color w:val="auto"/>
        </w:rPr>
      </w:pPr>
    </w:p>
    <w:p>
      <w:pPr>
        <w:ind w:right="2099" w:firstLine="421"/>
        <w:spacing w:after="0" w:line="237" w:lineRule="auto"/>
        <w:rPr>
          <w:sz w:val="20"/>
          <w:szCs w:val="20"/>
          <w:color w:val="auto"/>
        </w:rPr>
      </w:pPr>
      <w:r>
        <w:rPr>
          <w:rFonts w:ascii="Courier New" w:cs="Courier New" w:eastAsia="Courier New" w:hAnsi="Courier New"/>
          <w:sz w:val="18"/>
          <w:szCs w:val="18"/>
          <w:color w:val="auto"/>
        </w:rPr>
        <w:t>In this discussion we sometimes refer to financial measures that are not presented according to generally accepted accounting principles (GAAP). Certain of these measures are considered "non-GAAP financial measures" under the Securities and Exchange Commission (SEC) regulations; those rules require the supplemental explanation and reconciliation provided in table 6 of this release.</w:t>
      </w:r>
    </w:p>
    <w:p>
      <w:pPr>
        <w:spacing w:after="0" w:line="210" w:lineRule="exact"/>
        <w:rPr>
          <w:sz w:val="20"/>
          <w:szCs w:val="20"/>
          <w:color w:val="auto"/>
        </w:rPr>
      </w:pPr>
    </w:p>
    <w:p>
      <w:pPr>
        <w:ind w:right="2199" w:firstLine="421"/>
        <w:spacing w:after="0" w:line="237" w:lineRule="auto"/>
        <w:rPr>
          <w:sz w:val="20"/>
          <w:szCs w:val="20"/>
          <w:color w:val="auto"/>
        </w:rPr>
      </w:pPr>
      <w:r>
        <w:rPr>
          <w:rFonts w:ascii="Courier New" w:cs="Courier New" w:eastAsia="Courier New" w:hAnsi="Courier New"/>
          <w:sz w:val="18"/>
          <w:szCs w:val="18"/>
          <w:color w:val="auto"/>
        </w:rPr>
        <w:t>Comcast Corporation will host a conference call with the financial community today, July 28, 2004, at 8:30 a.m. Eastern Time (ET). The conference call will be broadcast live on the Company's Investor Relations website at http://www.cmcsa.com or http://www.cmcsk.com. A recording of the call will be available on the Investor Relations website starting at 12:30 p.m. ET on July 28, 2004.</w:t>
      </w:r>
    </w:p>
    <w:p>
      <w:pPr>
        <w:spacing w:after="0" w:line="7"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Those parties interested in participating via telephone should dial (847)</w:t>
      </w:r>
    </w:p>
    <w:p>
      <w:pPr>
        <w:sectPr>
          <w:pgSz w:w="11900" w:h="16838" w:orient="portrait"/>
          <w:cols w:equalWidth="0" w:num="1">
            <w:col w:w="10219"/>
          </w:cols>
          <w:pgMar w:left="240" w:top="142" w:right="1440" w:bottom="0" w:gutter="0" w:footer="0" w:header="0"/>
        </w:sectPr>
      </w:pPr>
    </w:p>
    <w:bookmarkStart w:id="5" w:name="page6"/>
    <w:bookmarkEnd w:id="5"/>
    <w:p>
      <w:pPr>
        <w:ind w:right="2099"/>
        <w:spacing w:after="0" w:line="268" w:lineRule="auto"/>
        <w:rPr>
          <w:sz w:val="20"/>
          <w:szCs w:val="20"/>
          <w:color w:val="auto"/>
        </w:rPr>
      </w:pPr>
      <w:r>
        <w:rPr>
          <w:rFonts w:ascii="Courier New" w:cs="Courier New" w:eastAsia="Courier New" w:hAnsi="Courier New"/>
          <w:sz w:val="16"/>
          <w:szCs w:val="16"/>
          <w:color w:val="auto"/>
        </w:rPr>
        <w:t>413-2408. A telephone replay will begin immediately following the call until July 29, 2004 at midnight ET. To access the rebroadcast, please dial (630)</w:t>
      </w:r>
    </w:p>
    <w:p>
      <w:pPr>
        <w:spacing w:after="0" w:line="233" w:lineRule="auto"/>
        <w:rPr>
          <w:sz w:val="20"/>
          <w:szCs w:val="20"/>
          <w:color w:val="auto"/>
        </w:rPr>
      </w:pPr>
      <w:r>
        <w:rPr>
          <w:rFonts w:ascii="Courier New" w:cs="Courier New" w:eastAsia="Courier New" w:hAnsi="Courier New"/>
          <w:sz w:val="18"/>
          <w:szCs w:val="18"/>
          <w:color w:val="auto"/>
        </w:rPr>
        <w:t>652-3000 and enter passcode number 9196739#.</w:t>
      </w:r>
    </w:p>
    <w:p>
      <w:pPr>
        <w:spacing w:after="0" w:line="5" w:lineRule="exact"/>
        <w:rPr>
          <w:sz w:val="20"/>
          <w:szCs w:val="20"/>
          <w:color w:val="auto"/>
        </w:rPr>
      </w:pPr>
    </w:p>
    <w:p>
      <w:pPr>
        <w:ind w:right="2199" w:firstLine="421"/>
        <w:spacing w:after="0" w:line="268" w:lineRule="auto"/>
        <w:rPr>
          <w:sz w:val="20"/>
          <w:szCs w:val="20"/>
          <w:color w:val="auto"/>
        </w:rPr>
      </w:pPr>
      <w:r>
        <w:rPr>
          <w:rFonts w:ascii="Courier New" w:cs="Courier New" w:eastAsia="Courier New" w:hAnsi="Courier New"/>
          <w:sz w:val="16"/>
          <w:szCs w:val="16"/>
          <w:color w:val="auto"/>
        </w:rPr>
        <w:t>To automatically receive Comcast financial news by email, please visit http://www.cmcsa.com or http://www.cmcsk.com and subscribe to e-mail Alerts.</w:t>
      </w:r>
    </w:p>
    <w:p>
      <w:pPr>
        <w:ind w:right="2199" w:firstLine="421"/>
        <w:spacing w:after="0" w:line="268" w:lineRule="auto"/>
        <w:rPr>
          <w:sz w:val="20"/>
          <w:szCs w:val="20"/>
          <w:color w:val="auto"/>
        </w:rPr>
      </w:pPr>
      <w:r>
        <w:rPr>
          <w:rFonts w:ascii="Courier New" w:cs="Courier New" w:eastAsia="Courier New" w:hAnsi="Courier New"/>
          <w:sz w:val="16"/>
          <w:szCs w:val="16"/>
          <w:color w:val="auto"/>
        </w:rPr>
        <w:t>Comcast Corporation (http://www.comcast.com) is principally involved in the development, management and operation of broadband cable networks and in the provision of programming content. The Company is the largest cable company in the United States, serving more than 21 million cable subscribers and is the nation's largest broadband Internet provider with more than</w:t>
      </w:r>
    </w:p>
    <w:p>
      <w:pPr>
        <w:spacing w:after="0" w:line="1"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6 million customers. The Company's content businesses include Comcast SportsNet, Comcast-Spectacor, E! Entertainment Television, Style Network, The Golf Channel, Outdoor Life Network and G4techTV. Comcast Class A common stock and Class A Special common stock trade on The Nasdaq Stock Market under the symbols CMCSA and CMCSK, respectively.</w:t>
      </w:r>
    </w:p>
    <w:p>
      <w:pPr>
        <w:spacing w:after="0" w:line="200" w:lineRule="exact"/>
        <w:rPr>
          <w:sz w:val="20"/>
          <w:szCs w:val="20"/>
          <w:color w:val="auto"/>
        </w:rPr>
      </w:pPr>
    </w:p>
    <w:p>
      <w:pPr>
        <w:spacing w:after="0" w:line="206"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8"/>
          <w:szCs w:val="18"/>
          <w:color w:val="auto"/>
        </w:rPr>
        <w:t>COMCAST CORPORATION</w:t>
      </w:r>
    </w:p>
    <w:p>
      <w:pPr>
        <w:jc w:val="center"/>
        <w:ind w:right="1679"/>
        <w:spacing w:after="0" w:line="238" w:lineRule="auto"/>
        <w:rPr>
          <w:sz w:val="20"/>
          <w:szCs w:val="20"/>
          <w:color w:val="auto"/>
        </w:rPr>
      </w:pPr>
      <w:r>
        <w:rPr>
          <w:rFonts w:ascii="Courier New" w:cs="Courier New" w:eastAsia="Courier New" w:hAnsi="Courier New"/>
          <w:sz w:val="18"/>
          <w:szCs w:val="18"/>
          <w:color w:val="auto"/>
        </w:rPr>
        <w:t>TABLE 1</w:t>
      </w:r>
    </w:p>
    <w:p>
      <w:pPr>
        <w:jc w:val="center"/>
        <w:ind w:right="1779"/>
        <w:spacing w:after="0"/>
        <w:rPr>
          <w:sz w:val="20"/>
          <w:szCs w:val="20"/>
          <w:color w:val="auto"/>
        </w:rPr>
      </w:pPr>
      <w:r>
        <w:rPr>
          <w:rFonts w:ascii="Courier New" w:cs="Courier New" w:eastAsia="Courier New" w:hAnsi="Courier New"/>
          <w:sz w:val="18"/>
          <w:szCs w:val="18"/>
          <w:color w:val="auto"/>
        </w:rPr>
        <w:t>Condensed Consolidated Statement of Operations (Unaudited)</w:t>
      </w:r>
    </w:p>
    <w:p>
      <w:pPr>
        <w:jc w:val="center"/>
        <w:ind w:right="1779"/>
        <w:spacing w:after="0" w:line="237" w:lineRule="auto"/>
        <w:rPr>
          <w:sz w:val="20"/>
          <w:szCs w:val="20"/>
          <w:color w:val="auto"/>
        </w:rPr>
      </w:pPr>
      <w:r>
        <w:rPr>
          <w:rFonts w:ascii="Courier New" w:cs="Courier New" w:eastAsia="Courier New" w:hAnsi="Courier New"/>
          <w:sz w:val="18"/>
          <w:szCs w:val="18"/>
          <w:color w:val="auto"/>
        </w:rPr>
        <w:t>(amounts in millions, except per share data)</w:t>
      </w:r>
    </w:p>
    <w:p>
      <w:pPr>
        <w:spacing w:after="0" w:line="202" w:lineRule="exact"/>
        <w:rPr>
          <w:sz w:val="20"/>
          <w:szCs w:val="20"/>
          <w:color w:val="auto"/>
        </w:rPr>
      </w:pPr>
    </w:p>
    <w:tbl>
      <w:tblPr>
        <w:tblLayout w:type="fixed"/>
        <w:tblInd w:w="420" w:type="dxa"/>
        <w:tblCellMar>
          <w:top w:w="0" w:type="dxa"/>
          <w:left w:w="0" w:type="dxa"/>
          <w:bottom w:w="0" w:type="dxa"/>
          <w:right w:w="0" w:type="dxa"/>
        </w:tblCellMar>
      </w:tblPr>
      <w:tr>
        <w:trPr>
          <w:trHeight w:val="204"/>
        </w:trPr>
        <w:tc>
          <w:tcPr>
            <w:tcW w:w="3600" w:type="dxa"/>
            <w:vAlign w:val="bottom"/>
          </w:tcPr>
          <w:p>
            <w:pPr>
              <w:spacing w:after="0"/>
              <w:rPr>
                <w:sz w:val="17"/>
                <w:szCs w:val="17"/>
                <w:color w:val="auto"/>
              </w:rPr>
            </w:pPr>
          </w:p>
        </w:tc>
        <w:tc>
          <w:tcPr>
            <w:tcW w:w="2160" w:type="dxa"/>
            <w:vAlign w:val="bottom"/>
            <w:gridSpan w:val="2"/>
          </w:tcPr>
          <w:p>
            <w:pPr>
              <w:jc w:val="right"/>
              <w:ind w:right="192"/>
              <w:spacing w:after="0"/>
              <w:rPr>
                <w:sz w:val="20"/>
                <w:szCs w:val="20"/>
                <w:color w:val="auto"/>
              </w:rPr>
            </w:pPr>
            <w:r>
              <w:rPr>
                <w:rFonts w:ascii="Courier New" w:cs="Courier New" w:eastAsia="Courier New" w:hAnsi="Courier New"/>
                <w:sz w:val="18"/>
                <w:szCs w:val="18"/>
                <w:color w:val="auto"/>
                <w:w w:val="95"/>
              </w:rPr>
              <w:t>Three Months Ended</w:t>
            </w:r>
          </w:p>
        </w:tc>
        <w:tc>
          <w:tcPr>
            <w:tcW w:w="2040" w:type="dxa"/>
            <w:vAlign w:val="bottom"/>
            <w:gridSpan w:val="2"/>
          </w:tcPr>
          <w:p>
            <w:pPr>
              <w:jc w:val="right"/>
              <w:ind w:right="112"/>
              <w:spacing w:after="0"/>
              <w:rPr>
                <w:sz w:val="20"/>
                <w:szCs w:val="20"/>
                <w:color w:val="auto"/>
              </w:rPr>
            </w:pPr>
            <w:r>
              <w:rPr>
                <w:rFonts w:ascii="Courier New" w:cs="Courier New" w:eastAsia="Courier New" w:hAnsi="Courier New"/>
                <w:sz w:val="18"/>
                <w:szCs w:val="18"/>
                <w:color w:val="auto"/>
              </w:rPr>
              <w:t>Six Months Ended</w:t>
            </w:r>
          </w:p>
        </w:tc>
      </w:tr>
      <w:tr>
        <w:trPr>
          <w:trHeight w:val="203"/>
        </w:trPr>
        <w:tc>
          <w:tcPr>
            <w:tcW w:w="3600" w:type="dxa"/>
            <w:vAlign w:val="bottom"/>
          </w:tcPr>
          <w:p>
            <w:pPr>
              <w:spacing w:after="0"/>
              <w:rPr>
                <w:sz w:val="17"/>
                <w:szCs w:val="17"/>
                <w:color w:val="auto"/>
              </w:rPr>
            </w:pPr>
          </w:p>
        </w:tc>
        <w:tc>
          <w:tcPr>
            <w:tcW w:w="2160" w:type="dxa"/>
            <w:vAlign w:val="bottom"/>
            <w:gridSpan w:val="2"/>
          </w:tcPr>
          <w:p>
            <w:pPr>
              <w:jc w:val="right"/>
              <w:ind w:right="612"/>
              <w:spacing w:after="0" w:line="203" w:lineRule="exact"/>
              <w:rPr>
                <w:sz w:val="20"/>
                <w:szCs w:val="20"/>
                <w:color w:val="auto"/>
              </w:rPr>
            </w:pPr>
            <w:r>
              <w:rPr>
                <w:rFonts w:ascii="Courier New" w:cs="Courier New" w:eastAsia="Courier New" w:hAnsi="Courier New"/>
                <w:sz w:val="18"/>
                <w:szCs w:val="18"/>
                <w:color w:val="auto"/>
              </w:rPr>
              <w:t>June 30,</w:t>
            </w:r>
          </w:p>
        </w:tc>
        <w:tc>
          <w:tcPr>
            <w:tcW w:w="204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rPr>
              <w:t>June 30,</w:t>
            </w:r>
          </w:p>
        </w:tc>
      </w:tr>
      <w:tr>
        <w:trPr>
          <w:trHeight w:val="203"/>
        </w:trPr>
        <w:tc>
          <w:tcPr>
            <w:tcW w:w="3600" w:type="dxa"/>
            <w:vAlign w:val="bottom"/>
          </w:tcPr>
          <w:p>
            <w:pPr>
              <w:spacing w:after="0"/>
              <w:rPr>
                <w:sz w:val="17"/>
                <w:szCs w:val="17"/>
                <w:color w:val="auto"/>
              </w:rPr>
            </w:pPr>
          </w:p>
        </w:tc>
        <w:tc>
          <w:tcPr>
            <w:tcW w:w="10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2004</w:t>
            </w:r>
          </w:p>
        </w:tc>
        <w:tc>
          <w:tcPr>
            <w:tcW w:w="11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2003</w:t>
            </w:r>
          </w:p>
        </w:tc>
        <w:tc>
          <w:tcPr>
            <w:tcW w:w="1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2004</w:t>
            </w: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2003</w:t>
            </w:r>
          </w:p>
        </w:tc>
      </w:tr>
      <w:tr>
        <w:trPr>
          <w:trHeight w:val="405"/>
        </w:trPr>
        <w:tc>
          <w:tcPr>
            <w:tcW w:w="3600" w:type="dxa"/>
            <w:vAlign w:val="bottom"/>
          </w:tcPr>
          <w:p>
            <w:pPr>
              <w:spacing w:after="0"/>
              <w:rPr>
                <w:sz w:val="20"/>
                <w:szCs w:val="20"/>
                <w:color w:val="auto"/>
              </w:rPr>
            </w:pPr>
            <w:r>
              <w:rPr>
                <w:rFonts w:ascii="Courier New" w:cs="Courier New" w:eastAsia="Courier New" w:hAnsi="Courier New"/>
                <w:sz w:val="18"/>
                <w:szCs w:val="18"/>
                <w:color w:val="auto"/>
              </w:rPr>
              <w:t>Revenues</w:t>
            </w:r>
          </w:p>
        </w:tc>
        <w:tc>
          <w:tcPr>
            <w:tcW w:w="104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$5,066</w:t>
            </w:r>
          </w:p>
        </w:tc>
        <w:tc>
          <w:tcPr>
            <w:tcW w:w="1120" w:type="dxa"/>
            <w:vAlign w:val="bottom"/>
          </w:tcPr>
          <w:p>
            <w:pPr>
              <w:jc w:val="right"/>
              <w:ind w:right="192"/>
              <w:spacing w:after="0"/>
              <w:rPr>
                <w:sz w:val="20"/>
                <w:szCs w:val="20"/>
                <w:color w:val="auto"/>
              </w:rPr>
            </w:pPr>
            <w:r>
              <w:rPr>
                <w:rFonts w:ascii="Courier New" w:cs="Courier New" w:eastAsia="Courier New" w:hAnsi="Courier New"/>
                <w:sz w:val="18"/>
                <w:szCs w:val="18"/>
                <w:color w:val="auto"/>
              </w:rPr>
              <w:t>$4,594</w:t>
            </w:r>
          </w:p>
        </w:tc>
        <w:tc>
          <w:tcPr>
            <w:tcW w:w="110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$9,974</w:t>
            </w:r>
          </w:p>
        </w:tc>
        <w:tc>
          <w:tcPr>
            <w:tcW w:w="9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$9,060</w:t>
            </w:r>
          </w:p>
        </w:tc>
      </w:tr>
      <w:tr>
        <w:trPr>
          <w:trHeight w:val="405"/>
        </w:trPr>
        <w:tc>
          <w:tcPr>
            <w:tcW w:w="3600" w:type="dxa"/>
            <w:vAlign w:val="bottom"/>
          </w:tcPr>
          <w:p>
            <w:pPr>
              <w:spacing w:after="0"/>
              <w:rPr>
                <w:sz w:val="20"/>
                <w:szCs w:val="20"/>
                <w:color w:val="auto"/>
              </w:rPr>
            </w:pPr>
            <w:r>
              <w:rPr>
                <w:rFonts w:ascii="Courier New" w:cs="Courier New" w:eastAsia="Courier New" w:hAnsi="Courier New"/>
                <w:sz w:val="18"/>
                <w:szCs w:val="18"/>
                <w:color w:val="auto"/>
              </w:rPr>
              <w:t>Operating expenses</w:t>
            </w:r>
          </w:p>
        </w:tc>
        <w:tc>
          <w:tcPr>
            <w:tcW w:w="104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1,794</w:t>
            </w:r>
          </w:p>
        </w:tc>
        <w:tc>
          <w:tcPr>
            <w:tcW w:w="1120" w:type="dxa"/>
            <w:vAlign w:val="bottom"/>
          </w:tcPr>
          <w:p>
            <w:pPr>
              <w:jc w:val="right"/>
              <w:ind w:right="192"/>
              <w:spacing w:after="0"/>
              <w:rPr>
                <w:sz w:val="20"/>
                <w:szCs w:val="20"/>
                <w:color w:val="auto"/>
              </w:rPr>
            </w:pPr>
            <w:r>
              <w:rPr>
                <w:rFonts w:ascii="Courier New" w:cs="Courier New" w:eastAsia="Courier New" w:hAnsi="Courier New"/>
                <w:sz w:val="18"/>
                <w:szCs w:val="18"/>
                <w:color w:val="auto"/>
              </w:rPr>
              <w:t>1,753</w:t>
            </w:r>
          </w:p>
        </w:tc>
        <w:tc>
          <w:tcPr>
            <w:tcW w:w="110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3,663</w:t>
            </w:r>
          </w:p>
        </w:tc>
        <w:tc>
          <w:tcPr>
            <w:tcW w:w="9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3,564</w:t>
            </w:r>
          </w:p>
        </w:tc>
      </w:tr>
      <w:tr>
        <w:trPr>
          <w:trHeight w:val="405"/>
        </w:trPr>
        <w:tc>
          <w:tcPr>
            <w:tcW w:w="4640" w:type="dxa"/>
            <w:vAlign w:val="bottom"/>
            <w:gridSpan w:val="2"/>
          </w:tcPr>
          <w:p>
            <w:pPr>
              <w:spacing w:after="0"/>
              <w:rPr>
                <w:sz w:val="20"/>
                <w:szCs w:val="20"/>
                <w:color w:val="auto"/>
              </w:rPr>
            </w:pPr>
            <w:r>
              <w:rPr>
                <w:rFonts w:ascii="Courier New" w:cs="Courier New" w:eastAsia="Courier New" w:hAnsi="Courier New"/>
                <w:sz w:val="18"/>
                <w:szCs w:val="18"/>
                <w:color w:val="auto"/>
              </w:rPr>
              <w:t>Selling, general and administrative</w:t>
            </w:r>
          </w:p>
        </w:tc>
        <w:tc>
          <w:tcPr>
            <w:tcW w:w="1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3"/>
        </w:trPr>
        <w:tc>
          <w:tcPr>
            <w:tcW w:w="36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expenses</w:t>
            </w:r>
          </w:p>
        </w:tc>
        <w:tc>
          <w:tcPr>
            <w:tcW w:w="10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1,320</w:t>
            </w:r>
          </w:p>
        </w:tc>
        <w:tc>
          <w:tcPr>
            <w:tcW w:w="11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1,229</w:t>
            </w:r>
          </w:p>
        </w:tc>
        <w:tc>
          <w:tcPr>
            <w:tcW w:w="11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2,626</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2,456</w:t>
            </w:r>
          </w:p>
        </w:tc>
      </w:tr>
      <w:tr>
        <w:trPr>
          <w:trHeight w:val="405"/>
        </w:trPr>
        <w:tc>
          <w:tcPr>
            <w:tcW w:w="3600" w:type="dxa"/>
            <w:vAlign w:val="bottom"/>
          </w:tcPr>
          <w:p>
            <w:pPr>
              <w:spacing w:after="0"/>
              <w:rPr>
                <w:sz w:val="20"/>
                <w:szCs w:val="20"/>
                <w:color w:val="auto"/>
              </w:rPr>
            </w:pPr>
            <w:r>
              <w:rPr>
                <w:rFonts w:ascii="Courier New" w:cs="Courier New" w:eastAsia="Courier New" w:hAnsi="Courier New"/>
                <w:sz w:val="18"/>
                <w:szCs w:val="18"/>
                <w:color w:val="auto"/>
              </w:rPr>
              <w:t>Operating Cash Flow</w:t>
            </w:r>
          </w:p>
        </w:tc>
        <w:tc>
          <w:tcPr>
            <w:tcW w:w="104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1,952</w:t>
            </w:r>
          </w:p>
        </w:tc>
        <w:tc>
          <w:tcPr>
            <w:tcW w:w="1120" w:type="dxa"/>
            <w:vAlign w:val="bottom"/>
          </w:tcPr>
          <w:p>
            <w:pPr>
              <w:jc w:val="right"/>
              <w:ind w:right="192"/>
              <w:spacing w:after="0"/>
              <w:rPr>
                <w:sz w:val="20"/>
                <w:szCs w:val="20"/>
                <w:color w:val="auto"/>
              </w:rPr>
            </w:pPr>
            <w:r>
              <w:rPr>
                <w:rFonts w:ascii="Courier New" w:cs="Courier New" w:eastAsia="Courier New" w:hAnsi="Courier New"/>
                <w:sz w:val="18"/>
                <w:szCs w:val="18"/>
                <w:color w:val="auto"/>
              </w:rPr>
              <w:t>1,612</w:t>
            </w:r>
          </w:p>
        </w:tc>
        <w:tc>
          <w:tcPr>
            <w:tcW w:w="110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3,685</w:t>
            </w:r>
          </w:p>
        </w:tc>
        <w:tc>
          <w:tcPr>
            <w:tcW w:w="9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3,040</w:t>
            </w:r>
          </w:p>
        </w:tc>
      </w:tr>
      <w:tr>
        <w:trPr>
          <w:trHeight w:val="405"/>
        </w:trPr>
        <w:tc>
          <w:tcPr>
            <w:tcW w:w="3600" w:type="dxa"/>
            <w:vAlign w:val="bottom"/>
          </w:tcPr>
          <w:p>
            <w:pPr>
              <w:spacing w:after="0"/>
              <w:rPr>
                <w:sz w:val="20"/>
                <w:szCs w:val="20"/>
                <w:color w:val="auto"/>
              </w:rPr>
            </w:pPr>
            <w:r>
              <w:rPr>
                <w:rFonts w:ascii="Courier New" w:cs="Courier New" w:eastAsia="Courier New" w:hAnsi="Courier New"/>
                <w:sz w:val="18"/>
                <w:szCs w:val="18"/>
                <w:color w:val="auto"/>
              </w:rPr>
              <w:t>Depreciation</w:t>
            </w:r>
          </w:p>
        </w:tc>
        <w:tc>
          <w:tcPr>
            <w:tcW w:w="104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813</w:t>
            </w:r>
          </w:p>
        </w:tc>
        <w:tc>
          <w:tcPr>
            <w:tcW w:w="1120" w:type="dxa"/>
            <w:vAlign w:val="bottom"/>
          </w:tcPr>
          <w:p>
            <w:pPr>
              <w:jc w:val="right"/>
              <w:ind w:right="192"/>
              <w:spacing w:after="0"/>
              <w:rPr>
                <w:sz w:val="20"/>
                <w:szCs w:val="20"/>
                <w:color w:val="auto"/>
              </w:rPr>
            </w:pPr>
            <w:r>
              <w:rPr>
                <w:rFonts w:ascii="Courier New" w:cs="Courier New" w:eastAsia="Courier New" w:hAnsi="Courier New"/>
                <w:sz w:val="18"/>
                <w:szCs w:val="18"/>
                <w:color w:val="auto"/>
              </w:rPr>
              <w:t>816</w:t>
            </w:r>
          </w:p>
        </w:tc>
        <w:tc>
          <w:tcPr>
            <w:tcW w:w="110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1,611</w:t>
            </w:r>
          </w:p>
        </w:tc>
        <w:tc>
          <w:tcPr>
            <w:tcW w:w="9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1,596</w:t>
            </w:r>
          </w:p>
        </w:tc>
      </w:tr>
      <w:tr>
        <w:trPr>
          <w:trHeight w:val="405"/>
        </w:trPr>
        <w:tc>
          <w:tcPr>
            <w:tcW w:w="3600" w:type="dxa"/>
            <w:vAlign w:val="bottom"/>
          </w:tcPr>
          <w:p>
            <w:pPr>
              <w:spacing w:after="0"/>
              <w:rPr>
                <w:sz w:val="20"/>
                <w:szCs w:val="20"/>
                <w:color w:val="auto"/>
              </w:rPr>
            </w:pPr>
            <w:r>
              <w:rPr>
                <w:rFonts w:ascii="Courier New" w:cs="Courier New" w:eastAsia="Courier New" w:hAnsi="Courier New"/>
                <w:sz w:val="18"/>
                <w:szCs w:val="18"/>
                <w:color w:val="auto"/>
              </w:rPr>
              <w:t>Amortization</w:t>
            </w:r>
          </w:p>
        </w:tc>
        <w:tc>
          <w:tcPr>
            <w:tcW w:w="104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287</w:t>
            </w:r>
          </w:p>
        </w:tc>
        <w:tc>
          <w:tcPr>
            <w:tcW w:w="1120" w:type="dxa"/>
            <w:vAlign w:val="bottom"/>
          </w:tcPr>
          <w:p>
            <w:pPr>
              <w:jc w:val="right"/>
              <w:ind w:right="192"/>
              <w:spacing w:after="0"/>
              <w:rPr>
                <w:sz w:val="20"/>
                <w:szCs w:val="20"/>
                <w:color w:val="auto"/>
              </w:rPr>
            </w:pPr>
            <w:r>
              <w:rPr>
                <w:rFonts w:ascii="Courier New" w:cs="Courier New" w:eastAsia="Courier New" w:hAnsi="Courier New"/>
                <w:sz w:val="18"/>
                <w:szCs w:val="18"/>
                <w:color w:val="auto"/>
              </w:rPr>
              <w:t>371</w:t>
            </w:r>
          </w:p>
        </w:tc>
        <w:tc>
          <w:tcPr>
            <w:tcW w:w="110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563</w:t>
            </w:r>
          </w:p>
        </w:tc>
        <w:tc>
          <w:tcPr>
            <w:tcW w:w="9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725</w:t>
            </w:r>
          </w:p>
        </w:tc>
      </w:tr>
      <w:tr>
        <w:trPr>
          <w:trHeight w:val="405"/>
        </w:trPr>
        <w:tc>
          <w:tcPr>
            <w:tcW w:w="3600" w:type="dxa"/>
            <w:vAlign w:val="bottom"/>
          </w:tcPr>
          <w:p>
            <w:pPr>
              <w:spacing w:after="0"/>
              <w:rPr>
                <w:sz w:val="20"/>
                <w:szCs w:val="20"/>
                <w:color w:val="auto"/>
              </w:rPr>
            </w:pPr>
            <w:r>
              <w:rPr>
                <w:rFonts w:ascii="Courier New" w:cs="Courier New" w:eastAsia="Courier New" w:hAnsi="Courier New"/>
                <w:sz w:val="18"/>
                <w:szCs w:val="18"/>
                <w:color w:val="auto"/>
              </w:rPr>
              <w:t>Operating Income</w:t>
            </w:r>
          </w:p>
        </w:tc>
        <w:tc>
          <w:tcPr>
            <w:tcW w:w="104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852</w:t>
            </w:r>
          </w:p>
        </w:tc>
        <w:tc>
          <w:tcPr>
            <w:tcW w:w="1120" w:type="dxa"/>
            <w:vAlign w:val="bottom"/>
          </w:tcPr>
          <w:p>
            <w:pPr>
              <w:jc w:val="right"/>
              <w:ind w:right="192"/>
              <w:spacing w:after="0"/>
              <w:rPr>
                <w:sz w:val="20"/>
                <w:szCs w:val="20"/>
                <w:color w:val="auto"/>
              </w:rPr>
            </w:pPr>
            <w:r>
              <w:rPr>
                <w:rFonts w:ascii="Courier New" w:cs="Courier New" w:eastAsia="Courier New" w:hAnsi="Courier New"/>
                <w:sz w:val="18"/>
                <w:szCs w:val="18"/>
                <w:color w:val="auto"/>
              </w:rPr>
              <w:t>425</w:t>
            </w:r>
          </w:p>
        </w:tc>
        <w:tc>
          <w:tcPr>
            <w:tcW w:w="110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1,511</w:t>
            </w:r>
          </w:p>
        </w:tc>
        <w:tc>
          <w:tcPr>
            <w:tcW w:w="9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719</w:t>
            </w:r>
          </w:p>
        </w:tc>
      </w:tr>
      <w:tr>
        <w:trPr>
          <w:trHeight w:val="405"/>
        </w:trPr>
        <w:tc>
          <w:tcPr>
            <w:tcW w:w="3600" w:type="dxa"/>
            <w:vAlign w:val="bottom"/>
          </w:tcPr>
          <w:p>
            <w:pPr>
              <w:spacing w:after="0"/>
              <w:rPr>
                <w:sz w:val="20"/>
                <w:szCs w:val="20"/>
                <w:color w:val="auto"/>
              </w:rPr>
            </w:pPr>
            <w:r>
              <w:rPr>
                <w:rFonts w:ascii="Courier New" w:cs="Courier New" w:eastAsia="Courier New" w:hAnsi="Courier New"/>
                <w:sz w:val="18"/>
                <w:szCs w:val="18"/>
                <w:color w:val="auto"/>
              </w:rPr>
              <w:t>Interest expense</w:t>
            </w:r>
          </w:p>
        </w:tc>
        <w:tc>
          <w:tcPr>
            <w:tcW w:w="10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(484)</w:t>
            </w:r>
          </w:p>
        </w:tc>
        <w:tc>
          <w:tcPr>
            <w:tcW w:w="11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(490)</w:t>
            </w:r>
          </w:p>
        </w:tc>
        <w:tc>
          <w:tcPr>
            <w:tcW w:w="110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(984)</w:t>
            </w:r>
          </w:p>
        </w:tc>
        <w:tc>
          <w:tcPr>
            <w:tcW w:w="940" w:type="dxa"/>
            <w:vAlign w:val="bottom"/>
          </w:tcPr>
          <w:p>
            <w:pPr>
              <w:jc w:val="right"/>
              <w:spacing w:after="0"/>
              <w:rPr>
                <w:sz w:val="20"/>
                <w:szCs w:val="20"/>
                <w:color w:val="auto"/>
              </w:rPr>
            </w:pPr>
            <w:r>
              <w:rPr>
                <w:rFonts w:ascii="Courier New" w:cs="Courier New" w:eastAsia="Courier New" w:hAnsi="Courier New"/>
                <w:sz w:val="18"/>
                <w:szCs w:val="18"/>
                <w:color w:val="auto"/>
              </w:rPr>
              <w:t>(1,014)</w:t>
            </w:r>
          </w:p>
        </w:tc>
      </w:tr>
      <w:tr>
        <w:trPr>
          <w:trHeight w:val="203"/>
        </w:trPr>
        <w:tc>
          <w:tcPr>
            <w:tcW w:w="3600" w:type="dxa"/>
            <w:vAlign w:val="bottom"/>
          </w:tcPr>
          <w:p>
            <w:pPr>
              <w:spacing w:after="0" w:line="203" w:lineRule="exact"/>
              <w:rPr>
                <w:sz w:val="20"/>
                <w:szCs w:val="20"/>
                <w:color w:val="auto"/>
              </w:rPr>
            </w:pPr>
            <w:r>
              <w:rPr>
                <w:rFonts w:ascii="Courier New" w:cs="Courier New" w:eastAsia="Courier New" w:hAnsi="Courier New"/>
                <w:sz w:val="18"/>
                <w:szCs w:val="18"/>
                <w:color w:val="auto"/>
              </w:rPr>
              <w:t>Investment income (loss), net</w:t>
            </w:r>
          </w:p>
        </w:tc>
        <w:tc>
          <w:tcPr>
            <w:tcW w:w="10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151</w:t>
            </w: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w:t>
            </w:r>
          </w:p>
        </w:tc>
        <w:tc>
          <w:tcPr>
            <w:tcW w:w="11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142</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(229)</w:t>
            </w:r>
          </w:p>
        </w:tc>
      </w:tr>
      <w:tr>
        <w:trPr>
          <w:trHeight w:val="203"/>
        </w:trPr>
        <w:tc>
          <w:tcPr>
            <w:tcW w:w="3600" w:type="dxa"/>
            <w:vAlign w:val="bottom"/>
          </w:tcPr>
          <w:p>
            <w:pPr>
              <w:spacing w:after="0" w:line="203" w:lineRule="exact"/>
              <w:rPr>
                <w:sz w:val="20"/>
                <w:szCs w:val="20"/>
                <w:color w:val="auto"/>
              </w:rPr>
            </w:pPr>
            <w:r>
              <w:rPr>
                <w:rFonts w:ascii="Courier New" w:cs="Courier New" w:eastAsia="Courier New" w:hAnsi="Courier New"/>
                <w:sz w:val="18"/>
                <w:szCs w:val="18"/>
                <w:color w:val="auto"/>
              </w:rPr>
              <w:t>Equity in net income (losses) of</w:t>
            </w:r>
          </w:p>
        </w:tc>
        <w:tc>
          <w:tcPr>
            <w:tcW w:w="10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36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affiliates</w:t>
            </w: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(20)</w:t>
            </w:r>
          </w:p>
        </w:tc>
        <w:tc>
          <w:tcPr>
            <w:tcW w:w="11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w:t>
            </w:r>
          </w:p>
        </w:tc>
        <w:tc>
          <w:tcPr>
            <w:tcW w:w="11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(37)</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w:t>
            </w:r>
          </w:p>
        </w:tc>
      </w:tr>
      <w:tr>
        <w:trPr>
          <w:trHeight w:val="203"/>
        </w:trPr>
        <w:tc>
          <w:tcPr>
            <w:tcW w:w="360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income</w:t>
            </w:r>
          </w:p>
        </w:tc>
        <w:tc>
          <w:tcPr>
            <w:tcW w:w="10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12</w:t>
            </w:r>
          </w:p>
        </w:tc>
        <w:tc>
          <w:tcPr>
            <w:tcW w:w="11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22</w:t>
            </w:r>
          </w:p>
        </w:tc>
        <w:tc>
          <w:tcPr>
            <w:tcW w:w="11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35</w:t>
            </w:r>
          </w:p>
        </w:tc>
      </w:tr>
      <w:tr>
        <w:trPr>
          <w:trHeight w:val="203"/>
        </w:trPr>
        <w:tc>
          <w:tcPr>
            <w:tcW w:w="3600" w:type="dxa"/>
            <w:vAlign w:val="bottom"/>
          </w:tcPr>
          <w:p>
            <w:pPr>
              <w:spacing w:after="0"/>
              <w:rPr>
                <w:sz w:val="17"/>
                <w:szCs w:val="17"/>
                <w:color w:val="auto"/>
              </w:rPr>
            </w:pP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(341)</w:t>
            </w: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(473)</w:t>
            </w:r>
          </w:p>
        </w:tc>
        <w:tc>
          <w:tcPr>
            <w:tcW w:w="11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(860)</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(1,224)</w:t>
            </w:r>
          </w:p>
        </w:tc>
      </w:tr>
      <w:tr>
        <w:trPr>
          <w:trHeight w:val="405"/>
        </w:trPr>
        <w:tc>
          <w:tcPr>
            <w:tcW w:w="3600" w:type="dxa"/>
            <w:vAlign w:val="bottom"/>
          </w:tcPr>
          <w:p>
            <w:pPr>
              <w:spacing w:after="0"/>
              <w:rPr>
                <w:sz w:val="20"/>
                <w:szCs w:val="20"/>
                <w:color w:val="auto"/>
              </w:rPr>
            </w:pPr>
            <w:r>
              <w:rPr>
                <w:rFonts w:ascii="Courier New" w:cs="Courier New" w:eastAsia="Courier New" w:hAnsi="Courier New"/>
                <w:sz w:val="18"/>
                <w:szCs w:val="18"/>
                <w:color w:val="auto"/>
              </w:rPr>
              <w:t>Income (Loss) from Continuing</w:t>
            </w:r>
          </w:p>
        </w:tc>
        <w:tc>
          <w:tcPr>
            <w:tcW w:w="10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3"/>
        </w:trPr>
        <w:tc>
          <w:tcPr>
            <w:tcW w:w="36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Operations before Income Taxes</w:t>
            </w:r>
          </w:p>
        </w:tc>
        <w:tc>
          <w:tcPr>
            <w:tcW w:w="10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36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and Minority Interest</w:t>
            </w:r>
          </w:p>
        </w:tc>
        <w:tc>
          <w:tcPr>
            <w:tcW w:w="10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511</w:t>
            </w: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(48)</w:t>
            </w:r>
          </w:p>
        </w:tc>
        <w:tc>
          <w:tcPr>
            <w:tcW w:w="11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651</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(505)</w:t>
            </w:r>
          </w:p>
        </w:tc>
      </w:tr>
      <w:tr>
        <w:trPr>
          <w:trHeight w:val="405"/>
        </w:trPr>
        <w:tc>
          <w:tcPr>
            <w:tcW w:w="3600" w:type="dxa"/>
            <w:vAlign w:val="bottom"/>
          </w:tcPr>
          <w:p>
            <w:pPr>
              <w:spacing w:after="0"/>
              <w:rPr>
                <w:sz w:val="20"/>
                <w:szCs w:val="20"/>
                <w:color w:val="auto"/>
              </w:rPr>
            </w:pPr>
            <w:r>
              <w:rPr>
                <w:rFonts w:ascii="Courier New" w:cs="Courier New" w:eastAsia="Courier New" w:hAnsi="Courier New"/>
                <w:sz w:val="18"/>
                <w:szCs w:val="18"/>
                <w:color w:val="auto"/>
              </w:rPr>
              <w:t>Income tax (expense) benefit</w:t>
            </w:r>
          </w:p>
        </w:tc>
        <w:tc>
          <w:tcPr>
            <w:tcW w:w="10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(234)</w:t>
            </w:r>
          </w:p>
        </w:tc>
        <w:tc>
          <w:tcPr>
            <w:tcW w:w="11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(13)</w:t>
            </w:r>
          </w:p>
        </w:tc>
        <w:tc>
          <w:tcPr>
            <w:tcW w:w="110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(310)</w:t>
            </w:r>
          </w:p>
        </w:tc>
        <w:tc>
          <w:tcPr>
            <w:tcW w:w="9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128</w:t>
            </w:r>
          </w:p>
        </w:tc>
      </w:tr>
      <w:tr>
        <w:trPr>
          <w:trHeight w:val="203"/>
        </w:trPr>
        <w:tc>
          <w:tcPr>
            <w:tcW w:w="3600" w:type="dxa"/>
            <w:vAlign w:val="bottom"/>
          </w:tcPr>
          <w:p>
            <w:pPr>
              <w:spacing w:after="0" w:line="203" w:lineRule="exact"/>
              <w:rPr>
                <w:sz w:val="20"/>
                <w:szCs w:val="20"/>
                <w:color w:val="auto"/>
              </w:rPr>
            </w:pPr>
            <w:r>
              <w:rPr>
                <w:rFonts w:ascii="Courier New" w:cs="Courier New" w:eastAsia="Courier New" w:hAnsi="Courier New"/>
                <w:sz w:val="18"/>
                <w:szCs w:val="18"/>
                <w:color w:val="auto"/>
              </w:rPr>
              <w:t>Minority interest</w:t>
            </w: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(15)</w:t>
            </w: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(32)</w:t>
            </w:r>
          </w:p>
        </w:tc>
        <w:tc>
          <w:tcPr>
            <w:tcW w:w="11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(14)</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(71)</w:t>
            </w:r>
          </w:p>
        </w:tc>
      </w:tr>
      <w:tr>
        <w:trPr>
          <w:trHeight w:val="405"/>
        </w:trPr>
        <w:tc>
          <w:tcPr>
            <w:tcW w:w="3600" w:type="dxa"/>
            <w:vAlign w:val="bottom"/>
          </w:tcPr>
          <w:p>
            <w:pPr>
              <w:spacing w:after="0"/>
              <w:rPr>
                <w:sz w:val="20"/>
                <w:szCs w:val="20"/>
                <w:color w:val="auto"/>
              </w:rPr>
            </w:pPr>
            <w:r>
              <w:rPr>
                <w:rFonts w:ascii="Courier New" w:cs="Courier New" w:eastAsia="Courier New" w:hAnsi="Courier New"/>
                <w:sz w:val="18"/>
                <w:szCs w:val="18"/>
                <w:color w:val="auto"/>
              </w:rPr>
              <w:t>Income (Loss) from Continuing</w:t>
            </w:r>
          </w:p>
        </w:tc>
        <w:tc>
          <w:tcPr>
            <w:tcW w:w="10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3"/>
        </w:trPr>
        <w:tc>
          <w:tcPr>
            <w:tcW w:w="36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Operations</w:t>
            </w:r>
          </w:p>
        </w:tc>
        <w:tc>
          <w:tcPr>
            <w:tcW w:w="10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262</w:t>
            </w: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(93)</w:t>
            </w:r>
          </w:p>
        </w:tc>
        <w:tc>
          <w:tcPr>
            <w:tcW w:w="11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327</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(448)</w:t>
            </w:r>
          </w:p>
        </w:tc>
      </w:tr>
      <w:tr>
        <w:trPr>
          <w:trHeight w:val="405"/>
        </w:trPr>
        <w:tc>
          <w:tcPr>
            <w:tcW w:w="4640" w:type="dxa"/>
            <w:vAlign w:val="bottom"/>
            <w:gridSpan w:val="2"/>
          </w:tcPr>
          <w:p>
            <w:pPr>
              <w:spacing w:after="0"/>
              <w:rPr>
                <w:sz w:val="20"/>
                <w:szCs w:val="20"/>
                <w:color w:val="auto"/>
              </w:rPr>
            </w:pPr>
            <w:r>
              <w:rPr>
                <w:rFonts w:ascii="Courier New" w:cs="Courier New" w:eastAsia="Courier New" w:hAnsi="Courier New"/>
                <w:sz w:val="18"/>
                <w:szCs w:val="18"/>
                <w:color w:val="auto"/>
              </w:rPr>
              <w:t>Income from discontinued operations,</w:t>
            </w:r>
          </w:p>
        </w:tc>
        <w:tc>
          <w:tcPr>
            <w:tcW w:w="1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3"/>
        </w:trPr>
        <w:tc>
          <w:tcPr>
            <w:tcW w:w="36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net of tax (1)</w:t>
            </w:r>
          </w:p>
        </w:tc>
        <w:tc>
          <w:tcPr>
            <w:tcW w:w="10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71</w:t>
            </w:r>
          </w:p>
        </w:tc>
        <w:tc>
          <w:tcPr>
            <w:tcW w:w="11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129</w:t>
            </w:r>
          </w:p>
        </w:tc>
      </w:tr>
      <w:tr>
        <w:trPr>
          <w:trHeight w:val="405"/>
        </w:trPr>
        <w:tc>
          <w:tcPr>
            <w:tcW w:w="3600" w:type="dxa"/>
            <w:vAlign w:val="bottom"/>
          </w:tcPr>
          <w:p>
            <w:pPr>
              <w:spacing w:after="0"/>
              <w:rPr>
                <w:sz w:val="20"/>
                <w:szCs w:val="20"/>
                <w:color w:val="auto"/>
              </w:rPr>
            </w:pPr>
            <w:r>
              <w:rPr>
                <w:rFonts w:ascii="Courier New" w:cs="Courier New" w:eastAsia="Courier New" w:hAnsi="Courier New"/>
                <w:sz w:val="18"/>
                <w:szCs w:val="18"/>
                <w:color w:val="auto"/>
              </w:rPr>
              <w:t>Net Income (Loss)</w:t>
            </w:r>
          </w:p>
        </w:tc>
        <w:tc>
          <w:tcPr>
            <w:tcW w:w="104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$262</w:t>
            </w:r>
          </w:p>
        </w:tc>
        <w:tc>
          <w:tcPr>
            <w:tcW w:w="11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($22)</w:t>
            </w:r>
          </w:p>
        </w:tc>
        <w:tc>
          <w:tcPr>
            <w:tcW w:w="110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$327</w:t>
            </w:r>
          </w:p>
        </w:tc>
        <w:tc>
          <w:tcPr>
            <w:tcW w:w="940" w:type="dxa"/>
            <w:vAlign w:val="bottom"/>
          </w:tcPr>
          <w:p>
            <w:pPr>
              <w:jc w:val="right"/>
              <w:spacing w:after="0"/>
              <w:rPr>
                <w:sz w:val="20"/>
                <w:szCs w:val="20"/>
                <w:color w:val="auto"/>
              </w:rPr>
            </w:pPr>
            <w:r>
              <w:rPr>
                <w:rFonts w:ascii="Courier New" w:cs="Courier New" w:eastAsia="Courier New" w:hAnsi="Courier New"/>
                <w:sz w:val="18"/>
                <w:szCs w:val="18"/>
                <w:color w:val="auto"/>
              </w:rPr>
              <w:t>($319)</w:t>
            </w:r>
          </w:p>
        </w:tc>
      </w:tr>
      <w:tr>
        <w:trPr>
          <w:trHeight w:val="405"/>
        </w:trPr>
        <w:tc>
          <w:tcPr>
            <w:tcW w:w="3600" w:type="dxa"/>
            <w:vAlign w:val="bottom"/>
          </w:tcPr>
          <w:p>
            <w:pPr>
              <w:spacing w:after="0"/>
              <w:rPr>
                <w:sz w:val="20"/>
                <w:szCs w:val="20"/>
                <w:color w:val="auto"/>
              </w:rPr>
            </w:pPr>
            <w:r>
              <w:rPr>
                <w:rFonts w:ascii="Courier New" w:cs="Courier New" w:eastAsia="Courier New" w:hAnsi="Courier New"/>
                <w:sz w:val="18"/>
                <w:szCs w:val="18"/>
                <w:color w:val="auto"/>
              </w:rPr>
              <w:t>Basic and Diluted earnings (loss)</w:t>
            </w:r>
          </w:p>
        </w:tc>
        <w:tc>
          <w:tcPr>
            <w:tcW w:w="10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3"/>
        </w:trPr>
        <w:tc>
          <w:tcPr>
            <w:tcW w:w="36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per common share</w:t>
            </w:r>
          </w:p>
        </w:tc>
        <w:tc>
          <w:tcPr>
            <w:tcW w:w="10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405"/>
        </w:trPr>
        <w:tc>
          <w:tcPr>
            <w:tcW w:w="3600" w:type="dxa"/>
            <w:vAlign w:val="bottom"/>
          </w:tcPr>
          <w:p>
            <w:pPr>
              <w:ind w:left="320"/>
              <w:spacing w:after="0"/>
              <w:rPr>
                <w:sz w:val="20"/>
                <w:szCs w:val="20"/>
                <w:color w:val="auto"/>
              </w:rPr>
            </w:pPr>
            <w:r>
              <w:rPr>
                <w:rFonts w:ascii="Courier New" w:cs="Courier New" w:eastAsia="Courier New" w:hAnsi="Courier New"/>
                <w:sz w:val="18"/>
                <w:szCs w:val="18"/>
                <w:color w:val="auto"/>
              </w:rPr>
              <w:t>Income (Loss) from continuing</w:t>
            </w:r>
          </w:p>
        </w:tc>
        <w:tc>
          <w:tcPr>
            <w:tcW w:w="10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3"/>
        </w:trPr>
        <w:tc>
          <w:tcPr>
            <w:tcW w:w="3600" w:type="dxa"/>
            <w:vAlign w:val="bottom"/>
          </w:tcPr>
          <w:p>
            <w:pPr>
              <w:ind w:left="440"/>
              <w:spacing w:after="0" w:line="203" w:lineRule="exact"/>
              <w:rPr>
                <w:sz w:val="20"/>
                <w:szCs w:val="20"/>
                <w:color w:val="auto"/>
              </w:rPr>
            </w:pPr>
            <w:r>
              <w:rPr>
                <w:rFonts w:ascii="Courier New" w:cs="Courier New" w:eastAsia="Courier New" w:hAnsi="Courier New"/>
                <w:sz w:val="18"/>
                <w:szCs w:val="18"/>
                <w:color w:val="auto"/>
              </w:rPr>
              <w:t>operations</w:t>
            </w:r>
          </w:p>
        </w:tc>
        <w:tc>
          <w:tcPr>
            <w:tcW w:w="10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$0.12</w:t>
            </w: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($0.04)</w:t>
            </w:r>
          </w:p>
        </w:tc>
        <w:tc>
          <w:tcPr>
            <w:tcW w:w="11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$0.14</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($0.20)</w:t>
            </w:r>
          </w:p>
        </w:tc>
      </w:tr>
      <w:tr>
        <w:trPr>
          <w:trHeight w:val="405"/>
        </w:trPr>
        <w:tc>
          <w:tcPr>
            <w:tcW w:w="3600" w:type="dxa"/>
            <w:vAlign w:val="bottom"/>
          </w:tcPr>
          <w:p>
            <w:pPr>
              <w:ind w:left="320"/>
              <w:spacing w:after="0"/>
              <w:rPr>
                <w:sz w:val="20"/>
                <w:szCs w:val="20"/>
                <w:color w:val="auto"/>
              </w:rPr>
            </w:pPr>
            <w:r>
              <w:rPr>
                <w:rFonts w:ascii="Courier New" w:cs="Courier New" w:eastAsia="Courier New" w:hAnsi="Courier New"/>
                <w:sz w:val="18"/>
                <w:szCs w:val="18"/>
                <w:color w:val="auto"/>
              </w:rPr>
              <w:t>Income from discontinued</w:t>
            </w:r>
          </w:p>
        </w:tc>
        <w:tc>
          <w:tcPr>
            <w:tcW w:w="10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3"/>
        </w:trPr>
        <w:tc>
          <w:tcPr>
            <w:tcW w:w="3600" w:type="dxa"/>
            <w:vAlign w:val="bottom"/>
          </w:tcPr>
          <w:p>
            <w:pPr>
              <w:ind w:left="440"/>
              <w:spacing w:after="0" w:line="203" w:lineRule="exact"/>
              <w:rPr>
                <w:sz w:val="20"/>
                <w:szCs w:val="20"/>
                <w:color w:val="auto"/>
              </w:rPr>
            </w:pPr>
            <w:r>
              <w:rPr>
                <w:rFonts w:ascii="Courier New" w:cs="Courier New" w:eastAsia="Courier New" w:hAnsi="Courier New"/>
                <w:sz w:val="18"/>
                <w:szCs w:val="18"/>
                <w:color w:val="auto"/>
              </w:rPr>
              <w:t>operations</w:t>
            </w:r>
          </w:p>
        </w:tc>
        <w:tc>
          <w:tcPr>
            <w:tcW w:w="10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0.03</w:t>
            </w:r>
          </w:p>
        </w:tc>
        <w:tc>
          <w:tcPr>
            <w:tcW w:w="11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0.06</w:t>
            </w:r>
          </w:p>
        </w:tc>
      </w:tr>
      <w:tr>
        <w:trPr>
          <w:trHeight w:val="405"/>
        </w:trPr>
        <w:tc>
          <w:tcPr>
            <w:tcW w:w="3600" w:type="dxa"/>
            <w:vAlign w:val="bottom"/>
          </w:tcPr>
          <w:p>
            <w:pPr>
              <w:ind w:left="320"/>
              <w:spacing w:after="0"/>
              <w:rPr>
                <w:sz w:val="20"/>
                <w:szCs w:val="20"/>
                <w:color w:val="auto"/>
              </w:rPr>
            </w:pPr>
            <w:r>
              <w:rPr>
                <w:rFonts w:ascii="Courier New" w:cs="Courier New" w:eastAsia="Courier New" w:hAnsi="Courier New"/>
                <w:sz w:val="18"/>
                <w:szCs w:val="18"/>
                <w:color w:val="auto"/>
              </w:rPr>
              <w:t>Net Income (Loss) per</w:t>
            </w:r>
          </w:p>
        </w:tc>
        <w:tc>
          <w:tcPr>
            <w:tcW w:w="10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3"/>
        </w:trPr>
        <w:tc>
          <w:tcPr>
            <w:tcW w:w="3600" w:type="dxa"/>
            <w:vAlign w:val="bottom"/>
          </w:tcPr>
          <w:p>
            <w:pPr>
              <w:ind w:left="440"/>
              <w:spacing w:after="0" w:line="203" w:lineRule="exact"/>
              <w:rPr>
                <w:sz w:val="20"/>
                <w:szCs w:val="20"/>
                <w:color w:val="auto"/>
              </w:rPr>
            </w:pPr>
            <w:r>
              <w:rPr>
                <w:rFonts w:ascii="Courier New" w:cs="Courier New" w:eastAsia="Courier New" w:hAnsi="Courier New"/>
                <w:sz w:val="18"/>
                <w:szCs w:val="18"/>
                <w:color w:val="auto"/>
              </w:rPr>
              <w:t>common share</w:t>
            </w:r>
          </w:p>
        </w:tc>
        <w:tc>
          <w:tcPr>
            <w:tcW w:w="10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$0.12</w:t>
            </w: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($0.01)</w:t>
            </w:r>
          </w:p>
        </w:tc>
        <w:tc>
          <w:tcPr>
            <w:tcW w:w="11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$0.14</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($0.14)</w:t>
            </w:r>
          </w:p>
        </w:tc>
      </w:tr>
      <w:tr>
        <w:trPr>
          <w:trHeight w:val="405"/>
        </w:trPr>
        <w:tc>
          <w:tcPr>
            <w:tcW w:w="3600" w:type="dxa"/>
            <w:vAlign w:val="bottom"/>
          </w:tcPr>
          <w:p>
            <w:pPr>
              <w:spacing w:after="0"/>
              <w:rPr>
                <w:sz w:val="20"/>
                <w:szCs w:val="20"/>
                <w:color w:val="auto"/>
              </w:rPr>
            </w:pPr>
            <w:r>
              <w:rPr>
                <w:rFonts w:ascii="Courier New" w:cs="Courier New" w:eastAsia="Courier New" w:hAnsi="Courier New"/>
                <w:sz w:val="18"/>
                <w:szCs w:val="18"/>
                <w:color w:val="auto"/>
              </w:rPr>
              <w:t>Basic weighted average number of</w:t>
            </w:r>
          </w:p>
        </w:tc>
        <w:tc>
          <w:tcPr>
            <w:tcW w:w="10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3"/>
        </w:trPr>
        <w:tc>
          <w:tcPr>
            <w:tcW w:w="36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common shares outstanding</w:t>
            </w:r>
          </w:p>
        </w:tc>
        <w:tc>
          <w:tcPr>
            <w:tcW w:w="10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2,257</w:t>
            </w:r>
          </w:p>
        </w:tc>
        <w:tc>
          <w:tcPr>
            <w:tcW w:w="11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2,255</w:t>
            </w:r>
          </w:p>
        </w:tc>
        <w:tc>
          <w:tcPr>
            <w:tcW w:w="11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2,257</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2,255</w:t>
            </w:r>
          </w:p>
        </w:tc>
      </w:tr>
      <w:tr>
        <w:trPr>
          <w:trHeight w:val="405"/>
        </w:trPr>
        <w:tc>
          <w:tcPr>
            <w:tcW w:w="3600" w:type="dxa"/>
            <w:vAlign w:val="bottom"/>
          </w:tcPr>
          <w:p>
            <w:pPr>
              <w:spacing w:after="0"/>
              <w:rPr>
                <w:sz w:val="20"/>
                <w:szCs w:val="20"/>
                <w:color w:val="auto"/>
              </w:rPr>
            </w:pPr>
            <w:r>
              <w:rPr>
                <w:rFonts w:ascii="Courier New" w:cs="Courier New" w:eastAsia="Courier New" w:hAnsi="Courier New"/>
                <w:sz w:val="18"/>
                <w:szCs w:val="18"/>
                <w:color w:val="auto"/>
                <w:w w:val="97"/>
              </w:rPr>
              <w:t>Diluted weighted average number of</w:t>
            </w:r>
          </w:p>
        </w:tc>
        <w:tc>
          <w:tcPr>
            <w:tcW w:w="10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3"/>
        </w:trPr>
        <w:tc>
          <w:tcPr>
            <w:tcW w:w="36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common shares outstanding</w:t>
            </w:r>
          </w:p>
        </w:tc>
        <w:tc>
          <w:tcPr>
            <w:tcW w:w="10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2,267</w:t>
            </w:r>
          </w:p>
        </w:tc>
        <w:tc>
          <w:tcPr>
            <w:tcW w:w="11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2,255</w:t>
            </w:r>
          </w:p>
        </w:tc>
        <w:tc>
          <w:tcPr>
            <w:tcW w:w="11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2,268</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2,255</w:t>
            </w:r>
          </w:p>
        </w:tc>
      </w:tr>
    </w:tbl>
    <w:p>
      <w:pPr>
        <w:sectPr>
          <w:pgSz w:w="11900" w:h="16838" w:orient="portrait"/>
          <w:cols w:equalWidth="0" w:num="1">
            <w:col w:w="10219"/>
          </w:cols>
          <w:pgMar w:left="240" w:top="142" w:right="1440" w:bottom="0" w:gutter="0" w:footer="0" w:header="0"/>
        </w:sectPr>
      </w:pPr>
    </w:p>
    <w:bookmarkStart w:id="6" w:name="page7"/>
    <w:bookmarkEnd w:id="6"/>
    <w:p>
      <w:pPr>
        <w:ind w:left="440" w:right="2419" w:hanging="431"/>
        <w:spacing w:after="0" w:line="236" w:lineRule="auto"/>
        <w:tabs>
          <w:tab w:leader="none" w:pos="4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September 17, 2003, the Company completed the sale of its approximate 57% interest in QVC, Inc. Accordingly, the results of QVC have been presented as discontinued operations.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2099"/>
        <w:spacing w:after="0"/>
        <w:rPr>
          <w:sz w:val="20"/>
          <w:szCs w:val="20"/>
          <w:color w:val="auto"/>
        </w:rPr>
      </w:pPr>
      <w:r>
        <w:rPr>
          <w:rFonts w:ascii="Courier New" w:cs="Courier New" w:eastAsia="Courier New" w:hAnsi="Courier New"/>
          <w:sz w:val="18"/>
          <w:szCs w:val="18"/>
          <w:color w:val="auto"/>
        </w:rPr>
        <w:t>COMCAST CORPORATION</w:t>
      </w:r>
    </w:p>
    <w:p>
      <w:pPr>
        <w:jc w:val="center"/>
        <w:ind w:right="2099"/>
        <w:spacing w:after="0" w:line="238" w:lineRule="auto"/>
        <w:rPr>
          <w:sz w:val="20"/>
          <w:szCs w:val="20"/>
          <w:color w:val="auto"/>
        </w:rPr>
      </w:pPr>
      <w:r>
        <w:rPr>
          <w:rFonts w:ascii="Courier New" w:cs="Courier New" w:eastAsia="Courier New" w:hAnsi="Courier New"/>
          <w:sz w:val="18"/>
          <w:szCs w:val="18"/>
          <w:color w:val="auto"/>
        </w:rPr>
        <w:t>TABLE 2</w:t>
      </w:r>
    </w:p>
    <w:p>
      <w:pPr>
        <w:jc w:val="center"/>
        <w:ind w:right="2199"/>
        <w:spacing w:after="0"/>
        <w:rPr>
          <w:sz w:val="20"/>
          <w:szCs w:val="20"/>
          <w:color w:val="auto"/>
        </w:rPr>
      </w:pPr>
      <w:r>
        <w:rPr>
          <w:rFonts w:ascii="Courier New" w:cs="Courier New" w:eastAsia="Courier New" w:hAnsi="Courier New"/>
          <w:sz w:val="18"/>
          <w:szCs w:val="18"/>
          <w:color w:val="auto"/>
        </w:rPr>
        <w:t>Condensed Consolidated Balance Sheet (Unaudited)</w:t>
      </w:r>
    </w:p>
    <w:tbl>
      <w:tblPr>
        <w:tblLayout w:type="fixed"/>
        <w:tblInd w:w="0" w:type="dxa"/>
        <w:tblCellMar>
          <w:top w:w="0" w:type="dxa"/>
          <w:left w:w="0" w:type="dxa"/>
          <w:bottom w:w="0" w:type="dxa"/>
          <w:right w:w="0" w:type="dxa"/>
        </w:tblCellMar>
      </w:tblPr>
      <w:tr>
        <w:trPr>
          <w:trHeight w:val="202"/>
        </w:trPr>
        <w:tc>
          <w:tcPr>
            <w:tcW w:w="6120" w:type="dxa"/>
            <w:vAlign w:val="bottom"/>
            <w:gridSpan w:val="2"/>
          </w:tcPr>
          <w:p>
            <w:pPr>
              <w:ind w:left="2740"/>
              <w:spacing w:after="0" w:line="202" w:lineRule="exact"/>
              <w:rPr>
                <w:sz w:val="20"/>
                <w:szCs w:val="20"/>
                <w:color w:val="auto"/>
              </w:rPr>
            </w:pPr>
            <w:r>
              <w:rPr>
                <w:rFonts w:ascii="Courier New" w:cs="Courier New" w:eastAsia="Courier New" w:hAnsi="Courier New"/>
                <w:sz w:val="18"/>
                <w:szCs w:val="18"/>
                <w:color w:val="auto"/>
              </w:rPr>
              <w:t>(dollars in millions)</w:t>
            </w:r>
          </w:p>
        </w:tc>
        <w:tc>
          <w:tcPr>
            <w:tcW w:w="1580" w:type="dxa"/>
            <w:vAlign w:val="bottom"/>
          </w:tcPr>
          <w:p>
            <w:pPr>
              <w:spacing w:after="0"/>
              <w:rPr>
                <w:sz w:val="17"/>
                <w:szCs w:val="17"/>
                <w:color w:val="auto"/>
              </w:rPr>
            </w:pPr>
          </w:p>
        </w:tc>
      </w:tr>
      <w:tr>
        <w:trPr>
          <w:trHeight w:val="405"/>
        </w:trPr>
        <w:tc>
          <w:tcPr>
            <w:tcW w:w="4740" w:type="dxa"/>
            <w:vAlign w:val="bottom"/>
          </w:tcPr>
          <w:p>
            <w:pPr>
              <w:spacing w:after="0"/>
              <w:rPr>
                <w:sz w:val="24"/>
                <w:szCs w:val="24"/>
                <w:color w:val="auto"/>
              </w:rPr>
            </w:pPr>
          </w:p>
        </w:tc>
        <w:tc>
          <w:tcPr>
            <w:tcW w:w="13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June 30,</w:t>
            </w:r>
          </w:p>
        </w:tc>
        <w:tc>
          <w:tcPr>
            <w:tcW w:w="1580" w:type="dxa"/>
            <w:vAlign w:val="bottom"/>
          </w:tcPr>
          <w:p>
            <w:pPr>
              <w:jc w:val="right"/>
              <w:spacing w:after="0"/>
              <w:rPr>
                <w:sz w:val="20"/>
                <w:szCs w:val="20"/>
                <w:color w:val="auto"/>
              </w:rPr>
            </w:pPr>
            <w:r>
              <w:rPr>
                <w:rFonts w:ascii="Courier New" w:cs="Courier New" w:eastAsia="Courier New" w:hAnsi="Courier New"/>
                <w:sz w:val="18"/>
                <w:szCs w:val="18"/>
                <w:color w:val="auto"/>
              </w:rPr>
              <w:t>December 31,</w:t>
            </w:r>
          </w:p>
        </w:tc>
      </w:tr>
      <w:tr>
        <w:trPr>
          <w:trHeight w:val="203"/>
        </w:trPr>
        <w:tc>
          <w:tcPr>
            <w:tcW w:w="4740" w:type="dxa"/>
            <w:vAlign w:val="bottom"/>
          </w:tcPr>
          <w:p>
            <w:pPr>
              <w:spacing w:after="0"/>
              <w:rPr>
                <w:sz w:val="17"/>
                <w:szCs w:val="17"/>
                <w:color w:val="auto"/>
              </w:rPr>
            </w:pPr>
          </w:p>
        </w:tc>
        <w:tc>
          <w:tcPr>
            <w:tcW w:w="13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2004</w:t>
            </w:r>
          </w:p>
        </w:tc>
        <w:tc>
          <w:tcPr>
            <w:tcW w:w="15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2003</w:t>
            </w: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ASSETS</w:t>
            </w:r>
          </w:p>
        </w:tc>
        <w:tc>
          <w:tcPr>
            <w:tcW w:w="138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405"/>
        </w:trPr>
        <w:tc>
          <w:tcPr>
            <w:tcW w:w="4740" w:type="dxa"/>
            <w:vAlign w:val="bottom"/>
          </w:tcPr>
          <w:p>
            <w:pPr>
              <w:ind w:left="220"/>
              <w:spacing w:after="0"/>
              <w:rPr>
                <w:sz w:val="20"/>
                <w:szCs w:val="20"/>
                <w:color w:val="auto"/>
              </w:rPr>
            </w:pPr>
            <w:r>
              <w:rPr>
                <w:rFonts w:ascii="Courier New" w:cs="Courier New" w:eastAsia="Courier New" w:hAnsi="Courier New"/>
                <w:sz w:val="18"/>
                <w:szCs w:val="18"/>
                <w:color w:val="auto"/>
              </w:rPr>
              <w:t>CURRENT ASSETS</w:t>
            </w:r>
          </w:p>
        </w:tc>
        <w:tc>
          <w:tcPr>
            <w:tcW w:w="138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03"/>
        </w:trPr>
        <w:tc>
          <w:tcPr>
            <w:tcW w:w="474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Cash and cash equivalents</w:t>
            </w:r>
          </w:p>
        </w:tc>
        <w:tc>
          <w:tcPr>
            <w:tcW w:w="13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$594</w:t>
            </w:r>
          </w:p>
        </w:tc>
        <w:tc>
          <w:tcPr>
            <w:tcW w:w="1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$1,550</w:t>
            </w:r>
          </w:p>
        </w:tc>
      </w:tr>
      <w:tr>
        <w:trPr>
          <w:trHeight w:val="203"/>
        </w:trPr>
        <w:tc>
          <w:tcPr>
            <w:tcW w:w="474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Investments</w:t>
            </w:r>
          </w:p>
        </w:tc>
        <w:tc>
          <w:tcPr>
            <w:tcW w:w="13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2,481</w:t>
            </w:r>
          </w:p>
        </w:tc>
        <w:tc>
          <w:tcPr>
            <w:tcW w:w="1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2,493</w:t>
            </w:r>
          </w:p>
        </w:tc>
      </w:tr>
      <w:tr>
        <w:trPr>
          <w:trHeight w:val="203"/>
        </w:trPr>
        <w:tc>
          <w:tcPr>
            <w:tcW w:w="474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Accounts receivable, net</w:t>
            </w:r>
          </w:p>
        </w:tc>
        <w:tc>
          <w:tcPr>
            <w:tcW w:w="13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925</w:t>
            </w:r>
          </w:p>
        </w:tc>
        <w:tc>
          <w:tcPr>
            <w:tcW w:w="1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907</w:t>
            </w:r>
          </w:p>
        </w:tc>
      </w:tr>
      <w:tr>
        <w:trPr>
          <w:trHeight w:val="203"/>
        </w:trPr>
        <w:tc>
          <w:tcPr>
            <w:tcW w:w="474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Other current assets</w:t>
            </w:r>
          </w:p>
        </w:tc>
        <w:tc>
          <w:tcPr>
            <w:tcW w:w="13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418</w:t>
            </w:r>
          </w:p>
        </w:tc>
        <w:tc>
          <w:tcPr>
            <w:tcW w:w="1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453</w:t>
            </w:r>
          </w:p>
        </w:tc>
      </w:tr>
      <w:tr>
        <w:trPr>
          <w:trHeight w:val="203"/>
        </w:trPr>
        <w:tc>
          <w:tcPr>
            <w:tcW w:w="4740" w:type="dxa"/>
            <w:vAlign w:val="bottom"/>
          </w:tcPr>
          <w:p>
            <w:pPr>
              <w:ind w:left="1280"/>
              <w:spacing w:after="0" w:line="203" w:lineRule="exact"/>
              <w:rPr>
                <w:sz w:val="20"/>
                <w:szCs w:val="20"/>
                <w:color w:val="auto"/>
              </w:rPr>
            </w:pPr>
            <w:r>
              <w:rPr>
                <w:rFonts w:ascii="Courier New" w:cs="Courier New" w:eastAsia="Courier New" w:hAnsi="Courier New"/>
                <w:sz w:val="18"/>
                <w:szCs w:val="18"/>
                <w:color w:val="auto"/>
              </w:rPr>
              <w:t>Total current assets</w:t>
            </w:r>
          </w:p>
        </w:tc>
        <w:tc>
          <w:tcPr>
            <w:tcW w:w="13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4,418</w:t>
            </w:r>
          </w:p>
        </w:tc>
        <w:tc>
          <w:tcPr>
            <w:tcW w:w="1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5,403</w:t>
            </w:r>
          </w:p>
        </w:tc>
      </w:tr>
      <w:tr>
        <w:trPr>
          <w:trHeight w:val="405"/>
        </w:trPr>
        <w:tc>
          <w:tcPr>
            <w:tcW w:w="4740" w:type="dxa"/>
            <w:vAlign w:val="bottom"/>
          </w:tcPr>
          <w:p>
            <w:pPr>
              <w:ind w:left="220"/>
              <w:spacing w:after="0"/>
              <w:rPr>
                <w:sz w:val="20"/>
                <w:szCs w:val="20"/>
                <w:color w:val="auto"/>
              </w:rPr>
            </w:pPr>
            <w:r>
              <w:rPr>
                <w:rFonts w:ascii="Courier New" w:cs="Courier New" w:eastAsia="Courier New" w:hAnsi="Courier New"/>
                <w:sz w:val="18"/>
                <w:szCs w:val="18"/>
                <w:color w:val="auto"/>
              </w:rPr>
              <w:t>INVESTMENTS</w:t>
            </w:r>
          </w:p>
        </w:tc>
        <w:tc>
          <w:tcPr>
            <w:tcW w:w="13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14,204</w:t>
            </w:r>
          </w:p>
        </w:tc>
        <w:tc>
          <w:tcPr>
            <w:tcW w:w="15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14,818</w:t>
            </w:r>
          </w:p>
        </w:tc>
      </w:tr>
      <w:tr>
        <w:trPr>
          <w:trHeight w:val="405"/>
        </w:trPr>
        <w:tc>
          <w:tcPr>
            <w:tcW w:w="4740" w:type="dxa"/>
            <w:vAlign w:val="bottom"/>
          </w:tcPr>
          <w:p>
            <w:pPr>
              <w:ind w:left="220"/>
              <w:spacing w:after="0"/>
              <w:rPr>
                <w:sz w:val="20"/>
                <w:szCs w:val="20"/>
                <w:color w:val="auto"/>
              </w:rPr>
            </w:pPr>
            <w:r>
              <w:rPr>
                <w:rFonts w:ascii="Courier New" w:cs="Courier New" w:eastAsia="Courier New" w:hAnsi="Courier New"/>
                <w:sz w:val="18"/>
                <w:szCs w:val="18"/>
                <w:color w:val="auto"/>
              </w:rPr>
              <w:t>PROPERTY AND EQUIPMENT, net</w:t>
            </w:r>
          </w:p>
        </w:tc>
        <w:tc>
          <w:tcPr>
            <w:tcW w:w="13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18,615</w:t>
            </w:r>
          </w:p>
        </w:tc>
        <w:tc>
          <w:tcPr>
            <w:tcW w:w="15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18,473</w:t>
            </w:r>
          </w:p>
        </w:tc>
      </w:tr>
      <w:tr>
        <w:trPr>
          <w:trHeight w:val="405"/>
        </w:trPr>
        <w:tc>
          <w:tcPr>
            <w:tcW w:w="4740" w:type="dxa"/>
            <w:vAlign w:val="bottom"/>
          </w:tcPr>
          <w:p>
            <w:pPr>
              <w:ind w:left="220"/>
              <w:spacing w:after="0"/>
              <w:rPr>
                <w:sz w:val="20"/>
                <w:szCs w:val="20"/>
                <w:color w:val="auto"/>
              </w:rPr>
            </w:pPr>
            <w:r>
              <w:rPr>
                <w:rFonts w:ascii="Courier New" w:cs="Courier New" w:eastAsia="Courier New" w:hAnsi="Courier New"/>
                <w:sz w:val="18"/>
                <w:szCs w:val="18"/>
                <w:color w:val="auto"/>
              </w:rPr>
              <w:t>FRANCHISE RIGHTS</w:t>
            </w:r>
          </w:p>
        </w:tc>
        <w:tc>
          <w:tcPr>
            <w:tcW w:w="13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51,070</w:t>
            </w:r>
          </w:p>
        </w:tc>
        <w:tc>
          <w:tcPr>
            <w:tcW w:w="15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51,050</w:t>
            </w:r>
          </w:p>
        </w:tc>
      </w:tr>
      <w:tr>
        <w:trPr>
          <w:trHeight w:val="405"/>
        </w:trPr>
        <w:tc>
          <w:tcPr>
            <w:tcW w:w="4740" w:type="dxa"/>
            <w:vAlign w:val="bottom"/>
          </w:tcPr>
          <w:p>
            <w:pPr>
              <w:ind w:left="220"/>
              <w:spacing w:after="0"/>
              <w:rPr>
                <w:sz w:val="20"/>
                <w:szCs w:val="20"/>
                <w:color w:val="auto"/>
              </w:rPr>
            </w:pPr>
            <w:r>
              <w:rPr>
                <w:rFonts w:ascii="Courier New" w:cs="Courier New" w:eastAsia="Courier New" w:hAnsi="Courier New"/>
                <w:sz w:val="18"/>
                <w:szCs w:val="18"/>
                <w:color w:val="auto"/>
              </w:rPr>
              <w:t>GOODWILL</w:t>
            </w:r>
          </w:p>
        </w:tc>
        <w:tc>
          <w:tcPr>
            <w:tcW w:w="13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14,816</w:t>
            </w:r>
          </w:p>
        </w:tc>
        <w:tc>
          <w:tcPr>
            <w:tcW w:w="15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14,841</w:t>
            </w:r>
          </w:p>
        </w:tc>
      </w:tr>
      <w:tr>
        <w:trPr>
          <w:trHeight w:val="405"/>
        </w:trPr>
        <w:tc>
          <w:tcPr>
            <w:tcW w:w="4740" w:type="dxa"/>
            <w:vAlign w:val="bottom"/>
          </w:tcPr>
          <w:p>
            <w:pPr>
              <w:ind w:left="220"/>
              <w:spacing w:after="0"/>
              <w:rPr>
                <w:sz w:val="20"/>
                <w:szCs w:val="20"/>
                <w:color w:val="auto"/>
              </w:rPr>
            </w:pPr>
            <w:r>
              <w:rPr>
                <w:rFonts w:ascii="Courier New" w:cs="Courier New" w:eastAsia="Courier New" w:hAnsi="Courier New"/>
                <w:sz w:val="18"/>
                <w:szCs w:val="18"/>
                <w:color w:val="auto"/>
              </w:rPr>
              <w:t>OTHER INTANGIBLE ASSETS, net</w:t>
            </w:r>
          </w:p>
        </w:tc>
        <w:tc>
          <w:tcPr>
            <w:tcW w:w="13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4,322</w:t>
            </w:r>
          </w:p>
        </w:tc>
        <w:tc>
          <w:tcPr>
            <w:tcW w:w="15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3,859</w:t>
            </w:r>
          </w:p>
        </w:tc>
      </w:tr>
      <w:tr>
        <w:trPr>
          <w:trHeight w:val="405"/>
        </w:trPr>
        <w:tc>
          <w:tcPr>
            <w:tcW w:w="4740" w:type="dxa"/>
            <w:vAlign w:val="bottom"/>
          </w:tcPr>
          <w:p>
            <w:pPr>
              <w:ind w:left="220"/>
              <w:spacing w:after="0"/>
              <w:rPr>
                <w:sz w:val="20"/>
                <w:szCs w:val="20"/>
                <w:color w:val="auto"/>
              </w:rPr>
            </w:pPr>
            <w:r>
              <w:rPr>
                <w:rFonts w:ascii="Courier New" w:cs="Courier New" w:eastAsia="Courier New" w:hAnsi="Courier New"/>
                <w:sz w:val="18"/>
                <w:szCs w:val="18"/>
                <w:color w:val="auto"/>
              </w:rPr>
              <w:t>OTHER NONCURRENT ASSETS, net</w:t>
            </w:r>
          </w:p>
        </w:tc>
        <w:tc>
          <w:tcPr>
            <w:tcW w:w="13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636</w:t>
            </w:r>
          </w:p>
        </w:tc>
        <w:tc>
          <w:tcPr>
            <w:tcW w:w="15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715</w:t>
            </w:r>
          </w:p>
        </w:tc>
      </w:tr>
      <w:tr>
        <w:trPr>
          <w:trHeight w:val="203"/>
        </w:trPr>
        <w:tc>
          <w:tcPr>
            <w:tcW w:w="4740" w:type="dxa"/>
            <w:vAlign w:val="bottom"/>
          </w:tcPr>
          <w:p>
            <w:pPr>
              <w:spacing w:after="0"/>
              <w:rPr>
                <w:sz w:val="17"/>
                <w:szCs w:val="17"/>
                <w:color w:val="auto"/>
              </w:rPr>
            </w:pPr>
          </w:p>
        </w:tc>
        <w:tc>
          <w:tcPr>
            <w:tcW w:w="13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$108,081</w:t>
            </w:r>
          </w:p>
        </w:tc>
        <w:tc>
          <w:tcPr>
            <w:tcW w:w="1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$109,159</w:t>
            </w:r>
          </w:p>
        </w:tc>
      </w:tr>
      <w:tr>
        <w:trPr>
          <w:trHeight w:val="405"/>
        </w:trPr>
        <w:tc>
          <w:tcPr>
            <w:tcW w:w="4740" w:type="dxa"/>
            <w:vAlign w:val="bottom"/>
          </w:tcPr>
          <w:p>
            <w:pPr>
              <w:spacing w:after="0"/>
              <w:rPr>
                <w:sz w:val="20"/>
                <w:szCs w:val="20"/>
                <w:color w:val="auto"/>
              </w:rPr>
            </w:pPr>
            <w:r>
              <w:rPr>
                <w:rFonts w:ascii="Courier New" w:cs="Courier New" w:eastAsia="Courier New" w:hAnsi="Courier New"/>
                <w:sz w:val="18"/>
                <w:szCs w:val="18"/>
                <w:color w:val="auto"/>
              </w:rPr>
              <w:t>LIABILITIES AND STOCKHOLDERS' EQUITY</w:t>
            </w:r>
          </w:p>
        </w:tc>
        <w:tc>
          <w:tcPr>
            <w:tcW w:w="138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405"/>
        </w:trPr>
        <w:tc>
          <w:tcPr>
            <w:tcW w:w="4740" w:type="dxa"/>
            <w:vAlign w:val="bottom"/>
          </w:tcPr>
          <w:p>
            <w:pPr>
              <w:ind w:left="220"/>
              <w:spacing w:after="0"/>
              <w:rPr>
                <w:sz w:val="20"/>
                <w:szCs w:val="20"/>
                <w:color w:val="auto"/>
              </w:rPr>
            </w:pPr>
            <w:r>
              <w:rPr>
                <w:rFonts w:ascii="Courier New" w:cs="Courier New" w:eastAsia="Courier New" w:hAnsi="Courier New"/>
                <w:sz w:val="18"/>
                <w:szCs w:val="18"/>
                <w:color w:val="auto"/>
              </w:rPr>
              <w:t>CURRENT LIABILITIES</w:t>
            </w:r>
          </w:p>
        </w:tc>
        <w:tc>
          <w:tcPr>
            <w:tcW w:w="138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03"/>
        </w:trPr>
        <w:tc>
          <w:tcPr>
            <w:tcW w:w="474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Accounts payable</w:t>
            </w:r>
          </w:p>
        </w:tc>
        <w:tc>
          <w:tcPr>
            <w:tcW w:w="13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$988</w:t>
            </w:r>
          </w:p>
        </w:tc>
        <w:tc>
          <w:tcPr>
            <w:tcW w:w="1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$1,251</w:t>
            </w:r>
          </w:p>
        </w:tc>
      </w:tr>
      <w:tr>
        <w:trPr>
          <w:trHeight w:val="203"/>
        </w:trPr>
        <w:tc>
          <w:tcPr>
            <w:tcW w:w="474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Accrued expenses and other</w:t>
            </w:r>
          </w:p>
        </w:tc>
        <w:tc>
          <w:tcPr>
            <w:tcW w:w="138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74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current liabilities</w:t>
            </w:r>
          </w:p>
        </w:tc>
        <w:tc>
          <w:tcPr>
            <w:tcW w:w="13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4,194</w:t>
            </w:r>
          </w:p>
        </w:tc>
        <w:tc>
          <w:tcPr>
            <w:tcW w:w="1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4,563</w:t>
            </w:r>
          </w:p>
        </w:tc>
      </w:tr>
      <w:tr>
        <w:trPr>
          <w:trHeight w:val="203"/>
        </w:trPr>
        <w:tc>
          <w:tcPr>
            <w:tcW w:w="474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Deferred income taxes</w:t>
            </w:r>
          </w:p>
        </w:tc>
        <w:tc>
          <w:tcPr>
            <w:tcW w:w="13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657</w:t>
            </w:r>
          </w:p>
        </w:tc>
        <w:tc>
          <w:tcPr>
            <w:tcW w:w="1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679</w:t>
            </w:r>
          </w:p>
        </w:tc>
      </w:tr>
      <w:tr>
        <w:trPr>
          <w:trHeight w:val="203"/>
        </w:trPr>
        <w:tc>
          <w:tcPr>
            <w:tcW w:w="474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Current portion of long-term debt</w:t>
            </w:r>
          </w:p>
        </w:tc>
        <w:tc>
          <w:tcPr>
            <w:tcW w:w="13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472</w:t>
            </w:r>
          </w:p>
        </w:tc>
        <w:tc>
          <w:tcPr>
            <w:tcW w:w="1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734</w:t>
            </w:r>
          </w:p>
        </w:tc>
      </w:tr>
      <w:tr>
        <w:trPr>
          <w:trHeight w:val="203"/>
        </w:trPr>
        <w:tc>
          <w:tcPr>
            <w:tcW w:w="474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w w:val="99"/>
              </w:rPr>
              <w:t>Current portion of exchangeable debt</w:t>
            </w:r>
          </w:p>
        </w:tc>
        <w:tc>
          <w:tcPr>
            <w:tcW w:w="13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2,320</w:t>
            </w:r>
          </w:p>
        </w:tc>
        <w:tc>
          <w:tcPr>
            <w:tcW w:w="1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2,427</w:t>
            </w:r>
          </w:p>
        </w:tc>
      </w:tr>
      <w:tr>
        <w:trPr>
          <w:trHeight w:val="203"/>
        </w:trPr>
        <w:tc>
          <w:tcPr>
            <w:tcW w:w="4740" w:type="dxa"/>
            <w:vAlign w:val="bottom"/>
          </w:tcPr>
          <w:p>
            <w:pPr>
              <w:ind w:left="1280"/>
              <w:spacing w:after="0" w:line="203" w:lineRule="exact"/>
              <w:rPr>
                <w:sz w:val="20"/>
                <w:szCs w:val="20"/>
                <w:color w:val="auto"/>
              </w:rPr>
            </w:pPr>
            <w:r>
              <w:rPr>
                <w:rFonts w:ascii="Courier New" w:cs="Courier New" w:eastAsia="Courier New" w:hAnsi="Courier New"/>
                <w:sz w:val="18"/>
                <w:szCs w:val="18"/>
                <w:color w:val="auto"/>
              </w:rPr>
              <w:t>Total current liabilities</w:t>
            </w:r>
          </w:p>
        </w:tc>
        <w:tc>
          <w:tcPr>
            <w:tcW w:w="13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8,631</w:t>
            </w:r>
          </w:p>
        </w:tc>
        <w:tc>
          <w:tcPr>
            <w:tcW w:w="1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9,654</w:t>
            </w:r>
          </w:p>
        </w:tc>
      </w:tr>
      <w:tr>
        <w:trPr>
          <w:trHeight w:val="405"/>
        </w:trPr>
        <w:tc>
          <w:tcPr>
            <w:tcW w:w="4740" w:type="dxa"/>
            <w:vAlign w:val="bottom"/>
          </w:tcPr>
          <w:p>
            <w:pPr>
              <w:ind w:left="220"/>
              <w:spacing w:after="0"/>
              <w:rPr>
                <w:sz w:val="20"/>
                <w:szCs w:val="20"/>
                <w:color w:val="auto"/>
              </w:rPr>
            </w:pPr>
            <w:r>
              <w:rPr>
                <w:rFonts w:ascii="Courier New" w:cs="Courier New" w:eastAsia="Courier New" w:hAnsi="Courier New"/>
                <w:sz w:val="18"/>
                <w:szCs w:val="18"/>
                <w:color w:val="auto"/>
              </w:rPr>
              <w:t>LONG-TERM DEBT, less current portion</w:t>
            </w:r>
          </w:p>
        </w:tc>
        <w:tc>
          <w:tcPr>
            <w:tcW w:w="13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21,945</w:t>
            </w:r>
          </w:p>
        </w:tc>
        <w:tc>
          <w:tcPr>
            <w:tcW w:w="15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21,944</w:t>
            </w:r>
          </w:p>
        </w:tc>
      </w:tr>
      <w:tr>
        <w:trPr>
          <w:trHeight w:val="203"/>
        </w:trPr>
        <w:tc>
          <w:tcPr>
            <w:tcW w:w="4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LONG-TERM EXCHANGEABLE DEBT, less</w:t>
            </w:r>
          </w:p>
        </w:tc>
        <w:tc>
          <w:tcPr>
            <w:tcW w:w="138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7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current portion</w:t>
            </w:r>
          </w:p>
        </w:tc>
        <w:tc>
          <w:tcPr>
            <w:tcW w:w="13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1,040</w:t>
            </w:r>
          </w:p>
        </w:tc>
        <w:tc>
          <w:tcPr>
            <w:tcW w:w="1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1,891</w:t>
            </w:r>
          </w:p>
        </w:tc>
      </w:tr>
      <w:tr>
        <w:trPr>
          <w:trHeight w:val="405"/>
        </w:trPr>
        <w:tc>
          <w:tcPr>
            <w:tcW w:w="4740" w:type="dxa"/>
            <w:vAlign w:val="bottom"/>
          </w:tcPr>
          <w:p>
            <w:pPr>
              <w:ind w:left="220"/>
              <w:spacing w:after="0"/>
              <w:rPr>
                <w:sz w:val="20"/>
                <w:szCs w:val="20"/>
                <w:color w:val="auto"/>
              </w:rPr>
            </w:pPr>
            <w:r>
              <w:rPr>
                <w:rFonts w:ascii="Courier New" w:cs="Courier New" w:eastAsia="Courier New" w:hAnsi="Courier New"/>
                <w:sz w:val="18"/>
                <w:szCs w:val="18"/>
                <w:color w:val="auto"/>
              </w:rPr>
              <w:t>DEFERRED INCOME TAXES</w:t>
            </w:r>
          </w:p>
        </w:tc>
        <w:tc>
          <w:tcPr>
            <w:tcW w:w="13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26,644</w:t>
            </w:r>
          </w:p>
        </w:tc>
        <w:tc>
          <w:tcPr>
            <w:tcW w:w="15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25,900</w:t>
            </w:r>
          </w:p>
        </w:tc>
      </w:tr>
      <w:tr>
        <w:trPr>
          <w:trHeight w:val="405"/>
        </w:trPr>
        <w:tc>
          <w:tcPr>
            <w:tcW w:w="4740" w:type="dxa"/>
            <w:vAlign w:val="bottom"/>
          </w:tcPr>
          <w:p>
            <w:pPr>
              <w:ind w:left="220"/>
              <w:spacing w:after="0"/>
              <w:rPr>
                <w:sz w:val="20"/>
                <w:szCs w:val="20"/>
                <w:color w:val="auto"/>
              </w:rPr>
            </w:pPr>
            <w:r>
              <w:rPr>
                <w:rFonts w:ascii="Courier New" w:cs="Courier New" w:eastAsia="Courier New" w:hAnsi="Courier New"/>
                <w:sz w:val="18"/>
                <w:szCs w:val="18"/>
                <w:color w:val="auto"/>
              </w:rPr>
              <w:t>OTHER NONCURRENT LIABILITIES</w:t>
            </w:r>
          </w:p>
        </w:tc>
        <w:tc>
          <w:tcPr>
            <w:tcW w:w="13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7,922</w:t>
            </w:r>
          </w:p>
        </w:tc>
        <w:tc>
          <w:tcPr>
            <w:tcW w:w="15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7,816</w:t>
            </w:r>
          </w:p>
        </w:tc>
      </w:tr>
      <w:tr>
        <w:trPr>
          <w:trHeight w:val="405"/>
        </w:trPr>
        <w:tc>
          <w:tcPr>
            <w:tcW w:w="4740" w:type="dxa"/>
            <w:vAlign w:val="bottom"/>
          </w:tcPr>
          <w:p>
            <w:pPr>
              <w:ind w:left="220"/>
              <w:spacing w:after="0"/>
              <w:rPr>
                <w:sz w:val="20"/>
                <w:szCs w:val="20"/>
                <w:color w:val="auto"/>
              </w:rPr>
            </w:pPr>
            <w:r>
              <w:rPr>
                <w:rFonts w:ascii="Courier New" w:cs="Courier New" w:eastAsia="Courier New" w:hAnsi="Courier New"/>
                <w:sz w:val="18"/>
                <w:szCs w:val="18"/>
                <w:color w:val="auto"/>
              </w:rPr>
              <w:t>MINORITY INTEREST</w:t>
            </w:r>
          </w:p>
        </w:tc>
        <w:tc>
          <w:tcPr>
            <w:tcW w:w="13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384</w:t>
            </w:r>
          </w:p>
        </w:tc>
        <w:tc>
          <w:tcPr>
            <w:tcW w:w="15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292</w:t>
            </w:r>
          </w:p>
        </w:tc>
      </w:tr>
      <w:tr>
        <w:trPr>
          <w:trHeight w:val="405"/>
        </w:trPr>
        <w:tc>
          <w:tcPr>
            <w:tcW w:w="4740" w:type="dxa"/>
            <w:vAlign w:val="bottom"/>
          </w:tcPr>
          <w:p>
            <w:pPr>
              <w:ind w:left="220"/>
              <w:spacing w:after="0"/>
              <w:rPr>
                <w:sz w:val="20"/>
                <w:szCs w:val="20"/>
                <w:color w:val="auto"/>
              </w:rPr>
            </w:pPr>
            <w:r>
              <w:rPr>
                <w:rFonts w:ascii="Courier New" w:cs="Courier New" w:eastAsia="Courier New" w:hAnsi="Courier New"/>
                <w:sz w:val="18"/>
                <w:szCs w:val="18"/>
                <w:color w:val="auto"/>
              </w:rPr>
              <w:t>STOCKHOLDERS' EQUITY</w:t>
            </w:r>
          </w:p>
        </w:tc>
        <w:tc>
          <w:tcPr>
            <w:tcW w:w="13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41,515</w:t>
            </w:r>
          </w:p>
        </w:tc>
        <w:tc>
          <w:tcPr>
            <w:tcW w:w="15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41,662</w:t>
            </w:r>
          </w:p>
        </w:tc>
      </w:tr>
      <w:tr>
        <w:trPr>
          <w:trHeight w:val="203"/>
        </w:trPr>
        <w:tc>
          <w:tcPr>
            <w:tcW w:w="4740" w:type="dxa"/>
            <w:vAlign w:val="bottom"/>
          </w:tcPr>
          <w:p>
            <w:pPr>
              <w:spacing w:after="0"/>
              <w:rPr>
                <w:sz w:val="17"/>
                <w:szCs w:val="17"/>
                <w:color w:val="auto"/>
              </w:rPr>
            </w:pPr>
          </w:p>
        </w:tc>
        <w:tc>
          <w:tcPr>
            <w:tcW w:w="13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$108,081</w:t>
            </w:r>
          </w:p>
        </w:tc>
        <w:tc>
          <w:tcPr>
            <w:tcW w:w="1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$109,159</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2099"/>
        <w:spacing w:after="0"/>
        <w:rPr>
          <w:sz w:val="20"/>
          <w:szCs w:val="20"/>
          <w:color w:val="auto"/>
        </w:rPr>
      </w:pPr>
      <w:r>
        <w:rPr>
          <w:rFonts w:ascii="Courier New" w:cs="Courier New" w:eastAsia="Courier New" w:hAnsi="Courier New"/>
          <w:sz w:val="18"/>
          <w:szCs w:val="18"/>
          <w:color w:val="auto"/>
        </w:rPr>
        <w:t>COMCAST CORPORATION</w:t>
      </w:r>
    </w:p>
    <w:p>
      <w:pPr>
        <w:jc w:val="center"/>
        <w:ind w:right="2099"/>
        <w:spacing w:after="0" w:line="238" w:lineRule="auto"/>
        <w:rPr>
          <w:sz w:val="20"/>
          <w:szCs w:val="20"/>
          <w:color w:val="auto"/>
        </w:rPr>
      </w:pPr>
      <w:r>
        <w:rPr>
          <w:rFonts w:ascii="Courier New" w:cs="Courier New" w:eastAsia="Courier New" w:hAnsi="Courier New"/>
          <w:sz w:val="18"/>
          <w:szCs w:val="18"/>
          <w:color w:val="auto"/>
        </w:rPr>
        <w:t>TABLE 3</w:t>
      </w:r>
    </w:p>
    <w:p>
      <w:pPr>
        <w:jc w:val="center"/>
        <w:ind w:right="1979"/>
        <w:spacing w:after="0"/>
        <w:rPr>
          <w:sz w:val="20"/>
          <w:szCs w:val="20"/>
          <w:color w:val="auto"/>
        </w:rPr>
      </w:pPr>
      <w:r>
        <w:rPr>
          <w:rFonts w:ascii="Courier New" w:cs="Courier New" w:eastAsia="Courier New" w:hAnsi="Courier New"/>
          <w:sz w:val="18"/>
          <w:szCs w:val="18"/>
          <w:color w:val="auto"/>
        </w:rPr>
        <w:t>Condensed Consolidated Statement of Cash Flows (Unaudited)</w:t>
      </w:r>
    </w:p>
    <w:p>
      <w:pPr>
        <w:jc w:val="center"/>
        <w:ind w:right="2099"/>
        <w:spacing w:after="0" w:line="237" w:lineRule="auto"/>
        <w:rPr>
          <w:sz w:val="20"/>
          <w:szCs w:val="20"/>
          <w:color w:val="auto"/>
        </w:rPr>
      </w:pPr>
      <w:r>
        <w:rPr>
          <w:rFonts w:ascii="Courier New" w:cs="Courier New" w:eastAsia="Courier New" w:hAnsi="Courier New"/>
          <w:sz w:val="18"/>
          <w:szCs w:val="18"/>
          <w:color w:val="auto"/>
        </w:rPr>
        <w:t>(dollars in millions)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900" w:type="dxa"/>
            <w:vAlign w:val="bottom"/>
          </w:tcPr>
          <w:p>
            <w:pPr>
              <w:spacing w:after="0"/>
              <w:rPr>
                <w:sz w:val="17"/>
                <w:szCs w:val="17"/>
                <w:color w:val="auto"/>
              </w:rPr>
            </w:pPr>
          </w:p>
        </w:tc>
        <w:tc>
          <w:tcPr>
            <w:tcW w:w="2700" w:type="dxa"/>
            <w:vAlign w:val="bottom"/>
            <w:gridSpan w:val="2"/>
          </w:tcPr>
          <w:p>
            <w:pPr>
              <w:jc w:val="right"/>
              <w:ind w:right="452"/>
              <w:spacing w:after="0"/>
              <w:rPr>
                <w:sz w:val="20"/>
                <w:szCs w:val="20"/>
                <w:color w:val="auto"/>
              </w:rPr>
            </w:pPr>
            <w:r>
              <w:rPr>
                <w:rFonts w:ascii="Courier New" w:cs="Courier New" w:eastAsia="Courier New" w:hAnsi="Courier New"/>
                <w:sz w:val="18"/>
                <w:szCs w:val="18"/>
                <w:color w:val="auto"/>
              </w:rPr>
              <w:t>Six Months Ended</w:t>
            </w:r>
          </w:p>
        </w:tc>
      </w:tr>
      <w:tr>
        <w:trPr>
          <w:trHeight w:val="203"/>
        </w:trPr>
        <w:tc>
          <w:tcPr>
            <w:tcW w:w="49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74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June 30,</w:t>
            </w:r>
          </w:p>
        </w:tc>
      </w:tr>
      <w:tr>
        <w:trPr>
          <w:trHeight w:val="203"/>
        </w:trPr>
        <w:tc>
          <w:tcPr>
            <w:tcW w:w="4900" w:type="dxa"/>
            <w:vAlign w:val="bottom"/>
          </w:tcPr>
          <w:p>
            <w:pPr>
              <w:spacing w:after="0"/>
              <w:rPr>
                <w:sz w:val="17"/>
                <w:szCs w:val="17"/>
                <w:color w:val="auto"/>
              </w:rPr>
            </w:pPr>
          </w:p>
        </w:tc>
        <w:tc>
          <w:tcPr>
            <w:tcW w:w="9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2004</w:t>
            </w:r>
          </w:p>
        </w:tc>
        <w:tc>
          <w:tcPr>
            <w:tcW w:w="1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2003</w:t>
            </w:r>
          </w:p>
        </w:tc>
      </w:tr>
      <w:tr>
        <w:trPr>
          <w:trHeight w:val="405"/>
        </w:trPr>
        <w:tc>
          <w:tcPr>
            <w:tcW w:w="4900" w:type="dxa"/>
            <w:vAlign w:val="bottom"/>
          </w:tcPr>
          <w:p>
            <w:pPr>
              <w:spacing w:after="0"/>
              <w:rPr>
                <w:sz w:val="20"/>
                <w:szCs w:val="20"/>
                <w:color w:val="auto"/>
              </w:rPr>
            </w:pPr>
            <w:r>
              <w:rPr>
                <w:rFonts w:ascii="Courier New" w:cs="Courier New" w:eastAsia="Courier New" w:hAnsi="Courier New"/>
                <w:sz w:val="18"/>
                <w:szCs w:val="18"/>
                <w:color w:val="auto"/>
              </w:rPr>
              <w:t>OPERATING ACTIVITIES</w:t>
            </w:r>
          </w:p>
        </w:tc>
        <w:tc>
          <w:tcPr>
            <w:tcW w:w="96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203"/>
        </w:trPr>
        <w:tc>
          <w:tcPr>
            <w:tcW w:w="4900" w:type="dxa"/>
            <w:vAlign w:val="bottom"/>
          </w:tcPr>
          <w:p>
            <w:pPr>
              <w:ind w:left="440"/>
              <w:spacing w:after="0" w:line="203" w:lineRule="exact"/>
              <w:rPr>
                <w:sz w:val="20"/>
                <w:szCs w:val="20"/>
                <w:color w:val="auto"/>
              </w:rPr>
            </w:pPr>
            <w:r>
              <w:rPr>
                <w:rFonts w:ascii="Courier New" w:cs="Courier New" w:eastAsia="Courier New" w:hAnsi="Courier New"/>
                <w:sz w:val="18"/>
                <w:szCs w:val="18"/>
                <w:color w:val="auto"/>
              </w:rPr>
              <w:t>Net cash provided by operating activities</w:t>
            </w:r>
          </w:p>
        </w:tc>
        <w:tc>
          <w:tcPr>
            <w:tcW w:w="96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03"/>
        </w:trPr>
        <w:tc>
          <w:tcPr>
            <w:tcW w:w="4900" w:type="dxa"/>
            <w:vAlign w:val="bottom"/>
          </w:tcPr>
          <w:p>
            <w:pPr>
              <w:ind w:left="440"/>
              <w:spacing w:after="0" w:line="203" w:lineRule="exact"/>
              <w:rPr>
                <w:sz w:val="20"/>
                <w:szCs w:val="20"/>
                <w:color w:val="auto"/>
              </w:rPr>
            </w:pPr>
            <w:r>
              <w:rPr>
                <w:rFonts w:ascii="Courier New" w:cs="Courier New" w:eastAsia="Courier New" w:hAnsi="Courier New"/>
                <w:sz w:val="18"/>
                <w:szCs w:val="18"/>
                <w:color w:val="auto"/>
              </w:rPr>
              <w:t>from continuing operations</w:t>
            </w:r>
          </w:p>
        </w:tc>
        <w:tc>
          <w:tcPr>
            <w:tcW w:w="9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$2,633</w:t>
            </w:r>
          </w:p>
        </w:tc>
        <w:tc>
          <w:tcPr>
            <w:tcW w:w="1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$1,711</w:t>
            </w:r>
          </w:p>
        </w:tc>
      </w:tr>
      <w:tr>
        <w:trPr>
          <w:trHeight w:val="608"/>
        </w:trPr>
        <w:tc>
          <w:tcPr>
            <w:tcW w:w="4900" w:type="dxa"/>
            <w:vAlign w:val="bottom"/>
          </w:tcPr>
          <w:p>
            <w:pPr>
              <w:spacing w:after="0"/>
              <w:rPr>
                <w:sz w:val="20"/>
                <w:szCs w:val="20"/>
                <w:color w:val="auto"/>
              </w:rPr>
            </w:pPr>
            <w:r>
              <w:rPr>
                <w:rFonts w:ascii="Courier New" w:cs="Courier New" w:eastAsia="Courier New" w:hAnsi="Courier New"/>
                <w:sz w:val="18"/>
                <w:szCs w:val="18"/>
                <w:color w:val="auto"/>
              </w:rPr>
              <w:t>FINANCING ACTIVITIES</w:t>
            </w:r>
          </w:p>
        </w:tc>
        <w:tc>
          <w:tcPr>
            <w:tcW w:w="96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203"/>
        </w:trPr>
        <w:tc>
          <w:tcPr>
            <w:tcW w:w="4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Proceeds from borrowings</w:t>
            </w:r>
          </w:p>
        </w:tc>
        <w:tc>
          <w:tcPr>
            <w:tcW w:w="9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1,058</w:t>
            </w:r>
          </w:p>
        </w:tc>
        <w:tc>
          <w:tcPr>
            <w:tcW w:w="1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8,848</w:t>
            </w:r>
          </w:p>
        </w:tc>
      </w:tr>
      <w:tr>
        <w:trPr>
          <w:trHeight w:val="203"/>
        </w:trPr>
        <w:tc>
          <w:tcPr>
            <w:tcW w:w="4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Retirements and repayments of debt</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(1,617)</w:t>
            </w:r>
          </w:p>
        </w:tc>
        <w:tc>
          <w:tcPr>
            <w:tcW w:w="1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(11,543)</w:t>
            </w:r>
          </w:p>
        </w:tc>
      </w:tr>
      <w:tr>
        <w:trPr>
          <w:trHeight w:val="203"/>
        </w:trPr>
        <w:tc>
          <w:tcPr>
            <w:tcW w:w="4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Repurchases of common stock</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(511)</w:t>
            </w:r>
          </w:p>
        </w:tc>
        <w:tc>
          <w:tcPr>
            <w:tcW w:w="1740" w:type="dxa"/>
            <w:vAlign w:val="bottom"/>
          </w:tcPr>
          <w:p>
            <w:pPr>
              <w:spacing w:after="0"/>
              <w:rPr>
                <w:sz w:val="17"/>
                <w:szCs w:val="17"/>
                <w:color w:val="auto"/>
              </w:rPr>
            </w:pPr>
          </w:p>
        </w:tc>
      </w:tr>
      <w:tr>
        <w:trPr>
          <w:trHeight w:val="203"/>
        </w:trPr>
        <w:tc>
          <w:tcPr>
            <w:tcW w:w="4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 net</w:t>
            </w:r>
          </w:p>
        </w:tc>
        <w:tc>
          <w:tcPr>
            <w:tcW w:w="9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46</w:t>
            </w:r>
          </w:p>
        </w:tc>
        <w:tc>
          <w:tcPr>
            <w:tcW w:w="1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w:t>
            </w:r>
          </w:p>
        </w:tc>
      </w:tr>
    </w:tbl>
    <w:p>
      <w:pPr>
        <w:sectPr>
          <w:pgSz w:w="11900" w:h="16838" w:orient="portrait"/>
          <w:cols w:equalWidth="0" w:num="1">
            <w:col w:w="9799"/>
          </w:cols>
          <w:pgMar w:left="660" w:top="142" w:right="1440" w:bottom="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060" w:type="dxa"/>
            <w:vAlign w:val="bottom"/>
            <w:gridSpan w:val="4"/>
          </w:tcPr>
          <w:p>
            <w:pPr>
              <w:ind w:left="440"/>
              <w:spacing w:after="0"/>
              <w:rPr>
                <w:sz w:val="20"/>
                <w:szCs w:val="20"/>
                <w:color w:val="auto"/>
              </w:rPr>
            </w:pPr>
            <w:r>
              <w:rPr>
                <w:rFonts w:ascii="Courier New" w:cs="Courier New" w:eastAsia="Courier New" w:hAnsi="Courier New"/>
                <w:sz w:val="18"/>
                <w:szCs w:val="18"/>
                <w:color w:val="auto"/>
              </w:rPr>
              <w:t>Net cash used in financing activities</w:t>
            </w:r>
          </w:p>
        </w:tc>
        <w:tc>
          <w:tcPr>
            <w:tcW w:w="180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4180" w:type="dxa"/>
            <w:vAlign w:val="bottom"/>
            <w:gridSpan w:val="3"/>
          </w:tcPr>
          <w:p>
            <w:pPr>
              <w:ind w:left="440"/>
              <w:spacing w:after="0" w:line="203" w:lineRule="exact"/>
              <w:rPr>
                <w:sz w:val="20"/>
                <w:szCs w:val="20"/>
                <w:color w:val="auto"/>
              </w:rPr>
            </w:pPr>
            <w:r>
              <w:rPr>
                <w:rFonts w:ascii="Courier New" w:cs="Courier New" w:eastAsia="Courier New" w:hAnsi="Courier New"/>
                <w:sz w:val="18"/>
                <w:szCs w:val="18"/>
                <w:color w:val="auto"/>
              </w:rPr>
              <w:t>from continuing operations</w:t>
            </w:r>
          </w:p>
        </w:tc>
        <w:tc>
          <w:tcPr>
            <w:tcW w:w="880" w:type="dxa"/>
            <w:vAlign w:val="bottom"/>
          </w:tcPr>
          <w:p>
            <w:pPr>
              <w:spacing w:after="0"/>
              <w:rPr>
                <w:sz w:val="17"/>
                <w:szCs w:val="17"/>
                <w:color w:val="auto"/>
              </w:rPr>
            </w:pPr>
          </w:p>
        </w:tc>
        <w:tc>
          <w:tcPr>
            <w:tcW w:w="1800" w:type="dxa"/>
            <w:vAlign w:val="bottom"/>
          </w:tcPr>
          <w:p>
            <w:pPr>
              <w:jc w:val="right"/>
              <w:ind w:right="972"/>
              <w:spacing w:after="0" w:line="203" w:lineRule="exact"/>
              <w:rPr>
                <w:sz w:val="20"/>
                <w:szCs w:val="20"/>
                <w:color w:val="auto"/>
              </w:rPr>
            </w:pPr>
            <w:r>
              <w:rPr>
                <w:rFonts w:ascii="Courier New" w:cs="Courier New" w:eastAsia="Courier New" w:hAnsi="Courier New"/>
                <w:sz w:val="18"/>
                <w:szCs w:val="18"/>
                <w:color w:val="auto"/>
                <w:w w:val="95"/>
              </w:rPr>
              <w:t>(1,024)</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(2,698)</w:t>
            </w:r>
          </w:p>
        </w:tc>
      </w:tr>
      <w:tr>
        <w:trPr>
          <w:trHeight w:val="608"/>
        </w:trPr>
        <w:tc>
          <w:tcPr>
            <w:tcW w:w="1060" w:type="dxa"/>
            <w:vAlign w:val="bottom"/>
          </w:tcPr>
          <w:p>
            <w:pPr>
              <w:spacing w:after="0"/>
              <w:rPr>
                <w:sz w:val="20"/>
                <w:szCs w:val="20"/>
                <w:color w:val="auto"/>
              </w:rPr>
            </w:pPr>
            <w:r>
              <w:rPr>
                <w:rFonts w:ascii="Courier New" w:cs="Courier New" w:eastAsia="Courier New" w:hAnsi="Courier New"/>
                <w:sz w:val="18"/>
                <w:szCs w:val="18"/>
                <w:color w:val="auto"/>
              </w:rPr>
              <w:t>INVESTING</w:t>
            </w:r>
          </w:p>
        </w:tc>
        <w:tc>
          <w:tcPr>
            <w:tcW w:w="1680" w:type="dxa"/>
            <w:vAlign w:val="bottom"/>
          </w:tcPr>
          <w:p>
            <w:pPr>
              <w:spacing w:after="0"/>
              <w:rPr>
                <w:sz w:val="20"/>
                <w:szCs w:val="20"/>
                <w:color w:val="auto"/>
              </w:rPr>
            </w:pPr>
            <w:r>
              <w:rPr>
                <w:rFonts w:ascii="Courier New" w:cs="Courier New" w:eastAsia="Courier New" w:hAnsi="Courier New"/>
                <w:sz w:val="18"/>
                <w:szCs w:val="18"/>
                <w:color w:val="auto"/>
              </w:rPr>
              <w:t>ACTIVITIES</w:t>
            </w:r>
          </w:p>
        </w:tc>
        <w:tc>
          <w:tcPr>
            <w:tcW w:w="1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3"/>
        </w:trPr>
        <w:tc>
          <w:tcPr>
            <w:tcW w:w="1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Capital</w:t>
            </w:r>
          </w:p>
        </w:tc>
        <w:tc>
          <w:tcPr>
            <w:tcW w:w="1680" w:type="dxa"/>
            <w:vAlign w:val="bottom"/>
          </w:tcPr>
          <w:p>
            <w:pPr>
              <w:spacing w:after="0" w:line="203" w:lineRule="exact"/>
              <w:rPr>
                <w:sz w:val="20"/>
                <w:szCs w:val="20"/>
                <w:color w:val="auto"/>
              </w:rPr>
            </w:pPr>
            <w:r>
              <w:rPr>
                <w:rFonts w:ascii="Courier New" w:cs="Courier New" w:eastAsia="Courier New" w:hAnsi="Courier New"/>
                <w:sz w:val="18"/>
                <w:szCs w:val="18"/>
                <w:color w:val="auto"/>
              </w:rPr>
              <w:t>expenditures</w:t>
            </w:r>
          </w:p>
        </w:tc>
        <w:tc>
          <w:tcPr>
            <w:tcW w:w="14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0" w:type="dxa"/>
            <w:vAlign w:val="bottom"/>
          </w:tcPr>
          <w:p>
            <w:pPr>
              <w:jc w:val="right"/>
              <w:ind w:right="972"/>
              <w:spacing w:after="0" w:line="203" w:lineRule="exact"/>
              <w:rPr>
                <w:sz w:val="20"/>
                <w:szCs w:val="20"/>
                <w:color w:val="auto"/>
              </w:rPr>
            </w:pPr>
            <w:r>
              <w:rPr>
                <w:rFonts w:ascii="Courier New" w:cs="Courier New" w:eastAsia="Courier New" w:hAnsi="Courier New"/>
                <w:sz w:val="18"/>
                <w:szCs w:val="18"/>
                <w:color w:val="auto"/>
                <w:w w:val="95"/>
              </w:rPr>
              <w:t>(1,732)</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(2,012)</w:t>
            </w:r>
          </w:p>
        </w:tc>
      </w:tr>
      <w:tr>
        <w:trPr>
          <w:trHeight w:val="203"/>
        </w:trPr>
        <w:tc>
          <w:tcPr>
            <w:tcW w:w="4180" w:type="dxa"/>
            <w:vAlign w:val="bottom"/>
            <w:gridSpan w:val="3"/>
          </w:tcPr>
          <w:p>
            <w:pPr>
              <w:ind w:left="220"/>
              <w:spacing w:after="0" w:line="203" w:lineRule="exact"/>
              <w:rPr>
                <w:sz w:val="20"/>
                <w:szCs w:val="20"/>
                <w:color w:val="auto"/>
              </w:rPr>
            </w:pPr>
            <w:r>
              <w:rPr>
                <w:rFonts w:ascii="Courier New" w:cs="Courier New" w:eastAsia="Courier New" w:hAnsi="Courier New"/>
                <w:sz w:val="18"/>
                <w:szCs w:val="18"/>
                <w:color w:val="auto"/>
              </w:rPr>
              <w:t>Proceeds from restructuring of TWE</w:t>
            </w:r>
          </w:p>
        </w:tc>
        <w:tc>
          <w:tcPr>
            <w:tcW w:w="8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274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investment</w:t>
            </w:r>
          </w:p>
        </w:tc>
        <w:tc>
          <w:tcPr>
            <w:tcW w:w="14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2,100</w:t>
            </w:r>
          </w:p>
        </w:tc>
      </w:tr>
      <w:tr>
        <w:trPr>
          <w:trHeight w:val="203"/>
        </w:trPr>
        <w:tc>
          <w:tcPr>
            <w:tcW w:w="4180" w:type="dxa"/>
            <w:vAlign w:val="bottom"/>
            <w:gridSpan w:val="3"/>
          </w:tcPr>
          <w:p>
            <w:pPr>
              <w:ind w:left="220"/>
              <w:spacing w:after="0" w:line="203" w:lineRule="exact"/>
              <w:rPr>
                <w:sz w:val="20"/>
                <w:szCs w:val="20"/>
                <w:color w:val="auto"/>
              </w:rPr>
            </w:pPr>
            <w:r>
              <w:rPr>
                <w:rFonts w:ascii="Courier New" w:cs="Courier New" w:eastAsia="Courier New" w:hAnsi="Courier New"/>
                <w:sz w:val="18"/>
                <w:szCs w:val="18"/>
                <w:color w:val="auto"/>
              </w:rPr>
              <w:t>Proceeds from sales of investments</w:t>
            </w:r>
          </w:p>
        </w:tc>
        <w:tc>
          <w:tcPr>
            <w:tcW w:w="8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4180" w:type="dxa"/>
            <w:vAlign w:val="bottom"/>
            <w:gridSpan w:val="3"/>
          </w:tcPr>
          <w:p>
            <w:pPr>
              <w:ind w:left="320"/>
              <w:spacing w:after="0" w:line="203" w:lineRule="exact"/>
              <w:rPr>
                <w:sz w:val="20"/>
                <w:szCs w:val="20"/>
                <w:color w:val="auto"/>
              </w:rPr>
            </w:pPr>
            <w:r>
              <w:rPr>
                <w:rFonts w:ascii="Courier New" w:cs="Courier New" w:eastAsia="Courier New" w:hAnsi="Courier New"/>
                <w:sz w:val="18"/>
                <w:szCs w:val="18"/>
                <w:color w:val="auto"/>
              </w:rPr>
              <w:t>and assets held for sale</w:t>
            </w:r>
          </w:p>
        </w:tc>
        <w:tc>
          <w:tcPr>
            <w:tcW w:w="880" w:type="dxa"/>
            <w:vAlign w:val="bottom"/>
          </w:tcPr>
          <w:p>
            <w:pPr>
              <w:spacing w:after="0"/>
              <w:rPr>
                <w:sz w:val="17"/>
                <w:szCs w:val="17"/>
                <w:color w:val="auto"/>
              </w:rPr>
            </w:pPr>
          </w:p>
        </w:tc>
        <w:tc>
          <w:tcPr>
            <w:tcW w:w="1800" w:type="dxa"/>
            <w:vAlign w:val="bottom"/>
          </w:tcPr>
          <w:p>
            <w:pPr>
              <w:jc w:val="right"/>
              <w:ind w:right="1072"/>
              <w:spacing w:after="0" w:line="203" w:lineRule="exact"/>
              <w:rPr>
                <w:sz w:val="20"/>
                <w:szCs w:val="20"/>
                <w:color w:val="auto"/>
              </w:rPr>
            </w:pPr>
            <w:r>
              <w:rPr>
                <w:rFonts w:ascii="Courier New" w:cs="Courier New" w:eastAsia="Courier New" w:hAnsi="Courier New"/>
                <w:sz w:val="18"/>
                <w:szCs w:val="18"/>
                <w:color w:val="auto"/>
              </w:rPr>
              <w:t>51</w:t>
            </w: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1,492</w:t>
            </w:r>
          </w:p>
        </w:tc>
      </w:tr>
      <w:tr>
        <w:trPr>
          <w:trHeight w:val="203"/>
        </w:trPr>
        <w:tc>
          <w:tcPr>
            <w:tcW w:w="274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Acquisitions, net</w:t>
            </w:r>
          </w:p>
        </w:tc>
        <w:tc>
          <w:tcPr>
            <w:tcW w:w="14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0" w:type="dxa"/>
            <w:vAlign w:val="bottom"/>
          </w:tcPr>
          <w:p>
            <w:pPr>
              <w:jc w:val="right"/>
              <w:ind w:right="972"/>
              <w:spacing w:after="0" w:line="203" w:lineRule="exact"/>
              <w:rPr>
                <w:sz w:val="20"/>
                <w:szCs w:val="20"/>
                <w:color w:val="auto"/>
              </w:rPr>
            </w:pPr>
            <w:r>
              <w:rPr>
                <w:rFonts w:ascii="Courier New" w:cs="Courier New" w:eastAsia="Courier New" w:hAnsi="Courier New"/>
                <w:sz w:val="18"/>
                <w:szCs w:val="18"/>
                <w:color w:val="auto"/>
              </w:rPr>
              <w:t>(336)</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(22)</w:t>
            </w:r>
          </w:p>
        </w:tc>
      </w:tr>
      <w:tr>
        <w:trPr>
          <w:trHeight w:val="203"/>
        </w:trPr>
        <w:tc>
          <w:tcPr>
            <w:tcW w:w="274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Other, net</w:t>
            </w:r>
          </w:p>
        </w:tc>
        <w:tc>
          <w:tcPr>
            <w:tcW w:w="14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0" w:type="dxa"/>
            <w:vAlign w:val="bottom"/>
          </w:tcPr>
          <w:p>
            <w:pPr>
              <w:jc w:val="right"/>
              <w:ind w:right="972"/>
              <w:spacing w:after="0" w:line="203" w:lineRule="exact"/>
              <w:rPr>
                <w:sz w:val="20"/>
                <w:szCs w:val="20"/>
                <w:color w:val="auto"/>
              </w:rPr>
            </w:pPr>
            <w:r>
              <w:rPr>
                <w:rFonts w:ascii="Courier New" w:cs="Courier New" w:eastAsia="Courier New" w:hAnsi="Courier New"/>
                <w:sz w:val="18"/>
                <w:szCs w:val="18"/>
                <w:color w:val="auto"/>
              </w:rPr>
              <w:t>(548)</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(260)</w:t>
            </w:r>
          </w:p>
        </w:tc>
      </w:tr>
      <w:tr>
        <w:trPr>
          <w:trHeight w:val="405"/>
        </w:trPr>
        <w:tc>
          <w:tcPr>
            <w:tcW w:w="5060" w:type="dxa"/>
            <w:vAlign w:val="bottom"/>
            <w:gridSpan w:val="4"/>
          </w:tcPr>
          <w:p>
            <w:pPr>
              <w:ind w:left="440"/>
              <w:spacing w:after="0"/>
              <w:rPr>
                <w:sz w:val="20"/>
                <w:szCs w:val="20"/>
                <w:color w:val="auto"/>
              </w:rPr>
            </w:pPr>
            <w:r>
              <w:rPr>
                <w:rFonts w:ascii="Courier New" w:cs="Courier New" w:eastAsia="Courier New" w:hAnsi="Courier New"/>
                <w:sz w:val="18"/>
                <w:szCs w:val="18"/>
                <w:color w:val="auto"/>
              </w:rPr>
              <w:t>Net cash (used in) provided by investing</w:t>
            </w:r>
          </w:p>
        </w:tc>
        <w:tc>
          <w:tcPr>
            <w:tcW w:w="18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3"/>
        </w:trPr>
        <w:tc>
          <w:tcPr>
            <w:tcW w:w="5060" w:type="dxa"/>
            <w:vAlign w:val="bottom"/>
            <w:gridSpan w:val="4"/>
          </w:tcPr>
          <w:p>
            <w:pPr>
              <w:ind w:left="440"/>
              <w:spacing w:after="0" w:line="203" w:lineRule="exact"/>
              <w:rPr>
                <w:sz w:val="20"/>
                <w:szCs w:val="20"/>
                <w:color w:val="auto"/>
              </w:rPr>
            </w:pPr>
            <w:r>
              <w:rPr>
                <w:rFonts w:ascii="Courier New" w:cs="Courier New" w:eastAsia="Courier New" w:hAnsi="Courier New"/>
                <w:sz w:val="18"/>
                <w:szCs w:val="18"/>
                <w:color w:val="auto"/>
              </w:rPr>
              <w:t>activities from continuing operations</w:t>
            </w:r>
          </w:p>
        </w:tc>
        <w:tc>
          <w:tcPr>
            <w:tcW w:w="1800" w:type="dxa"/>
            <w:vAlign w:val="bottom"/>
          </w:tcPr>
          <w:p>
            <w:pPr>
              <w:jc w:val="right"/>
              <w:ind w:right="972"/>
              <w:spacing w:after="0" w:line="203" w:lineRule="exact"/>
              <w:rPr>
                <w:sz w:val="20"/>
                <w:szCs w:val="20"/>
                <w:color w:val="auto"/>
              </w:rPr>
            </w:pPr>
            <w:r>
              <w:rPr>
                <w:rFonts w:ascii="Courier New" w:cs="Courier New" w:eastAsia="Courier New" w:hAnsi="Courier New"/>
                <w:sz w:val="18"/>
                <w:szCs w:val="18"/>
                <w:color w:val="auto"/>
                <w:w w:val="95"/>
              </w:rPr>
              <w:t>(2,565)</w:t>
            </w: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1,298</w:t>
            </w:r>
          </w:p>
        </w:tc>
      </w:tr>
      <w:tr>
        <w:trPr>
          <w:trHeight w:val="608"/>
        </w:trPr>
        <w:tc>
          <w:tcPr>
            <w:tcW w:w="4180" w:type="dxa"/>
            <w:vAlign w:val="bottom"/>
            <w:gridSpan w:val="3"/>
          </w:tcPr>
          <w:p>
            <w:pPr>
              <w:spacing w:after="0"/>
              <w:rPr>
                <w:sz w:val="20"/>
                <w:szCs w:val="20"/>
                <w:color w:val="auto"/>
              </w:rPr>
            </w:pPr>
            <w:r>
              <w:rPr>
                <w:rFonts w:ascii="Courier New" w:cs="Courier New" w:eastAsia="Courier New" w:hAnsi="Courier New"/>
                <w:sz w:val="18"/>
                <w:szCs w:val="18"/>
                <w:color w:val="auto"/>
              </w:rPr>
              <w:t>(DECREASE) INCREASE IN CASH AND CASH</w:t>
            </w:r>
          </w:p>
        </w:tc>
        <w:tc>
          <w:tcPr>
            <w:tcW w:w="8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3"/>
        </w:trPr>
        <w:tc>
          <w:tcPr>
            <w:tcW w:w="274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EQUIVALENTS</w:t>
            </w:r>
          </w:p>
        </w:tc>
        <w:tc>
          <w:tcPr>
            <w:tcW w:w="14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0" w:type="dxa"/>
            <w:vAlign w:val="bottom"/>
          </w:tcPr>
          <w:p>
            <w:pPr>
              <w:jc w:val="right"/>
              <w:ind w:right="972"/>
              <w:spacing w:after="0" w:line="203" w:lineRule="exact"/>
              <w:rPr>
                <w:sz w:val="20"/>
                <w:szCs w:val="20"/>
                <w:color w:val="auto"/>
              </w:rPr>
            </w:pPr>
            <w:r>
              <w:rPr>
                <w:rFonts w:ascii="Courier New" w:cs="Courier New" w:eastAsia="Courier New" w:hAnsi="Courier New"/>
                <w:sz w:val="18"/>
                <w:szCs w:val="18"/>
                <w:color w:val="auto"/>
              </w:rPr>
              <w:t>(956)</w:t>
            </w: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311</w:t>
            </w:r>
          </w:p>
        </w:tc>
      </w:tr>
      <w:tr>
        <w:trPr>
          <w:trHeight w:val="405"/>
        </w:trPr>
        <w:tc>
          <w:tcPr>
            <w:tcW w:w="4180" w:type="dxa"/>
            <w:vAlign w:val="bottom"/>
            <w:gridSpan w:val="3"/>
          </w:tcPr>
          <w:p>
            <w:pPr>
              <w:spacing w:after="0"/>
              <w:rPr>
                <w:sz w:val="20"/>
                <w:szCs w:val="20"/>
                <w:color w:val="auto"/>
              </w:rPr>
            </w:pPr>
            <w:r>
              <w:rPr>
                <w:rFonts w:ascii="Courier New" w:cs="Courier New" w:eastAsia="Courier New" w:hAnsi="Courier New"/>
                <w:sz w:val="18"/>
                <w:szCs w:val="18"/>
                <w:color w:val="auto"/>
              </w:rPr>
              <w:t>CASH AND CASH EQUIVALENTS, beginning</w:t>
            </w:r>
          </w:p>
        </w:tc>
        <w:tc>
          <w:tcPr>
            <w:tcW w:w="8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3"/>
        </w:trPr>
        <w:tc>
          <w:tcPr>
            <w:tcW w:w="1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4"/>
              </w:rPr>
              <w:t>of period</w:t>
            </w:r>
          </w:p>
        </w:tc>
        <w:tc>
          <w:tcPr>
            <w:tcW w:w="16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0" w:type="dxa"/>
            <w:vAlign w:val="bottom"/>
          </w:tcPr>
          <w:p>
            <w:pPr>
              <w:jc w:val="right"/>
              <w:ind w:right="1072"/>
              <w:spacing w:after="0" w:line="203" w:lineRule="exact"/>
              <w:rPr>
                <w:sz w:val="20"/>
                <w:szCs w:val="20"/>
                <w:color w:val="auto"/>
              </w:rPr>
            </w:pPr>
            <w:r>
              <w:rPr>
                <w:rFonts w:ascii="Courier New" w:cs="Courier New" w:eastAsia="Courier New" w:hAnsi="Courier New"/>
                <w:sz w:val="18"/>
                <w:szCs w:val="18"/>
                <w:color w:val="auto"/>
              </w:rPr>
              <w:t>1,550</w:t>
            </w: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505</w:t>
            </w:r>
          </w:p>
        </w:tc>
      </w:tr>
      <w:tr>
        <w:trPr>
          <w:trHeight w:val="405"/>
        </w:trPr>
        <w:tc>
          <w:tcPr>
            <w:tcW w:w="4180" w:type="dxa"/>
            <w:vAlign w:val="bottom"/>
            <w:gridSpan w:val="3"/>
          </w:tcPr>
          <w:p>
            <w:pPr>
              <w:spacing w:after="0"/>
              <w:rPr>
                <w:sz w:val="20"/>
                <w:szCs w:val="20"/>
                <w:color w:val="auto"/>
              </w:rPr>
            </w:pPr>
            <w:r>
              <w:rPr>
                <w:rFonts w:ascii="Courier New" w:cs="Courier New" w:eastAsia="Courier New" w:hAnsi="Courier New"/>
                <w:sz w:val="18"/>
                <w:szCs w:val="18"/>
                <w:color w:val="auto"/>
              </w:rPr>
              <w:t>CASH AND CASH EQUIVALENTS, end of</w:t>
            </w:r>
          </w:p>
        </w:tc>
        <w:tc>
          <w:tcPr>
            <w:tcW w:w="8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3"/>
        </w:trPr>
        <w:tc>
          <w:tcPr>
            <w:tcW w:w="1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period</w:t>
            </w:r>
          </w:p>
        </w:tc>
        <w:tc>
          <w:tcPr>
            <w:tcW w:w="16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0" w:type="dxa"/>
            <w:vAlign w:val="bottom"/>
          </w:tcPr>
          <w:p>
            <w:pPr>
              <w:jc w:val="right"/>
              <w:ind w:right="1072"/>
              <w:spacing w:after="0" w:line="203" w:lineRule="exact"/>
              <w:rPr>
                <w:sz w:val="20"/>
                <w:szCs w:val="20"/>
                <w:color w:val="auto"/>
              </w:rPr>
            </w:pPr>
            <w:r>
              <w:rPr>
                <w:rFonts w:ascii="Courier New" w:cs="Courier New" w:eastAsia="Courier New" w:hAnsi="Courier New"/>
                <w:sz w:val="18"/>
                <w:szCs w:val="18"/>
                <w:color w:val="auto"/>
              </w:rPr>
              <w:t>$594</w:t>
            </w: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$816</w:t>
            </w:r>
          </w:p>
        </w:tc>
      </w:tr>
      <w:tr>
        <w:trPr>
          <w:trHeight w:val="810"/>
        </w:trPr>
        <w:tc>
          <w:tcPr>
            <w:tcW w:w="10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320" w:type="dxa"/>
            <w:vAlign w:val="bottom"/>
            <w:gridSpan w:val="2"/>
          </w:tcPr>
          <w:p>
            <w:pPr>
              <w:jc w:val="center"/>
              <w:ind w:right="232"/>
              <w:spacing w:after="0"/>
              <w:rPr>
                <w:sz w:val="20"/>
                <w:szCs w:val="20"/>
                <w:color w:val="auto"/>
              </w:rPr>
            </w:pPr>
            <w:r>
              <w:rPr>
                <w:rFonts w:ascii="Courier New" w:cs="Courier New" w:eastAsia="Courier New" w:hAnsi="Courier New"/>
                <w:sz w:val="18"/>
                <w:szCs w:val="18"/>
                <w:color w:val="auto"/>
                <w:w w:val="97"/>
              </w:rPr>
              <w:t>COMCAST CORPORATION</w:t>
            </w:r>
          </w:p>
        </w:tc>
        <w:tc>
          <w:tcPr>
            <w:tcW w:w="18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3"/>
        </w:trPr>
        <w:tc>
          <w:tcPr>
            <w:tcW w:w="10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440" w:type="dxa"/>
            <w:vAlign w:val="bottom"/>
          </w:tcPr>
          <w:p>
            <w:pPr>
              <w:jc w:val="center"/>
              <w:ind w:left="492"/>
              <w:spacing w:after="0" w:line="203" w:lineRule="exact"/>
              <w:rPr>
                <w:sz w:val="20"/>
                <w:szCs w:val="20"/>
                <w:color w:val="auto"/>
              </w:rPr>
            </w:pPr>
            <w:r>
              <w:rPr>
                <w:rFonts w:ascii="Courier New" w:cs="Courier New" w:eastAsia="Courier New" w:hAnsi="Courier New"/>
                <w:sz w:val="18"/>
                <w:szCs w:val="18"/>
                <w:color w:val="auto"/>
                <w:w w:val="97"/>
              </w:rPr>
              <w:t>TABLE 4</w:t>
            </w:r>
          </w:p>
        </w:tc>
        <w:tc>
          <w:tcPr>
            <w:tcW w:w="8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6860" w:type="dxa"/>
            <w:vAlign w:val="bottom"/>
            <w:gridSpan w:val="5"/>
          </w:tcPr>
          <w:p>
            <w:pPr>
              <w:jc w:val="right"/>
              <w:spacing w:after="0" w:line="203" w:lineRule="exact"/>
              <w:rPr>
                <w:sz w:val="20"/>
                <w:szCs w:val="20"/>
                <w:color w:val="auto"/>
              </w:rPr>
            </w:pPr>
            <w:r>
              <w:rPr>
                <w:rFonts w:ascii="Courier New" w:cs="Courier New" w:eastAsia="Courier New" w:hAnsi="Courier New"/>
                <w:sz w:val="18"/>
                <w:szCs w:val="18"/>
                <w:color w:val="auto"/>
              </w:rPr>
              <w:t>Pro Forma Financial Data by Business Segment (Unaudited) (1)</w:t>
            </w:r>
          </w:p>
        </w:tc>
        <w:tc>
          <w:tcPr>
            <w:tcW w:w="840" w:type="dxa"/>
            <w:vAlign w:val="bottom"/>
          </w:tcPr>
          <w:p>
            <w:pPr>
              <w:spacing w:after="0"/>
              <w:rPr>
                <w:sz w:val="17"/>
                <w:szCs w:val="17"/>
                <w:color w:val="auto"/>
              </w:rPr>
            </w:pPr>
          </w:p>
        </w:tc>
      </w:tr>
      <w:tr>
        <w:trPr>
          <w:trHeight w:val="203"/>
        </w:trPr>
        <w:tc>
          <w:tcPr>
            <w:tcW w:w="1060" w:type="dxa"/>
            <w:vAlign w:val="bottom"/>
          </w:tcPr>
          <w:p>
            <w:pPr>
              <w:spacing w:after="0"/>
              <w:rPr>
                <w:sz w:val="17"/>
                <w:szCs w:val="17"/>
                <w:color w:val="auto"/>
              </w:rPr>
            </w:pPr>
          </w:p>
        </w:tc>
        <w:tc>
          <w:tcPr>
            <w:tcW w:w="4000" w:type="dxa"/>
            <w:vAlign w:val="bottom"/>
            <w:gridSpan w:val="3"/>
          </w:tcPr>
          <w:p>
            <w:pPr>
              <w:jc w:val="center"/>
              <w:ind w:left="1292"/>
              <w:spacing w:after="0" w:line="203" w:lineRule="exact"/>
              <w:rPr>
                <w:sz w:val="20"/>
                <w:szCs w:val="20"/>
                <w:color w:val="auto"/>
              </w:rPr>
            </w:pPr>
            <w:r>
              <w:rPr>
                <w:rFonts w:ascii="Courier New" w:cs="Courier New" w:eastAsia="Courier New" w:hAnsi="Courier New"/>
                <w:sz w:val="18"/>
                <w:szCs w:val="18"/>
                <w:color w:val="auto"/>
                <w:w w:val="97"/>
              </w:rPr>
              <w:t>(dollars in millions)</w:t>
            </w:r>
          </w:p>
        </w:tc>
        <w:tc>
          <w:tcPr>
            <w:tcW w:w="180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405"/>
        </w:trPr>
        <w:tc>
          <w:tcPr>
            <w:tcW w:w="10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0" w:type="dxa"/>
            <w:vAlign w:val="bottom"/>
          </w:tcPr>
          <w:p>
            <w:pPr>
              <w:jc w:val="right"/>
              <w:spacing w:after="0"/>
              <w:rPr>
                <w:sz w:val="20"/>
                <w:szCs w:val="20"/>
                <w:color w:val="auto"/>
              </w:rPr>
            </w:pPr>
            <w:r>
              <w:rPr>
                <w:rFonts w:ascii="Courier New" w:cs="Courier New" w:eastAsia="Courier New" w:hAnsi="Courier New"/>
                <w:sz w:val="18"/>
                <w:szCs w:val="18"/>
                <w:color w:val="auto"/>
              </w:rPr>
              <w:t>Corporate and</w:t>
            </w:r>
          </w:p>
        </w:tc>
        <w:tc>
          <w:tcPr>
            <w:tcW w:w="840" w:type="dxa"/>
            <w:vAlign w:val="bottom"/>
          </w:tcPr>
          <w:p>
            <w:pPr>
              <w:spacing w:after="0"/>
              <w:rPr>
                <w:sz w:val="24"/>
                <w:szCs w:val="24"/>
                <w:color w:val="auto"/>
              </w:rPr>
            </w:pPr>
          </w:p>
        </w:tc>
      </w:tr>
      <w:tr>
        <w:trPr>
          <w:trHeight w:val="203"/>
        </w:trPr>
        <w:tc>
          <w:tcPr>
            <w:tcW w:w="10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4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Cable (2)</w:t>
            </w:r>
          </w:p>
        </w:tc>
        <w:tc>
          <w:tcPr>
            <w:tcW w:w="26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w w:val="98"/>
              </w:rPr>
              <w:t>Content (3)   Other (4)</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Total</w:t>
            </w:r>
          </w:p>
        </w:tc>
      </w:tr>
      <w:tr>
        <w:trPr>
          <w:trHeight w:val="203"/>
        </w:trPr>
        <w:tc>
          <w:tcPr>
            <w:tcW w:w="27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Three Months Ended</w:t>
            </w:r>
          </w:p>
        </w:tc>
        <w:tc>
          <w:tcPr>
            <w:tcW w:w="14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1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June 30,</w:t>
            </w:r>
          </w:p>
        </w:tc>
        <w:tc>
          <w:tcPr>
            <w:tcW w:w="1680" w:type="dxa"/>
            <w:vAlign w:val="bottom"/>
          </w:tcPr>
          <w:p>
            <w:pPr>
              <w:spacing w:after="0" w:line="203" w:lineRule="exact"/>
              <w:rPr>
                <w:sz w:val="20"/>
                <w:szCs w:val="20"/>
                <w:color w:val="auto"/>
              </w:rPr>
            </w:pPr>
            <w:r>
              <w:rPr>
                <w:rFonts w:ascii="Courier New" w:cs="Courier New" w:eastAsia="Courier New" w:hAnsi="Courier New"/>
                <w:sz w:val="18"/>
                <w:szCs w:val="18"/>
                <w:color w:val="auto"/>
              </w:rPr>
              <w:t>2004</w:t>
            </w:r>
          </w:p>
        </w:tc>
        <w:tc>
          <w:tcPr>
            <w:tcW w:w="14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1060" w:type="dxa"/>
            <w:vAlign w:val="bottom"/>
          </w:tcPr>
          <w:p>
            <w:pPr>
              <w:spacing w:after="0" w:line="203" w:lineRule="exact"/>
              <w:rPr>
                <w:sz w:val="20"/>
                <w:szCs w:val="20"/>
                <w:color w:val="auto"/>
              </w:rPr>
            </w:pPr>
            <w:r>
              <w:rPr>
                <w:rFonts w:ascii="Courier New" w:cs="Courier New" w:eastAsia="Courier New" w:hAnsi="Courier New"/>
                <w:sz w:val="18"/>
                <w:szCs w:val="18"/>
                <w:color w:val="auto"/>
              </w:rPr>
              <w:t>Revenues</w:t>
            </w:r>
          </w:p>
        </w:tc>
        <w:tc>
          <w:tcPr>
            <w:tcW w:w="1680" w:type="dxa"/>
            <w:vAlign w:val="bottom"/>
          </w:tcPr>
          <w:p>
            <w:pPr>
              <w:spacing w:after="0"/>
              <w:rPr>
                <w:sz w:val="17"/>
                <w:szCs w:val="17"/>
                <w:color w:val="auto"/>
              </w:rPr>
            </w:pPr>
          </w:p>
        </w:tc>
        <w:tc>
          <w:tcPr>
            <w:tcW w:w="14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$4,839</w:t>
            </w: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w:t>
            </w:r>
          </w:p>
        </w:tc>
        <w:tc>
          <w:tcPr>
            <w:tcW w:w="180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$29</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$5,067</w:t>
            </w:r>
          </w:p>
        </w:tc>
      </w:tr>
      <w:tr>
        <w:trPr>
          <w:trHeight w:val="203"/>
        </w:trPr>
        <w:tc>
          <w:tcPr>
            <w:tcW w:w="106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w:t>
            </w:r>
          </w:p>
        </w:tc>
        <w:tc>
          <w:tcPr>
            <w:tcW w:w="168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Flow</w:t>
            </w:r>
          </w:p>
        </w:tc>
        <w:tc>
          <w:tcPr>
            <w:tcW w:w="14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$1,920</w:t>
            </w: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$77</w:t>
            </w:r>
          </w:p>
        </w:tc>
        <w:tc>
          <w:tcPr>
            <w:tcW w:w="1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($45)</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$1,952</w:t>
            </w:r>
          </w:p>
        </w:tc>
      </w:tr>
      <w:tr>
        <w:trPr>
          <w:trHeight w:val="203"/>
        </w:trPr>
        <w:tc>
          <w:tcPr>
            <w:tcW w:w="106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w:t>
            </w:r>
          </w:p>
        </w:tc>
        <w:tc>
          <w:tcPr>
            <w:tcW w:w="168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(Loss)</w:t>
            </w:r>
          </w:p>
        </w:tc>
        <w:tc>
          <w:tcPr>
            <w:tcW w:w="14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$877</w:t>
            </w: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$38</w:t>
            </w:r>
          </w:p>
        </w:tc>
        <w:tc>
          <w:tcPr>
            <w:tcW w:w="1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($63)</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$852</w:t>
            </w:r>
          </w:p>
        </w:tc>
      </w:tr>
      <w:tr>
        <w:trPr>
          <w:trHeight w:val="203"/>
        </w:trPr>
        <w:tc>
          <w:tcPr>
            <w:tcW w:w="106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w:t>
            </w:r>
          </w:p>
        </w:tc>
        <w:tc>
          <w:tcPr>
            <w:tcW w:w="168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Cash Flow Margin</w:t>
            </w:r>
          </w:p>
        </w:tc>
        <w:tc>
          <w:tcPr>
            <w:tcW w:w="14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39.7%</w:t>
            </w: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38.7%</w:t>
            </w:r>
          </w:p>
        </w:tc>
        <w:tc>
          <w:tcPr>
            <w:tcW w:w="180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NM</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38.5%</w:t>
            </w:r>
          </w:p>
        </w:tc>
      </w:tr>
      <w:tr>
        <w:trPr>
          <w:trHeight w:val="203"/>
        </w:trPr>
        <w:tc>
          <w:tcPr>
            <w:tcW w:w="27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Capital Expenditures (5)</w:t>
            </w:r>
          </w:p>
        </w:tc>
        <w:tc>
          <w:tcPr>
            <w:tcW w:w="14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$893</w:t>
            </w: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w:t>
            </w:r>
          </w:p>
        </w:tc>
        <w:tc>
          <w:tcPr>
            <w:tcW w:w="180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$5</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$904</w:t>
            </w:r>
          </w:p>
        </w:tc>
      </w:tr>
      <w:tr>
        <w:trPr>
          <w:trHeight w:val="405"/>
        </w:trPr>
        <w:tc>
          <w:tcPr>
            <w:tcW w:w="2740" w:type="dxa"/>
            <w:vAlign w:val="bottom"/>
            <w:gridSpan w:val="2"/>
          </w:tcPr>
          <w:p>
            <w:pPr>
              <w:spacing w:after="0"/>
              <w:rPr>
                <w:sz w:val="20"/>
                <w:szCs w:val="20"/>
                <w:color w:val="auto"/>
              </w:rPr>
            </w:pPr>
            <w:r>
              <w:rPr>
                <w:rFonts w:ascii="Courier New" w:cs="Courier New" w:eastAsia="Courier New" w:hAnsi="Courier New"/>
                <w:sz w:val="18"/>
                <w:szCs w:val="18"/>
                <w:color w:val="auto"/>
              </w:rPr>
              <w:t>Three Months Ended</w:t>
            </w:r>
          </w:p>
        </w:tc>
        <w:tc>
          <w:tcPr>
            <w:tcW w:w="1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3"/>
        </w:trPr>
        <w:tc>
          <w:tcPr>
            <w:tcW w:w="1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June 30,</w:t>
            </w:r>
          </w:p>
        </w:tc>
        <w:tc>
          <w:tcPr>
            <w:tcW w:w="1680" w:type="dxa"/>
            <w:vAlign w:val="bottom"/>
          </w:tcPr>
          <w:p>
            <w:pPr>
              <w:spacing w:after="0" w:line="203" w:lineRule="exact"/>
              <w:rPr>
                <w:sz w:val="20"/>
                <w:szCs w:val="20"/>
                <w:color w:val="auto"/>
              </w:rPr>
            </w:pPr>
            <w:r>
              <w:rPr>
                <w:rFonts w:ascii="Courier New" w:cs="Courier New" w:eastAsia="Courier New" w:hAnsi="Courier New"/>
                <w:sz w:val="18"/>
                <w:szCs w:val="18"/>
                <w:color w:val="auto"/>
              </w:rPr>
              <w:t>2003</w:t>
            </w:r>
          </w:p>
        </w:tc>
        <w:tc>
          <w:tcPr>
            <w:tcW w:w="14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1060" w:type="dxa"/>
            <w:vAlign w:val="bottom"/>
          </w:tcPr>
          <w:p>
            <w:pPr>
              <w:spacing w:after="0" w:line="203" w:lineRule="exact"/>
              <w:rPr>
                <w:sz w:val="20"/>
                <w:szCs w:val="20"/>
                <w:color w:val="auto"/>
              </w:rPr>
            </w:pPr>
            <w:r>
              <w:rPr>
                <w:rFonts w:ascii="Courier New" w:cs="Courier New" w:eastAsia="Courier New" w:hAnsi="Courier New"/>
                <w:sz w:val="18"/>
                <w:szCs w:val="18"/>
                <w:color w:val="auto"/>
              </w:rPr>
              <w:t>Revenues</w:t>
            </w:r>
          </w:p>
        </w:tc>
        <w:tc>
          <w:tcPr>
            <w:tcW w:w="1680" w:type="dxa"/>
            <w:vAlign w:val="bottom"/>
          </w:tcPr>
          <w:p>
            <w:pPr>
              <w:spacing w:after="0"/>
              <w:rPr>
                <w:sz w:val="17"/>
                <w:szCs w:val="17"/>
                <w:color w:val="auto"/>
              </w:rPr>
            </w:pPr>
          </w:p>
        </w:tc>
        <w:tc>
          <w:tcPr>
            <w:tcW w:w="14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$4,382</w:t>
            </w: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$159</w:t>
            </w:r>
          </w:p>
        </w:tc>
        <w:tc>
          <w:tcPr>
            <w:tcW w:w="180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$56</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$4,597</w:t>
            </w:r>
          </w:p>
        </w:tc>
      </w:tr>
      <w:tr>
        <w:trPr>
          <w:trHeight w:val="203"/>
        </w:trPr>
        <w:tc>
          <w:tcPr>
            <w:tcW w:w="106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w:t>
            </w:r>
          </w:p>
        </w:tc>
        <w:tc>
          <w:tcPr>
            <w:tcW w:w="168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Flow</w:t>
            </w:r>
          </w:p>
        </w:tc>
        <w:tc>
          <w:tcPr>
            <w:tcW w:w="14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$1,598</w:t>
            </w: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$56</w:t>
            </w:r>
          </w:p>
        </w:tc>
        <w:tc>
          <w:tcPr>
            <w:tcW w:w="1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($41)</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$1,613</w:t>
            </w:r>
          </w:p>
        </w:tc>
      </w:tr>
      <w:tr>
        <w:trPr>
          <w:trHeight w:val="203"/>
        </w:trPr>
        <w:tc>
          <w:tcPr>
            <w:tcW w:w="106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w:t>
            </w:r>
          </w:p>
        </w:tc>
        <w:tc>
          <w:tcPr>
            <w:tcW w:w="168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(Loss)</w:t>
            </w:r>
          </w:p>
        </w:tc>
        <w:tc>
          <w:tcPr>
            <w:tcW w:w="14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$465</w:t>
            </w: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w:t>
            </w:r>
          </w:p>
        </w:tc>
        <w:tc>
          <w:tcPr>
            <w:tcW w:w="1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($63)</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$426</w:t>
            </w:r>
          </w:p>
        </w:tc>
      </w:tr>
      <w:tr>
        <w:trPr>
          <w:trHeight w:val="203"/>
        </w:trPr>
        <w:tc>
          <w:tcPr>
            <w:tcW w:w="106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w:t>
            </w:r>
          </w:p>
        </w:tc>
        <w:tc>
          <w:tcPr>
            <w:tcW w:w="168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Cash Flow Margin</w:t>
            </w:r>
          </w:p>
        </w:tc>
        <w:tc>
          <w:tcPr>
            <w:tcW w:w="14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36.5%</w:t>
            </w: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35.2%</w:t>
            </w:r>
          </w:p>
        </w:tc>
        <w:tc>
          <w:tcPr>
            <w:tcW w:w="180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NM</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35.1%</w:t>
            </w:r>
          </w:p>
        </w:tc>
      </w:tr>
      <w:tr>
        <w:trPr>
          <w:trHeight w:val="203"/>
        </w:trPr>
        <w:tc>
          <w:tcPr>
            <w:tcW w:w="27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Capital Expenditures (5)</w:t>
            </w:r>
          </w:p>
        </w:tc>
        <w:tc>
          <w:tcPr>
            <w:tcW w:w="14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$1,047</w:t>
            </w: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w:t>
            </w:r>
          </w:p>
        </w:tc>
        <w:tc>
          <w:tcPr>
            <w:tcW w:w="180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$3</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$1,054</w:t>
            </w:r>
          </w:p>
        </w:tc>
      </w:tr>
      <w:tr>
        <w:trPr>
          <w:trHeight w:val="405"/>
        </w:trPr>
        <w:tc>
          <w:tcPr>
            <w:tcW w:w="2740" w:type="dxa"/>
            <w:vAlign w:val="bottom"/>
            <w:gridSpan w:val="2"/>
          </w:tcPr>
          <w:p>
            <w:pPr>
              <w:spacing w:after="0"/>
              <w:rPr>
                <w:sz w:val="20"/>
                <w:szCs w:val="20"/>
                <w:color w:val="auto"/>
              </w:rPr>
            </w:pPr>
            <w:r>
              <w:rPr>
                <w:rFonts w:ascii="Courier New" w:cs="Courier New" w:eastAsia="Courier New" w:hAnsi="Courier New"/>
                <w:sz w:val="18"/>
                <w:szCs w:val="18"/>
                <w:color w:val="auto"/>
              </w:rPr>
              <w:t>Six Months Ended</w:t>
            </w:r>
          </w:p>
        </w:tc>
        <w:tc>
          <w:tcPr>
            <w:tcW w:w="1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3"/>
        </w:trPr>
        <w:tc>
          <w:tcPr>
            <w:tcW w:w="1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June 30,</w:t>
            </w:r>
          </w:p>
        </w:tc>
        <w:tc>
          <w:tcPr>
            <w:tcW w:w="1680" w:type="dxa"/>
            <w:vAlign w:val="bottom"/>
          </w:tcPr>
          <w:p>
            <w:pPr>
              <w:spacing w:after="0" w:line="203" w:lineRule="exact"/>
              <w:rPr>
                <w:sz w:val="20"/>
                <w:szCs w:val="20"/>
                <w:color w:val="auto"/>
              </w:rPr>
            </w:pPr>
            <w:r>
              <w:rPr>
                <w:rFonts w:ascii="Courier New" w:cs="Courier New" w:eastAsia="Courier New" w:hAnsi="Courier New"/>
                <w:sz w:val="18"/>
                <w:szCs w:val="18"/>
                <w:color w:val="auto"/>
              </w:rPr>
              <w:t>2004</w:t>
            </w:r>
          </w:p>
        </w:tc>
        <w:tc>
          <w:tcPr>
            <w:tcW w:w="14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1060" w:type="dxa"/>
            <w:vAlign w:val="bottom"/>
          </w:tcPr>
          <w:p>
            <w:pPr>
              <w:spacing w:after="0" w:line="203" w:lineRule="exact"/>
              <w:rPr>
                <w:sz w:val="20"/>
                <w:szCs w:val="20"/>
                <w:color w:val="auto"/>
              </w:rPr>
            </w:pPr>
            <w:r>
              <w:rPr>
                <w:rFonts w:ascii="Courier New" w:cs="Courier New" w:eastAsia="Courier New" w:hAnsi="Courier New"/>
                <w:sz w:val="18"/>
                <w:szCs w:val="18"/>
                <w:color w:val="auto"/>
              </w:rPr>
              <w:t>Revenues</w:t>
            </w:r>
          </w:p>
        </w:tc>
        <w:tc>
          <w:tcPr>
            <w:tcW w:w="1680" w:type="dxa"/>
            <w:vAlign w:val="bottom"/>
          </w:tcPr>
          <w:p>
            <w:pPr>
              <w:spacing w:after="0"/>
              <w:rPr>
                <w:sz w:val="17"/>
                <w:szCs w:val="17"/>
                <w:color w:val="auto"/>
              </w:rPr>
            </w:pPr>
          </w:p>
        </w:tc>
        <w:tc>
          <w:tcPr>
            <w:tcW w:w="14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$9,490</w:t>
            </w: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$375</w:t>
            </w:r>
          </w:p>
        </w:tc>
        <w:tc>
          <w:tcPr>
            <w:tcW w:w="180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$114</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$9,979</w:t>
            </w:r>
          </w:p>
        </w:tc>
      </w:tr>
      <w:tr>
        <w:trPr>
          <w:trHeight w:val="203"/>
        </w:trPr>
        <w:tc>
          <w:tcPr>
            <w:tcW w:w="106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w:t>
            </w:r>
          </w:p>
        </w:tc>
        <w:tc>
          <w:tcPr>
            <w:tcW w:w="168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Flow</w:t>
            </w:r>
          </w:p>
        </w:tc>
        <w:tc>
          <w:tcPr>
            <w:tcW w:w="14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$3,641</w:t>
            </w: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$146</w:t>
            </w:r>
          </w:p>
        </w:tc>
        <w:tc>
          <w:tcPr>
            <w:tcW w:w="1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($100)</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$3,687</w:t>
            </w:r>
          </w:p>
        </w:tc>
      </w:tr>
      <w:tr>
        <w:trPr>
          <w:trHeight w:val="203"/>
        </w:trPr>
        <w:tc>
          <w:tcPr>
            <w:tcW w:w="106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w:t>
            </w:r>
          </w:p>
        </w:tc>
        <w:tc>
          <w:tcPr>
            <w:tcW w:w="168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(Loss)</w:t>
            </w:r>
          </w:p>
        </w:tc>
        <w:tc>
          <w:tcPr>
            <w:tcW w:w="14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$1,581</w:t>
            </w: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$72</w:t>
            </w:r>
          </w:p>
        </w:tc>
        <w:tc>
          <w:tcPr>
            <w:tcW w:w="1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($140)</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$1,513</w:t>
            </w:r>
          </w:p>
        </w:tc>
      </w:tr>
      <w:tr>
        <w:trPr>
          <w:trHeight w:val="203"/>
        </w:trPr>
        <w:tc>
          <w:tcPr>
            <w:tcW w:w="106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w:t>
            </w:r>
          </w:p>
        </w:tc>
        <w:tc>
          <w:tcPr>
            <w:tcW w:w="168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Cash Flow Margin</w:t>
            </w:r>
          </w:p>
        </w:tc>
        <w:tc>
          <w:tcPr>
            <w:tcW w:w="14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38.4%</w:t>
            </w: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38.8%</w:t>
            </w:r>
          </w:p>
        </w:tc>
        <w:tc>
          <w:tcPr>
            <w:tcW w:w="180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NM</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37.0%</w:t>
            </w:r>
          </w:p>
        </w:tc>
      </w:tr>
      <w:tr>
        <w:trPr>
          <w:trHeight w:val="203"/>
        </w:trPr>
        <w:tc>
          <w:tcPr>
            <w:tcW w:w="27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Capital Expenditures (5)</w:t>
            </w:r>
          </w:p>
        </w:tc>
        <w:tc>
          <w:tcPr>
            <w:tcW w:w="14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$1,707</w:t>
            </w: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w:t>
            </w:r>
          </w:p>
        </w:tc>
        <w:tc>
          <w:tcPr>
            <w:tcW w:w="180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$15</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$1,732</w:t>
            </w:r>
          </w:p>
        </w:tc>
      </w:tr>
      <w:tr>
        <w:trPr>
          <w:trHeight w:val="405"/>
        </w:trPr>
        <w:tc>
          <w:tcPr>
            <w:tcW w:w="2740" w:type="dxa"/>
            <w:vAlign w:val="bottom"/>
            <w:gridSpan w:val="2"/>
          </w:tcPr>
          <w:p>
            <w:pPr>
              <w:spacing w:after="0"/>
              <w:rPr>
                <w:sz w:val="20"/>
                <w:szCs w:val="20"/>
                <w:color w:val="auto"/>
              </w:rPr>
            </w:pPr>
            <w:r>
              <w:rPr>
                <w:rFonts w:ascii="Courier New" w:cs="Courier New" w:eastAsia="Courier New" w:hAnsi="Courier New"/>
                <w:sz w:val="18"/>
                <w:szCs w:val="18"/>
                <w:color w:val="auto"/>
              </w:rPr>
              <w:t>Six Months Ended</w:t>
            </w:r>
          </w:p>
        </w:tc>
        <w:tc>
          <w:tcPr>
            <w:tcW w:w="1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3"/>
        </w:trPr>
        <w:tc>
          <w:tcPr>
            <w:tcW w:w="1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June 30,</w:t>
            </w:r>
          </w:p>
        </w:tc>
        <w:tc>
          <w:tcPr>
            <w:tcW w:w="1680" w:type="dxa"/>
            <w:vAlign w:val="bottom"/>
          </w:tcPr>
          <w:p>
            <w:pPr>
              <w:spacing w:after="0" w:line="203" w:lineRule="exact"/>
              <w:rPr>
                <w:sz w:val="20"/>
                <w:szCs w:val="20"/>
                <w:color w:val="auto"/>
              </w:rPr>
            </w:pPr>
            <w:r>
              <w:rPr>
                <w:rFonts w:ascii="Courier New" w:cs="Courier New" w:eastAsia="Courier New" w:hAnsi="Courier New"/>
                <w:sz w:val="18"/>
                <w:szCs w:val="18"/>
                <w:color w:val="auto"/>
              </w:rPr>
              <w:t>2003</w:t>
            </w:r>
          </w:p>
        </w:tc>
        <w:tc>
          <w:tcPr>
            <w:tcW w:w="14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1060" w:type="dxa"/>
            <w:vAlign w:val="bottom"/>
          </w:tcPr>
          <w:p>
            <w:pPr>
              <w:spacing w:after="0" w:line="203" w:lineRule="exact"/>
              <w:rPr>
                <w:sz w:val="20"/>
                <w:szCs w:val="20"/>
                <w:color w:val="auto"/>
              </w:rPr>
            </w:pPr>
            <w:r>
              <w:rPr>
                <w:rFonts w:ascii="Courier New" w:cs="Courier New" w:eastAsia="Courier New" w:hAnsi="Courier New"/>
                <w:sz w:val="18"/>
                <w:szCs w:val="18"/>
                <w:color w:val="auto"/>
              </w:rPr>
              <w:t>Revenues</w:t>
            </w:r>
          </w:p>
        </w:tc>
        <w:tc>
          <w:tcPr>
            <w:tcW w:w="1680" w:type="dxa"/>
            <w:vAlign w:val="bottom"/>
          </w:tcPr>
          <w:p>
            <w:pPr>
              <w:spacing w:after="0"/>
              <w:rPr>
                <w:sz w:val="17"/>
                <w:szCs w:val="17"/>
                <w:color w:val="auto"/>
              </w:rPr>
            </w:pPr>
          </w:p>
        </w:tc>
        <w:tc>
          <w:tcPr>
            <w:tcW w:w="14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$8,617</w:t>
            </w: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$304</w:t>
            </w:r>
          </w:p>
        </w:tc>
        <w:tc>
          <w:tcPr>
            <w:tcW w:w="180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$145</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$9,066</w:t>
            </w:r>
          </w:p>
        </w:tc>
      </w:tr>
      <w:tr>
        <w:trPr>
          <w:trHeight w:val="203"/>
        </w:trPr>
        <w:tc>
          <w:tcPr>
            <w:tcW w:w="106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w:t>
            </w:r>
          </w:p>
        </w:tc>
        <w:tc>
          <w:tcPr>
            <w:tcW w:w="168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Flow</w:t>
            </w:r>
          </w:p>
        </w:tc>
        <w:tc>
          <w:tcPr>
            <w:tcW w:w="14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$3,021</w:t>
            </w: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$97</w:t>
            </w:r>
          </w:p>
        </w:tc>
        <w:tc>
          <w:tcPr>
            <w:tcW w:w="1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($75)</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$3,043</w:t>
            </w:r>
          </w:p>
        </w:tc>
      </w:tr>
      <w:tr>
        <w:trPr>
          <w:trHeight w:val="203"/>
        </w:trPr>
        <w:tc>
          <w:tcPr>
            <w:tcW w:w="106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w:t>
            </w:r>
          </w:p>
        </w:tc>
        <w:tc>
          <w:tcPr>
            <w:tcW w:w="168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(Loss)</w:t>
            </w:r>
          </w:p>
        </w:tc>
        <w:tc>
          <w:tcPr>
            <w:tcW w:w="14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$808</w:t>
            </w: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$33</w:t>
            </w:r>
          </w:p>
        </w:tc>
        <w:tc>
          <w:tcPr>
            <w:tcW w:w="1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($119)</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$722</w:t>
            </w:r>
          </w:p>
        </w:tc>
      </w:tr>
      <w:tr>
        <w:trPr>
          <w:trHeight w:val="203"/>
        </w:trPr>
        <w:tc>
          <w:tcPr>
            <w:tcW w:w="106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w:t>
            </w:r>
          </w:p>
        </w:tc>
        <w:tc>
          <w:tcPr>
            <w:tcW w:w="168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Cash Flow Margin</w:t>
            </w:r>
          </w:p>
        </w:tc>
        <w:tc>
          <w:tcPr>
            <w:tcW w:w="14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35.1%</w:t>
            </w: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31.9%</w:t>
            </w:r>
          </w:p>
        </w:tc>
        <w:tc>
          <w:tcPr>
            <w:tcW w:w="180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NM</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33.6%</w:t>
            </w:r>
          </w:p>
        </w:tc>
      </w:tr>
      <w:tr>
        <w:trPr>
          <w:trHeight w:val="203"/>
        </w:trPr>
        <w:tc>
          <w:tcPr>
            <w:tcW w:w="27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Capital Expenditures (5)</w:t>
            </w:r>
          </w:p>
        </w:tc>
        <w:tc>
          <w:tcPr>
            <w:tcW w:w="14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$2,000</w:t>
            </w: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w:t>
            </w:r>
          </w:p>
        </w:tc>
        <w:tc>
          <w:tcPr>
            <w:tcW w:w="180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$5</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$2,012</w:t>
            </w:r>
          </w:p>
        </w:tc>
      </w:tr>
    </w:tbl>
    <w:p>
      <w:pPr>
        <w:spacing w:after="0" w:line="207" w:lineRule="exact"/>
        <w:rPr>
          <w:sz w:val="20"/>
          <w:szCs w:val="20"/>
          <w:color w:val="auto"/>
        </w:rPr>
      </w:pPr>
    </w:p>
    <w:p>
      <w:pPr>
        <w:ind w:left="540" w:right="2419" w:hanging="531"/>
        <w:spacing w:after="0" w:line="237" w:lineRule="auto"/>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See Non-GAAP and Other Financial Measures in Table 6. Historical financial data by business segment, as required under generally accepted accounting principles, is available in the Company's quarterly report on Form 10-Q.</w:t>
      </w:r>
    </w:p>
    <w:p>
      <w:pPr>
        <w:spacing w:after="0" w:line="207" w:lineRule="exact"/>
        <w:rPr>
          <w:rFonts w:ascii="Courier New" w:cs="Courier New" w:eastAsia="Courier New" w:hAnsi="Courier New"/>
          <w:sz w:val="18"/>
          <w:szCs w:val="18"/>
          <w:color w:val="auto"/>
        </w:rPr>
      </w:pPr>
    </w:p>
    <w:p>
      <w:pPr>
        <w:ind w:left="540" w:right="2099" w:hanging="531"/>
        <w:spacing w:after="0" w:line="237" w:lineRule="auto"/>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 forma financial data excludes the results of the 314,000 cable subscribers sold to Bresnan Communications in March 2003 and excludes the results of the net reduction of 16,000 subscribers associated with the cable system exchange with Insight Communications in February 2003. Pro forma financial data includes the results of the 30,000 cable subscribers acquired from US Coastal Cable in April 2004.</w:t>
      </w:r>
    </w:p>
    <w:p>
      <w:pPr>
        <w:spacing w:after="0" w:line="205" w:lineRule="exact"/>
        <w:rPr>
          <w:rFonts w:ascii="Courier New" w:cs="Courier New" w:eastAsia="Courier New" w:hAnsi="Courier New"/>
          <w:sz w:val="18"/>
          <w:szCs w:val="18"/>
          <w:color w:val="auto"/>
        </w:rPr>
      </w:pPr>
    </w:p>
    <w:p>
      <w:pPr>
        <w:ind w:left="540" w:hanging="531"/>
        <w:spacing w:after="0"/>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Content includes our national networks E! Entertainment Television</w:t>
      </w:r>
    </w:p>
    <w:p>
      <w:pPr>
        <w:sectPr>
          <w:pgSz w:w="11900" w:h="16838" w:orient="portrait"/>
          <w:cols w:equalWidth="0" w:num="1">
            <w:col w:w="9799"/>
          </w:cols>
          <w:pgMar w:left="660" w:top="136" w:right="1440" w:bottom="0" w:gutter="0" w:footer="0" w:header="0"/>
        </w:sectPr>
      </w:pPr>
    </w:p>
    <w:bookmarkStart w:id="8" w:name="page9"/>
    <w:bookmarkEnd w:id="8"/>
    <w:p>
      <w:pPr>
        <w:ind w:left="540" w:right="2619"/>
        <w:spacing w:after="0" w:line="235" w:lineRule="auto"/>
        <w:rPr>
          <w:sz w:val="20"/>
          <w:szCs w:val="20"/>
          <w:color w:val="auto"/>
        </w:rPr>
      </w:pPr>
      <w:r>
        <w:rPr>
          <w:rFonts w:ascii="Courier New" w:cs="Courier New" w:eastAsia="Courier New" w:hAnsi="Courier New"/>
          <w:sz w:val="18"/>
          <w:szCs w:val="18"/>
          <w:color w:val="auto"/>
        </w:rPr>
        <w:t>and Style Network (E! Networks), The Golf Channel, Outdoor Life Network and G4techTV.</w:t>
      </w:r>
    </w:p>
    <w:p>
      <w:pPr>
        <w:spacing w:after="0" w:line="208" w:lineRule="exact"/>
        <w:rPr>
          <w:sz w:val="20"/>
          <w:szCs w:val="20"/>
          <w:color w:val="auto"/>
        </w:rPr>
      </w:pPr>
    </w:p>
    <w:p>
      <w:pPr>
        <w:ind w:left="540" w:right="2199" w:hanging="531"/>
        <w:spacing w:after="0" w:line="237" w:lineRule="auto"/>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Corporate and Other includes Comcast-Spectacor, the Company's domestic wireline telecommunications business, international wireless operations, Corporate and elimination entries. Prior to the first quarter of 2004, Comcast-Spectacor was included in Content, which now only consists of our national networks. For all periods presented, Comcast-Spectacor is included in Corporate and Other.</w:t>
      </w:r>
    </w:p>
    <w:p>
      <w:pPr>
        <w:spacing w:after="0" w:line="211" w:lineRule="exact"/>
        <w:rPr>
          <w:rFonts w:ascii="Courier New" w:cs="Courier New" w:eastAsia="Courier New" w:hAnsi="Courier New"/>
          <w:sz w:val="18"/>
          <w:szCs w:val="18"/>
          <w:color w:val="auto"/>
        </w:rPr>
      </w:pPr>
    </w:p>
    <w:p>
      <w:pPr>
        <w:ind w:left="540" w:right="2839" w:hanging="531"/>
        <w:spacing w:after="0" w:line="235" w:lineRule="auto"/>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Cable segment's capital expenditures are comprised of the following categories:</w:t>
      </w:r>
    </w:p>
    <w:p>
      <w:pPr>
        <w:spacing w:after="0" w:line="203" w:lineRule="exact"/>
        <w:rPr>
          <w:sz w:val="20"/>
          <w:szCs w:val="20"/>
          <w:color w:val="auto"/>
        </w:rPr>
      </w:pPr>
    </w:p>
    <w:tbl>
      <w:tblPr>
        <w:tblLayout w:type="fixed"/>
        <w:tblInd w:w="540" w:type="dxa"/>
        <w:tblCellMar>
          <w:top w:w="0" w:type="dxa"/>
          <w:left w:w="0" w:type="dxa"/>
          <w:bottom w:w="0" w:type="dxa"/>
          <w:right w:w="0" w:type="dxa"/>
        </w:tblCellMar>
      </w:tblPr>
      <w:tr>
        <w:trPr>
          <w:trHeight w:val="204"/>
        </w:trPr>
        <w:tc>
          <w:tcPr>
            <w:tcW w:w="28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32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YTD</w:t>
            </w:r>
          </w:p>
        </w:tc>
        <w:tc>
          <w:tcPr>
            <w:tcW w:w="110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YTD</w:t>
            </w:r>
          </w:p>
        </w:tc>
      </w:tr>
      <w:tr>
        <w:trPr>
          <w:trHeight w:val="203"/>
        </w:trPr>
        <w:tc>
          <w:tcPr>
            <w:tcW w:w="2840" w:type="dxa"/>
            <w:vAlign w:val="bottom"/>
          </w:tcPr>
          <w:p>
            <w:pPr>
              <w:spacing w:after="0"/>
              <w:rPr>
                <w:sz w:val="17"/>
                <w:szCs w:val="17"/>
                <w:color w:val="auto"/>
              </w:rPr>
            </w:pPr>
          </w:p>
        </w:tc>
        <w:tc>
          <w:tcPr>
            <w:tcW w:w="8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2Q04</w:t>
            </w:r>
          </w:p>
        </w:tc>
        <w:tc>
          <w:tcPr>
            <w:tcW w:w="11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2Q03</w:t>
            </w: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6/30/2004</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6/30/2003</w:t>
            </w:r>
          </w:p>
        </w:tc>
      </w:tr>
      <w:tr>
        <w:trPr>
          <w:trHeight w:val="203"/>
        </w:trPr>
        <w:tc>
          <w:tcPr>
            <w:tcW w:w="2840" w:type="dxa"/>
            <w:vAlign w:val="bottom"/>
          </w:tcPr>
          <w:p>
            <w:pPr>
              <w:spacing w:after="0" w:line="203" w:lineRule="exact"/>
              <w:rPr>
                <w:sz w:val="20"/>
                <w:szCs w:val="20"/>
                <w:color w:val="auto"/>
              </w:rPr>
            </w:pPr>
            <w:r>
              <w:rPr>
                <w:rFonts w:ascii="Courier New" w:cs="Courier New" w:eastAsia="Courier New" w:hAnsi="Courier New"/>
                <w:sz w:val="18"/>
                <w:szCs w:val="18"/>
                <w:color w:val="auto"/>
              </w:rPr>
              <w:t>Customer Premise Equipment</w:t>
            </w:r>
          </w:p>
        </w:tc>
        <w:tc>
          <w:tcPr>
            <w:tcW w:w="8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2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(CPE)</w:t>
            </w:r>
          </w:p>
        </w:tc>
        <w:tc>
          <w:tcPr>
            <w:tcW w:w="8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$338</w:t>
            </w:r>
          </w:p>
        </w:tc>
        <w:tc>
          <w:tcPr>
            <w:tcW w:w="11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$381</w:t>
            </w:r>
          </w:p>
        </w:tc>
        <w:tc>
          <w:tcPr>
            <w:tcW w:w="13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630</w:t>
            </w:r>
          </w:p>
        </w:tc>
        <w:tc>
          <w:tcPr>
            <w:tcW w:w="11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$767</w:t>
            </w:r>
          </w:p>
        </w:tc>
      </w:tr>
      <w:tr>
        <w:trPr>
          <w:trHeight w:val="203"/>
        </w:trPr>
        <w:tc>
          <w:tcPr>
            <w:tcW w:w="2840" w:type="dxa"/>
            <w:vAlign w:val="bottom"/>
          </w:tcPr>
          <w:p>
            <w:pPr>
              <w:spacing w:after="0" w:line="203" w:lineRule="exact"/>
              <w:rPr>
                <w:sz w:val="20"/>
                <w:szCs w:val="20"/>
                <w:color w:val="auto"/>
              </w:rPr>
            </w:pPr>
            <w:r>
              <w:rPr>
                <w:rFonts w:ascii="Courier New" w:cs="Courier New" w:eastAsia="Courier New" w:hAnsi="Courier New"/>
                <w:sz w:val="18"/>
                <w:szCs w:val="18"/>
                <w:color w:val="auto"/>
              </w:rPr>
              <w:t>Scalable Infrastructure</w:t>
            </w:r>
          </w:p>
        </w:tc>
        <w:tc>
          <w:tcPr>
            <w:tcW w:w="8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110</w:t>
            </w:r>
          </w:p>
        </w:tc>
        <w:tc>
          <w:tcPr>
            <w:tcW w:w="11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81</w:t>
            </w:r>
          </w:p>
        </w:tc>
        <w:tc>
          <w:tcPr>
            <w:tcW w:w="13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231</w:t>
            </w:r>
          </w:p>
        </w:tc>
        <w:tc>
          <w:tcPr>
            <w:tcW w:w="11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135</w:t>
            </w:r>
          </w:p>
        </w:tc>
      </w:tr>
      <w:tr>
        <w:trPr>
          <w:trHeight w:val="203"/>
        </w:trPr>
        <w:tc>
          <w:tcPr>
            <w:tcW w:w="2840" w:type="dxa"/>
            <w:vAlign w:val="bottom"/>
          </w:tcPr>
          <w:p>
            <w:pPr>
              <w:spacing w:after="0" w:line="203" w:lineRule="exact"/>
              <w:rPr>
                <w:sz w:val="20"/>
                <w:szCs w:val="20"/>
                <w:color w:val="auto"/>
              </w:rPr>
            </w:pPr>
            <w:r>
              <w:rPr>
                <w:rFonts w:ascii="Courier New" w:cs="Courier New" w:eastAsia="Courier New" w:hAnsi="Courier New"/>
                <w:sz w:val="18"/>
                <w:szCs w:val="18"/>
                <w:color w:val="auto"/>
              </w:rPr>
              <w:t>Line Extensions</w:t>
            </w:r>
          </w:p>
        </w:tc>
        <w:tc>
          <w:tcPr>
            <w:tcW w:w="8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81</w:t>
            </w:r>
          </w:p>
        </w:tc>
        <w:tc>
          <w:tcPr>
            <w:tcW w:w="11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57</w:t>
            </w:r>
          </w:p>
        </w:tc>
        <w:tc>
          <w:tcPr>
            <w:tcW w:w="13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141</w:t>
            </w:r>
          </w:p>
        </w:tc>
        <w:tc>
          <w:tcPr>
            <w:tcW w:w="11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111</w:t>
            </w:r>
          </w:p>
        </w:tc>
      </w:tr>
      <w:tr>
        <w:trPr>
          <w:trHeight w:val="203"/>
        </w:trPr>
        <w:tc>
          <w:tcPr>
            <w:tcW w:w="2840" w:type="dxa"/>
            <w:vAlign w:val="bottom"/>
          </w:tcPr>
          <w:p>
            <w:pPr>
              <w:spacing w:after="0" w:line="203" w:lineRule="exact"/>
              <w:rPr>
                <w:sz w:val="20"/>
                <w:szCs w:val="20"/>
                <w:color w:val="auto"/>
              </w:rPr>
            </w:pPr>
            <w:r>
              <w:rPr>
                <w:rFonts w:ascii="Courier New" w:cs="Courier New" w:eastAsia="Courier New" w:hAnsi="Courier New"/>
                <w:sz w:val="18"/>
                <w:szCs w:val="18"/>
                <w:color w:val="auto"/>
              </w:rPr>
              <w:t>Upgrades</w:t>
            </w:r>
          </w:p>
        </w:tc>
        <w:tc>
          <w:tcPr>
            <w:tcW w:w="8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288</w:t>
            </w:r>
          </w:p>
        </w:tc>
        <w:tc>
          <w:tcPr>
            <w:tcW w:w="11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417</w:t>
            </w:r>
          </w:p>
        </w:tc>
        <w:tc>
          <w:tcPr>
            <w:tcW w:w="13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540</w:t>
            </w:r>
          </w:p>
        </w:tc>
        <w:tc>
          <w:tcPr>
            <w:tcW w:w="11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759</w:t>
            </w:r>
          </w:p>
        </w:tc>
      </w:tr>
      <w:tr>
        <w:trPr>
          <w:trHeight w:val="203"/>
        </w:trPr>
        <w:tc>
          <w:tcPr>
            <w:tcW w:w="2840" w:type="dxa"/>
            <w:vAlign w:val="bottom"/>
          </w:tcPr>
          <w:p>
            <w:pPr>
              <w:spacing w:after="0" w:line="203" w:lineRule="exact"/>
              <w:rPr>
                <w:sz w:val="20"/>
                <w:szCs w:val="20"/>
                <w:color w:val="auto"/>
              </w:rPr>
            </w:pPr>
            <w:r>
              <w:rPr>
                <w:rFonts w:ascii="Courier New" w:cs="Courier New" w:eastAsia="Courier New" w:hAnsi="Courier New"/>
                <w:sz w:val="18"/>
                <w:szCs w:val="18"/>
                <w:color w:val="auto"/>
              </w:rPr>
              <w:t>Support Capital</w:t>
            </w:r>
          </w:p>
        </w:tc>
        <w:tc>
          <w:tcPr>
            <w:tcW w:w="8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76</w:t>
            </w:r>
          </w:p>
        </w:tc>
        <w:tc>
          <w:tcPr>
            <w:tcW w:w="11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111</w:t>
            </w:r>
          </w:p>
        </w:tc>
        <w:tc>
          <w:tcPr>
            <w:tcW w:w="13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165</w:t>
            </w:r>
          </w:p>
        </w:tc>
        <w:tc>
          <w:tcPr>
            <w:tcW w:w="11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228</w:t>
            </w:r>
          </w:p>
        </w:tc>
      </w:tr>
      <w:tr>
        <w:trPr>
          <w:trHeight w:val="203"/>
        </w:trPr>
        <w:tc>
          <w:tcPr>
            <w:tcW w:w="284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w:t>
            </w:r>
          </w:p>
        </w:tc>
        <w:tc>
          <w:tcPr>
            <w:tcW w:w="8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$893</w:t>
            </w:r>
          </w:p>
        </w:tc>
        <w:tc>
          <w:tcPr>
            <w:tcW w:w="11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$1,047</w:t>
            </w:r>
          </w:p>
        </w:tc>
        <w:tc>
          <w:tcPr>
            <w:tcW w:w="13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$1,707</w:t>
            </w:r>
          </w:p>
        </w:tc>
        <w:tc>
          <w:tcPr>
            <w:tcW w:w="11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$2,000</w:t>
            </w:r>
          </w:p>
        </w:tc>
      </w:tr>
    </w:tbl>
    <w:p>
      <w:pPr>
        <w:spacing w:after="0" w:line="207" w:lineRule="exact"/>
        <w:rPr>
          <w:sz w:val="20"/>
          <w:szCs w:val="20"/>
          <w:color w:val="auto"/>
        </w:rPr>
      </w:pPr>
    </w:p>
    <w:p>
      <w:pPr>
        <w:ind w:left="540" w:right="2099"/>
        <w:spacing w:after="0" w:line="238" w:lineRule="auto"/>
        <w:rPr>
          <w:sz w:val="20"/>
          <w:szCs w:val="20"/>
          <w:color w:val="auto"/>
        </w:rPr>
      </w:pPr>
      <w:r>
        <w:rPr>
          <w:rFonts w:ascii="Courier New" w:cs="Courier New" w:eastAsia="Courier New" w:hAnsi="Courier New"/>
          <w:sz w:val="18"/>
          <w:szCs w:val="18"/>
          <w:color w:val="auto"/>
        </w:rPr>
        <w:t>CPE includes costs incurred at the customer residence to secure new customers, revenue units and additional bandwidth revenues (e.g. digital converters). Scalable infrastructure includes costs, not CPE or network related, to secure growth of new customers, revenue units and additional bandwidth revenues or provide service enhancements (e.g. headend equipment). Line extensions include network costs associated with entering new service areas (e.g. fiber/coaxial cable). Upgrades include costs to enhance or replace existing fiber/coaxial cable networks, including recurring betterments. Support capital includes costs associated with the replacement or enhancement of non-network assets due to obsolescence and wear out (e.g. non-network equipment, land, buildings and vehicles).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2099"/>
        <w:spacing w:after="0"/>
        <w:rPr>
          <w:sz w:val="20"/>
          <w:szCs w:val="20"/>
          <w:color w:val="auto"/>
        </w:rPr>
      </w:pPr>
      <w:r>
        <w:rPr>
          <w:rFonts w:ascii="Courier New" w:cs="Courier New" w:eastAsia="Courier New" w:hAnsi="Courier New"/>
          <w:sz w:val="18"/>
          <w:szCs w:val="18"/>
          <w:color w:val="auto"/>
        </w:rPr>
        <w:t>COMCAST CORPORATION</w:t>
      </w:r>
    </w:p>
    <w:p>
      <w:pPr>
        <w:jc w:val="center"/>
        <w:ind w:right="2099"/>
        <w:spacing w:after="0" w:line="238" w:lineRule="auto"/>
        <w:rPr>
          <w:sz w:val="20"/>
          <w:szCs w:val="20"/>
          <w:color w:val="auto"/>
        </w:rPr>
      </w:pPr>
      <w:r>
        <w:rPr>
          <w:rFonts w:ascii="Courier New" w:cs="Courier New" w:eastAsia="Courier New" w:hAnsi="Courier New"/>
          <w:sz w:val="18"/>
          <w:szCs w:val="18"/>
          <w:color w:val="auto"/>
        </w:rPr>
        <w:t>TABLE 5</w:t>
      </w:r>
    </w:p>
    <w:p>
      <w:pPr>
        <w:jc w:val="center"/>
        <w:ind w:right="2099"/>
        <w:spacing w:after="0"/>
        <w:rPr>
          <w:sz w:val="20"/>
          <w:szCs w:val="20"/>
          <w:color w:val="auto"/>
        </w:rPr>
      </w:pPr>
      <w:r>
        <w:rPr>
          <w:rFonts w:ascii="Courier New" w:cs="Courier New" w:eastAsia="Courier New" w:hAnsi="Courier New"/>
          <w:sz w:val="18"/>
          <w:szCs w:val="18"/>
          <w:color w:val="auto"/>
        </w:rPr>
        <w:t>Pro Forma Data - Cable Segment Components (Unaudited) (1) (2)</w:t>
      </w:r>
    </w:p>
    <w:p>
      <w:pPr>
        <w:spacing w:after="0" w:line="3" w:lineRule="exact"/>
        <w:rPr>
          <w:sz w:val="20"/>
          <w:szCs w:val="20"/>
          <w:color w:val="auto"/>
        </w:rPr>
      </w:pPr>
    </w:p>
    <w:p>
      <w:pPr>
        <w:jc w:val="center"/>
        <w:ind w:right="2099"/>
        <w:spacing w:after="0"/>
        <w:rPr>
          <w:sz w:val="20"/>
          <w:szCs w:val="20"/>
          <w:color w:val="auto"/>
        </w:rPr>
      </w:pPr>
      <w:r>
        <w:rPr>
          <w:rFonts w:ascii="Courier New" w:cs="Courier New" w:eastAsia="Courier New" w:hAnsi="Courier New"/>
          <w:sz w:val="16"/>
          <w:szCs w:val="16"/>
          <w:color w:val="auto"/>
        </w:rPr>
        <w:t>(dollars in millions, except average monthly revenue per basic subscriber</w:t>
      </w:r>
    </w:p>
    <w:p>
      <w:pPr>
        <w:spacing w:after="0" w:line="16" w:lineRule="exact"/>
        <w:rPr>
          <w:sz w:val="20"/>
          <w:szCs w:val="20"/>
          <w:color w:val="auto"/>
        </w:rPr>
      </w:pPr>
    </w:p>
    <w:p>
      <w:pPr>
        <w:jc w:val="center"/>
        <w:ind w:right="2099"/>
        <w:spacing w:after="0"/>
        <w:rPr>
          <w:sz w:val="20"/>
          <w:szCs w:val="20"/>
          <w:color w:val="auto"/>
        </w:rPr>
      </w:pPr>
      <w:r>
        <w:rPr>
          <w:rFonts w:ascii="Courier New" w:cs="Courier New" w:eastAsia="Courier New" w:hAnsi="Courier New"/>
          <w:sz w:val="18"/>
          <w:szCs w:val="18"/>
          <w:color w:val="auto"/>
        </w:rPr>
        <w:t>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800" w:type="dxa"/>
            <w:vAlign w:val="bottom"/>
          </w:tcPr>
          <w:p>
            <w:pPr>
              <w:spacing w:after="0"/>
              <w:rPr>
                <w:sz w:val="17"/>
                <w:szCs w:val="17"/>
                <w:color w:val="auto"/>
              </w:rPr>
            </w:pPr>
          </w:p>
        </w:tc>
        <w:tc>
          <w:tcPr>
            <w:tcW w:w="2900" w:type="dxa"/>
            <w:vAlign w:val="bottom"/>
            <w:gridSpan w:val="3"/>
          </w:tcPr>
          <w:p>
            <w:pPr>
              <w:jc w:val="right"/>
              <w:ind w:right="332"/>
              <w:spacing w:after="0"/>
              <w:rPr>
                <w:sz w:val="20"/>
                <w:szCs w:val="20"/>
                <w:color w:val="auto"/>
              </w:rPr>
            </w:pPr>
            <w:r>
              <w:rPr>
                <w:rFonts w:ascii="Courier New" w:cs="Courier New" w:eastAsia="Courier New" w:hAnsi="Courier New"/>
                <w:sz w:val="18"/>
                <w:szCs w:val="18"/>
                <w:color w:val="auto"/>
              </w:rPr>
              <w:t>Three Months Ended</w:t>
            </w:r>
          </w:p>
        </w:tc>
        <w:tc>
          <w:tcPr>
            <w:tcW w:w="2100" w:type="dxa"/>
            <w:vAlign w:val="bottom"/>
            <w:gridSpan w:val="2"/>
          </w:tcPr>
          <w:p>
            <w:pPr>
              <w:ind w:left="200"/>
              <w:spacing w:after="0"/>
              <w:rPr>
                <w:sz w:val="20"/>
                <w:szCs w:val="20"/>
                <w:color w:val="auto"/>
              </w:rPr>
            </w:pPr>
            <w:r>
              <w:rPr>
                <w:rFonts w:ascii="Courier New" w:cs="Courier New" w:eastAsia="Courier New" w:hAnsi="Courier New"/>
                <w:sz w:val="18"/>
                <w:szCs w:val="18"/>
                <w:color w:val="auto"/>
              </w:rPr>
              <w:t>Six Months Ended</w:t>
            </w:r>
          </w:p>
        </w:tc>
      </w:tr>
      <w:tr>
        <w:trPr>
          <w:trHeight w:val="203"/>
        </w:trPr>
        <w:tc>
          <w:tcPr>
            <w:tcW w:w="28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100" w:type="dxa"/>
            <w:vAlign w:val="bottom"/>
            <w:gridSpan w:val="2"/>
          </w:tcPr>
          <w:p>
            <w:pPr>
              <w:jc w:val="right"/>
              <w:ind w:right="752"/>
              <w:spacing w:after="0" w:line="203" w:lineRule="exact"/>
              <w:rPr>
                <w:sz w:val="20"/>
                <w:szCs w:val="20"/>
                <w:color w:val="auto"/>
              </w:rPr>
            </w:pPr>
            <w:r>
              <w:rPr>
                <w:rFonts w:ascii="Courier New" w:cs="Courier New" w:eastAsia="Courier New" w:hAnsi="Courier New"/>
                <w:sz w:val="18"/>
                <w:szCs w:val="18"/>
                <w:color w:val="auto"/>
              </w:rPr>
              <w:t>June 30,</w:t>
            </w:r>
          </w:p>
        </w:tc>
        <w:tc>
          <w:tcPr>
            <w:tcW w:w="2100" w:type="dxa"/>
            <w:vAlign w:val="bottom"/>
            <w:gridSpan w:val="2"/>
          </w:tcPr>
          <w:p>
            <w:pPr>
              <w:jc w:val="right"/>
              <w:ind w:right="532"/>
              <w:spacing w:after="0" w:line="203" w:lineRule="exact"/>
              <w:rPr>
                <w:sz w:val="20"/>
                <w:szCs w:val="20"/>
                <w:color w:val="auto"/>
              </w:rPr>
            </w:pPr>
            <w:r>
              <w:rPr>
                <w:rFonts w:ascii="Courier New" w:cs="Courier New" w:eastAsia="Courier New" w:hAnsi="Courier New"/>
                <w:sz w:val="18"/>
                <w:szCs w:val="18"/>
                <w:color w:val="auto"/>
              </w:rPr>
              <w:t>June 30,</w:t>
            </w:r>
          </w:p>
        </w:tc>
      </w:tr>
      <w:tr>
        <w:trPr>
          <w:trHeight w:val="203"/>
        </w:trPr>
        <w:tc>
          <w:tcPr>
            <w:tcW w:w="28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w w:val="92"/>
              </w:rPr>
              <w:t>2004</w:t>
            </w:r>
          </w:p>
        </w:tc>
        <w:tc>
          <w:tcPr>
            <w:tcW w:w="11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2003</w:t>
            </w:r>
          </w:p>
        </w:tc>
        <w:tc>
          <w:tcPr>
            <w:tcW w:w="11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2004</w:t>
            </w:r>
          </w:p>
        </w:tc>
        <w:tc>
          <w:tcPr>
            <w:tcW w:w="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2003</w:t>
            </w:r>
          </w:p>
        </w:tc>
      </w:tr>
      <w:tr>
        <w:trPr>
          <w:trHeight w:val="405"/>
        </w:trPr>
        <w:tc>
          <w:tcPr>
            <w:tcW w:w="2800" w:type="dxa"/>
            <w:vAlign w:val="bottom"/>
          </w:tcPr>
          <w:p>
            <w:pPr>
              <w:spacing w:after="0"/>
              <w:rPr>
                <w:sz w:val="20"/>
                <w:szCs w:val="20"/>
                <w:color w:val="auto"/>
              </w:rPr>
            </w:pPr>
            <w:r>
              <w:rPr>
                <w:rFonts w:ascii="Courier New" w:cs="Courier New" w:eastAsia="Courier New" w:hAnsi="Courier New"/>
                <w:sz w:val="18"/>
                <w:szCs w:val="18"/>
                <w:color w:val="auto"/>
              </w:rPr>
              <w:t>Revenues:</w:t>
            </w:r>
          </w:p>
        </w:tc>
        <w:tc>
          <w:tcPr>
            <w:tcW w:w="8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3"/>
        </w:trPr>
        <w:tc>
          <w:tcPr>
            <w:tcW w:w="2800" w:type="dxa"/>
            <w:vAlign w:val="bottom"/>
          </w:tcPr>
          <w:p>
            <w:pPr>
              <w:spacing w:after="0" w:line="203" w:lineRule="exact"/>
              <w:rPr>
                <w:sz w:val="20"/>
                <w:szCs w:val="20"/>
                <w:color w:val="auto"/>
              </w:rPr>
            </w:pPr>
            <w:r>
              <w:rPr>
                <w:rFonts w:ascii="Courier New" w:cs="Courier New" w:eastAsia="Courier New" w:hAnsi="Courier New"/>
                <w:sz w:val="18"/>
                <w:szCs w:val="18"/>
                <w:color w:val="auto"/>
              </w:rPr>
              <w:t>Video (3)</w:t>
            </w:r>
          </w:p>
        </w:tc>
        <w:tc>
          <w:tcPr>
            <w:tcW w:w="1800" w:type="dxa"/>
            <w:vAlign w:val="bottom"/>
            <w:gridSpan w:val="2"/>
          </w:tcPr>
          <w:p>
            <w:pPr>
              <w:jc w:val="right"/>
              <w:ind w:right="392"/>
              <w:spacing w:after="0" w:line="203" w:lineRule="exact"/>
              <w:rPr>
                <w:sz w:val="20"/>
                <w:szCs w:val="20"/>
                <w:color w:val="auto"/>
              </w:rPr>
            </w:pPr>
            <w:r>
              <w:rPr>
                <w:rFonts w:ascii="Courier New" w:cs="Courier New" w:eastAsia="Courier New" w:hAnsi="Courier New"/>
                <w:sz w:val="18"/>
                <w:szCs w:val="18"/>
                <w:color w:val="auto"/>
              </w:rPr>
              <w:t>$3,249</w:t>
            </w:r>
          </w:p>
        </w:tc>
        <w:tc>
          <w:tcPr>
            <w:tcW w:w="1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$3,040</w:t>
            </w: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$6,433</w:t>
            </w: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$6,026</w:t>
            </w:r>
          </w:p>
        </w:tc>
      </w:tr>
      <w:tr>
        <w:trPr>
          <w:trHeight w:val="203"/>
        </w:trPr>
        <w:tc>
          <w:tcPr>
            <w:tcW w:w="2800" w:type="dxa"/>
            <w:vAlign w:val="bottom"/>
          </w:tcPr>
          <w:p>
            <w:pPr>
              <w:spacing w:after="0" w:line="203" w:lineRule="exact"/>
              <w:rPr>
                <w:sz w:val="20"/>
                <w:szCs w:val="20"/>
                <w:color w:val="auto"/>
              </w:rPr>
            </w:pPr>
            <w:r>
              <w:rPr>
                <w:rFonts w:ascii="Courier New" w:cs="Courier New" w:eastAsia="Courier New" w:hAnsi="Courier New"/>
                <w:sz w:val="18"/>
                <w:szCs w:val="18"/>
                <w:color w:val="auto"/>
              </w:rPr>
              <w:t>High-Speed Internet</w:t>
            </w:r>
          </w:p>
        </w:tc>
        <w:tc>
          <w:tcPr>
            <w:tcW w:w="800" w:type="dxa"/>
            <w:vAlign w:val="bottom"/>
          </w:tcPr>
          <w:p>
            <w:pPr>
              <w:spacing w:after="0"/>
              <w:rPr>
                <w:sz w:val="17"/>
                <w:szCs w:val="17"/>
                <w:color w:val="auto"/>
              </w:rPr>
            </w:pPr>
          </w:p>
        </w:tc>
        <w:tc>
          <w:tcPr>
            <w:tcW w:w="10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763</w:t>
            </w:r>
          </w:p>
        </w:tc>
        <w:tc>
          <w:tcPr>
            <w:tcW w:w="1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548</w:t>
            </w: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1,461</w:t>
            </w: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1,040</w:t>
            </w:r>
          </w:p>
        </w:tc>
      </w:tr>
      <w:tr>
        <w:trPr>
          <w:trHeight w:val="203"/>
        </w:trPr>
        <w:tc>
          <w:tcPr>
            <w:tcW w:w="2800" w:type="dxa"/>
            <w:vAlign w:val="bottom"/>
          </w:tcPr>
          <w:p>
            <w:pPr>
              <w:spacing w:after="0" w:line="203" w:lineRule="exact"/>
              <w:rPr>
                <w:sz w:val="20"/>
                <w:szCs w:val="20"/>
                <w:color w:val="auto"/>
              </w:rPr>
            </w:pPr>
            <w:r>
              <w:rPr>
                <w:rFonts w:ascii="Courier New" w:cs="Courier New" w:eastAsia="Courier New" w:hAnsi="Courier New"/>
                <w:sz w:val="18"/>
                <w:szCs w:val="18"/>
                <w:color w:val="auto"/>
              </w:rPr>
              <w:t>Phone</w:t>
            </w:r>
          </w:p>
        </w:tc>
        <w:tc>
          <w:tcPr>
            <w:tcW w:w="800" w:type="dxa"/>
            <w:vAlign w:val="bottom"/>
          </w:tcPr>
          <w:p>
            <w:pPr>
              <w:spacing w:after="0"/>
              <w:rPr>
                <w:sz w:val="17"/>
                <w:szCs w:val="17"/>
                <w:color w:val="auto"/>
              </w:rPr>
            </w:pPr>
          </w:p>
        </w:tc>
        <w:tc>
          <w:tcPr>
            <w:tcW w:w="10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177</w:t>
            </w:r>
          </w:p>
        </w:tc>
        <w:tc>
          <w:tcPr>
            <w:tcW w:w="1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206</w:t>
            </w: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355</w:t>
            </w: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430</w:t>
            </w:r>
          </w:p>
        </w:tc>
      </w:tr>
      <w:tr>
        <w:trPr>
          <w:trHeight w:val="203"/>
        </w:trPr>
        <w:tc>
          <w:tcPr>
            <w:tcW w:w="2800" w:type="dxa"/>
            <w:vAlign w:val="bottom"/>
          </w:tcPr>
          <w:p>
            <w:pPr>
              <w:spacing w:after="0" w:line="203" w:lineRule="exact"/>
              <w:rPr>
                <w:sz w:val="20"/>
                <w:szCs w:val="20"/>
                <w:color w:val="auto"/>
              </w:rPr>
            </w:pPr>
            <w:r>
              <w:rPr>
                <w:rFonts w:ascii="Courier New" w:cs="Courier New" w:eastAsia="Courier New" w:hAnsi="Courier New"/>
                <w:sz w:val="18"/>
                <w:szCs w:val="18"/>
                <w:color w:val="auto"/>
              </w:rPr>
              <w:t>Advertising</w:t>
            </w:r>
          </w:p>
        </w:tc>
        <w:tc>
          <w:tcPr>
            <w:tcW w:w="800" w:type="dxa"/>
            <w:vAlign w:val="bottom"/>
          </w:tcPr>
          <w:p>
            <w:pPr>
              <w:spacing w:after="0"/>
              <w:rPr>
                <w:sz w:val="17"/>
                <w:szCs w:val="17"/>
                <w:color w:val="auto"/>
              </w:rPr>
            </w:pPr>
          </w:p>
        </w:tc>
        <w:tc>
          <w:tcPr>
            <w:tcW w:w="10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330</w:t>
            </w:r>
          </w:p>
        </w:tc>
        <w:tc>
          <w:tcPr>
            <w:tcW w:w="1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286</w:t>
            </w: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599</w:t>
            </w: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521</w:t>
            </w:r>
          </w:p>
        </w:tc>
      </w:tr>
      <w:tr>
        <w:trPr>
          <w:trHeight w:val="203"/>
        </w:trPr>
        <w:tc>
          <w:tcPr>
            <w:tcW w:w="280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(4)</w:t>
            </w:r>
          </w:p>
        </w:tc>
        <w:tc>
          <w:tcPr>
            <w:tcW w:w="800" w:type="dxa"/>
            <w:vAlign w:val="bottom"/>
          </w:tcPr>
          <w:p>
            <w:pPr>
              <w:spacing w:after="0"/>
              <w:rPr>
                <w:sz w:val="17"/>
                <w:szCs w:val="17"/>
                <w:color w:val="auto"/>
              </w:rPr>
            </w:pPr>
          </w:p>
        </w:tc>
        <w:tc>
          <w:tcPr>
            <w:tcW w:w="10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157</w:t>
            </w:r>
          </w:p>
        </w:tc>
        <w:tc>
          <w:tcPr>
            <w:tcW w:w="1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151</w:t>
            </w: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320</w:t>
            </w: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298</w:t>
            </w:r>
          </w:p>
        </w:tc>
      </w:tr>
      <w:tr>
        <w:trPr>
          <w:trHeight w:val="203"/>
        </w:trPr>
        <w:tc>
          <w:tcPr>
            <w:tcW w:w="2800" w:type="dxa"/>
            <w:vAlign w:val="bottom"/>
          </w:tcPr>
          <w:p>
            <w:pPr>
              <w:spacing w:after="0" w:line="203" w:lineRule="exact"/>
              <w:rPr>
                <w:sz w:val="20"/>
                <w:szCs w:val="20"/>
                <w:color w:val="auto"/>
              </w:rPr>
            </w:pPr>
            <w:r>
              <w:rPr>
                <w:rFonts w:ascii="Courier New" w:cs="Courier New" w:eastAsia="Courier New" w:hAnsi="Courier New"/>
                <w:sz w:val="18"/>
                <w:szCs w:val="18"/>
                <w:color w:val="auto"/>
              </w:rPr>
              <w:t>Franchise Fees</w:t>
            </w:r>
          </w:p>
        </w:tc>
        <w:tc>
          <w:tcPr>
            <w:tcW w:w="800" w:type="dxa"/>
            <w:vAlign w:val="bottom"/>
          </w:tcPr>
          <w:p>
            <w:pPr>
              <w:spacing w:after="0"/>
              <w:rPr>
                <w:sz w:val="17"/>
                <w:szCs w:val="17"/>
                <w:color w:val="auto"/>
              </w:rPr>
            </w:pPr>
          </w:p>
        </w:tc>
        <w:tc>
          <w:tcPr>
            <w:tcW w:w="10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163</w:t>
            </w:r>
          </w:p>
        </w:tc>
        <w:tc>
          <w:tcPr>
            <w:tcW w:w="1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151</w:t>
            </w: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322</w:t>
            </w: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302</w:t>
            </w:r>
          </w:p>
        </w:tc>
      </w:tr>
      <w:tr>
        <w:trPr>
          <w:trHeight w:val="203"/>
        </w:trPr>
        <w:tc>
          <w:tcPr>
            <w:tcW w:w="280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Revenues</w:t>
            </w:r>
          </w:p>
        </w:tc>
        <w:tc>
          <w:tcPr>
            <w:tcW w:w="1800" w:type="dxa"/>
            <w:vAlign w:val="bottom"/>
            <w:gridSpan w:val="2"/>
          </w:tcPr>
          <w:p>
            <w:pPr>
              <w:jc w:val="right"/>
              <w:ind w:right="392"/>
              <w:spacing w:after="0" w:line="203" w:lineRule="exact"/>
              <w:rPr>
                <w:sz w:val="20"/>
                <w:szCs w:val="20"/>
                <w:color w:val="auto"/>
              </w:rPr>
            </w:pPr>
            <w:r>
              <w:rPr>
                <w:rFonts w:ascii="Courier New" w:cs="Courier New" w:eastAsia="Courier New" w:hAnsi="Courier New"/>
                <w:sz w:val="18"/>
                <w:szCs w:val="18"/>
                <w:color w:val="auto"/>
              </w:rPr>
              <w:t>$4,839</w:t>
            </w:r>
          </w:p>
        </w:tc>
        <w:tc>
          <w:tcPr>
            <w:tcW w:w="1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$4,382</w:t>
            </w: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$9,490</w:t>
            </w: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$8,617</w:t>
            </w:r>
          </w:p>
        </w:tc>
      </w:tr>
      <w:tr>
        <w:trPr>
          <w:trHeight w:val="608"/>
        </w:trPr>
        <w:tc>
          <w:tcPr>
            <w:tcW w:w="2800" w:type="dxa"/>
            <w:vAlign w:val="bottom"/>
          </w:tcPr>
          <w:p>
            <w:pPr>
              <w:spacing w:after="0"/>
              <w:rPr>
                <w:sz w:val="20"/>
                <w:szCs w:val="20"/>
                <w:color w:val="auto"/>
              </w:rPr>
            </w:pPr>
            <w:r>
              <w:rPr>
                <w:rFonts w:ascii="Courier New" w:cs="Courier New" w:eastAsia="Courier New" w:hAnsi="Courier New"/>
                <w:sz w:val="18"/>
                <w:szCs w:val="18"/>
                <w:color w:val="auto"/>
              </w:rPr>
              <w:t>Operating Cash Flow</w:t>
            </w:r>
          </w:p>
        </w:tc>
        <w:tc>
          <w:tcPr>
            <w:tcW w:w="1800" w:type="dxa"/>
            <w:vAlign w:val="bottom"/>
            <w:gridSpan w:val="2"/>
          </w:tcPr>
          <w:p>
            <w:pPr>
              <w:jc w:val="right"/>
              <w:ind w:right="392"/>
              <w:spacing w:after="0"/>
              <w:rPr>
                <w:sz w:val="20"/>
                <w:szCs w:val="20"/>
                <w:color w:val="auto"/>
              </w:rPr>
            </w:pPr>
            <w:r>
              <w:rPr>
                <w:rFonts w:ascii="Courier New" w:cs="Courier New" w:eastAsia="Courier New" w:hAnsi="Courier New"/>
                <w:sz w:val="18"/>
                <w:szCs w:val="18"/>
                <w:color w:val="auto"/>
              </w:rPr>
              <w:t>$1,920</w:t>
            </w:r>
          </w:p>
        </w:tc>
        <w:tc>
          <w:tcPr>
            <w:tcW w:w="110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$1,598</w:t>
            </w:r>
          </w:p>
        </w:tc>
        <w:tc>
          <w:tcPr>
            <w:tcW w:w="11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$3,641</w:t>
            </w:r>
          </w:p>
        </w:tc>
        <w:tc>
          <w:tcPr>
            <w:tcW w:w="9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$3,021</w:t>
            </w:r>
          </w:p>
        </w:tc>
      </w:tr>
      <w:tr>
        <w:trPr>
          <w:trHeight w:val="203"/>
        </w:trPr>
        <w:tc>
          <w:tcPr>
            <w:tcW w:w="280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 Income</w:t>
            </w:r>
          </w:p>
        </w:tc>
        <w:tc>
          <w:tcPr>
            <w:tcW w:w="800" w:type="dxa"/>
            <w:vAlign w:val="bottom"/>
          </w:tcPr>
          <w:p>
            <w:pPr>
              <w:spacing w:after="0"/>
              <w:rPr>
                <w:sz w:val="17"/>
                <w:szCs w:val="17"/>
                <w:color w:val="auto"/>
              </w:rPr>
            </w:pPr>
          </w:p>
        </w:tc>
        <w:tc>
          <w:tcPr>
            <w:tcW w:w="10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$877</w:t>
            </w:r>
          </w:p>
        </w:tc>
        <w:tc>
          <w:tcPr>
            <w:tcW w:w="1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$465</w:t>
            </w: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$1,581</w:t>
            </w: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$808</w:t>
            </w:r>
          </w:p>
        </w:tc>
      </w:tr>
      <w:tr>
        <w:trPr>
          <w:trHeight w:val="203"/>
        </w:trPr>
        <w:tc>
          <w:tcPr>
            <w:tcW w:w="280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Operating Cash Flow Margin</w:t>
            </w:r>
          </w:p>
        </w:tc>
        <w:tc>
          <w:tcPr>
            <w:tcW w:w="800" w:type="dxa"/>
            <w:vAlign w:val="bottom"/>
          </w:tcPr>
          <w:p>
            <w:pPr>
              <w:spacing w:after="0"/>
              <w:rPr>
                <w:sz w:val="17"/>
                <w:szCs w:val="17"/>
                <w:color w:val="auto"/>
              </w:rPr>
            </w:pPr>
          </w:p>
        </w:tc>
        <w:tc>
          <w:tcPr>
            <w:tcW w:w="10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w w:val="92"/>
              </w:rPr>
              <w:t>39.7%</w:t>
            </w:r>
          </w:p>
        </w:tc>
        <w:tc>
          <w:tcPr>
            <w:tcW w:w="1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36.5%</w:t>
            </w: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38.4%</w:t>
            </w: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35.1%</w:t>
            </w:r>
          </w:p>
        </w:tc>
      </w:tr>
      <w:tr>
        <w:trPr>
          <w:trHeight w:val="203"/>
        </w:trPr>
        <w:tc>
          <w:tcPr>
            <w:tcW w:w="2800" w:type="dxa"/>
            <w:vAlign w:val="bottom"/>
          </w:tcPr>
          <w:p>
            <w:pPr>
              <w:spacing w:after="0" w:line="203" w:lineRule="exact"/>
              <w:rPr>
                <w:sz w:val="20"/>
                <w:szCs w:val="20"/>
                <w:color w:val="auto"/>
              </w:rPr>
            </w:pPr>
            <w:r>
              <w:rPr>
                <w:rFonts w:ascii="Courier New" w:cs="Courier New" w:eastAsia="Courier New" w:hAnsi="Courier New"/>
                <w:sz w:val="18"/>
                <w:szCs w:val="18"/>
                <w:color w:val="auto"/>
              </w:rPr>
              <w:t>Capital Expenditures</w:t>
            </w:r>
          </w:p>
        </w:tc>
        <w:tc>
          <w:tcPr>
            <w:tcW w:w="800" w:type="dxa"/>
            <w:vAlign w:val="bottom"/>
          </w:tcPr>
          <w:p>
            <w:pPr>
              <w:spacing w:after="0"/>
              <w:rPr>
                <w:sz w:val="17"/>
                <w:szCs w:val="17"/>
                <w:color w:val="auto"/>
              </w:rPr>
            </w:pPr>
          </w:p>
        </w:tc>
        <w:tc>
          <w:tcPr>
            <w:tcW w:w="10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$893</w:t>
            </w:r>
          </w:p>
        </w:tc>
        <w:tc>
          <w:tcPr>
            <w:tcW w:w="1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$1,047</w:t>
            </w: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$1,707</w:t>
            </w: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$2,000</w:t>
            </w:r>
          </w:p>
        </w:tc>
      </w:tr>
      <w:tr>
        <w:trPr>
          <w:trHeight w:val="203"/>
        </w:trPr>
        <w:tc>
          <w:tcPr>
            <w:tcW w:w="280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 Cash Flow, Net</w:t>
            </w:r>
          </w:p>
        </w:tc>
        <w:tc>
          <w:tcPr>
            <w:tcW w:w="8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28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of Capital Expenditures</w:t>
            </w:r>
          </w:p>
        </w:tc>
        <w:tc>
          <w:tcPr>
            <w:tcW w:w="1800" w:type="dxa"/>
            <w:vAlign w:val="bottom"/>
            <w:gridSpan w:val="2"/>
          </w:tcPr>
          <w:p>
            <w:pPr>
              <w:jc w:val="right"/>
              <w:ind w:right="392"/>
              <w:spacing w:after="0" w:line="203" w:lineRule="exact"/>
              <w:rPr>
                <w:sz w:val="20"/>
                <w:szCs w:val="20"/>
                <w:color w:val="auto"/>
              </w:rPr>
            </w:pPr>
            <w:r>
              <w:rPr>
                <w:rFonts w:ascii="Courier New" w:cs="Courier New" w:eastAsia="Courier New" w:hAnsi="Courier New"/>
                <w:sz w:val="18"/>
                <w:szCs w:val="18"/>
                <w:color w:val="auto"/>
              </w:rPr>
              <w:t>$1,027</w:t>
            </w:r>
          </w:p>
        </w:tc>
        <w:tc>
          <w:tcPr>
            <w:tcW w:w="1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$551</w:t>
            </w: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$1,934</w:t>
            </w: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$1,021</w:t>
            </w:r>
          </w:p>
        </w:tc>
      </w:tr>
      <w:tr>
        <w:trPr>
          <w:trHeight w:val="608"/>
        </w:trPr>
        <w:tc>
          <w:tcPr>
            <w:tcW w:w="2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Growth</w:t>
            </w:r>
          </w:p>
        </w:tc>
        <w:tc>
          <w:tcPr>
            <w:tcW w:w="9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Growth</w:t>
            </w:r>
          </w:p>
        </w:tc>
      </w:tr>
      <w:tr>
        <w:trPr>
          <w:trHeight w:val="203"/>
        </w:trPr>
        <w:tc>
          <w:tcPr>
            <w:tcW w:w="2800" w:type="dxa"/>
            <w:vAlign w:val="bottom"/>
          </w:tcPr>
          <w:p>
            <w:pPr>
              <w:spacing w:after="0"/>
              <w:rPr>
                <w:sz w:val="17"/>
                <w:szCs w:val="17"/>
                <w:color w:val="auto"/>
              </w:rPr>
            </w:pPr>
          </w:p>
        </w:tc>
        <w:tc>
          <w:tcPr>
            <w:tcW w:w="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2Q04</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1Q04</w:t>
            </w:r>
          </w:p>
        </w:tc>
        <w:tc>
          <w:tcPr>
            <w:tcW w:w="11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2Q03</w:t>
            </w:r>
          </w:p>
        </w:tc>
        <w:tc>
          <w:tcPr>
            <w:tcW w:w="116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vs. 1Q04</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vs. 2Q03</w:t>
            </w:r>
          </w:p>
        </w:tc>
      </w:tr>
      <w:tr>
        <w:trPr>
          <w:trHeight w:val="203"/>
        </w:trPr>
        <w:tc>
          <w:tcPr>
            <w:tcW w:w="2800" w:type="dxa"/>
            <w:vAlign w:val="bottom"/>
          </w:tcPr>
          <w:p>
            <w:pPr>
              <w:spacing w:after="0" w:line="203" w:lineRule="exact"/>
              <w:rPr>
                <w:sz w:val="20"/>
                <w:szCs w:val="20"/>
                <w:color w:val="auto"/>
              </w:rPr>
            </w:pPr>
            <w:r>
              <w:rPr>
                <w:rFonts w:ascii="Courier New" w:cs="Courier New" w:eastAsia="Courier New" w:hAnsi="Courier New"/>
                <w:sz w:val="18"/>
                <w:szCs w:val="18"/>
                <w:color w:val="auto"/>
              </w:rPr>
              <w:t>Video</w:t>
            </w:r>
          </w:p>
        </w:tc>
        <w:tc>
          <w:tcPr>
            <w:tcW w:w="8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2800" w:type="dxa"/>
            <w:vAlign w:val="bottom"/>
          </w:tcPr>
          <w:p>
            <w:pPr>
              <w:spacing w:after="0" w:line="203" w:lineRule="exact"/>
              <w:rPr>
                <w:sz w:val="20"/>
                <w:szCs w:val="20"/>
                <w:color w:val="auto"/>
              </w:rPr>
            </w:pPr>
            <w:r>
              <w:rPr>
                <w:rFonts w:ascii="Courier New" w:cs="Courier New" w:eastAsia="Courier New" w:hAnsi="Courier New"/>
                <w:sz w:val="18"/>
                <w:szCs w:val="18"/>
                <w:color w:val="auto"/>
              </w:rPr>
              <w:t>Homes Passed (000's)</w:t>
            </w: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40,300</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40,100</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39,700</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0.4%</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w:t>
            </w:r>
          </w:p>
        </w:tc>
      </w:tr>
      <w:tr>
        <w:trPr>
          <w:trHeight w:val="203"/>
        </w:trPr>
        <w:tc>
          <w:tcPr>
            <w:tcW w:w="2800" w:type="dxa"/>
            <w:vAlign w:val="bottom"/>
          </w:tcPr>
          <w:p>
            <w:pPr>
              <w:spacing w:after="0" w:line="203" w:lineRule="exact"/>
              <w:rPr>
                <w:sz w:val="20"/>
                <w:szCs w:val="20"/>
                <w:color w:val="auto"/>
              </w:rPr>
            </w:pPr>
            <w:r>
              <w:rPr>
                <w:rFonts w:ascii="Courier New" w:cs="Courier New" w:eastAsia="Courier New" w:hAnsi="Courier New"/>
                <w:sz w:val="18"/>
                <w:szCs w:val="18"/>
                <w:color w:val="auto"/>
              </w:rPr>
              <w:t>Basic Subscribers (000's)</w:t>
            </w: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21,477</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21,572</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21,467</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(0.4%)</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0.0%</w:t>
            </w:r>
          </w:p>
        </w:tc>
      </w:tr>
      <w:tr>
        <w:trPr>
          <w:trHeight w:val="203"/>
        </w:trPr>
        <w:tc>
          <w:tcPr>
            <w:tcW w:w="2800" w:type="dxa"/>
            <w:vAlign w:val="bottom"/>
          </w:tcPr>
          <w:p>
            <w:pPr>
              <w:spacing w:after="0" w:line="203" w:lineRule="exact"/>
              <w:rPr>
                <w:sz w:val="20"/>
                <w:szCs w:val="20"/>
                <w:color w:val="auto"/>
              </w:rPr>
            </w:pPr>
            <w:r>
              <w:rPr>
                <w:rFonts w:ascii="Courier New" w:cs="Courier New" w:eastAsia="Courier New" w:hAnsi="Courier New"/>
                <w:sz w:val="18"/>
                <w:szCs w:val="18"/>
                <w:color w:val="auto"/>
              </w:rPr>
              <w:t>Basic Penetration</w:t>
            </w: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53.3%</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53.7%</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54.0%</w:t>
            </w:r>
          </w:p>
        </w:tc>
        <w:tc>
          <w:tcPr>
            <w:tcW w:w="11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2800" w:type="dxa"/>
            <w:vAlign w:val="bottom"/>
          </w:tcPr>
          <w:p>
            <w:pPr>
              <w:spacing w:after="0" w:line="203" w:lineRule="exact"/>
              <w:rPr>
                <w:sz w:val="20"/>
                <w:szCs w:val="20"/>
                <w:color w:val="auto"/>
              </w:rPr>
            </w:pPr>
            <w:r>
              <w:rPr>
                <w:rFonts w:ascii="Courier New" w:cs="Courier New" w:eastAsia="Courier New" w:hAnsi="Courier New"/>
                <w:sz w:val="18"/>
                <w:szCs w:val="18"/>
                <w:color w:val="auto"/>
              </w:rPr>
              <w:t>Quarterly Net Basic</w:t>
            </w:r>
          </w:p>
        </w:tc>
        <w:tc>
          <w:tcPr>
            <w:tcW w:w="8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28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Subscriber Additions</w:t>
            </w:r>
          </w:p>
        </w:tc>
        <w:tc>
          <w:tcPr>
            <w:tcW w:w="8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28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(000's)</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(96)</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35</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NM</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NM</w:t>
            </w:r>
          </w:p>
        </w:tc>
      </w:tr>
      <w:tr>
        <w:trPr>
          <w:trHeight w:val="405"/>
        </w:trPr>
        <w:tc>
          <w:tcPr>
            <w:tcW w:w="2800" w:type="dxa"/>
            <w:vAlign w:val="bottom"/>
          </w:tcPr>
          <w:p>
            <w:pPr>
              <w:spacing w:after="0"/>
              <w:rPr>
                <w:sz w:val="20"/>
                <w:szCs w:val="20"/>
                <w:color w:val="auto"/>
              </w:rPr>
            </w:pPr>
            <w:r>
              <w:rPr>
                <w:rFonts w:ascii="Courier New" w:cs="Courier New" w:eastAsia="Courier New" w:hAnsi="Courier New"/>
                <w:sz w:val="18"/>
                <w:szCs w:val="18"/>
                <w:color w:val="auto"/>
              </w:rPr>
              <w:t>Digital Subscribers</w:t>
            </w:r>
          </w:p>
        </w:tc>
        <w:tc>
          <w:tcPr>
            <w:tcW w:w="8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3"/>
        </w:trPr>
        <w:tc>
          <w:tcPr>
            <w:tcW w:w="28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(000's)</w:t>
            </w: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8,064</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7,857</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6,962</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2.6%</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15.8%</w:t>
            </w:r>
          </w:p>
        </w:tc>
      </w:tr>
      <w:tr>
        <w:trPr>
          <w:trHeight w:val="203"/>
        </w:trPr>
        <w:tc>
          <w:tcPr>
            <w:tcW w:w="2800" w:type="dxa"/>
            <w:vAlign w:val="bottom"/>
          </w:tcPr>
          <w:p>
            <w:pPr>
              <w:spacing w:after="0" w:line="203" w:lineRule="exact"/>
              <w:rPr>
                <w:sz w:val="20"/>
                <w:szCs w:val="20"/>
                <w:color w:val="auto"/>
              </w:rPr>
            </w:pPr>
            <w:r>
              <w:rPr>
                <w:rFonts w:ascii="Courier New" w:cs="Courier New" w:eastAsia="Courier New" w:hAnsi="Courier New"/>
                <w:sz w:val="18"/>
                <w:szCs w:val="18"/>
                <w:color w:val="auto"/>
              </w:rPr>
              <w:t>Digital Penetration</w:t>
            </w: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37.5%</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36.4%</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32.4%</w:t>
            </w:r>
          </w:p>
        </w:tc>
        <w:tc>
          <w:tcPr>
            <w:tcW w:w="1160" w:type="dxa"/>
            <w:vAlign w:val="bottom"/>
          </w:tcPr>
          <w:p>
            <w:pPr>
              <w:spacing w:after="0"/>
              <w:rPr>
                <w:sz w:val="17"/>
                <w:szCs w:val="17"/>
                <w:color w:val="auto"/>
              </w:rPr>
            </w:pPr>
          </w:p>
        </w:tc>
        <w:tc>
          <w:tcPr>
            <w:tcW w:w="940" w:type="dxa"/>
            <w:vAlign w:val="bottom"/>
          </w:tcPr>
          <w:p>
            <w:pPr>
              <w:spacing w:after="0"/>
              <w:rPr>
                <w:sz w:val="17"/>
                <w:szCs w:val="17"/>
                <w:color w:val="auto"/>
              </w:rPr>
            </w:pPr>
          </w:p>
        </w:tc>
      </w:tr>
    </w:tbl>
    <w:p>
      <w:pPr>
        <w:sectPr>
          <w:pgSz w:w="11900" w:h="16838" w:orient="portrait"/>
          <w:cols w:equalWidth="0" w:num="1">
            <w:col w:w="9799"/>
          </w:cols>
          <w:pgMar w:left="660" w:top="142" w:right="1440" w:bottom="0" w:gutter="0" w:footer="0" w:header="0"/>
        </w:sectPr>
      </w:pPr>
    </w:p>
    <w:bookmarkStart w:id="9" w:name="page10"/>
    <w:bookmarkEnd w:id="9"/>
    <w:p>
      <w:pPr>
        <w:spacing w:after="0" w:line="1" w:lineRule="exact"/>
        <w:rPr>
          <w:sz w:val="20"/>
          <w:szCs w:val="20"/>
          <w:color w:val="auto"/>
        </w:rPr>
      </w:pPr>
    </w:p>
    <w:tbl>
      <w:tblPr>
        <w:tblLayout w:type="fixed"/>
        <w:tblInd w:w="420" w:type="dxa"/>
        <w:tblCellMar>
          <w:top w:w="0" w:type="dxa"/>
          <w:left w:w="0" w:type="dxa"/>
          <w:bottom w:w="0" w:type="dxa"/>
          <w:right w:w="0" w:type="dxa"/>
        </w:tblCellMar>
      </w:tblPr>
      <w:tr>
        <w:trPr>
          <w:trHeight w:val="204"/>
        </w:trPr>
        <w:tc>
          <w:tcPr>
            <w:tcW w:w="2740" w:type="dxa"/>
            <w:vAlign w:val="bottom"/>
            <w:gridSpan w:val="4"/>
          </w:tcPr>
          <w:p>
            <w:pPr>
              <w:spacing w:after="0"/>
              <w:rPr>
                <w:sz w:val="20"/>
                <w:szCs w:val="20"/>
                <w:color w:val="auto"/>
              </w:rPr>
            </w:pPr>
            <w:r>
              <w:rPr>
                <w:rFonts w:ascii="Courier New" w:cs="Courier New" w:eastAsia="Courier New" w:hAnsi="Courier New"/>
                <w:sz w:val="18"/>
                <w:szCs w:val="18"/>
                <w:color w:val="auto"/>
              </w:rPr>
              <w:t>Quarterly Net Digital</w:t>
            </w:r>
          </w:p>
        </w:tc>
        <w:tc>
          <w:tcPr>
            <w:tcW w:w="10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2740" w:type="dxa"/>
            <w:vAlign w:val="bottom"/>
            <w:gridSpan w:val="4"/>
          </w:tcPr>
          <w:p>
            <w:pPr>
              <w:ind w:left="120"/>
              <w:spacing w:after="0" w:line="203" w:lineRule="exact"/>
              <w:rPr>
                <w:sz w:val="20"/>
                <w:szCs w:val="20"/>
                <w:color w:val="auto"/>
              </w:rPr>
            </w:pPr>
            <w:r>
              <w:rPr>
                <w:rFonts w:ascii="Courier New" w:cs="Courier New" w:eastAsia="Courier New" w:hAnsi="Courier New"/>
                <w:sz w:val="18"/>
                <w:szCs w:val="18"/>
                <w:color w:val="auto"/>
              </w:rPr>
              <w:t>Subscriber Additions</w:t>
            </w:r>
          </w:p>
        </w:tc>
        <w:tc>
          <w:tcPr>
            <w:tcW w:w="10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11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(000's)</w:t>
            </w:r>
          </w:p>
        </w:tc>
        <w:tc>
          <w:tcPr>
            <w:tcW w:w="4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206</w:t>
            </w:r>
          </w:p>
        </w:tc>
        <w:tc>
          <w:tcPr>
            <w:tcW w:w="10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192</w:t>
            </w:r>
          </w:p>
        </w:tc>
        <w:tc>
          <w:tcPr>
            <w:tcW w:w="10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163</w:t>
            </w:r>
          </w:p>
        </w:tc>
        <w:tc>
          <w:tcPr>
            <w:tcW w:w="10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7.3%</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26.6%</w:t>
            </w:r>
          </w:p>
        </w:tc>
      </w:tr>
      <w:tr>
        <w:trPr>
          <w:trHeight w:val="405"/>
        </w:trPr>
        <w:tc>
          <w:tcPr>
            <w:tcW w:w="2740" w:type="dxa"/>
            <w:vAlign w:val="bottom"/>
            <w:gridSpan w:val="4"/>
          </w:tcPr>
          <w:p>
            <w:pPr>
              <w:spacing w:after="0"/>
              <w:rPr>
                <w:sz w:val="20"/>
                <w:szCs w:val="20"/>
                <w:color w:val="auto"/>
              </w:rPr>
            </w:pPr>
            <w:r>
              <w:rPr>
                <w:rFonts w:ascii="Courier New" w:cs="Courier New" w:eastAsia="Courier New" w:hAnsi="Courier New"/>
                <w:sz w:val="18"/>
                <w:szCs w:val="18"/>
                <w:color w:val="auto"/>
              </w:rPr>
              <w:t>Monthly Average Video</w:t>
            </w:r>
          </w:p>
        </w:tc>
        <w:tc>
          <w:tcPr>
            <w:tcW w:w="10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03"/>
        </w:trPr>
        <w:tc>
          <w:tcPr>
            <w:tcW w:w="1580" w:type="dxa"/>
            <w:vAlign w:val="bottom"/>
            <w:gridSpan w:val="3"/>
          </w:tcPr>
          <w:p>
            <w:pPr>
              <w:ind w:left="120"/>
              <w:spacing w:after="0" w:line="203" w:lineRule="exact"/>
              <w:rPr>
                <w:sz w:val="20"/>
                <w:szCs w:val="20"/>
                <w:color w:val="auto"/>
              </w:rPr>
            </w:pPr>
            <w:r>
              <w:rPr>
                <w:rFonts w:ascii="Courier New" w:cs="Courier New" w:eastAsia="Courier New" w:hAnsi="Courier New"/>
                <w:sz w:val="18"/>
                <w:szCs w:val="18"/>
                <w:color w:val="auto"/>
              </w:rPr>
              <w:t>Revenue per</w:t>
            </w:r>
          </w:p>
        </w:tc>
        <w:tc>
          <w:tcPr>
            <w:tcW w:w="1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2740" w:type="dxa"/>
            <w:vAlign w:val="bottom"/>
            <w:gridSpan w:val="4"/>
          </w:tcPr>
          <w:p>
            <w:pPr>
              <w:ind w:left="120"/>
              <w:spacing w:after="0" w:line="203" w:lineRule="exact"/>
              <w:rPr>
                <w:sz w:val="20"/>
                <w:szCs w:val="20"/>
                <w:color w:val="auto"/>
              </w:rPr>
            </w:pPr>
            <w:r>
              <w:rPr>
                <w:rFonts w:ascii="Courier New" w:cs="Courier New" w:eastAsia="Courier New" w:hAnsi="Courier New"/>
                <w:sz w:val="18"/>
                <w:szCs w:val="18"/>
                <w:color w:val="auto"/>
              </w:rPr>
              <w:t>Basic Subscriber</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$50.31</w:t>
            </w:r>
          </w:p>
        </w:tc>
        <w:tc>
          <w:tcPr>
            <w:tcW w:w="10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$49.24</w:t>
            </w:r>
          </w:p>
        </w:tc>
        <w:tc>
          <w:tcPr>
            <w:tcW w:w="10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$47.22</w:t>
            </w:r>
          </w:p>
        </w:tc>
        <w:tc>
          <w:tcPr>
            <w:tcW w:w="10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2.2%</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6.5%</w:t>
            </w:r>
          </w:p>
        </w:tc>
      </w:tr>
      <w:tr>
        <w:trPr>
          <w:trHeight w:val="203"/>
        </w:trPr>
        <w:tc>
          <w:tcPr>
            <w:tcW w:w="274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Monthly Average Total</w:t>
            </w:r>
          </w:p>
        </w:tc>
        <w:tc>
          <w:tcPr>
            <w:tcW w:w="10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1580" w:type="dxa"/>
            <w:vAlign w:val="bottom"/>
            <w:gridSpan w:val="3"/>
          </w:tcPr>
          <w:p>
            <w:pPr>
              <w:ind w:left="120"/>
              <w:spacing w:after="0" w:line="203" w:lineRule="exact"/>
              <w:rPr>
                <w:sz w:val="20"/>
                <w:szCs w:val="20"/>
                <w:color w:val="auto"/>
              </w:rPr>
            </w:pPr>
            <w:r>
              <w:rPr>
                <w:rFonts w:ascii="Courier New" w:cs="Courier New" w:eastAsia="Courier New" w:hAnsi="Courier New"/>
                <w:sz w:val="18"/>
                <w:szCs w:val="18"/>
                <w:color w:val="auto"/>
              </w:rPr>
              <w:t>Revenue per</w:t>
            </w:r>
          </w:p>
        </w:tc>
        <w:tc>
          <w:tcPr>
            <w:tcW w:w="1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2740" w:type="dxa"/>
            <w:vAlign w:val="bottom"/>
            <w:gridSpan w:val="4"/>
          </w:tcPr>
          <w:p>
            <w:pPr>
              <w:ind w:left="120"/>
              <w:spacing w:after="0" w:line="203" w:lineRule="exact"/>
              <w:rPr>
                <w:sz w:val="20"/>
                <w:szCs w:val="20"/>
                <w:color w:val="auto"/>
              </w:rPr>
            </w:pPr>
            <w:r>
              <w:rPr>
                <w:rFonts w:ascii="Courier New" w:cs="Courier New" w:eastAsia="Courier New" w:hAnsi="Courier New"/>
                <w:sz w:val="18"/>
                <w:szCs w:val="18"/>
                <w:color w:val="auto"/>
              </w:rPr>
              <w:t>Basic Subscriber</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$74.94</w:t>
            </w:r>
          </w:p>
        </w:tc>
        <w:tc>
          <w:tcPr>
            <w:tcW w:w="10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$71.92</w:t>
            </w:r>
          </w:p>
        </w:tc>
        <w:tc>
          <w:tcPr>
            <w:tcW w:w="10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$68.08</w:t>
            </w:r>
          </w:p>
        </w:tc>
        <w:tc>
          <w:tcPr>
            <w:tcW w:w="10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4.2%</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10.1%</w:t>
            </w:r>
          </w:p>
        </w:tc>
      </w:tr>
      <w:tr>
        <w:trPr>
          <w:trHeight w:val="405"/>
        </w:trPr>
        <w:tc>
          <w:tcPr>
            <w:tcW w:w="2740" w:type="dxa"/>
            <w:vAlign w:val="bottom"/>
            <w:gridSpan w:val="4"/>
          </w:tcPr>
          <w:p>
            <w:pPr>
              <w:spacing w:after="0"/>
              <w:rPr>
                <w:sz w:val="20"/>
                <w:szCs w:val="20"/>
                <w:color w:val="auto"/>
              </w:rPr>
            </w:pPr>
            <w:r>
              <w:rPr>
                <w:rFonts w:ascii="Courier New" w:cs="Courier New" w:eastAsia="Courier New" w:hAnsi="Courier New"/>
                <w:sz w:val="18"/>
                <w:szCs w:val="18"/>
                <w:color w:val="auto"/>
              </w:rPr>
              <w:t>High-Speed Internet</w:t>
            </w:r>
          </w:p>
        </w:tc>
        <w:tc>
          <w:tcPr>
            <w:tcW w:w="10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03"/>
        </w:trPr>
        <w:tc>
          <w:tcPr>
            <w:tcW w:w="274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"Available Homes" (000's)</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37,323</w:t>
            </w:r>
          </w:p>
        </w:tc>
        <w:tc>
          <w:tcPr>
            <w:tcW w:w="10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36,167</w:t>
            </w:r>
          </w:p>
        </w:tc>
        <w:tc>
          <w:tcPr>
            <w:tcW w:w="10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32,124</w:t>
            </w:r>
          </w:p>
        </w:tc>
        <w:tc>
          <w:tcPr>
            <w:tcW w:w="10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3.2%</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16.2%</w:t>
            </w:r>
          </w:p>
        </w:tc>
      </w:tr>
      <w:tr>
        <w:trPr>
          <w:trHeight w:val="203"/>
        </w:trPr>
        <w:tc>
          <w:tcPr>
            <w:tcW w:w="274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Subscribers (000's)</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6,005</w:t>
            </w:r>
          </w:p>
        </w:tc>
        <w:tc>
          <w:tcPr>
            <w:tcW w:w="10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5,679</w:t>
            </w:r>
          </w:p>
        </w:tc>
        <w:tc>
          <w:tcPr>
            <w:tcW w:w="10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4,389</w:t>
            </w:r>
          </w:p>
        </w:tc>
        <w:tc>
          <w:tcPr>
            <w:tcW w:w="10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5.7%</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36.8%</w:t>
            </w:r>
          </w:p>
        </w:tc>
      </w:tr>
      <w:tr>
        <w:trPr>
          <w:trHeight w:val="203"/>
        </w:trPr>
        <w:tc>
          <w:tcPr>
            <w:tcW w:w="1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5"/>
              </w:rPr>
              <w:t>Penetration</w:t>
            </w:r>
          </w:p>
        </w:tc>
        <w:tc>
          <w:tcPr>
            <w:tcW w:w="4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16.1%</w:t>
            </w:r>
          </w:p>
        </w:tc>
        <w:tc>
          <w:tcPr>
            <w:tcW w:w="10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15.7%</w:t>
            </w:r>
          </w:p>
        </w:tc>
        <w:tc>
          <w:tcPr>
            <w:tcW w:w="10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13.7%</w:t>
            </w:r>
          </w:p>
        </w:tc>
        <w:tc>
          <w:tcPr>
            <w:tcW w:w="10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274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Quarterly Net Subscriber</w:t>
            </w:r>
          </w:p>
        </w:tc>
        <w:tc>
          <w:tcPr>
            <w:tcW w:w="10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2740" w:type="dxa"/>
            <w:vAlign w:val="bottom"/>
            <w:gridSpan w:val="4"/>
          </w:tcPr>
          <w:p>
            <w:pPr>
              <w:jc w:val="center"/>
              <w:ind w:right="412"/>
              <w:spacing w:after="0" w:line="203" w:lineRule="exact"/>
              <w:rPr>
                <w:sz w:val="20"/>
                <w:szCs w:val="20"/>
                <w:color w:val="auto"/>
              </w:rPr>
            </w:pPr>
            <w:r>
              <w:rPr>
                <w:rFonts w:ascii="Courier New" w:cs="Courier New" w:eastAsia="Courier New" w:hAnsi="Courier New"/>
                <w:sz w:val="18"/>
                <w:szCs w:val="18"/>
                <w:color w:val="auto"/>
                <w:w w:val="98"/>
              </w:rPr>
              <w:t>Additions (000's)</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327</w:t>
            </w:r>
          </w:p>
        </w:tc>
        <w:tc>
          <w:tcPr>
            <w:tcW w:w="10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394</w:t>
            </w:r>
          </w:p>
        </w:tc>
        <w:tc>
          <w:tcPr>
            <w:tcW w:w="10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351</w:t>
            </w:r>
          </w:p>
        </w:tc>
        <w:tc>
          <w:tcPr>
            <w:tcW w:w="104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(17.1%)</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(7.0%)</w:t>
            </w:r>
          </w:p>
        </w:tc>
      </w:tr>
      <w:tr>
        <w:trPr>
          <w:trHeight w:val="203"/>
        </w:trPr>
        <w:tc>
          <w:tcPr>
            <w:tcW w:w="274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Monthly Average Revenue</w:t>
            </w:r>
          </w:p>
        </w:tc>
        <w:tc>
          <w:tcPr>
            <w:tcW w:w="10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1580" w:type="dxa"/>
            <w:vAlign w:val="bottom"/>
            <w:gridSpan w:val="3"/>
          </w:tcPr>
          <w:p>
            <w:pPr>
              <w:ind w:left="120"/>
              <w:spacing w:after="0" w:line="203" w:lineRule="exact"/>
              <w:rPr>
                <w:sz w:val="20"/>
                <w:szCs w:val="20"/>
                <w:color w:val="auto"/>
              </w:rPr>
            </w:pPr>
            <w:r>
              <w:rPr>
                <w:rFonts w:ascii="Courier New" w:cs="Courier New" w:eastAsia="Courier New" w:hAnsi="Courier New"/>
                <w:sz w:val="18"/>
                <w:szCs w:val="18"/>
                <w:color w:val="auto"/>
                <w:w w:val="95"/>
              </w:rPr>
              <w:t>per Subscriber</w:t>
            </w:r>
          </w:p>
        </w:tc>
        <w:tc>
          <w:tcPr>
            <w:tcW w:w="116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$43.52</w:t>
            </w:r>
          </w:p>
        </w:tc>
        <w:tc>
          <w:tcPr>
            <w:tcW w:w="10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$42.45</w:t>
            </w:r>
          </w:p>
        </w:tc>
        <w:tc>
          <w:tcPr>
            <w:tcW w:w="10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$43.33</w:t>
            </w:r>
          </w:p>
        </w:tc>
        <w:tc>
          <w:tcPr>
            <w:tcW w:w="10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2.5%</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0.4%</w:t>
            </w:r>
          </w:p>
        </w:tc>
      </w:tr>
      <w:tr>
        <w:trPr>
          <w:trHeight w:val="405"/>
        </w:trPr>
        <w:tc>
          <w:tcPr>
            <w:tcW w:w="700" w:type="dxa"/>
            <w:vAlign w:val="bottom"/>
          </w:tcPr>
          <w:p>
            <w:pPr>
              <w:spacing w:after="0"/>
              <w:rPr>
                <w:sz w:val="20"/>
                <w:szCs w:val="20"/>
                <w:color w:val="auto"/>
              </w:rPr>
            </w:pPr>
            <w:r>
              <w:rPr>
                <w:rFonts w:ascii="Courier New" w:cs="Courier New" w:eastAsia="Courier New" w:hAnsi="Courier New"/>
                <w:sz w:val="18"/>
                <w:szCs w:val="18"/>
                <w:color w:val="auto"/>
              </w:rPr>
              <w:t>Phone</w:t>
            </w: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03"/>
        </w:trPr>
        <w:tc>
          <w:tcPr>
            <w:tcW w:w="274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"Available Homes" (000's)</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9,766</w:t>
            </w:r>
          </w:p>
        </w:tc>
        <w:tc>
          <w:tcPr>
            <w:tcW w:w="10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9,657</w:t>
            </w:r>
          </w:p>
        </w:tc>
        <w:tc>
          <w:tcPr>
            <w:tcW w:w="10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9,164</w:t>
            </w:r>
          </w:p>
        </w:tc>
        <w:tc>
          <w:tcPr>
            <w:tcW w:w="10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1.1%</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6.6%</w:t>
            </w:r>
          </w:p>
        </w:tc>
      </w:tr>
      <w:tr>
        <w:trPr>
          <w:trHeight w:val="203"/>
        </w:trPr>
        <w:tc>
          <w:tcPr>
            <w:tcW w:w="274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Subscribers (000's)</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1,225</w:t>
            </w:r>
          </w:p>
        </w:tc>
        <w:tc>
          <w:tcPr>
            <w:tcW w:w="10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1,247</w:t>
            </w:r>
          </w:p>
        </w:tc>
        <w:tc>
          <w:tcPr>
            <w:tcW w:w="10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1,367</w:t>
            </w:r>
          </w:p>
        </w:tc>
        <w:tc>
          <w:tcPr>
            <w:tcW w:w="104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(1.8%)</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(10.4%)</w:t>
            </w:r>
          </w:p>
        </w:tc>
      </w:tr>
      <w:tr>
        <w:trPr>
          <w:trHeight w:val="203"/>
        </w:trPr>
        <w:tc>
          <w:tcPr>
            <w:tcW w:w="1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5"/>
              </w:rPr>
              <w:t>Penetration</w:t>
            </w:r>
          </w:p>
        </w:tc>
        <w:tc>
          <w:tcPr>
            <w:tcW w:w="4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12.5%</w:t>
            </w:r>
          </w:p>
        </w:tc>
        <w:tc>
          <w:tcPr>
            <w:tcW w:w="10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12.9%</w:t>
            </w:r>
          </w:p>
        </w:tc>
        <w:tc>
          <w:tcPr>
            <w:tcW w:w="10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14.9%</w:t>
            </w:r>
          </w:p>
        </w:tc>
        <w:tc>
          <w:tcPr>
            <w:tcW w:w="10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274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Quarterly Net Subscriber</w:t>
            </w:r>
          </w:p>
        </w:tc>
        <w:tc>
          <w:tcPr>
            <w:tcW w:w="10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11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Additions</w:t>
            </w:r>
          </w:p>
        </w:tc>
        <w:tc>
          <w:tcPr>
            <w:tcW w:w="1580" w:type="dxa"/>
            <w:vAlign w:val="bottom"/>
            <w:gridSpan w:val="2"/>
          </w:tcPr>
          <w:p>
            <w:pPr>
              <w:jc w:val="right"/>
              <w:ind w:right="752"/>
              <w:spacing w:after="0" w:line="203" w:lineRule="exact"/>
              <w:rPr>
                <w:sz w:val="20"/>
                <w:szCs w:val="20"/>
                <w:color w:val="auto"/>
              </w:rPr>
            </w:pPr>
            <w:r>
              <w:rPr>
                <w:rFonts w:ascii="Courier New" w:cs="Courier New" w:eastAsia="Courier New" w:hAnsi="Courier New"/>
                <w:sz w:val="18"/>
                <w:szCs w:val="18"/>
                <w:color w:val="auto"/>
                <w:w w:val="95"/>
              </w:rPr>
              <w:t>(000's)</w:t>
            </w:r>
          </w:p>
        </w:tc>
        <w:tc>
          <w:tcPr>
            <w:tcW w:w="100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(22)</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(20)</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(52)</w:t>
            </w:r>
          </w:p>
        </w:tc>
        <w:tc>
          <w:tcPr>
            <w:tcW w:w="104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(13.2%)</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57.4%</w:t>
            </w:r>
          </w:p>
        </w:tc>
      </w:tr>
      <w:tr>
        <w:trPr>
          <w:trHeight w:val="203"/>
        </w:trPr>
        <w:tc>
          <w:tcPr>
            <w:tcW w:w="274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Monthly Average Revenue</w:t>
            </w:r>
          </w:p>
        </w:tc>
        <w:tc>
          <w:tcPr>
            <w:tcW w:w="10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1580" w:type="dxa"/>
            <w:vAlign w:val="bottom"/>
            <w:gridSpan w:val="3"/>
          </w:tcPr>
          <w:p>
            <w:pPr>
              <w:ind w:left="120"/>
              <w:spacing w:after="0" w:line="203" w:lineRule="exact"/>
              <w:rPr>
                <w:sz w:val="20"/>
                <w:szCs w:val="20"/>
                <w:color w:val="auto"/>
              </w:rPr>
            </w:pPr>
            <w:r>
              <w:rPr>
                <w:rFonts w:ascii="Courier New" w:cs="Courier New" w:eastAsia="Courier New" w:hAnsi="Courier New"/>
                <w:sz w:val="18"/>
                <w:szCs w:val="18"/>
                <w:color w:val="auto"/>
                <w:w w:val="95"/>
              </w:rPr>
              <w:t>per Subscriber</w:t>
            </w:r>
          </w:p>
        </w:tc>
        <w:tc>
          <w:tcPr>
            <w:tcW w:w="116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$47.71</w:t>
            </w:r>
          </w:p>
        </w:tc>
        <w:tc>
          <w:tcPr>
            <w:tcW w:w="10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$47.34</w:t>
            </w:r>
          </w:p>
        </w:tc>
        <w:tc>
          <w:tcPr>
            <w:tcW w:w="10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$49.17</w:t>
            </w:r>
          </w:p>
        </w:tc>
        <w:tc>
          <w:tcPr>
            <w:tcW w:w="10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0.8%</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w:t>
            </w:r>
          </w:p>
        </w:tc>
      </w:tr>
      <w:tr>
        <w:trPr>
          <w:trHeight w:val="405"/>
        </w:trPr>
        <w:tc>
          <w:tcPr>
            <w:tcW w:w="2740" w:type="dxa"/>
            <w:vAlign w:val="bottom"/>
            <w:gridSpan w:val="4"/>
          </w:tcPr>
          <w:p>
            <w:pPr>
              <w:spacing w:after="0"/>
              <w:rPr>
                <w:sz w:val="20"/>
                <w:szCs w:val="20"/>
                <w:color w:val="auto"/>
              </w:rPr>
            </w:pPr>
            <w:r>
              <w:rPr>
                <w:rFonts w:ascii="Courier New" w:cs="Courier New" w:eastAsia="Courier New" w:hAnsi="Courier New"/>
                <w:sz w:val="18"/>
                <w:szCs w:val="18"/>
                <w:color w:val="auto"/>
              </w:rPr>
              <w:t>Total Revenue Generating</w:t>
            </w:r>
          </w:p>
        </w:tc>
        <w:tc>
          <w:tcPr>
            <w:tcW w:w="10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03"/>
        </w:trPr>
        <w:tc>
          <w:tcPr>
            <w:tcW w:w="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Units</w:t>
            </w:r>
          </w:p>
        </w:tc>
        <w:tc>
          <w:tcPr>
            <w:tcW w:w="88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(000's)</w:t>
            </w:r>
          </w:p>
        </w:tc>
        <w:tc>
          <w:tcPr>
            <w:tcW w:w="116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w w:val="92"/>
              </w:rPr>
              <w:t>(5)</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36,771</w:t>
            </w:r>
          </w:p>
        </w:tc>
        <w:tc>
          <w:tcPr>
            <w:tcW w:w="10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36,355</w:t>
            </w:r>
          </w:p>
        </w:tc>
        <w:tc>
          <w:tcPr>
            <w:tcW w:w="10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34,185</w:t>
            </w:r>
          </w:p>
        </w:tc>
        <w:tc>
          <w:tcPr>
            <w:tcW w:w="10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1.1%</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7.6%</w:t>
            </w:r>
          </w:p>
        </w:tc>
      </w:tr>
    </w:tbl>
    <w:p>
      <w:pPr>
        <w:spacing w:after="0" w:line="201" w:lineRule="exact"/>
        <w:rPr>
          <w:sz w:val="20"/>
          <w:szCs w:val="20"/>
          <w:color w:val="auto"/>
        </w:rPr>
      </w:pPr>
    </w:p>
    <w:p>
      <w:pPr>
        <w:ind w:left="960" w:hanging="531"/>
        <w:spacing w:after="0"/>
        <w:tabs>
          <w:tab w:leader="none" w:pos="9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See Non-GAAP and Other Financial Measures in Table 6.</w:t>
      </w:r>
    </w:p>
    <w:p>
      <w:pPr>
        <w:spacing w:after="0" w:line="206" w:lineRule="exact"/>
        <w:rPr>
          <w:rFonts w:ascii="Courier New" w:cs="Courier New" w:eastAsia="Courier New" w:hAnsi="Courier New"/>
          <w:sz w:val="18"/>
          <w:szCs w:val="18"/>
          <w:color w:val="auto"/>
        </w:rPr>
      </w:pPr>
    </w:p>
    <w:p>
      <w:pPr>
        <w:ind w:left="960" w:right="2199" w:hanging="531"/>
        <w:spacing w:after="0" w:line="270" w:lineRule="auto"/>
        <w:tabs>
          <w:tab w:leader="none" w:pos="96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 forma financial and subscriber data excludes the results of the 314,000 cable subscribers sold to Bresnan Communications in March 2003 and excludes the results of the net reduction of 16,000 subscribers associated with the cable systems exchange with Insight Communications in February 2003. Pro forma financial and subscriber data includes the results of the 30,000 cable subscribers acquired from US Coastal Cable in April 2004. Pro forma subscriber data includes 79,000 additional subscribers acquired in various small acquisitions between June 2003 and June 2004. The impact of these various small acquisitions on our financial data was not material.</w:t>
      </w:r>
    </w:p>
    <w:p>
      <w:pPr>
        <w:spacing w:after="0" w:line="189" w:lineRule="exact"/>
        <w:rPr>
          <w:rFonts w:ascii="Courier New" w:cs="Courier New" w:eastAsia="Courier New" w:hAnsi="Courier New"/>
          <w:sz w:val="16"/>
          <w:szCs w:val="16"/>
          <w:color w:val="auto"/>
        </w:rPr>
      </w:pPr>
    </w:p>
    <w:p>
      <w:pPr>
        <w:ind w:left="960" w:right="2319" w:hanging="531"/>
        <w:spacing w:after="0" w:line="235" w:lineRule="auto"/>
        <w:tabs>
          <w:tab w:leader="none" w:pos="9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Video revenues consist of our basic, expanded basic, premium, pay-per-view, equipment and digital services.</w:t>
      </w:r>
    </w:p>
    <w:p>
      <w:pPr>
        <w:spacing w:after="0" w:line="208" w:lineRule="exact"/>
        <w:rPr>
          <w:rFonts w:ascii="Courier New" w:cs="Courier New" w:eastAsia="Courier New" w:hAnsi="Courier New"/>
          <w:sz w:val="18"/>
          <w:szCs w:val="18"/>
          <w:color w:val="auto"/>
        </w:rPr>
      </w:pPr>
    </w:p>
    <w:p>
      <w:pPr>
        <w:ind w:left="960" w:right="2419" w:hanging="531"/>
        <w:spacing w:after="0" w:line="237" w:lineRule="auto"/>
        <w:tabs>
          <w:tab w:leader="none" w:pos="9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 revenues include installation revenues, guide revenues, commissions from electronic retailing, other product offerings, commercial data services and revenues of our digital media center and regional sports programming networks.</w:t>
      </w:r>
    </w:p>
    <w:p>
      <w:pPr>
        <w:spacing w:after="0" w:line="207" w:lineRule="exact"/>
        <w:rPr>
          <w:rFonts w:ascii="Courier New" w:cs="Courier New" w:eastAsia="Courier New" w:hAnsi="Courier New"/>
          <w:sz w:val="18"/>
          <w:szCs w:val="18"/>
          <w:color w:val="auto"/>
        </w:rPr>
      </w:pPr>
    </w:p>
    <w:p>
      <w:pPr>
        <w:ind w:left="960" w:right="2099" w:hanging="531"/>
        <w:spacing w:after="0" w:line="290" w:lineRule="auto"/>
        <w:tabs>
          <w:tab w:leader="none" w:pos="96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sum total of all primary analog video, digital video, high-speed Internet and phone customers, but excluding additional outlets.</w:t>
      </w:r>
    </w:p>
    <w:p>
      <w:pPr>
        <w:spacing w:after="0" w:line="367" w:lineRule="exact"/>
        <w:rPr>
          <w:sz w:val="20"/>
          <w:szCs w:val="20"/>
          <w:color w:val="auto"/>
        </w:rPr>
      </w:pPr>
    </w:p>
    <w:p>
      <w:pPr>
        <w:jc w:val="center"/>
        <w:ind w:right="2099"/>
        <w:spacing w:after="0"/>
        <w:rPr>
          <w:sz w:val="20"/>
          <w:szCs w:val="20"/>
          <w:color w:val="auto"/>
        </w:rPr>
      </w:pPr>
      <w:r>
        <w:rPr>
          <w:rFonts w:ascii="Courier New" w:cs="Courier New" w:eastAsia="Courier New" w:hAnsi="Courier New"/>
          <w:sz w:val="18"/>
          <w:szCs w:val="18"/>
          <w:color w:val="auto"/>
        </w:rPr>
        <w:t>COMCAST CORPORATION</w:t>
      </w:r>
    </w:p>
    <w:p>
      <w:pPr>
        <w:jc w:val="center"/>
        <w:ind w:right="2099"/>
        <w:spacing w:after="0" w:line="238" w:lineRule="auto"/>
        <w:rPr>
          <w:sz w:val="20"/>
          <w:szCs w:val="20"/>
          <w:color w:val="auto"/>
        </w:rPr>
      </w:pPr>
      <w:r>
        <w:rPr>
          <w:rFonts w:ascii="Courier New" w:cs="Courier New" w:eastAsia="Courier New" w:hAnsi="Courier New"/>
          <w:sz w:val="18"/>
          <w:szCs w:val="18"/>
          <w:color w:val="auto"/>
        </w:rPr>
        <w:t>TABLE 6</w:t>
      </w:r>
    </w:p>
    <w:p>
      <w:pPr>
        <w:spacing w:after="0" w:line="202"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Non-GAAP and Other Financial Measures</w:t>
      </w:r>
    </w:p>
    <w:p>
      <w:pPr>
        <w:spacing w:after="0" w:line="207" w:lineRule="exact"/>
        <w:rPr>
          <w:sz w:val="20"/>
          <w:szCs w:val="20"/>
          <w:color w:val="auto"/>
        </w:rPr>
      </w:pPr>
    </w:p>
    <w:p>
      <w:pPr>
        <w:ind w:right="2199" w:firstLine="421"/>
        <w:spacing w:after="0" w:line="268" w:lineRule="auto"/>
        <w:rPr>
          <w:sz w:val="20"/>
          <w:szCs w:val="20"/>
          <w:color w:val="auto"/>
        </w:rPr>
      </w:pPr>
      <w:r>
        <w:rPr>
          <w:rFonts w:ascii="Courier New" w:cs="Courier New" w:eastAsia="Courier New" w:hAnsi="Courier New"/>
          <w:sz w:val="16"/>
          <w:szCs w:val="16"/>
          <w:color w:val="auto"/>
        </w:rPr>
        <w:t>Operating Cash Flow is the primary basis used to measure the operational strength and performance of our businesses. Free Cash Flow is an additional performance measure used as an indicator of our ability to repay debt, make investments and return capital to investors, principally through stock repurchases. We use Debt Excluding Exchangeables as a measure of debt that will require cash from future operations or financings. We also adjust certain historical data on a pro forma basis following significant acquisitions or dispositions to enhance comparability.</w:t>
      </w:r>
    </w:p>
    <w:p>
      <w:pPr>
        <w:spacing w:after="0" w:line="1" w:lineRule="exact"/>
        <w:rPr>
          <w:sz w:val="20"/>
          <w:szCs w:val="20"/>
          <w:color w:val="auto"/>
        </w:rPr>
      </w:pPr>
    </w:p>
    <w:p>
      <w:pPr>
        <w:ind w:right="1999" w:firstLine="421"/>
        <w:spacing w:after="0" w:line="270" w:lineRule="auto"/>
        <w:rPr>
          <w:sz w:val="20"/>
          <w:szCs w:val="20"/>
          <w:color w:val="auto"/>
        </w:rPr>
      </w:pPr>
      <w:r>
        <w:rPr>
          <w:rFonts w:ascii="Courier New" w:cs="Courier New" w:eastAsia="Courier New" w:hAnsi="Courier New"/>
          <w:sz w:val="16"/>
          <w:szCs w:val="16"/>
          <w:color w:val="auto"/>
        </w:rPr>
        <w:t>Operating Cash Flow is defined as operating income before depreciation and amortization and impairment charges, if any, related to fixed and intangible assets and gains or losses from the sale of assets, if any. As such, it eliminates the significant level of non-cash depreciation and amortization expense that results from the capital intensive nature of our businesses and intangible assets recognized in business combinations, and is unaffected by our capital structure or investment activities. Our management and Board of Directors use this measure in evaluating our consolidated operating performance and the operating performance of all of our operating segments. This metric is used to allocate resources and capital to our operating segments and is a significant component of our annual incentive compensation</w:t>
      </w:r>
    </w:p>
    <w:p>
      <w:pPr>
        <w:sectPr>
          <w:pgSz w:w="11900" w:h="16838" w:orient="portrait"/>
          <w:cols w:equalWidth="0" w:num="1">
            <w:col w:w="10219"/>
          </w:cols>
          <w:pgMar w:left="240" w:top="136" w:right="1440" w:bottom="0" w:gutter="0" w:footer="0" w:header="0"/>
        </w:sectPr>
      </w:pPr>
    </w:p>
    <w:bookmarkStart w:id="10" w:name="page11"/>
    <w:bookmarkEnd w:id="10"/>
    <w:p>
      <w:pPr>
        <w:ind w:right="2099"/>
        <w:spacing w:after="0" w:line="268" w:lineRule="auto"/>
        <w:rPr>
          <w:sz w:val="20"/>
          <w:szCs w:val="20"/>
          <w:color w:val="auto"/>
        </w:rPr>
      </w:pPr>
      <w:r>
        <w:rPr>
          <w:rFonts w:ascii="Courier New" w:cs="Courier New" w:eastAsia="Courier New" w:hAnsi="Courier New"/>
          <w:sz w:val="16"/>
          <w:szCs w:val="16"/>
          <w:color w:val="auto"/>
        </w:rPr>
        <w:t>programs. We believe that Operating Cash Flow is also useful to investors as it is one of the bases for comparing our operating performance with other companies in our industries, although our measure of Operating Cash Flow may not be directly comparable to similar measures used by other companies.</w:t>
      </w:r>
    </w:p>
    <w:p>
      <w:pPr>
        <w:spacing w:after="0" w:line="1" w:lineRule="exact"/>
        <w:rPr>
          <w:sz w:val="20"/>
          <w:szCs w:val="20"/>
          <w:color w:val="auto"/>
        </w:rPr>
      </w:pPr>
    </w:p>
    <w:p>
      <w:pPr>
        <w:ind w:right="1999" w:firstLine="421"/>
        <w:spacing w:after="0" w:line="237" w:lineRule="auto"/>
        <w:rPr>
          <w:sz w:val="20"/>
          <w:szCs w:val="20"/>
          <w:color w:val="auto"/>
        </w:rPr>
      </w:pPr>
      <w:r>
        <w:rPr>
          <w:rFonts w:ascii="Courier New" w:cs="Courier New" w:eastAsia="Courier New" w:hAnsi="Courier New"/>
          <w:sz w:val="18"/>
          <w:szCs w:val="18"/>
          <w:color w:val="auto"/>
        </w:rPr>
        <w:t>As Operating Cash Flow is the measure of our segment profit or loss, we reconcile it to operating income, the most directly comparable financial measure calculated and presented in accordance with Generally Accepted Accounting Principles (GAAP), in the business segment footnote of our quarterly and annual financial statements. Therefore, we believe our measure of Operating Cash Flow for our business segments is not a "non-GAAP financial measure" as contemplated by Regulation G adopted by the Securities and Exchange Commission. Consolidated Operating Cash Flow is a non-GAAP financial measure.</w:t>
      </w:r>
    </w:p>
    <w:p>
      <w:pPr>
        <w:spacing w:after="0" w:line="11" w:lineRule="exact"/>
        <w:rPr>
          <w:sz w:val="20"/>
          <w:szCs w:val="20"/>
          <w:color w:val="auto"/>
        </w:rPr>
      </w:pPr>
    </w:p>
    <w:p>
      <w:pPr>
        <w:ind w:right="1999" w:firstLine="421"/>
        <w:spacing w:after="0" w:line="237" w:lineRule="auto"/>
        <w:rPr>
          <w:sz w:val="20"/>
          <w:szCs w:val="20"/>
          <w:color w:val="auto"/>
        </w:rPr>
      </w:pPr>
      <w:r>
        <w:rPr>
          <w:rFonts w:ascii="Courier New" w:cs="Courier New" w:eastAsia="Courier New" w:hAnsi="Courier New"/>
          <w:sz w:val="18"/>
          <w:szCs w:val="18"/>
          <w:color w:val="auto"/>
        </w:rPr>
        <w:t>Free Cash Flow, which is a non-GAAP financial measure, is defined as Operating Cash Flow less net interest, cash paid for taxes, and capital expenditures. As such, it is unaffected by fluctuations in working capital levels from period to period. It can also be computed as cash provided by operating activities less capital expenditures adjusted for the change in operating assets and liabilities, net of acquisitions. We believe that Free Cash Flow is also useful to investors as it is one of the bases for comparing our operating performance with other companies in our industries, although our measure of Free Cash Flow is accrual-based and may not be comparable to similar measures used by other companies.</w:t>
      </w:r>
    </w:p>
    <w:p>
      <w:pPr>
        <w:spacing w:after="0" w:line="12" w:lineRule="exact"/>
        <w:rPr>
          <w:sz w:val="20"/>
          <w:szCs w:val="20"/>
          <w:color w:val="auto"/>
        </w:rPr>
      </w:pPr>
    </w:p>
    <w:p>
      <w:pPr>
        <w:ind w:right="2419" w:firstLine="421"/>
        <w:spacing w:after="0" w:line="237" w:lineRule="auto"/>
        <w:rPr>
          <w:sz w:val="20"/>
          <w:szCs w:val="20"/>
          <w:color w:val="auto"/>
        </w:rPr>
      </w:pPr>
      <w:r>
        <w:rPr>
          <w:rFonts w:ascii="Courier New" w:cs="Courier New" w:eastAsia="Courier New" w:hAnsi="Courier New"/>
          <w:sz w:val="18"/>
          <w:szCs w:val="18"/>
          <w:color w:val="auto"/>
        </w:rPr>
        <w:t>Debt Excluding Exchangeables, which is a non-GAAP financial measure, refers to the aggregate amount of our consolidated debt and capital lease obligations less the amount of notes that are collateralized by securities that we own.</w:t>
      </w:r>
    </w:p>
    <w:p>
      <w:pPr>
        <w:spacing w:after="0" w:line="5" w:lineRule="exact"/>
        <w:rPr>
          <w:sz w:val="20"/>
          <w:szCs w:val="20"/>
          <w:color w:val="auto"/>
        </w:rPr>
      </w:pPr>
    </w:p>
    <w:p>
      <w:pPr>
        <w:ind w:right="2099" w:firstLine="421"/>
        <w:spacing w:after="0" w:line="237" w:lineRule="auto"/>
        <w:rPr>
          <w:sz w:val="20"/>
          <w:szCs w:val="20"/>
          <w:color w:val="auto"/>
        </w:rPr>
      </w:pPr>
      <w:r>
        <w:rPr>
          <w:rFonts w:ascii="Courier New" w:cs="Courier New" w:eastAsia="Courier New" w:hAnsi="Courier New"/>
          <w:sz w:val="18"/>
          <w:szCs w:val="18"/>
          <w:color w:val="auto"/>
        </w:rPr>
        <w:t>Pro forma data is used by management to evaluate performance when significant acquisitions or dispositions occur. Historical data reflects results of acquired businesses only after the acquisition dates while pro forma data enhances comparability of financial information between periods by adjusting the data as if the acquisitions (or dispositions) occurred at the beginning of the prior year. Our pro forma data is only adjusted for the timing of acquisitions and does not include adjustments for costs related to integration activities, cost savings or synergies that have been or may be achieved by the combined businesses. We believe our pro forma data is not a non-GAAP financial measure as contemplated by Regulation G.</w:t>
      </w:r>
    </w:p>
    <w:p>
      <w:pPr>
        <w:spacing w:after="0" w:line="12" w:lineRule="exact"/>
        <w:rPr>
          <w:sz w:val="20"/>
          <w:szCs w:val="20"/>
          <w:color w:val="auto"/>
        </w:rPr>
      </w:pPr>
    </w:p>
    <w:p>
      <w:pPr>
        <w:ind w:right="1999" w:firstLine="421"/>
        <w:spacing w:after="0" w:line="237" w:lineRule="auto"/>
        <w:rPr>
          <w:sz w:val="20"/>
          <w:szCs w:val="20"/>
          <w:color w:val="auto"/>
        </w:rPr>
      </w:pPr>
      <w:r>
        <w:rPr>
          <w:rFonts w:ascii="Courier New" w:cs="Courier New" w:eastAsia="Courier New" w:hAnsi="Courier New"/>
          <w:sz w:val="18"/>
          <w:szCs w:val="18"/>
          <w:color w:val="auto"/>
        </w:rPr>
        <w:t>Operating Cash Flow and Free Cash Flow should not be considered as substitutes for operating income (loss), net income (loss), net cash provided by operating activities or other measures of performance or liquidity reported in accordance with GAAP. Debt Excluding Exchangeables should not be considered as a substitute for Total Debt. Additionally, in the opinion of management, our pro forma data is not necessarily indicative of future results or what results would have been had the acquired businesses been operated by us after the assumed earlier date.</w:t>
      </w:r>
    </w:p>
    <w:p>
      <w:pPr>
        <w:spacing w:after="0" w:line="10" w:lineRule="exact"/>
        <w:rPr>
          <w:sz w:val="20"/>
          <w:szCs w:val="20"/>
          <w:color w:val="auto"/>
        </w:rPr>
      </w:pPr>
    </w:p>
    <w:p>
      <w:pPr>
        <w:ind w:right="2199" w:firstLine="421"/>
        <w:spacing w:after="0" w:line="237" w:lineRule="auto"/>
        <w:rPr>
          <w:sz w:val="20"/>
          <w:szCs w:val="20"/>
          <w:color w:val="auto"/>
        </w:rPr>
      </w:pPr>
      <w:r>
        <w:rPr>
          <w:rFonts w:ascii="Courier New" w:cs="Courier New" w:eastAsia="Courier New" w:hAnsi="Courier New"/>
          <w:sz w:val="18"/>
          <w:szCs w:val="18"/>
          <w:color w:val="auto"/>
        </w:rPr>
        <w:t>Following are quantitative reconciliations of Free Cash Flow, Debt Excluding Exchangeables, Consolidated Operating Cash Flow, and, although not required by Regulation G, reconciliations of business segment Operating Cash Flow and pro forma data.</w:t>
      </w:r>
    </w:p>
    <w:p>
      <w:pPr>
        <w:spacing w:after="0" w:line="200" w:lineRule="exact"/>
        <w:rPr>
          <w:sz w:val="20"/>
          <w:szCs w:val="20"/>
          <w:color w:val="auto"/>
        </w:rPr>
      </w:pPr>
    </w:p>
    <w:p>
      <w:pPr>
        <w:spacing w:after="0" w:line="204"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COMCAST CORPORATION</w:t>
      </w:r>
    </w:p>
    <w:p>
      <w:pPr>
        <w:ind w:left="3280"/>
        <w:spacing w:after="0" w:line="238" w:lineRule="auto"/>
        <w:rPr>
          <w:sz w:val="20"/>
          <w:szCs w:val="20"/>
          <w:color w:val="auto"/>
        </w:rPr>
      </w:pPr>
      <w:r>
        <w:rPr>
          <w:rFonts w:ascii="Courier New" w:cs="Courier New" w:eastAsia="Courier New" w:hAnsi="Courier New"/>
          <w:sz w:val="18"/>
          <w:szCs w:val="18"/>
          <w:color w:val="auto"/>
        </w:rPr>
        <w:t>TABLE 6-A continued</w:t>
      </w:r>
    </w:p>
    <w:p>
      <w:pPr>
        <w:jc w:val="center"/>
        <w:ind w:right="1679"/>
        <w:spacing w:after="0"/>
        <w:rPr>
          <w:sz w:val="20"/>
          <w:szCs w:val="20"/>
          <w:color w:val="auto"/>
        </w:rPr>
      </w:pPr>
      <w:r>
        <w:rPr>
          <w:rFonts w:ascii="Courier New" w:cs="Courier New" w:eastAsia="Courier New" w:hAnsi="Courier New"/>
          <w:sz w:val="18"/>
          <w:szCs w:val="18"/>
          <w:color w:val="auto"/>
        </w:rPr>
        <w:t>Reconciliation of Historical and Pro Forma Data by Business Segment</w:t>
      </w:r>
    </w:p>
    <w:p>
      <w:pPr>
        <w:jc w:val="center"/>
        <w:ind w:right="1679"/>
        <w:spacing w:after="0" w:line="237" w:lineRule="auto"/>
        <w:rPr>
          <w:sz w:val="20"/>
          <w:szCs w:val="20"/>
          <w:color w:val="auto"/>
        </w:rPr>
      </w:pPr>
      <w:r>
        <w:rPr>
          <w:rFonts w:ascii="Courier New" w:cs="Courier New" w:eastAsia="Courier New" w:hAnsi="Courier New"/>
          <w:sz w:val="18"/>
          <w:szCs w:val="18"/>
          <w:color w:val="auto"/>
        </w:rPr>
        <w:t>(Unaudited)</w:t>
      </w:r>
    </w:p>
    <w:p>
      <w:pPr>
        <w:jc w:val="center"/>
        <w:ind w:right="1679"/>
        <w:spacing w:after="0" w:line="238" w:lineRule="auto"/>
        <w:rPr>
          <w:sz w:val="20"/>
          <w:szCs w:val="20"/>
          <w:color w:val="auto"/>
        </w:rPr>
      </w:pPr>
      <w:r>
        <w:rPr>
          <w:rFonts w:ascii="Courier New" w:cs="Courier New" w:eastAsia="Courier New" w:hAnsi="Courier New"/>
          <w:sz w:val="18"/>
          <w:szCs w:val="18"/>
          <w:color w:val="auto"/>
        </w:rPr>
        <w:t>(dollars in millions)</w:t>
      </w:r>
    </w:p>
    <w:p>
      <w:pPr>
        <w:spacing w:after="0" w:line="202"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Historical (1)</w:t>
      </w:r>
    </w:p>
    <w:tbl>
      <w:tblPr>
        <w:tblLayout w:type="fixed"/>
        <w:tblInd w:w="420" w:type="dxa"/>
        <w:tblCellMar>
          <w:top w:w="0" w:type="dxa"/>
          <w:left w:w="0" w:type="dxa"/>
          <w:bottom w:w="0" w:type="dxa"/>
          <w:right w:w="0" w:type="dxa"/>
        </w:tblCellMar>
      </w:tblPr>
      <w:tr>
        <w:trPr>
          <w:trHeight w:val="203"/>
        </w:trPr>
        <w:tc>
          <w:tcPr>
            <w:tcW w:w="17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7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Adjustments (2)</w:t>
            </w:r>
          </w:p>
        </w:tc>
        <w:tc>
          <w:tcPr>
            <w:tcW w:w="680" w:type="dxa"/>
            <w:vAlign w:val="bottom"/>
          </w:tcPr>
          <w:p>
            <w:pPr>
              <w:spacing w:after="0"/>
              <w:rPr>
                <w:sz w:val="17"/>
                <w:szCs w:val="17"/>
                <w:color w:val="auto"/>
              </w:rPr>
            </w:pPr>
          </w:p>
        </w:tc>
      </w:tr>
      <w:tr>
        <w:trPr>
          <w:trHeight w:val="405"/>
        </w:trPr>
        <w:tc>
          <w:tcPr>
            <w:tcW w:w="1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Courier New" w:cs="Courier New" w:eastAsia="Courier New" w:hAnsi="Courier New"/>
                <w:sz w:val="18"/>
                <w:szCs w:val="18"/>
                <w:color w:val="auto"/>
                <w:w w:val="98"/>
              </w:rPr>
              <w:t>Corporate</w:t>
            </w: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w w:val="94"/>
              </w:rPr>
              <w:t>Corporate</w:t>
            </w:r>
          </w:p>
        </w:tc>
        <w:tc>
          <w:tcPr>
            <w:tcW w:w="680" w:type="dxa"/>
            <w:vAlign w:val="bottom"/>
          </w:tcPr>
          <w:p>
            <w:pPr>
              <w:spacing w:after="0"/>
              <w:rPr>
                <w:sz w:val="24"/>
                <w:szCs w:val="24"/>
                <w:color w:val="auto"/>
              </w:rPr>
            </w:pPr>
          </w:p>
        </w:tc>
      </w:tr>
      <w:tr>
        <w:trPr>
          <w:trHeight w:val="203"/>
        </w:trPr>
        <w:tc>
          <w:tcPr>
            <w:tcW w:w="2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Three Months Ended</w:t>
            </w:r>
          </w:p>
        </w:tc>
        <w:tc>
          <w:tcPr>
            <w:tcW w:w="900" w:type="dxa"/>
            <w:vAlign w:val="bottom"/>
          </w:tcPr>
          <w:p>
            <w:pPr>
              <w:spacing w:after="0"/>
              <w:rPr>
                <w:sz w:val="17"/>
                <w:szCs w:val="17"/>
                <w:color w:val="auto"/>
              </w:rPr>
            </w:pPr>
          </w:p>
        </w:tc>
        <w:tc>
          <w:tcPr>
            <w:tcW w:w="10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and</w:t>
            </w:r>
          </w:p>
        </w:tc>
        <w:tc>
          <w:tcPr>
            <w:tcW w:w="8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and</w:t>
            </w:r>
          </w:p>
        </w:tc>
        <w:tc>
          <w:tcPr>
            <w:tcW w:w="6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Pro</w:t>
            </w:r>
          </w:p>
        </w:tc>
      </w:tr>
      <w:tr>
        <w:trPr>
          <w:trHeight w:val="203"/>
        </w:trPr>
        <w:tc>
          <w:tcPr>
            <w:tcW w:w="1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June 30, 2004</w:t>
            </w: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Cable</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Content</w:t>
            </w:r>
          </w:p>
        </w:tc>
        <w:tc>
          <w:tcPr>
            <w:tcW w:w="10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Other</w:t>
            </w: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Total</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Cable</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Other</w:t>
            </w: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forma</w:t>
            </w: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rPr>
              <w:t>Revenues</w:t>
            </w: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$4,838</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$199</w:t>
            </w:r>
          </w:p>
        </w:tc>
        <w:tc>
          <w:tcPr>
            <w:tcW w:w="10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$29</w:t>
            </w: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$5,066</w:t>
            </w: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w:t>
            </w:r>
          </w:p>
        </w:tc>
        <w:tc>
          <w:tcPr>
            <w:tcW w:w="10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$5,067</w:t>
            </w: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w:t>
            </w:r>
          </w:p>
        </w:tc>
        <w:tc>
          <w:tcPr>
            <w:tcW w:w="8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1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expenses</w:t>
            </w:r>
          </w:p>
        </w:tc>
        <w:tc>
          <w:tcPr>
            <w:tcW w:w="8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1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(excluding</w:t>
            </w:r>
          </w:p>
        </w:tc>
        <w:tc>
          <w:tcPr>
            <w:tcW w:w="8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1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depreciation</w:t>
            </w:r>
          </w:p>
        </w:tc>
        <w:tc>
          <w:tcPr>
            <w:tcW w:w="8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1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8"/>
              </w:rPr>
              <w:t>&amp; amortization)</w:t>
            </w: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2,918</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122</w:t>
            </w:r>
          </w:p>
        </w:tc>
        <w:tc>
          <w:tcPr>
            <w:tcW w:w="10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74</w:t>
            </w: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3,114</w:t>
            </w: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w:t>
            </w:r>
          </w:p>
        </w:tc>
        <w:tc>
          <w:tcPr>
            <w:tcW w:w="10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3,115</w:t>
            </w: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w:t>
            </w:r>
          </w:p>
        </w:tc>
        <w:tc>
          <w:tcPr>
            <w:tcW w:w="8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1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Cash Flow</w:t>
            </w: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$1,920</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$77</w:t>
            </w:r>
          </w:p>
        </w:tc>
        <w:tc>
          <w:tcPr>
            <w:tcW w:w="10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($45)</w:t>
            </w: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$1,952</w:t>
            </w: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$1,952</w:t>
            </w: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Depreciation and</w:t>
            </w:r>
          </w:p>
        </w:tc>
        <w:tc>
          <w:tcPr>
            <w:tcW w:w="8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1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amortization</w:t>
            </w: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1,043</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39</w:t>
            </w:r>
          </w:p>
        </w:tc>
        <w:tc>
          <w:tcPr>
            <w:tcW w:w="10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18</w:t>
            </w: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1,100</w:t>
            </w: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1,100</w:t>
            </w: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w:t>
            </w:r>
          </w:p>
        </w:tc>
        <w:tc>
          <w:tcPr>
            <w:tcW w:w="8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1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income (loss)</w:t>
            </w: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$877</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$38</w:t>
            </w:r>
          </w:p>
        </w:tc>
        <w:tc>
          <w:tcPr>
            <w:tcW w:w="10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($63)</w:t>
            </w: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$852</w:t>
            </w: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$852</w:t>
            </w: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rPr>
              <w:t>Capital</w:t>
            </w:r>
          </w:p>
        </w:tc>
        <w:tc>
          <w:tcPr>
            <w:tcW w:w="8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1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expenditures</w:t>
            </w: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$893</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w:t>
            </w:r>
          </w:p>
        </w:tc>
        <w:tc>
          <w:tcPr>
            <w:tcW w:w="10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$5</w:t>
            </w: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$904</w:t>
            </w: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$904</w:t>
            </w:r>
          </w:p>
        </w:tc>
      </w:tr>
    </w:tbl>
    <w:p>
      <w:pPr>
        <w:spacing w:after="0" w:line="200" w:lineRule="exact"/>
        <w:rPr>
          <w:sz w:val="20"/>
          <w:szCs w:val="20"/>
          <w:color w:val="auto"/>
        </w:rPr>
      </w:pPr>
    </w:p>
    <w:p>
      <w:pPr>
        <w:spacing w:after="0" w:line="204" w:lineRule="exact"/>
        <w:rPr>
          <w:sz w:val="20"/>
          <w:szCs w:val="20"/>
          <w:color w:val="auto"/>
        </w:rPr>
      </w:pPr>
    </w:p>
    <w:p>
      <w:pPr>
        <w:ind w:left="5800"/>
        <w:spacing w:after="0"/>
        <w:rPr>
          <w:sz w:val="20"/>
          <w:szCs w:val="20"/>
          <w:color w:val="auto"/>
        </w:rPr>
      </w:pPr>
      <w:r>
        <w:rPr>
          <w:rFonts w:ascii="Courier New" w:cs="Courier New" w:eastAsia="Courier New" w:hAnsi="Courier New"/>
          <w:sz w:val="18"/>
          <w:szCs w:val="18"/>
          <w:color w:val="auto"/>
        </w:rPr>
        <w:t>Adjustments (2)</w:t>
      </w:r>
    </w:p>
    <w:p>
      <w:pPr>
        <w:sectPr>
          <w:pgSz w:w="11900" w:h="16838" w:orient="portrait"/>
          <w:cols w:equalWidth="0" w:num="1">
            <w:col w:w="10219"/>
          </w:cols>
          <w:pgMar w:left="240" w:top="142" w:right="1440" w:bottom="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04"/>
        </w:trPr>
        <w:tc>
          <w:tcPr>
            <w:tcW w:w="17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Courier New" w:cs="Courier New" w:eastAsia="Courier New" w:hAnsi="Courier New"/>
                <w:sz w:val="18"/>
                <w:szCs w:val="18"/>
                <w:color w:val="auto"/>
                <w:w w:val="98"/>
              </w:rPr>
              <w:t>Corporate</w:t>
            </w:r>
          </w:p>
        </w:tc>
        <w:tc>
          <w:tcPr>
            <w:tcW w:w="8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0" w:type="dxa"/>
            <w:vAlign w:val="bottom"/>
          </w:tcPr>
          <w:p>
            <w:pPr>
              <w:jc w:val="center"/>
              <w:spacing w:after="0"/>
              <w:rPr>
                <w:sz w:val="20"/>
                <w:szCs w:val="20"/>
                <w:color w:val="auto"/>
              </w:rPr>
            </w:pPr>
            <w:r>
              <w:rPr>
                <w:rFonts w:ascii="Courier New" w:cs="Courier New" w:eastAsia="Courier New" w:hAnsi="Courier New"/>
                <w:sz w:val="18"/>
                <w:szCs w:val="18"/>
                <w:color w:val="auto"/>
                <w:w w:val="96"/>
              </w:rPr>
              <w:t>Corporate</w:t>
            </w:r>
          </w:p>
        </w:tc>
        <w:tc>
          <w:tcPr>
            <w:tcW w:w="680" w:type="dxa"/>
            <w:vAlign w:val="bottom"/>
          </w:tcPr>
          <w:p>
            <w:pPr>
              <w:spacing w:after="0"/>
              <w:rPr>
                <w:sz w:val="17"/>
                <w:szCs w:val="17"/>
                <w:color w:val="auto"/>
              </w:rPr>
            </w:pPr>
          </w:p>
        </w:tc>
      </w:tr>
      <w:tr>
        <w:trPr>
          <w:trHeight w:val="203"/>
        </w:trPr>
        <w:tc>
          <w:tcPr>
            <w:tcW w:w="2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Three Months Ended</w:t>
            </w:r>
          </w:p>
        </w:tc>
        <w:tc>
          <w:tcPr>
            <w:tcW w:w="900" w:type="dxa"/>
            <w:vAlign w:val="bottom"/>
          </w:tcPr>
          <w:p>
            <w:pPr>
              <w:spacing w:after="0"/>
              <w:rPr>
                <w:sz w:val="17"/>
                <w:szCs w:val="17"/>
                <w:color w:val="auto"/>
              </w:rPr>
            </w:pPr>
          </w:p>
        </w:tc>
        <w:tc>
          <w:tcPr>
            <w:tcW w:w="10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and</w:t>
            </w:r>
          </w:p>
        </w:tc>
        <w:tc>
          <w:tcPr>
            <w:tcW w:w="8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and</w:t>
            </w:r>
          </w:p>
        </w:tc>
        <w:tc>
          <w:tcPr>
            <w:tcW w:w="6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2"/>
              </w:rPr>
              <w:t>Pro</w:t>
            </w:r>
          </w:p>
        </w:tc>
      </w:tr>
      <w:tr>
        <w:trPr>
          <w:trHeight w:val="203"/>
        </w:trPr>
        <w:tc>
          <w:tcPr>
            <w:tcW w:w="1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June 30, 2003</w:t>
            </w: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Cable</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Content</w:t>
            </w:r>
          </w:p>
        </w:tc>
        <w:tc>
          <w:tcPr>
            <w:tcW w:w="10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Other</w:t>
            </w: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Total</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Cable</w:t>
            </w:r>
          </w:p>
        </w:tc>
        <w:tc>
          <w:tcPr>
            <w:tcW w:w="10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9"/>
              </w:rPr>
              <w:t>Other</w:t>
            </w:r>
          </w:p>
        </w:tc>
        <w:tc>
          <w:tcPr>
            <w:tcW w:w="6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9"/>
              </w:rPr>
              <w:t>forma</w:t>
            </w: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rPr>
              <w:t>Revenues</w:t>
            </w: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$4,379</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$159</w:t>
            </w:r>
          </w:p>
        </w:tc>
        <w:tc>
          <w:tcPr>
            <w:tcW w:w="10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$56</w:t>
            </w: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$4,594</w:t>
            </w: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w:t>
            </w:r>
          </w:p>
        </w:tc>
        <w:tc>
          <w:tcPr>
            <w:tcW w:w="10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$4,597</w:t>
            </w: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w:t>
            </w:r>
          </w:p>
        </w:tc>
        <w:tc>
          <w:tcPr>
            <w:tcW w:w="8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1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expenses</w:t>
            </w:r>
          </w:p>
        </w:tc>
        <w:tc>
          <w:tcPr>
            <w:tcW w:w="8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1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(excluding</w:t>
            </w:r>
          </w:p>
        </w:tc>
        <w:tc>
          <w:tcPr>
            <w:tcW w:w="8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1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depreciation</w:t>
            </w:r>
          </w:p>
        </w:tc>
        <w:tc>
          <w:tcPr>
            <w:tcW w:w="8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1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8"/>
              </w:rPr>
              <w:t>&amp; amortization)</w:t>
            </w: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2,782</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103</w:t>
            </w:r>
          </w:p>
        </w:tc>
        <w:tc>
          <w:tcPr>
            <w:tcW w:w="10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97</w:t>
            </w: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2,982</w:t>
            </w: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w:t>
            </w:r>
          </w:p>
        </w:tc>
        <w:tc>
          <w:tcPr>
            <w:tcW w:w="10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2,984</w:t>
            </w: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w:t>
            </w:r>
          </w:p>
        </w:tc>
        <w:tc>
          <w:tcPr>
            <w:tcW w:w="8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1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Cash Flow</w:t>
            </w: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$1,597</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$56</w:t>
            </w:r>
          </w:p>
        </w:tc>
        <w:tc>
          <w:tcPr>
            <w:tcW w:w="10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($41)</w:t>
            </w: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$1,612</w:t>
            </w: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w:t>
            </w:r>
          </w:p>
        </w:tc>
        <w:tc>
          <w:tcPr>
            <w:tcW w:w="10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$1,613</w:t>
            </w: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Depreciation and</w:t>
            </w:r>
          </w:p>
        </w:tc>
        <w:tc>
          <w:tcPr>
            <w:tcW w:w="8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1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amortization</w:t>
            </w: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1,133</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32</w:t>
            </w:r>
          </w:p>
        </w:tc>
        <w:tc>
          <w:tcPr>
            <w:tcW w:w="10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22</w:t>
            </w: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1,187</w:t>
            </w: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1,187</w:t>
            </w: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w:t>
            </w:r>
          </w:p>
        </w:tc>
        <w:tc>
          <w:tcPr>
            <w:tcW w:w="8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1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income (loss)</w:t>
            </w: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$464</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$24</w:t>
            </w:r>
          </w:p>
        </w:tc>
        <w:tc>
          <w:tcPr>
            <w:tcW w:w="10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($63)</w:t>
            </w: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$425</w:t>
            </w: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w:t>
            </w:r>
          </w:p>
        </w:tc>
        <w:tc>
          <w:tcPr>
            <w:tcW w:w="10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$426</w:t>
            </w: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rPr>
              <w:t>Capital</w:t>
            </w:r>
          </w:p>
        </w:tc>
        <w:tc>
          <w:tcPr>
            <w:tcW w:w="8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1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expenditures</w:t>
            </w: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$1,047</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w:t>
            </w:r>
          </w:p>
        </w:tc>
        <w:tc>
          <w:tcPr>
            <w:tcW w:w="10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$3</w:t>
            </w: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$1,054</w:t>
            </w: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$1,054</w:t>
            </w:r>
          </w:p>
        </w:tc>
      </w:tr>
      <w:tr>
        <w:trPr>
          <w:trHeight w:val="608"/>
        </w:trPr>
        <w:tc>
          <w:tcPr>
            <w:tcW w:w="1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7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Adjustments (2)</w:t>
            </w:r>
          </w:p>
        </w:tc>
        <w:tc>
          <w:tcPr>
            <w:tcW w:w="680" w:type="dxa"/>
            <w:vAlign w:val="bottom"/>
          </w:tcPr>
          <w:p>
            <w:pPr>
              <w:spacing w:after="0"/>
              <w:rPr>
                <w:sz w:val="24"/>
                <w:szCs w:val="24"/>
                <w:color w:val="auto"/>
              </w:rPr>
            </w:pPr>
          </w:p>
        </w:tc>
      </w:tr>
      <w:tr>
        <w:trPr>
          <w:trHeight w:val="405"/>
        </w:trPr>
        <w:tc>
          <w:tcPr>
            <w:tcW w:w="1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Courier New" w:cs="Courier New" w:eastAsia="Courier New" w:hAnsi="Courier New"/>
                <w:sz w:val="18"/>
                <w:szCs w:val="18"/>
                <w:color w:val="auto"/>
                <w:w w:val="98"/>
              </w:rPr>
              <w:t>Corporate</w:t>
            </w: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Courier New" w:cs="Courier New" w:eastAsia="Courier New" w:hAnsi="Courier New"/>
                <w:sz w:val="18"/>
                <w:szCs w:val="18"/>
                <w:color w:val="auto"/>
                <w:w w:val="96"/>
              </w:rPr>
              <w:t>Corporate</w:t>
            </w:r>
          </w:p>
        </w:tc>
        <w:tc>
          <w:tcPr>
            <w:tcW w:w="680" w:type="dxa"/>
            <w:vAlign w:val="bottom"/>
          </w:tcPr>
          <w:p>
            <w:pPr>
              <w:spacing w:after="0"/>
              <w:rPr>
                <w:sz w:val="24"/>
                <w:szCs w:val="24"/>
                <w:color w:val="auto"/>
              </w:rPr>
            </w:pP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Six Months Ended</w:t>
            </w:r>
          </w:p>
        </w:tc>
        <w:tc>
          <w:tcPr>
            <w:tcW w:w="8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and</w:t>
            </w:r>
          </w:p>
        </w:tc>
        <w:tc>
          <w:tcPr>
            <w:tcW w:w="8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and</w:t>
            </w:r>
          </w:p>
        </w:tc>
        <w:tc>
          <w:tcPr>
            <w:tcW w:w="6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2"/>
              </w:rPr>
              <w:t>Pro</w:t>
            </w:r>
          </w:p>
        </w:tc>
      </w:tr>
      <w:tr>
        <w:trPr>
          <w:trHeight w:val="203"/>
        </w:trPr>
        <w:tc>
          <w:tcPr>
            <w:tcW w:w="1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June 30, 2004</w:t>
            </w: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Cable</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Content</w:t>
            </w:r>
          </w:p>
        </w:tc>
        <w:tc>
          <w:tcPr>
            <w:tcW w:w="10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Other</w:t>
            </w: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Total</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Cable</w:t>
            </w:r>
          </w:p>
        </w:tc>
        <w:tc>
          <w:tcPr>
            <w:tcW w:w="10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9"/>
              </w:rPr>
              <w:t>Other</w:t>
            </w:r>
          </w:p>
        </w:tc>
        <w:tc>
          <w:tcPr>
            <w:tcW w:w="6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9"/>
              </w:rPr>
              <w:t>forma</w:t>
            </w: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rPr>
              <w:t>Revenues</w:t>
            </w: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$9,485</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$375</w:t>
            </w:r>
          </w:p>
        </w:tc>
        <w:tc>
          <w:tcPr>
            <w:tcW w:w="10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$114</w:t>
            </w: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$9,974</w:t>
            </w: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w:t>
            </w:r>
          </w:p>
        </w:tc>
        <w:tc>
          <w:tcPr>
            <w:tcW w:w="10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$9,979</w:t>
            </w: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w:t>
            </w:r>
          </w:p>
        </w:tc>
        <w:tc>
          <w:tcPr>
            <w:tcW w:w="8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1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expenses</w:t>
            </w:r>
          </w:p>
        </w:tc>
        <w:tc>
          <w:tcPr>
            <w:tcW w:w="8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1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(excluding</w:t>
            </w:r>
          </w:p>
        </w:tc>
        <w:tc>
          <w:tcPr>
            <w:tcW w:w="8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1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depreciation</w:t>
            </w:r>
          </w:p>
        </w:tc>
        <w:tc>
          <w:tcPr>
            <w:tcW w:w="8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1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8"/>
              </w:rPr>
              <w:t>&amp; amortization)</w:t>
            </w: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5,846</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229</w:t>
            </w:r>
          </w:p>
        </w:tc>
        <w:tc>
          <w:tcPr>
            <w:tcW w:w="10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214</w:t>
            </w: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6,289</w:t>
            </w: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w:t>
            </w:r>
          </w:p>
        </w:tc>
        <w:tc>
          <w:tcPr>
            <w:tcW w:w="10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6,292</w:t>
            </w: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w:t>
            </w:r>
          </w:p>
        </w:tc>
        <w:tc>
          <w:tcPr>
            <w:tcW w:w="8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1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Cash Flow</w:t>
            </w: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$3,639</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$146</w:t>
            </w:r>
          </w:p>
        </w:tc>
        <w:tc>
          <w:tcPr>
            <w:tcW w:w="10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($100)</w:t>
            </w: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$3,685</w:t>
            </w: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w:t>
            </w:r>
          </w:p>
        </w:tc>
        <w:tc>
          <w:tcPr>
            <w:tcW w:w="10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$3,687</w:t>
            </w: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Depreciation and</w:t>
            </w:r>
          </w:p>
        </w:tc>
        <w:tc>
          <w:tcPr>
            <w:tcW w:w="8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1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amortization</w:t>
            </w: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2,060</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74</w:t>
            </w:r>
          </w:p>
        </w:tc>
        <w:tc>
          <w:tcPr>
            <w:tcW w:w="10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40</w:t>
            </w: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2,174</w:t>
            </w: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2,174</w:t>
            </w: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w:t>
            </w:r>
          </w:p>
        </w:tc>
        <w:tc>
          <w:tcPr>
            <w:tcW w:w="8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1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income (loss)</w:t>
            </w: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$1,579</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$72</w:t>
            </w:r>
          </w:p>
        </w:tc>
        <w:tc>
          <w:tcPr>
            <w:tcW w:w="10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($140)</w:t>
            </w: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$1,511</w:t>
            </w: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w:t>
            </w:r>
          </w:p>
        </w:tc>
        <w:tc>
          <w:tcPr>
            <w:tcW w:w="10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$1,513</w:t>
            </w: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rPr>
              <w:t>Capital</w:t>
            </w:r>
          </w:p>
        </w:tc>
        <w:tc>
          <w:tcPr>
            <w:tcW w:w="8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1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expenditures</w:t>
            </w: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$1,707</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w:t>
            </w:r>
          </w:p>
        </w:tc>
        <w:tc>
          <w:tcPr>
            <w:tcW w:w="10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$15</w:t>
            </w: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$1,732</w:t>
            </w: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$1,732</w:t>
            </w:r>
          </w:p>
        </w:tc>
      </w:tr>
      <w:tr>
        <w:trPr>
          <w:trHeight w:val="608"/>
        </w:trPr>
        <w:tc>
          <w:tcPr>
            <w:tcW w:w="1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7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Adjustments (2)</w:t>
            </w:r>
          </w:p>
        </w:tc>
        <w:tc>
          <w:tcPr>
            <w:tcW w:w="680" w:type="dxa"/>
            <w:vAlign w:val="bottom"/>
          </w:tcPr>
          <w:p>
            <w:pPr>
              <w:spacing w:after="0"/>
              <w:rPr>
                <w:sz w:val="24"/>
                <w:szCs w:val="24"/>
                <w:color w:val="auto"/>
              </w:rPr>
            </w:pPr>
          </w:p>
        </w:tc>
      </w:tr>
      <w:tr>
        <w:trPr>
          <w:trHeight w:val="405"/>
        </w:trPr>
        <w:tc>
          <w:tcPr>
            <w:tcW w:w="1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Courier New" w:cs="Courier New" w:eastAsia="Courier New" w:hAnsi="Courier New"/>
                <w:sz w:val="18"/>
                <w:szCs w:val="18"/>
                <w:color w:val="auto"/>
                <w:w w:val="98"/>
              </w:rPr>
              <w:t>Corporate</w:t>
            </w: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Courier New" w:cs="Courier New" w:eastAsia="Courier New" w:hAnsi="Courier New"/>
                <w:sz w:val="18"/>
                <w:szCs w:val="18"/>
                <w:color w:val="auto"/>
                <w:w w:val="96"/>
              </w:rPr>
              <w:t>Corporate</w:t>
            </w:r>
          </w:p>
        </w:tc>
        <w:tc>
          <w:tcPr>
            <w:tcW w:w="680" w:type="dxa"/>
            <w:vAlign w:val="bottom"/>
          </w:tcPr>
          <w:p>
            <w:pPr>
              <w:spacing w:after="0"/>
              <w:rPr>
                <w:sz w:val="24"/>
                <w:szCs w:val="24"/>
                <w:color w:val="auto"/>
              </w:rPr>
            </w:pP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Six Months Ended</w:t>
            </w:r>
          </w:p>
        </w:tc>
        <w:tc>
          <w:tcPr>
            <w:tcW w:w="8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and</w:t>
            </w:r>
          </w:p>
        </w:tc>
        <w:tc>
          <w:tcPr>
            <w:tcW w:w="8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and</w:t>
            </w:r>
          </w:p>
        </w:tc>
        <w:tc>
          <w:tcPr>
            <w:tcW w:w="6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2"/>
              </w:rPr>
              <w:t>Pro</w:t>
            </w:r>
          </w:p>
        </w:tc>
      </w:tr>
      <w:tr>
        <w:trPr>
          <w:trHeight w:val="203"/>
        </w:trPr>
        <w:tc>
          <w:tcPr>
            <w:tcW w:w="1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June 30, 2003</w:t>
            </w: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Cable</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Content</w:t>
            </w:r>
          </w:p>
        </w:tc>
        <w:tc>
          <w:tcPr>
            <w:tcW w:w="10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Other</w:t>
            </w: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Total</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Cable</w:t>
            </w:r>
          </w:p>
        </w:tc>
        <w:tc>
          <w:tcPr>
            <w:tcW w:w="10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9"/>
              </w:rPr>
              <w:t>Other</w:t>
            </w:r>
          </w:p>
        </w:tc>
        <w:tc>
          <w:tcPr>
            <w:tcW w:w="6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9"/>
              </w:rPr>
              <w:t>forma</w:t>
            </w: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rPr>
              <w:t>Revenues</w:t>
            </w: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$8,611</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$304</w:t>
            </w:r>
          </w:p>
        </w:tc>
        <w:tc>
          <w:tcPr>
            <w:tcW w:w="10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$145</w:t>
            </w: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$9,060</w:t>
            </w: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w:t>
            </w:r>
          </w:p>
        </w:tc>
        <w:tc>
          <w:tcPr>
            <w:tcW w:w="10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$9,066</w:t>
            </w: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w:t>
            </w:r>
          </w:p>
        </w:tc>
        <w:tc>
          <w:tcPr>
            <w:tcW w:w="8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1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expenses</w:t>
            </w:r>
          </w:p>
        </w:tc>
        <w:tc>
          <w:tcPr>
            <w:tcW w:w="8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1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(excluding</w:t>
            </w:r>
          </w:p>
        </w:tc>
        <w:tc>
          <w:tcPr>
            <w:tcW w:w="8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1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depreciation</w:t>
            </w:r>
          </w:p>
        </w:tc>
        <w:tc>
          <w:tcPr>
            <w:tcW w:w="8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1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8"/>
              </w:rPr>
              <w:t>&amp; amortization)</w:t>
            </w: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5,593</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207</w:t>
            </w:r>
          </w:p>
        </w:tc>
        <w:tc>
          <w:tcPr>
            <w:tcW w:w="10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220</w:t>
            </w: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6,020</w:t>
            </w: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w:t>
            </w:r>
          </w:p>
        </w:tc>
        <w:tc>
          <w:tcPr>
            <w:tcW w:w="10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6,023</w:t>
            </w: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w:t>
            </w:r>
          </w:p>
        </w:tc>
        <w:tc>
          <w:tcPr>
            <w:tcW w:w="8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1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Cash Flow</w:t>
            </w: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$3,018</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$97</w:t>
            </w:r>
          </w:p>
        </w:tc>
        <w:tc>
          <w:tcPr>
            <w:tcW w:w="10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($75)</w:t>
            </w: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$3,040</w:t>
            </w: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w:t>
            </w:r>
          </w:p>
        </w:tc>
        <w:tc>
          <w:tcPr>
            <w:tcW w:w="10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$3,043</w:t>
            </w: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Depreciation and</w:t>
            </w:r>
          </w:p>
        </w:tc>
        <w:tc>
          <w:tcPr>
            <w:tcW w:w="8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1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amortization</w:t>
            </w: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2,213</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64</w:t>
            </w:r>
          </w:p>
        </w:tc>
        <w:tc>
          <w:tcPr>
            <w:tcW w:w="10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44</w:t>
            </w: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2,321</w:t>
            </w: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2,321</w:t>
            </w: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w:t>
            </w:r>
          </w:p>
        </w:tc>
        <w:tc>
          <w:tcPr>
            <w:tcW w:w="8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1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income (loss)</w:t>
            </w: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$805</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$33</w:t>
            </w:r>
          </w:p>
        </w:tc>
        <w:tc>
          <w:tcPr>
            <w:tcW w:w="10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($119)</w:t>
            </w: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$719</w:t>
            </w: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w:t>
            </w:r>
          </w:p>
        </w:tc>
        <w:tc>
          <w:tcPr>
            <w:tcW w:w="10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$722</w:t>
            </w: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rPr>
              <w:t>Capital</w:t>
            </w:r>
          </w:p>
        </w:tc>
        <w:tc>
          <w:tcPr>
            <w:tcW w:w="8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1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expenditures</w:t>
            </w: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$2,000</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w:t>
            </w:r>
          </w:p>
        </w:tc>
        <w:tc>
          <w:tcPr>
            <w:tcW w:w="10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$5</w:t>
            </w: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$2,012</w:t>
            </w: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$2,012</w:t>
            </w:r>
          </w:p>
        </w:tc>
      </w:tr>
    </w:tbl>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2199"/>
        <w:spacing w:after="0"/>
        <w:rPr>
          <w:sz w:val="20"/>
          <w:szCs w:val="20"/>
          <w:color w:val="auto"/>
        </w:rPr>
      </w:pPr>
      <w:r>
        <w:rPr>
          <w:rFonts w:ascii="Courier New" w:cs="Courier New" w:eastAsia="Courier New" w:hAnsi="Courier New"/>
          <w:sz w:val="16"/>
          <w:szCs w:val="16"/>
          <w:color w:val="auto"/>
        </w:rPr>
        <w:t>Reconciliation of Total Debt to Debt Excluding Exchangeables (Unaudited)</w:t>
      </w:r>
    </w:p>
    <w:p>
      <w:pPr>
        <w:spacing w:after="0" w:line="16" w:lineRule="exact"/>
        <w:rPr>
          <w:sz w:val="20"/>
          <w:szCs w:val="20"/>
          <w:color w:val="auto"/>
        </w:rPr>
      </w:pPr>
    </w:p>
    <w:p>
      <w:pPr>
        <w:jc w:val="center"/>
        <w:ind w:right="2099"/>
        <w:spacing w:after="0"/>
        <w:rPr>
          <w:sz w:val="20"/>
          <w:szCs w:val="20"/>
          <w:color w:val="auto"/>
        </w:rPr>
      </w:pPr>
      <w:r>
        <w:rPr>
          <w:rFonts w:ascii="Courier New" w:cs="Courier New" w:eastAsia="Courier New" w:hAnsi="Courier New"/>
          <w:sz w:val="18"/>
          <w:szCs w:val="18"/>
          <w:color w:val="auto"/>
        </w:rPr>
        <w:t>(dollars in millions)</w:t>
      </w:r>
    </w:p>
    <w:p>
      <w:pPr>
        <w:spacing w:after="0" w:line="201" w:lineRule="exact"/>
        <w:rPr>
          <w:sz w:val="20"/>
          <w:szCs w:val="20"/>
          <w:color w:val="auto"/>
        </w:rPr>
      </w:pPr>
    </w:p>
    <w:tbl>
      <w:tblPr>
        <w:tblLayout w:type="fixed"/>
        <w:tblInd w:w="320" w:type="dxa"/>
        <w:tblCellMar>
          <w:top w:w="0" w:type="dxa"/>
          <w:left w:w="0" w:type="dxa"/>
          <w:bottom w:w="0" w:type="dxa"/>
          <w:right w:w="0" w:type="dxa"/>
        </w:tblCellMar>
      </w:tblPr>
      <w:tr>
        <w:trPr>
          <w:trHeight w:val="204"/>
        </w:trPr>
        <w:tc>
          <w:tcPr>
            <w:tcW w:w="3580" w:type="dxa"/>
            <w:vAlign w:val="bottom"/>
          </w:tcPr>
          <w:p>
            <w:pPr>
              <w:spacing w:after="0"/>
              <w:rPr>
                <w:sz w:val="17"/>
                <w:szCs w:val="17"/>
                <w:color w:val="auto"/>
              </w:rPr>
            </w:pPr>
          </w:p>
        </w:tc>
        <w:tc>
          <w:tcPr>
            <w:tcW w:w="174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June 30, 2004</w:t>
            </w:r>
          </w:p>
        </w:tc>
        <w:tc>
          <w:tcPr>
            <w:tcW w:w="2060" w:type="dxa"/>
            <w:vAlign w:val="bottom"/>
          </w:tcPr>
          <w:p>
            <w:pPr>
              <w:jc w:val="right"/>
              <w:spacing w:after="0"/>
              <w:rPr>
                <w:sz w:val="20"/>
                <w:szCs w:val="20"/>
                <w:color w:val="auto"/>
              </w:rPr>
            </w:pPr>
            <w:r>
              <w:rPr>
                <w:rFonts w:ascii="Courier New" w:cs="Courier New" w:eastAsia="Courier New" w:hAnsi="Courier New"/>
                <w:sz w:val="18"/>
                <w:szCs w:val="18"/>
                <w:color w:val="auto"/>
              </w:rPr>
              <w:t>December 31, 2003</w:t>
            </w:r>
          </w:p>
        </w:tc>
      </w:tr>
      <w:tr>
        <w:trPr>
          <w:trHeight w:val="203"/>
        </w:trPr>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Current portion of long-term debt</w:t>
            </w:r>
          </w:p>
        </w:tc>
        <w:tc>
          <w:tcPr>
            <w:tcW w:w="174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$2,792</w:t>
            </w:r>
          </w:p>
        </w:tc>
        <w:tc>
          <w:tcPr>
            <w:tcW w:w="2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$3,161</w:t>
            </w:r>
          </w:p>
        </w:tc>
      </w:tr>
      <w:tr>
        <w:trPr>
          <w:trHeight w:val="203"/>
        </w:trPr>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Long-term debt</w:t>
            </w:r>
          </w:p>
        </w:tc>
        <w:tc>
          <w:tcPr>
            <w:tcW w:w="174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22,985</w:t>
            </w:r>
          </w:p>
        </w:tc>
        <w:tc>
          <w:tcPr>
            <w:tcW w:w="2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23,835</w:t>
            </w:r>
          </w:p>
        </w:tc>
      </w:tr>
      <w:tr>
        <w:trPr>
          <w:trHeight w:val="203"/>
        </w:trPr>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Debt</w:t>
            </w:r>
          </w:p>
        </w:tc>
        <w:tc>
          <w:tcPr>
            <w:tcW w:w="174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$25,777</w:t>
            </w:r>
          </w:p>
        </w:tc>
        <w:tc>
          <w:tcPr>
            <w:tcW w:w="2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$26,996</w:t>
            </w:r>
          </w:p>
        </w:tc>
      </w:tr>
      <w:tr>
        <w:trPr>
          <w:trHeight w:val="203"/>
        </w:trPr>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Exchangeable debt</w:t>
            </w:r>
          </w:p>
        </w:tc>
        <w:tc>
          <w:tcPr>
            <w:tcW w:w="174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3,360</w:t>
            </w:r>
          </w:p>
        </w:tc>
        <w:tc>
          <w:tcPr>
            <w:tcW w:w="2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4,318</w:t>
            </w:r>
          </w:p>
        </w:tc>
      </w:tr>
      <w:tr>
        <w:trPr>
          <w:trHeight w:val="203"/>
        </w:trPr>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Debt excluding exchangeables</w:t>
            </w:r>
          </w:p>
        </w:tc>
        <w:tc>
          <w:tcPr>
            <w:tcW w:w="174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$22,417</w:t>
            </w:r>
          </w:p>
        </w:tc>
        <w:tc>
          <w:tcPr>
            <w:tcW w:w="2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$22,678</w:t>
            </w:r>
          </w:p>
        </w:tc>
      </w:tr>
    </w:tbl>
    <w:p>
      <w:pPr>
        <w:spacing w:after="0" w:line="200" w:lineRule="exact"/>
        <w:rPr>
          <w:sz w:val="20"/>
          <w:szCs w:val="20"/>
          <w:color w:val="auto"/>
        </w:rPr>
      </w:pPr>
    </w:p>
    <w:p>
      <w:pPr>
        <w:spacing w:after="0" w:line="204" w:lineRule="exact"/>
        <w:rPr>
          <w:sz w:val="20"/>
          <w:szCs w:val="20"/>
          <w:color w:val="auto"/>
        </w:rPr>
      </w:pPr>
    </w:p>
    <w:p>
      <w:pPr>
        <w:ind w:left="2020"/>
        <w:spacing w:after="0"/>
        <w:rPr>
          <w:sz w:val="20"/>
          <w:szCs w:val="20"/>
          <w:color w:val="auto"/>
        </w:rPr>
      </w:pPr>
      <w:r>
        <w:rPr>
          <w:rFonts w:ascii="Courier New" w:cs="Courier New" w:eastAsia="Courier New" w:hAnsi="Courier New"/>
          <w:sz w:val="18"/>
          <w:szCs w:val="18"/>
          <w:color w:val="auto"/>
        </w:rPr>
        <w:t>Calculation of 2004 Free Cash Flow</w:t>
      </w:r>
    </w:p>
    <w:tbl>
      <w:tblPr>
        <w:tblLayout w:type="fixed"/>
        <w:tblInd w:w="120" w:type="dxa"/>
        <w:tblCellMar>
          <w:top w:w="0" w:type="dxa"/>
          <w:left w:w="0" w:type="dxa"/>
          <w:bottom w:w="0" w:type="dxa"/>
          <w:right w:w="0" w:type="dxa"/>
        </w:tblCellMar>
      </w:tblPr>
      <w:tr>
        <w:trPr>
          <w:trHeight w:val="203"/>
        </w:trPr>
        <w:tc>
          <w:tcPr>
            <w:tcW w:w="4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02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(dollars in billions)</w:t>
            </w:r>
          </w:p>
        </w:tc>
        <w:tc>
          <w:tcPr>
            <w:tcW w:w="620" w:type="dxa"/>
            <w:vAlign w:val="bottom"/>
          </w:tcPr>
          <w:p>
            <w:pPr>
              <w:spacing w:after="0"/>
              <w:rPr>
                <w:sz w:val="17"/>
                <w:szCs w:val="17"/>
                <w:color w:val="auto"/>
              </w:rPr>
            </w:pPr>
          </w:p>
        </w:tc>
      </w:tr>
      <w:tr>
        <w:trPr>
          <w:trHeight w:val="405"/>
        </w:trPr>
        <w:tc>
          <w:tcPr>
            <w:tcW w:w="460" w:type="dxa"/>
            <w:vAlign w:val="bottom"/>
          </w:tcPr>
          <w:p>
            <w:pPr>
              <w:spacing w:after="0"/>
              <w:rPr>
                <w:sz w:val="20"/>
                <w:szCs w:val="20"/>
                <w:color w:val="auto"/>
              </w:rPr>
            </w:pPr>
            <w:r>
              <w:rPr>
                <w:rFonts w:ascii="Courier New" w:cs="Courier New" w:eastAsia="Courier New" w:hAnsi="Courier New"/>
                <w:sz w:val="18"/>
                <w:szCs w:val="18"/>
                <w:color w:val="auto"/>
              </w:rPr>
              <w:t>2003</w:t>
            </w:r>
          </w:p>
        </w:tc>
        <w:tc>
          <w:tcPr>
            <w:tcW w:w="460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Operating Income</w:t>
            </w:r>
          </w:p>
        </w:tc>
        <w:tc>
          <w:tcPr>
            <w:tcW w:w="620" w:type="dxa"/>
            <w:vAlign w:val="bottom"/>
          </w:tcPr>
          <w:p>
            <w:pPr>
              <w:jc w:val="right"/>
              <w:spacing w:after="0"/>
              <w:rPr>
                <w:sz w:val="20"/>
                <w:szCs w:val="20"/>
                <w:color w:val="auto"/>
              </w:rPr>
            </w:pPr>
            <w:r>
              <w:rPr>
                <w:rFonts w:ascii="Courier New" w:cs="Courier New" w:eastAsia="Courier New" w:hAnsi="Courier New"/>
                <w:sz w:val="18"/>
                <w:szCs w:val="18"/>
                <w:color w:val="auto"/>
              </w:rPr>
              <w:t>$2.0</w:t>
            </w:r>
          </w:p>
        </w:tc>
      </w:tr>
      <w:tr>
        <w:trPr>
          <w:trHeight w:val="203"/>
        </w:trPr>
        <w:tc>
          <w:tcPr>
            <w:tcW w:w="20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Add: Depreciation &amp;</w:t>
            </w:r>
          </w:p>
        </w:tc>
        <w:tc>
          <w:tcPr>
            <w:tcW w:w="30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Amortization</w:t>
            </w: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4.4</w:t>
            </w:r>
          </w:p>
        </w:tc>
      </w:tr>
      <w:tr>
        <w:trPr>
          <w:trHeight w:val="203"/>
        </w:trPr>
        <w:tc>
          <w:tcPr>
            <w:tcW w:w="460" w:type="dxa"/>
            <w:vAlign w:val="bottom"/>
          </w:tcPr>
          <w:p>
            <w:pPr>
              <w:spacing w:after="0" w:line="203" w:lineRule="exact"/>
              <w:rPr>
                <w:sz w:val="20"/>
                <w:szCs w:val="20"/>
                <w:color w:val="auto"/>
              </w:rPr>
            </w:pPr>
            <w:r>
              <w:rPr>
                <w:rFonts w:ascii="Courier New" w:cs="Courier New" w:eastAsia="Courier New" w:hAnsi="Courier New"/>
                <w:sz w:val="18"/>
                <w:szCs w:val="18"/>
                <w:color w:val="auto"/>
              </w:rPr>
              <w:t>2003</w:t>
            </w:r>
          </w:p>
        </w:tc>
        <w:tc>
          <w:tcPr>
            <w:tcW w:w="1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Operating Cash</w:t>
            </w:r>
          </w:p>
        </w:tc>
        <w:tc>
          <w:tcPr>
            <w:tcW w:w="30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Flow</w:t>
            </w: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6.4</w:t>
            </w:r>
          </w:p>
        </w:tc>
      </w:tr>
      <w:tr>
        <w:trPr>
          <w:trHeight w:val="203"/>
        </w:trPr>
        <w:tc>
          <w:tcPr>
            <w:tcW w:w="460" w:type="dxa"/>
            <w:vAlign w:val="bottom"/>
          </w:tcPr>
          <w:p>
            <w:pPr>
              <w:spacing w:after="0" w:line="203" w:lineRule="exact"/>
              <w:rPr>
                <w:sz w:val="20"/>
                <w:szCs w:val="20"/>
                <w:color w:val="auto"/>
              </w:rPr>
            </w:pPr>
            <w:r>
              <w:rPr>
                <w:rFonts w:ascii="Courier New" w:cs="Courier New" w:eastAsia="Courier New" w:hAnsi="Courier New"/>
                <w:sz w:val="18"/>
                <w:szCs w:val="18"/>
                <w:color w:val="auto"/>
              </w:rPr>
              <w:t>2004</w:t>
            </w:r>
          </w:p>
        </w:tc>
        <w:tc>
          <w:tcPr>
            <w:tcW w:w="1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Operating Cash</w:t>
            </w:r>
          </w:p>
        </w:tc>
        <w:tc>
          <w:tcPr>
            <w:tcW w:w="30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Flow Growth</w:t>
            </w: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w:t>
            </w:r>
          </w:p>
        </w:tc>
      </w:tr>
      <w:tr>
        <w:trPr>
          <w:trHeight w:val="203"/>
        </w:trPr>
        <w:tc>
          <w:tcPr>
            <w:tcW w:w="50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Projected 2004 Operating Cash Flow</w:t>
            </w: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7.5</w:t>
            </w:r>
          </w:p>
        </w:tc>
      </w:tr>
    </w:tbl>
    <w:p>
      <w:pPr>
        <w:sectPr>
          <w:pgSz w:w="11900" w:h="16838" w:orient="portrait"/>
          <w:cols w:equalWidth="0" w:num="1">
            <w:col w:w="9799"/>
          </w:cols>
          <w:pgMar w:left="660" w:top="136" w:right="1440" w:bottom="0" w:gutter="0" w:footer="0" w:header="0"/>
        </w:sectPr>
      </w:pPr>
    </w:p>
    <w:bookmarkStart w:id="12" w:name="page13"/>
    <w:bookmarkEnd w:id="12"/>
    <w:p>
      <w:pPr>
        <w:spacing w:after="0" w:line="1" w:lineRule="exact"/>
        <w:rPr>
          <w:sz w:val="20"/>
          <w:szCs w:val="20"/>
          <w:color w:val="auto"/>
        </w:rPr>
      </w:pPr>
    </w:p>
    <w:tbl>
      <w:tblPr>
        <w:tblLayout w:type="fixed"/>
        <w:tblInd w:w="5" w:type="dxa"/>
        <w:tblCellMar>
          <w:top w:w="0" w:type="dxa"/>
          <w:left w:w="0" w:type="dxa"/>
          <w:bottom w:w="0" w:type="dxa"/>
          <w:right w:w="0" w:type="dxa"/>
        </w:tblCellMar>
      </w:tblPr>
      <w:tr>
        <w:trPr>
          <w:trHeight w:val="204"/>
        </w:trPr>
        <w:tc>
          <w:tcPr>
            <w:tcW w:w="5000" w:type="dxa"/>
            <w:vAlign w:val="bottom"/>
            <w:gridSpan w:val="3"/>
          </w:tcPr>
          <w:p>
            <w:pPr>
              <w:spacing w:after="0"/>
              <w:rPr>
                <w:sz w:val="20"/>
                <w:szCs w:val="20"/>
                <w:color w:val="auto"/>
              </w:rPr>
            </w:pPr>
            <w:r>
              <w:rPr>
                <w:rFonts w:ascii="Courier New" w:cs="Courier New" w:eastAsia="Courier New" w:hAnsi="Courier New"/>
                <w:sz w:val="18"/>
                <w:szCs w:val="18"/>
                <w:color w:val="auto"/>
              </w:rPr>
              <w:t>Less: Projected Capital Expenditures (3)</w:t>
            </w:r>
          </w:p>
        </w:tc>
        <w:tc>
          <w:tcPr>
            <w:tcW w:w="680" w:type="dxa"/>
            <w:vAlign w:val="bottom"/>
          </w:tcPr>
          <w:p>
            <w:pPr>
              <w:jc w:val="right"/>
              <w:spacing w:after="0"/>
              <w:rPr>
                <w:sz w:val="20"/>
                <w:szCs w:val="20"/>
                <w:color w:val="auto"/>
              </w:rPr>
            </w:pPr>
            <w:r>
              <w:rPr>
                <w:rFonts w:ascii="Courier New" w:cs="Courier New" w:eastAsia="Courier New" w:hAnsi="Courier New"/>
                <w:sz w:val="18"/>
                <w:szCs w:val="18"/>
                <w:color w:val="auto"/>
              </w:rPr>
              <w:t>3.4</w:t>
            </w:r>
          </w:p>
        </w:tc>
      </w:tr>
      <w:tr>
        <w:trPr>
          <w:trHeight w:val="203"/>
        </w:trPr>
        <w:tc>
          <w:tcPr>
            <w:tcW w:w="15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Projected 2004</w:t>
            </w:r>
          </w:p>
        </w:tc>
        <w:tc>
          <w:tcPr>
            <w:tcW w:w="3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Consolidated Interest, net (4)</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1.85</w:t>
            </w:r>
          </w:p>
        </w:tc>
      </w:tr>
      <w:tr>
        <w:trPr>
          <w:trHeight w:val="203"/>
        </w:trPr>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Projected</w:t>
            </w:r>
          </w:p>
        </w:tc>
        <w:tc>
          <w:tcPr>
            <w:tcW w:w="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2004</w:t>
            </w:r>
          </w:p>
        </w:tc>
        <w:tc>
          <w:tcPr>
            <w:tcW w:w="3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Consolidated Cash Paid</w:t>
            </w:r>
          </w:p>
        </w:tc>
        <w:tc>
          <w:tcPr>
            <w:tcW w:w="680" w:type="dxa"/>
            <w:vAlign w:val="bottom"/>
          </w:tcPr>
          <w:p>
            <w:pPr>
              <w:spacing w:after="0"/>
              <w:rPr>
                <w:sz w:val="17"/>
                <w:szCs w:val="17"/>
                <w:color w:val="auto"/>
              </w:rPr>
            </w:pPr>
          </w:p>
        </w:tc>
      </w:tr>
      <w:tr>
        <w:trPr>
          <w:trHeight w:val="203"/>
        </w:trPr>
        <w:tc>
          <w:tcPr>
            <w:tcW w:w="500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rPr>
              <w:t>for Income Taxes (5)</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0.25</w:t>
            </w:r>
          </w:p>
        </w:tc>
      </w:tr>
      <w:tr>
        <w:trPr>
          <w:trHeight w:val="405"/>
        </w:trPr>
        <w:tc>
          <w:tcPr>
            <w:tcW w:w="1000" w:type="dxa"/>
            <w:vAlign w:val="bottom"/>
          </w:tcPr>
          <w:p>
            <w:pPr>
              <w:spacing w:after="0"/>
              <w:rPr>
                <w:sz w:val="20"/>
                <w:szCs w:val="20"/>
                <w:color w:val="auto"/>
              </w:rPr>
            </w:pPr>
            <w:r>
              <w:rPr>
                <w:rFonts w:ascii="Courier New" w:cs="Courier New" w:eastAsia="Courier New" w:hAnsi="Courier New"/>
                <w:sz w:val="18"/>
                <w:szCs w:val="18"/>
                <w:color w:val="auto"/>
              </w:rPr>
              <w:t>Free Cash</w:t>
            </w:r>
          </w:p>
        </w:tc>
        <w:tc>
          <w:tcPr>
            <w:tcW w:w="520" w:type="dxa"/>
            <w:vAlign w:val="bottom"/>
          </w:tcPr>
          <w:p>
            <w:pPr>
              <w:ind w:left="40"/>
              <w:spacing w:after="0"/>
              <w:rPr>
                <w:sz w:val="20"/>
                <w:szCs w:val="20"/>
                <w:color w:val="auto"/>
              </w:rPr>
            </w:pPr>
            <w:r>
              <w:rPr>
                <w:rFonts w:ascii="Courier New" w:cs="Courier New" w:eastAsia="Courier New" w:hAnsi="Courier New"/>
                <w:sz w:val="18"/>
                <w:szCs w:val="18"/>
                <w:color w:val="auto"/>
              </w:rPr>
              <w:t>Flow</w:t>
            </w:r>
          </w:p>
        </w:tc>
        <w:tc>
          <w:tcPr>
            <w:tcW w:w="34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8"/>
                <w:szCs w:val="18"/>
                <w:color w:val="auto"/>
              </w:rPr>
              <w:t>$2.0</w:t>
            </w:r>
          </w:p>
        </w:tc>
      </w:tr>
    </w:tbl>
    <w:p>
      <w:pPr>
        <w:spacing w:after="0" w:line="207" w:lineRule="exact"/>
        <w:rPr>
          <w:sz w:val="20"/>
          <w:szCs w:val="20"/>
          <w:color w:val="auto"/>
        </w:rPr>
      </w:pPr>
    </w:p>
    <w:p>
      <w:pPr>
        <w:ind w:left="525" w:right="1999" w:hanging="525"/>
        <w:spacing w:after="0" w:line="235" w:lineRule="auto"/>
        <w:tabs>
          <w:tab w:leader="none" w:pos="525"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Historical amounts have been adjusted to reflect QVC as discontinued operations.</w:t>
      </w:r>
    </w:p>
    <w:p>
      <w:pPr>
        <w:spacing w:after="0" w:line="208" w:lineRule="exact"/>
        <w:rPr>
          <w:rFonts w:ascii="Courier New" w:cs="Courier New" w:eastAsia="Courier New" w:hAnsi="Courier New"/>
          <w:sz w:val="18"/>
          <w:szCs w:val="18"/>
          <w:color w:val="auto"/>
        </w:rPr>
      </w:pPr>
    </w:p>
    <w:p>
      <w:pPr>
        <w:ind w:left="525" w:right="2099" w:hanging="525"/>
        <w:spacing w:after="0" w:line="275" w:lineRule="auto"/>
        <w:tabs>
          <w:tab w:leader="none" w:pos="525"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 forma data is only adjusted for timing of the acquisitions (or dispositions) and for acquisitions does not include adjustments for costs related to integration activities, cost savings or synergies that have been or may be achieved by the combined businesses.</w:t>
      </w:r>
    </w:p>
    <w:p>
      <w:pPr>
        <w:spacing w:after="0" w:line="182" w:lineRule="exact"/>
        <w:rPr>
          <w:rFonts w:ascii="Courier New" w:cs="Courier New" w:eastAsia="Courier New" w:hAnsi="Courier New"/>
          <w:sz w:val="16"/>
          <w:szCs w:val="16"/>
          <w:color w:val="auto"/>
        </w:rPr>
      </w:pPr>
    </w:p>
    <w:p>
      <w:pPr>
        <w:ind w:left="525" w:right="1999" w:hanging="525"/>
        <w:spacing w:after="0" w:line="235" w:lineRule="auto"/>
        <w:tabs>
          <w:tab w:leader="none" w:pos="525"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Mid point of 2004 Cable capital expenditures guidance plus projected 2004 Content and Other segment's capital expenditures.</w:t>
      </w:r>
    </w:p>
    <w:p>
      <w:pPr>
        <w:spacing w:after="0" w:line="208" w:lineRule="exact"/>
        <w:rPr>
          <w:rFonts w:ascii="Courier New" w:cs="Courier New" w:eastAsia="Courier New" w:hAnsi="Courier New"/>
          <w:sz w:val="18"/>
          <w:szCs w:val="18"/>
          <w:color w:val="auto"/>
        </w:rPr>
      </w:pPr>
    </w:p>
    <w:p>
      <w:pPr>
        <w:ind w:left="525" w:right="1999" w:hanging="525"/>
        <w:spacing w:after="0" w:line="235" w:lineRule="auto"/>
        <w:tabs>
          <w:tab w:leader="none" w:pos="525"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Mid point of 2004 estimated Consolidated interest expense of $1.8 to $1.9 billion.</w:t>
      </w:r>
    </w:p>
    <w:p>
      <w:pPr>
        <w:spacing w:after="0" w:line="208" w:lineRule="exact"/>
        <w:rPr>
          <w:rFonts w:ascii="Courier New" w:cs="Courier New" w:eastAsia="Courier New" w:hAnsi="Courier New"/>
          <w:sz w:val="18"/>
          <w:szCs w:val="18"/>
          <w:color w:val="auto"/>
        </w:rPr>
      </w:pPr>
    </w:p>
    <w:p>
      <w:pPr>
        <w:ind w:left="525" w:right="2099" w:hanging="525"/>
        <w:spacing w:after="0" w:line="235" w:lineRule="auto"/>
        <w:tabs>
          <w:tab w:leader="none" w:pos="525"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Mid point of 2004 estimated Consolidated cash paid for income taxes of $200 to $300 million.</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745"/>
        <w:spacing w:after="0"/>
        <w:rPr>
          <w:sz w:val="20"/>
          <w:szCs w:val="20"/>
          <w:color w:val="auto"/>
        </w:rPr>
      </w:pPr>
      <w:r>
        <w:rPr>
          <w:rFonts w:ascii="Courier New" w:cs="Courier New" w:eastAsia="Courier New" w:hAnsi="Courier New"/>
          <w:sz w:val="18"/>
          <w:szCs w:val="18"/>
          <w:color w:val="auto"/>
        </w:rPr>
        <w:t>COMCAST CORPORATION</w:t>
      </w:r>
    </w:p>
    <w:p>
      <w:pPr>
        <w:ind w:left="2745"/>
        <w:spacing w:after="0" w:line="238" w:lineRule="auto"/>
        <w:rPr>
          <w:sz w:val="20"/>
          <w:szCs w:val="20"/>
          <w:color w:val="auto"/>
        </w:rPr>
      </w:pPr>
      <w:r>
        <w:rPr>
          <w:rFonts w:ascii="Courier New" w:cs="Courier New" w:eastAsia="Courier New" w:hAnsi="Courier New"/>
          <w:sz w:val="18"/>
          <w:szCs w:val="18"/>
          <w:color w:val="auto"/>
        </w:rPr>
        <w:t>TABLE 6-B continued</w:t>
      </w:r>
    </w:p>
    <w:p>
      <w:pPr>
        <w:ind w:left="325"/>
        <w:spacing w:after="0"/>
        <w:rPr>
          <w:sz w:val="20"/>
          <w:szCs w:val="20"/>
          <w:color w:val="auto"/>
        </w:rPr>
      </w:pPr>
      <w:r>
        <w:rPr>
          <w:rFonts w:ascii="Courier New" w:cs="Courier New" w:eastAsia="Courier New" w:hAnsi="Courier New"/>
          <w:sz w:val="18"/>
          <w:szCs w:val="18"/>
          <w:color w:val="auto"/>
        </w:rPr>
        <w:t>Reconciliation of Net Income (Loss) to Free Cash Flow (Unaudited)</w:t>
      </w:r>
    </w:p>
    <w:tbl>
      <w:tblPr>
        <w:tblLayout w:type="fixed"/>
        <w:tblInd w:w="105" w:type="dxa"/>
        <w:tblCellMar>
          <w:top w:w="0" w:type="dxa"/>
          <w:left w:w="0" w:type="dxa"/>
          <w:bottom w:w="0" w:type="dxa"/>
          <w:right w:w="0" w:type="dxa"/>
        </w:tblCellMar>
      </w:tblPr>
      <w:tr>
        <w:trPr>
          <w:trHeight w:val="202"/>
        </w:trPr>
        <w:tc>
          <w:tcPr>
            <w:tcW w:w="6420" w:type="dxa"/>
            <w:vAlign w:val="bottom"/>
            <w:gridSpan w:val="4"/>
          </w:tcPr>
          <w:p>
            <w:pPr>
              <w:jc w:val="right"/>
              <w:ind w:right="232"/>
              <w:spacing w:after="0" w:line="202" w:lineRule="exact"/>
              <w:rPr>
                <w:sz w:val="20"/>
                <w:szCs w:val="20"/>
                <w:color w:val="auto"/>
              </w:rPr>
            </w:pPr>
            <w:r>
              <w:rPr>
                <w:rFonts w:ascii="Courier New" w:cs="Courier New" w:eastAsia="Courier New" w:hAnsi="Courier New"/>
                <w:sz w:val="18"/>
                <w:szCs w:val="18"/>
                <w:color w:val="auto"/>
              </w:rPr>
              <w:t>(dollars in millions, except for per share data)</w:t>
            </w:r>
          </w:p>
        </w:tc>
        <w:tc>
          <w:tcPr>
            <w:tcW w:w="1160" w:type="dxa"/>
            <w:vAlign w:val="bottom"/>
          </w:tcPr>
          <w:p>
            <w:pPr>
              <w:spacing w:after="0"/>
              <w:rPr>
                <w:sz w:val="17"/>
                <w:szCs w:val="17"/>
                <w:color w:val="auto"/>
              </w:rPr>
            </w:pPr>
          </w:p>
        </w:tc>
      </w:tr>
      <w:tr>
        <w:trPr>
          <w:trHeight w:val="405"/>
        </w:trPr>
        <w:tc>
          <w:tcPr>
            <w:tcW w:w="35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60" w:type="dxa"/>
            <w:vAlign w:val="bottom"/>
            <w:gridSpan w:val="3"/>
          </w:tcPr>
          <w:p>
            <w:pPr>
              <w:jc w:val="right"/>
              <w:ind w:right="852"/>
              <w:spacing w:after="0"/>
              <w:rPr>
                <w:sz w:val="20"/>
                <w:szCs w:val="20"/>
                <w:color w:val="auto"/>
              </w:rPr>
            </w:pPr>
            <w:r>
              <w:rPr>
                <w:rFonts w:ascii="Courier New" w:cs="Courier New" w:eastAsia="Courier New" w:hAnsi="Courier New"/>
                <w:sz w:val="18"/>
                <w:szCs w:val="18"/>
                <w:color w:val="auto"/>
              </w:rPr>
              <w:t>Three Months Ended</w:t>
            </w:r>
          </w:p>
        </w:tc>
      </w:tr>
      <w:tr>
        <w:trPr>
          <w:trHeight w:val="203"/>
        </w:trPr>
        <w:tc>
          <w:tcPr>
            <w:tcW w:w="3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10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June 30,</w:t>
            </w:r>
          </w:p>
        </w:tc>
        <w:tc>
          <w:tcPr>
            <w:tcW w:w="1160" w:type="dxa"/>
            <w:vAlign w:val="bottom"/>
          </w:tcPr>
          <w:p>
            <w:pPr>
              <w:spacing w:after="0"/>
              <w:rPr>
                <w:sz w:val="17"/>
                <w:szCs w:val="17"/>
                <w:color w:val="auto"/>
              </w:rPr>
            </w:pPr>
          </w:p>
        </w:tc>
      </w:tr>
      <w:tr>
        <w:trPr>
          <w:trHeight w:val="203"/>
        </w:trPr>
        <w:tc>
          <w:tcPr>
            <w:tcW w:w="3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6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w w:val="92"/>
              </w:rPr>
              <w:t>2004</w:t>
            </w:r>
          </w:p>
        </w:tc>
        <w:tc>
          <w:tcPr>
            <w:tcW w:w="840" w:type="dxa"/>
            <w:vAlign w:val="bottom"/>
          </w:tcPr>
          <w:p>
            <w:pPr>
              <w:spacing w:after="0"/>
              <w:rPr>
                <w:sz w:val="17"/>
                <w:szCs w:val="17"/>
                <w:color w:val="auto"/>
              </w:rPr>
            </w:pPr>
          </w:p>
        </w:tc>
        <w:tc>
          <w:tcPr>
            <w:tcW w:w="116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w w:val="92"/>
              </w:rPr>
              <w:t>2003</w:t>
            </w:r>
          </w:p>
        </w:tc>
      </w:tr>
      <w:tr>
        <w:trPr>
          <w:trHeight w:val="203"/>
        </w:trPr>
        <w:tc>
          <w:tcPr>
            <w:tcW w:w="3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6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8"/>
              </w:rPr>
              <w:t>per</w:t>
            </w:r>
          </w:p>
        </w:tc>
        <w:tc>
          <w:tcPr>
            <w:tcW w:w="840" w:type="dxa"/>
            <w:vAlign w:val="bottom"/>
          </w:tcPr>
          <w:p>
            <w:pPr>
              <w:spacing w:after="0"/>
              <w:rPr>
                <w:sz w:val="17"/>
                <w:szCs w:val="17"/>
                <w:color w:val="auto"/>
              </w:rPr>
            </w:pPr>
          </w:p>
        </w:tc>
        <w:tc>
          <w:tcPr>
            <w:tcW w:w="1160" w:type="dxa"/>
            <w:vAlign w:val="bottom"/>
          </w:tcPr>
          <w:p>
            <w:pPr>
              <w:jc w:val="center"/>
              <w:ind w:left="132"/>
              <w:spacing w:after="0" w:line="203" w:lineRule="exact"/>
              <w:rPr>
                <w:sz w:val="20"/>
                <w:szCs w:val="20"/>
                <w:color w:val="auto"/>
              </w:rPr>
            </w:pPr>
            <w:r>
              <w:rPr>
                <w:rFonts w:ascii="Courier New" w:cs="Courier New" w:eastAsia="Courier New" w:hAnsi="Courier New"/>
                <w:sz w:val="18"/>
                <w:szCs w:val="18"/>
                <w:color w:val="auto"/>
                <w:w w:val="92"/>
              </w:rPr>
              <w:t>per</w:t>
            </w:r>
          </w:p>
        </w:tc>
      </w:tr>
      <w:tr>
        <w:trPr>
          <w:trHeight w:val="203"/>
        </w:trPr>
        <w:tc>
          <w:tcPr>
            <w:tcW w:w="3580" w:type="dxa"/>
            <w:vAlign w:val="bottom"/>
          </w:tcPr>
          <w:p>
            <w:pPr>
              <w:spacing w:after="0"/>
              <w:rPr>
                <w:sz w:val="17"/>
                <w:szCs w:val="17"/>
                <w:color w:val="auto"/>
              </w:rPr>
            </w:pPr>
          </w:p>
        </w:tc>
        <w:tc>
          <w:tcPr>
            <w:tcW w:w="7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8"/>
              </w:rPr>
              <w:t>share (3)</w:t>
            </w: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center"/>
              <w:ind w:left="132"/>
              <w:spacing w:after="0" w:line="203" w:lineRule="exact"/>
              <w:rPr>
                <w:sz w:val="20"/>
                <w:szCs w:val="20"/>
                <w:color w:val="auto"/>
              </w:rPr>
            </w:pPr>
            <w:r>
              <w:rPr>
                <w:rFonts w:ascii="Courier New" w:cs="Courier New" w:eastAsia="Courier New" w:hAnsi="Courier New"/>
                <w:sz w:val="18"/>
                <w:szCs w:val="18"/>
                <w:color w:val="auto"/>
                <w:w w:val="96"/>
              </w:rPr>
              <w:t>share (3)</w:t>
            </w:r>
          </w:p>
        </w:tc>
      </w:tr>
      <w:tr>
        <w:trPr>
          <w:trHeight w:val="405"/>
        </w:trPr>
        <w:tc>
          <w:tcPr>
            <w:tcW w:w="3580" w:type="dxa"/>
            <w:vAlign w:val="bottom"/>
          </w:tcPr>
          <w:p>
            <w:pPr>
              <w:spacing w:after="0"/>
              <w:rPr>
                <w:sz w:val="20"/>
                <w:szCs w:val="20"/>
                <w:color w:val="auto"/>
              </w:rPr>
            </w:pPr>
            <w:r>
              <w:rPr>
                <w:rFonts w:ascii="Courier New" w:cs="Courier New" w:eastAsia="Courier New" w:hAnsi="Courier New"/>
                <w:sz w:val="18"/>
                <w:szCs w:val="18"/>
                <w:color w:val="auto"/>
              </w:rPr>
              <w:t>Net Income (Loss) as reported</w:t>
            </w:r>
          </w:p>
        </w:tc>
        <w:tc>
          <w:tcPr>
            <w:tcW w:w="7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$262</w:t>
            </w:r>
          </w:p>
        </w:tc>
        <w:tc>
          <w:tcPr>
            <w:tcW w:w="12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$0.12</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($22)</w:t>
            </w:r>
          </w:p>
        </w:tc>
        <w:tc>
          <w:tcPr>
            <w:tcW w:w="11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($0.01)</w:t>
            </w:r>
          </w:p>
        </w:tc>
      </w:tr>
      <w:tr>
        <w:trPr>
          <w:trHeight w:val="203"/>
        </w:trPr>
        <w:tc>
          <w:tcPr>
            <w:tcW w:w="3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Discontinued Operations,</w:t>
            </w:r>
          </w:p>
        </w:tc>
        <w:tc>
          <w:tcPr>
            <w:tcW w:w="7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35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net of tax</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(71)</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(0.03)</w:t>
            </w:r>
          </w:p>
        </w:tc>
      </w:tr>
      <w:tr>
        <w:trPr>
          <w:trHeight w:val="203"/>
        </w:trPr>
        <w:tc>
          <w:tcPr>
            <w:tcW w:w="3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Non-operating items,</w:t>
            </w:r>
          </w:p>
        </w:tc>
        <w:tc>
          <w:tcPr>
            <w:tcW w:w="7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35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net of tax (1)</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(83)</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(0.04)</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Income (Loss) as adjusted</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$179</w:t>
            </w: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$0.08</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($83)</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($0.04)</w:t>
            </w:r>
          </w:p>
        </w:tc>
      </w:tr>
      <w:tr>
        <w:trPr>
          <w:trHeight w:val="405"/>
        </w:trPr>
        <w:tc>
          <w:tcPr>
            <w:tcW w:w="3580" w:type="dxa"/>
            <w:vAlign w:val="bottom"/>
          </w:tcPr>
          <w:p>
            <w:pPr>
              <w:spacing w:after="0"/>
              <w:rPr>
                <w:sz w:val="20"/>
                <w:szCs w:val="20"/>
                <w:color w:val="auto"/>
              </w:rPr>
            </w:pPr>
            <w:r>
              <w:rPr>
                <w:rFonts w:ascii="Courier New" w:cs="Courier New" w:eastAsia="Courier New" w:hAnsi="Courier New"/>
                <w:sz w:val="18"/>
                <w:szCs w:val="18"/>
                <w:color w:val="auto"/>
              </w:rPr>
              <w:t>Items to reconcile net income</w:t>
            </w:r>
          </w:p>
        </w:tc>
        <w:tc>
          <w:tcPr>
            <w:tcW w:w="7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3"/>
        </w:trPr>
        <w:tc>
          <w:tcPr>
            <w:tcW w:w="3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(loss) as adjusted to Operating</w:t>
            </w:r>
          </w:p>
        </w:tc>
        <w:tc>
          <w:tcPr>
            <w:tcW w:w="7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3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Cash Flow:</w:t>
            </w:r>
          </w:p>
        </w:tc>
        <w:tc>
          <w:tcPr>
            <w:tcW w:w="7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35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Depreciation and amortization</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1,100</w:t>
            </w: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0.49</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1,187</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0.53</w:t>
            </w:r>
          </w:p>
        </w:tc>
      </w:tr>
      <w:tr>
        <w:trPr>
          <w:trHeight w:val="203"/>
        </w:trPr>
        <w:tc>
          <w:tcPr>
            <w:tcW w:w="35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Interest expense</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484</w:t>
            </w: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0.21</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490</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0.22</w:t>
            </w:r>
          </w:p>
        </w:tc>
      </w:tr>
      <w:tr>
        <w:trPr>
          <w:trHeight w:val="203"/>
        </w:trPr>
        <w:tc>
          <w:tcPr>
            <w:tcW w:w="35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Income tax expense</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189</w:t>
            </w: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0.08</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18</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 Cash Flow</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$1,952</w:t>
            </w: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$0.86</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$1,612</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$0.71</w:t>
            </w:r>
          </w:p>
        </w:tc>
      </w:tr>
      <w:tr>
        <w:trPr>
          <w:trHeight w:val="608"/>
        </w:trPr>
        <w:tc>
          <w:tcPr>
            <w:tcW w:w="35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60" w:type="dxa"/>
            <w:vAlign w:val="bottom"/>
          </w:tcPr>
          <w:p>
            <w:pPr>
              <w:jc w:val="right"/>
              <w:ind w:right="752"/>
              <w:spacing w:after="0"/>
              <w:rPr>
                <w:sz w:val="20"/>
                <w:szCs w:val="20"/>
                <w:color w:val="auto"/>
              </w:rPr>
            </w:pPr>
            <w:r>
              <w:rPr>
                <w:rFonts w:ascii="Courier New" w:cs="Courier New" w:eastAsia="Courier New" w:hAnsi="Courier New"/>
                <w:sz w:val="18"/>
                <w:szCs w:val="18"/>
                <w:color w:val="auto"/>
                <w:w w:val="92"/>
              </w:rPr>
              <w:t>2004</w:t>
            </w:r>
          </w:p>
        </w:tc>
        <w:tc>
          <w:tcPr>
            <w:tcW w:w="840" w:type="dxa"/>
            <w:vAlign w:val="bottom"/>
          </w:tcPr>
          <w:p>
            <w:pPr>
              <w:spacing w:after="0"/>
              <w:rPr>
                <w:sz w:val="24"/>
                <w:szCs w:val="24"/>
                <w:color w:val="auto"/>
              </w:rPr>
            </w:pPr>
          </w:p>
        </w:tc>
        <w:tc>
          <w:tcPr>
            <w:tcW w:w="1160" w:type="dxa"/>
            <w:vAlign w:val="bottom"/>
          </w:tcPr>
          <w:p>
            <w:pPr>
              <w:jc w:val="right"/>
              <w:ind w:right="652"/>
              <w:spacing w:after="0"/>
              <w:rPr>
                <w:sz w:val="20"/>
                <w:szCs w:val="20"/>
                <w:color w:val="auto"/>
              </w:rPr>
            </w:pPr>
            <w:r>
              <w:rPr>
                <w:rFonts w:ascii="Courier New" w:cs="Courier New" w:eastAsia="Courier New" w:hAnsi="Courier New"/>
                <w:sz w:val="18"/>
                <w:szCs w:val="18"/>
                <w:color w:val="auto"/>
                <w:w w:val="92"/>
              </w:rPr>
              <w:t>2003</w:t>
            </w:r>
          </w:p>
        </w:tc>
      </w:tr>
      <w:tr>
        <w:trPr>
          <w:trHeight w:val="203"/>
        </w:trPr>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 Cash Flow</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$1,952</w:t>
            </w: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$1,952</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$1,612</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$1,612</w:t>
            </w:r>
          </w:p>
        </w:tc>
      </w:tr>
      <w:tr>
        <w:trPr>
          <w:trHeight w:val="203"/>
        </w:trPr>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Less:</w:t>
            </w:r>
          </w:p>
        </w:tc>
        <w:tc>
          <w:tcPr>
            <w:tcW w:w="7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3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Interest, net (2)</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(459)</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(459)</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(527)</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(527)</w:t>
            </w:r>
          </w:p>
        </w:tc>
      </w:tr>
      <w:tr>
        <w:trPr>
          <w:trHeight w:val="203"/>
        </w:trPr>
        <w:tc>
          <w:tcPr>
            <w:tcW w:w="3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Cash Paid for Income Taxes</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(89)</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(89)</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(38)</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(38)</w:t>
            </w:r>
          </w:p>
        </w:tc>
      </w:tr>
      <w:tr>
        <w:trPr>
          <w:trHeight w:val="203"/>
        </w:trPr>
        <w:tc>
          <w:tcPr>
            <w:tcW w:w="3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Change in Operating Assets and</w:t>
            </w:r>
          </w:p>
        </w:tc>
        <w:tc>
          <w:tcPr>
            <w:tcW w:w="7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35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Liabilities, net of</w:t>
            </w:r>
          </w:p>
        </w:tc>
        <w:tc>
          <w:tcPr>
            <w:tcW w:w="7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35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acquisitions (7)</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442</w:t>
            </w:r>
          </w:p>
        </w:tc>
        <w:tc>
          <w:tcPr>
            <w:tcW w:w="126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w:t>
            </w:r>
          </w:p>
        </w:tc>
        <w:tc>
          <w:tcPr>
            <w:tcW w:w="1160" w:type="dxa"/>
            <w:vAlign w:val="bottom"/>
          </w:tcPr>
          <w:p>
            <w:pPr>
              <w:spacing w:after="0"/>
              <w:rPr>
                <w:sz w:val="17"/>
                <w:szCs w:val="17"/>
                <w:color w:val="auto"/>
              </w:rPr>
            </w:pPr>
          </w:p>
        </w:tc>
      </w:tr>
      <w:tr>
        <w:trPr>
          <w:trHeight w:val="203"/>
        </w:trPr>
        <w:tc>
          <w:tcPr>
            <w:tcW w:w="3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 (6)</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w:t>
            </w:r>
          </w:p>
        </w:tc>
        <w:tc>
          <w:tcPr>
            <w:tcW w:w="12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30</w:t>
            </w:r>
          </w:p>
        </w:tc>
        <w:tc>
          <w:tcPr>
            <w:tcW w:w="1160" w:type="dxa"/>
            <w:vAlign w:val="bottom"/>
          </w:tcPr>
          <w:p>
            <w:pPr>
              <w:spacing w:after="0"/>
              <w:rPr>
                <w:sz w:val="17"/>
                <w:szCs w:val="17"/>
                <w:color w:val="auto"/>
              </w:rPr>
            </w:pPr>
          </w:p>
        </w:tc>
      </w:tr>
      <w:tr>
        <w:trPr>
          <w:trHeight w:val="203"/>
        </w:trPr>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Net Cash Provided by Operating</w:t>
            </w:r>
          </w:p>
        </w:tc>
        <w:tc>
          <w:tcPr>
            <w:tcW w:w="7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3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Activities</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$1,859</w:t>
            </w:r>
          </w:p>
        </w:tc>
        <w:tc>
          <w:tcPr>
            <w:tcW w:w="12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$1,058</w:t>
            </w:r>
          </w:p>
        </w:tc>
        <w:tc>
          <w:tcPr>
            <w:tcW w:w="1160" w:type="dxa"/>
            <w:vAlign w:val="bottom"/>
          </w:tcPr>
          <w:p>
            <w:pPr>
              <w:spacing w:after="0"/>
              <w:rPr>
                <w:sz w:val="17"/>
                <w:szCs w:val="17"/>
                <w:color w:val="auto"/>
              </w:rPr>
            </w:pPr>
          </w:p>
        </w:tc>
      </w:tr>
      <w:tr>
        <w:trPr>
          <w:trHeight w:val="203"/>
        </w:trPr>
        <w:tc>
          <w:tcPr>
            <w:tcW w:w="35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Less: Capital Expenditures</w:t>
            </w:r>
          </w:p>
        </w:tc>
        <w:tc>
          <w:tcPr>
            <w:tcW w:w="740" w:type="dxa"/>
            <w:vAlign w:val="bottom"/>
          </w:tcPr>
          <w:p>
            <w:pPr>
              <w:spacing w:after="0"/>
              <w:rPr>
                <w:sz w:val="17"/>
                <w:szCs w:val="17"/>
                <w:color w:val="auto"/>
              </w:rPr>
            </w:pP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(904)</w:t>
            </w:r>
          </w:p>
        </w:tc>
        <w:tc>
          <w:tcPr>
            <w:tcW w:w="84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(1,054)</w:t>
            </w:r>
          </w:p>
        </w:tc>
      </w:tr>
      <w:tr>
        <w:trPr>
          <w:trHeight w:val="203"/>
        </w:trPr>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Free Cash Flow</w:t>
            </w:r>
          </w:p>
        </w:tc>
        <w:tc>
          <w:tcPr>
            <w:tcW w:w="740" w:type="dxa"/>
            <w:vAlign w:val="bottom"/>
          </w:tcPr>
          <w:p>
            <w:pPr>
              <w:spacing w:after="0"/>
              <w:rPr>
                <w:sz w:val="17"/>
                <w:szCs w:val="17"/>
                <w:color w:val="auto"/>
              </w:rPr>
            </w:pP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$500</w:t>
            </w:r>
          </w:p>
        </w:tc>
        <w:tc>
          <w:tcPr>
            <w:tcW w:w="84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w:t>
            </w:r>
          </w:p>
        </w:tc>
      </w:tr>
      <w:tr>
        <w:trPr>
          <w:trHeight w:val="608"/>
        </w:trPr>
        <w:tc>
          <w:tcPr>
            <w:tcW w:w="35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60" w:type="dxa"/>
            <w:vAlign w:val="bottom"/>
            <w:gridSpan w:val="3"/>
          </w:tcPr>
          <w:p>
            <w:pPr>
              <w:jc w:val="right"/>
              <w:ind w:right="852"/>
              <w:spacing w:after="0"/>
              <w:rPr>
                <w:sz w:val="20"/>
                <w:szCs w:val="20"/>
                <w:color w:val="auto"/>
              </w:rPr>
            </w:pPr>
            <w:r>
              <w:rPr>
                <w:rFonts w:ascii="Courier New" w:cs="Courier New" w:eastAsia="Courier New" w:hAnsi="Courier New"/>
                <w:sz w:val="18"/>
                <w:szCs w:val="18"/>
                <w:color w:val="auto"/>
              </w:rPr>
              <w:t>Three Months Ended</w:t>
            </w:r>
          </w:p>
        </w:tc>
      </w:tr>
      <w:tr>
        <w:trPr>
          <w:trHeight w:val="203"/>
        </w:trPr>
        <w:tc>
          <w:tcPr>
            <w:tcW w:w="3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10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June 30,</w:t>
            </w:r>
          </w:p>
        </w:tc>
        <w:tc>
          <w:tcPr>
            <w:tcW w:w="1160" w:type="dxa"/>
            <w:vAlign w:val="bottom"/>
          </w:tcPr>
          <w:p>
            <w:pPr>
              <w:spacing w:after="0"/>
              <w:rPr>
                <w:sz w:val="17"/>
                <w:szCs w:val="17"/>
                <w:color w:val="auto"/>
              </w:rPr>
            </w:pPr>
          </w:p>
        </w:tc>
      </w:tr>
      <w:tr>
        <w:trPr>
          <w:trHeight w:val="203"/>
        </w:trPr>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(1) Detail of non-operating items:</w:t>
            </w:r>
          </w:p>
        </w:tc>
        <w:tc>
          <w:tcPr>
            <w:tcW w:w="740" w:type="dxa"/>
            <w:vAlign w:val="bottom"/>
          </w:tcPr>
          <w:p>
            <w:pPr>
              <w:spacing w:after="0"/>
              <w:rPr>
                <w:sz w:val="17"/>
                <w:szCs w:val="17"/>
                <w:color w:val="auto"/>
              </w:rPr>
            </w:pPr>
          </w:p>
        </w:tc>
        <w:tc>
          <w:tcPr>
            <w:tcW w:w="126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w w:val="92"/>
              </w:rPr>
              <w:t>2004</w:t>
            </w:r>
          </w:p>
        </w:tc>
        <w:tc>
          <w:tcPr>
            <w:tcW w:w="840" w:type="dxa"/>
            <w:vAlign w:val="bottom"/>
          </w:tcPr>
          <w:p>
            <w:pPr>
              <w:spacing w:after="0"/>
              <w:rPr>
                <w:sz w:val="17"/>
                <w:szCs w:val="17"/>
                <w:color w:val="auto"/>
              </w:rPr>
            </w:pPr>
          </w:p>
        </w:tc>
        <w:tc>
          <w:tcPr>
            <w:tcW w:w="116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w w:val="92"/>
              </w:rPr>
              <w:t>2003</w:t>
            </w:r>
          </w:p>
        </w:tc>
      </w:tr>
      <w:tr>
        <w:trPr>
          <w:trHeight w:val="203"/>
        </w:trPr>
        <w:tc>
          <w:tcPr>
            <w:tcW w:w="3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6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8"/>
              </w:rPr>
              <w:t>per</w:t>
            </w:r>
          </w:p>
        </w:tc>
        <w:tc>
          <w:tcPr>
            <w:tcW w:w="840" w:type="dxa"/>
            <w:vAlign w:val="bottom"/>
          </w:tcPr>
          <w:p>
            <w:pPr>
              <w:spacing w:after="0"/>
              <w:rPr>
                <w:sz w:val="17"/>
                <w:szCs w:val="17"/>
                <w:color w:val="auto"/>
              </w:rPr>
            </w:pPr>
          </w:p>
        </w:tc>
        <w:tc>
          <w:tcPr>
            <w:tcW w:w="1160" w:type="dxa"/>
            <w:vAlign w:val="bottom"/>
          </w:tcPr>
          <w:p>
            <w:pPr>
              <w:jc w:val="center"/>
              <w:ind w:left="132"/>
              <w:spacing w:after="0" w:line="203" w:lineRule="exact"/>
              <w:rPr>
                <w:sz w:val="20"/>
                <w:szCs w:val="20"/>
                <w:color w:val="auto"/>
              </w:rPr>
            </w:pPr>
            <w:r>
              <w:rPr>
                <w:rFonts w:ascii="Courier New" w:cs="Courier New" w:eastAsia="Courier New" w:hAnsi="Courier New"/>
                <w:sz w:val="18"/>
                <w:szCs w:val="18"/>
                <w:color w:val="auto"/>
                <w:w w:val="92"/>
              </w:rPr>
              <w:t>per</w:t>
            </w:r>
          </w:p>
        </w:tc>
      </w:tr>
      <w:tr>
        <w:trPr>
          <w:trHeight w:val="203"/>
        </w:trPr>
        <w:tc>
          <w:tcPr>
            <w:tcW w:w="3580" w:type="dxa"/>
            <w:vAlign w:val="bottom"/>
          </w:tcPr>
          <w:p>
            <w:pPr>
              <w:spacing w:after="0"/>
              <w:rPr>
                <w:sz w:val="17"/>
                <w:szCs w:val="17"/>
                <w:color w:val="auto"/>
              </w:rPr>
            </w:pPr>
          </w:p>
        </w:tc>
        <w:tc>
          <w:tcPr>
            <w:tcW w:w="7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8"/>
              </w:rPr>
              <w:t>share (3)</w:t>
            </w: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center"/>
              <w:ind w:left="132"/>
              <w:spacing w:after="0" w:line="203" w:lineRule="exact"/>
              <w:rPr>
                <w:sz w:val="20"/>
                <w:szCs w:val="20"/>
                <w:color w:val="auto"/>
              </w:rPr>
            </w:pPr>
            <w:r>
              <w:rPr>
                <w:rFonts w:ascii="Courier New" w:cs="Courier New" w:eastAsia="Courier New" w:hAnsi="Courier New"/>
                <w:sz w:val="18"/>
                <w:szCs w:val="18"/>
                <w:color w:val="auto"/>
                <w:w w:val="96"/>
              </w:rPr>
              <w:t>share (3)</w:t>
            </w:r>
          </w:p>
        </w:tc>
      </w:tr>
      <w:tr>
        <w:trPr>
          <w:trHeight w:val="203"/>
        </w:trPr>
        <w:tc>
          <w:tcPr>
            <w:tcW w:w="358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Investment (income) expense</w:t>
            </w:r>
          </w:p>
        </w:tc>
        <w:tc>
          <w:tcPr>
            <w:tcW w:w="7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358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w w:val="96"/>
              </w:rPr>
              <w:t>- mark to market adjustments</w:t>
            </w:r>
          </w:p>
        </w:tc>
        <w:tc>
          <w:tcPr>
            <w:tcW w:w="7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358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on trading securities,</w:t>
            </w:r>
          </w:p>
        </w:tc>
        <w:tc>
          <w:tcPr>
            <w:tcW w:w="7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358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derivatives and hedged</w:t>
            </w:r>
          </w:p>
        </w:tc>
        <w:tc>
          <w:tcPr>
            <w:tcW w:w="7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358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items, net</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($129)</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($0.06)</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$41</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$0.02</w:t>
            </w:r>
          </w:p>
        </w:tc>
      </w:tr>
      <w:tr>
        <w:trPr>
          <w:trHeight w:val="203"/>
        </w:trPr>
        <w:tc>
          <w:tcPr>
            <w:tcW w:w="358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Investment (income) expense</w:t>
            </w:r>
          </w:p>
        </w:tc>
        <w:tc>
          <w:tcPr>
            <w:tcW w:w="7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358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 gain (loss) on sales and</w:t>
            </w:r>
          </w:p>
        </w:tc>
        <w:tc>
          <w:tcPr>
            <w:tcW w:w="7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60" w:type="dxa"/>
            <w:vAlign w:val="bottom"/>
          </w:tcPr>
          <w:p>
            <w:pPr>
              <w:spacing w:after="0"/>
              <w:rPr>
                <w:sz w:val="17"/>
                <w:szCs w:val="17"/>
                <w:color w:val="auto"/>
              </w:rPr>
            </w:pPr>
          </w:p>
        </w:tc>
      </w:tr>
    </w:tbl>
    <w:p>
      <w:pPr>
        <w:sectPr>
          <w:pgSz w:w="11900" w:h="16838" w:orient="portrait"/>
          <w:cols w:equalWidth="0" w:num="1">
            <w:col w:w="9684"/>
          </w:cols>
          <w:pgMar w:left="775" w:top="339" w:right="1440" w:bottom="0" w:gutter="0" w:footer="0" w:header="0"/>
        </w:sectPr>
      </w:pPr>
    </w:p>
    <w:bookmarkStart w:id="13" w:name="page14"/>
    <w:bookmarkEnd w:id="13"/>
    <w:p>
      <w:pPr>
        <w:spacing w:after="0" w:line="1" w:lineRule="exact"/>
        <w:rPr>
          <w:sz w:val="20"/>
          <w:szCs w:val="20"/>
          <w:color w:val="auto"/>
        </w:rPr>
      </w:pPr>
    </w:p>
    <w:tbl>
      <w:tblPr>
        <w:tblLayout w:type="fixed"/>
        <w:tblInd w:w="105" w:type="dxa"/>
        <w:tblCellMar>
          <w:top w:w="0" w:type="dxa"/>
          <w:left w:w="0" w:type="dxa"/>
          <w:bottom w:w="0" w:type="dxa"/>
          <w:right w:w="0" w:type="dxa"/>
        </w:tblCellMar>
      </w:tblPr>
      <w:tr>
        <w:trPr>
          <w:trHeight w:val="204"/>
        </w:trPr>
        <w:tc>
          <w:tcPr>
            <w:tcW w:w="3580" w:type="dxa"/>
            <w:vAlign w:val="bottom"/>
          </w:tcPr>
          <w:p>
            <w:pPr>
              <w:ind w:left="640"/>
              <w:spacing w:after="0"/>
              <w:rPr>
                <w:sz w:val="20"/>
                <w:szCs w:val="20"/>
                <w:color w:val="auto"/>
              </w:rPr>
            </w:pPr>
            <w:r>
              <w:rPr>
                <w:rFonts w:ascii="Courier New" w:cs="Courier New" w:eastAsia="Courier New" w:hAnsi="Courier New"/>
                <w:sz w:val="18"/>
                <w:szCs w:val="18"/>
                <w:color w:val="auto"/>
              </w:rPr>
              <w:t>exchanges of investments</w:t>
            </w:r>
          </w:p>
        </w:tc>
        <w:tc>
          <w:tcPr>
            <w:tcW w:w="7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w:t>
            </w:r>
          </w:p>
        </w:tc>
        <w:tc>
          <w:tcPr>
            <w:tcW w:w="12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(1)</w:t>
            </w:r>
          </w:p>
        </w:tc>
        <w:tc>
          <w:tcPr>
            <w:tcW w:w="11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w:t>
            </w:r>
          </w:p>
        </w:tc>
      </w:tr>
      <w:tr>
        <w:trPr>
          <w:trHeight w:val="203"/>
        </w:trPr>
        <w:tc>
          <w:tcPr>
            <w:tcW w:w="358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Investment expense -</w:t>
            </w:r>
          </w:p>
        </w:tc>
        <w:tc>
          <w:tcPr>
            <w:tcW w:w="7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358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investment impairment</w:t>
            </w:r>
          </w:p>
        </w:tc>
        <w:tc>
          <w:tcPr>
            <w:tcW w:w="7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358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losses (4)</w:t>
            </w: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w:t>
            </w: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0.01</w:t>
            </w:r>
          </w:p>
        </w:tc>
      </w:tr>
      <w:tr>
        <w:trPr>
          <w:trHeight w:val="203"/>
        </w:trPr>
        <w:tc>
          <w:tcPr>
            <w:tcW w:w="358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All other, net (5)</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w:t>
            </w: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(0.02)</w:t>
            </w:r>
          </w:p>
        </w:tc>
      </w:tr>
      <w:tr>
        <w:trPr>
          <w:trHeight w:val="203"/>
        </w:trPr>
        <w:tc>
          <w:tcPr>
            <w:tcW w:w="358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Total non-operating items</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(128)</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(0.06)</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0.01</w:t>
            </w:r>
          </w:p>
        </w:tc>
      </w:tr>
      <w:tr>
        <w:trPr>
          <w:trHeight w:val="203"/>
        </w:trPr>
        <w:tc>
          <w:tcPr>
            <w:tcW w:w="358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Tax Effect</w:t>
            </w: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45</w:t>
            </w: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0.02</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(0.01)</w:t>
            </w:r>
          </w:p>
        </w:tc>
      </w:tr>
      <w:tr>
        <w:trPr>
          <w:trHeight w:val="203"/>
        </w:trPr>
        <w:tc>
          <w:tcPr>
            <w:tcW w:w="358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Non-operating items, net</w:t>
            </w:r>
          </w:p>
        </w:tc>
        <w:tc>
          <w:tcPr>
            <w:tcW w:w="7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358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of tax</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($83)</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($0.04)</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35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60" w:type="dxa"/>
            <w:vAlign w:val="bottom"/>
            <w:gridSpan w:val="3"/>
          </w:tcPr>
          <w:p>
            <w:pPr>
              <w:ind w:left="520"/>
              <w:spacing w:after="0"/>
              <w:rPr>
                <w:sz w:val="20"/>
                <w:szCs w:val="20"/>
                <w:color w:val="auto"/>
              </w:rPr>
            </w:pPr>
            <w:r>
              <w:rPr>
                <w:rFonts w:ascii="Courier New" w:cs="Courier New" w:eastAsia="Courier New" w:hAnsi="Courier New"/>
                <w:sz w:val="18"/>
                <w:szCs w:val="18"/>
                <w:color w:val="auto"/>
              </w:rPr>
              <w:t>Six Months Ended</w:t>
            </w:r>
          </w:p>
        </w:tc>
      </w:tr>
      <w:tr>
        <w:trPr>
          <w:trHeight w:val="203"/>
        </w:trPr>
        <w:tc>
          <w:tcPr>
            <w:tcW w:w="3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10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June 30,</w:t>
            </w:r>
          </w:p>
        </w:tc>
        <w:tc>
          <w:tcPr>
            <w:tcW w:w="1160" w:type="dxa"/>
            <w:vAlign w:val="bottom"/>
          </w:tcPr>
          <w:p>
            <w:pPr>
              <w:spacing w:after="0"/>
              <w:rPr>
                <w:sz w:val="17"/>
                <w:szCs w:val="17"/>
                <w:color w:val="auto"/>
              </w:rPr>
            </w:pPr>
          </w:p>
        </w:tc>
      </w:tr>
      <w:tr>
        <w:trPr>
          <w:trHeight w:val="203"/>
        </w:trPr>
        <w:tc>
          <w:tcPr>
            <w:tcW w:w="3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6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w w:val="92"/>
              </w:rPr>
              <w:t>2004</w:t>
            </w:r>
          </w:p>
        </w:tc>
        <w:tc>
          <w:tcPr>
            <w:tcW w:w="840" w:type="dxa"/>
            <w:vAlign w:val="bottom"/>
          </w:tcPr>
          <w:p>
            <w:pPr>
              <w:spacing w:after="0"/>
              <w:rPr>
                <w:sz w:val="17"/>
                <w:szCs w:val="17"/>
                <w:color w:val="auto"/>
              </w:rPr>
            </w:pPr>
          </w:p>
        </w:tc>
        <w:tc>
          <w:tcPr>
            <w:tcW w:w="116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w w:val="92"/>
              </w:rPr>
              <w:t>2003</w:t>
            </w:r>
          </w:p>
        </w:tc>
      </w:tr>
      <w:tr>
        <w:trPr>
          <w:trHeight w:val="203"/>
        </w:trPr>
        <w:tc>
          <w:tcPr>
            <w:tcW w:w="3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per</w:t>
            </w:r>
          </w:p>
        </w:tc>
        <w:tc>
          <w:tcPr>
            <w:tcW w:w="840" w:type="dxa"/>
            <w:vAlign w:val="bottom"/>
          </w:tcPr>
          <w:p>
            <w:pPr>
              <w:spacing w:after="0"/>
              <w:rPr>
                <w:sz w:val="17"/>
                <w:szCs w:val="17"/>
                <w:color w:val="auto"/>
              </w:rPr>
            </w:pPr>
          </w:p>
        </w:tc>
        <w:tc>
          <w:tcPr>
            <w:tcW w:w="1160" w:type="dxa"/>
            <w:vAlign w:val="bottom"/>
          </w:tcPr>
          <w:p>
            <w:pPr>
              <w:jc w:val="center"/>
              <w:ind w:left="132"/>
              <w:spacing w:after="0" w:line="203" w:lineRule="exact"/>
              <w:rPr>
                <w:sz w:val="20"/>
                <w:szCs w:val="20"/>
                <w:color w:val="auto"/>
              </w:rPr>
            </w:pPr>
            <w:r>
              <w:rPr>
                <w:rFonts w:ascii="Courier New" w:cs="Courier New" w:eastAsia="Courier New" w:hAnsi="Courier New"/>
                <w:sz w:val="18"/>
                <w:szCs w:val="18"/>
                <w:color w:val="auto"/>
                <w:w w:val="92"/>
              </w:rPr>
              <w:t>per</w:t>
            </w:r>
          </w:p>
        </w:tc>
      </w:tr>
      <w:tr>
        <w:trPr>
          <w:trHeight w:val="203"/>
        </w:trPr>
        <w:tc>
          <w:tcPr>
            <w:tcW w:w="3580" w:type="dxa"/>
            <w:vAlign w:val="bottom"/>
          </w:tcPr>
          <w:p>
            <w:pPr>
              <w:spacing w:after="0"/>
              <w:rPr>
                <w:sz w:val="17"/>
                <w:szCs w:val="17"/>
                <w:color w:val="auto"/>
              </w:rPr>
            </w:pPr>
          </w:p>
        </w:tc>
        <w:tc>
          <w:tcPr>
            <w:tcW w:w="7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share (3)</w:t>
            </w: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center"/>
              <w:ind w:left="132"/>
              <w:spacing w:after="0" w:line="203" w:lineRule="exact"/>
              <w:rPr>
                <w:sz w:val="20"/>
                <w:szCs w:val="20"/>
                <w:color w:val="auto"/>
              </w:rPr>
            </w:pPr>
            <w:r>
              <w:rPr>
                <w:rFonts w:ascii="Courier New" w:cs="Courier New" w:eastAsia="Courier New" w:hAnsi="Courier New"/>
                <w:sz w:val="18"/>
                <w:szCs w:val="18"/>
                <w:color w:val="auto"/>
                <w:w w:val="96"/>
              </w:rPr>
              <w:t>share (3)</w:t>
            </w:r>
          </w:p>
        </w:tc>
      </w:tr>
      <w:tr>
        <w:trPr>
          <w:trHeight w:val="405"/>
        </w:trPr>
        <w:tc>
          <w:tcPr>
            <w:tcW w:w="3580" w:type="dxa"/>
            <w:vAlign w:val="bottom"/>
          </w:tcPr>
          <w:p>
            <w:pPr>
              <w:spacing w:after="0"/>
              <w:rPr>
                <w:sz w:val="20"/>
                <w:szCs w:val="20"/>
                <w:color w:val="auto"/>
              </w:rPr>
            </w:pPr>
            <w:r>
              <w:rPr>
                <w:rFonts w:ascii="Courier New" w:cs="Courier New" w:eastAsia="Courier New" w:hAnsi="Courier New"/>
                <w:sz w:val="18"/>
                <w:szCs w:val="18"/>
                <w:color w:val="auto"/>
              </w:rPr>
              <w:t>Net Income (Loss) as reported</w:t>
            </w:r>
          </w:p>
        </w:tc>
        <w:tc>
          <w:tcPr>
            <w:tcW w:w="7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$327</w:t>
            </w:r>
          </w:p>
        </w:tc>
        <w:tc>
          <w:tcPr>
            <w:tcW w:w="12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$0.14</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($319)</w:t>
            </w:r>
          </w:p>
        </w:tc>
        <w:tc>
          <w:tcPr>
            <w:tcW w:w="11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($0.14)</w:t>
            </w:r>
          </w:p>
        </w:tc>
      </w:tr>
      <w:tr>
        <w:trPr>
          <w:trHeight w:val="203"/>
        </w:trPr>
        <w:tc>
          <w:tcPr>
            <w:tcW w:w="3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Discontinued Operations,</w:t>
            </w:r>
          </w:p>
        </w:tc>
        <w:tc>
          <w:tcPr>
            <w:tcW w:w="7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35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net of tax</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(129)</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(0.06)</w:t>
            </w:r>
          </w:p>
        </w:tc>
      </w:tr>
      <w:tr>
        <w:trPr>
          <w:trHeight w:val="203"/>
        </w:trPr>
        <w:tc>
          <w:tcPr>
            <w:tcW w:w="3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Non-operating items,</w:t>
            </w:r>
          </w:p>
        </w:tc>
        <w:tc>
          <w:tcPr>
            <w:tcW w:w="7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35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net of tax (1)</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(72)</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(0.03)</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183</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0.08</w:t>
            </w:r>
          </w:p>
        </w:tc>
      </w:tr>
      <w:tr>
        <w:trPr>
          <w:trHeight w:val="203"/>
        </w:trPr>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Income (Loss) as adjusted</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$255</w:t>
            </w: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$0.11</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($265)</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($0.12)</w:t>
            </w:r>
          </w:p>
        </w:tc>
      </w:tr>
      <w:tr>
        <w:trPr>
          <w:trHeight w:val="405"/>
        </w:trPr>
        <w:tc>
          <w:tcPr>
            <w:tcW w:w="3580" w:type="dxa"/>
            <w:vAlign w:val="bottom"/>
          </w:tcPr>
          <w:p>
            <w:pPr>
              <w:spacing w:after="0"/>
              <w:rPr>
                <w:sz w:val="20"/>
                <w:szCs w:val="20"/>
                <w:color w:val="auto"/>
              </w:rPr>
            </w:pPr>
            <w:r>
              <w:rPr>
                <w:rFonts w:ascii="Courier New" w:cs="Courier New" w:eastAsia="Courier New" w:hAnsi="Courier New"/>
                <w:sz w:val="18"/>
                <w:szCs w:val="18"/>
                <w:color w:val="auto"/>
              </w:rPr>
              <w:t>Items to reconcile net income</w:t>
            </w:r>
          </w:p>
        </w:tc>
        <w:tc>
          <w:tcPr>
            <w:tcW w:w="7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3"/>
        </w:trPr>
        <w:tc>
          <w:tcPr>
            <w:tcW w:w="3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(loss) as adjusted to Operating</w:t>
            </w:r>
          </w:p>
        </w:tc>
        <w:tc>
          <w:tcPr>
            <w:tcW w:w="7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3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Cash Flow:</w:t>
            </w:r>
          </w:p>
        </w:tc>
        <w:tc>
          <w:tcPr>
            <w:tcW w:w="7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35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Depreciation and amortization</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2,174</w:t>
            </w: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0.96</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2,321</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1.03</w:t>
            </w:r>
          </w:p>
        </w:tc>
      </w:tr>
      <w:tr>
        <w:trPr>
          <w:trHeight w:val="203"/>
        </w:trPr>
        <w:tc>
          <w:tcPr>
            <w:tcW w:w="35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Interest expense</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984</w:t>
            </w: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0.43</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1,014</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0.45</w:t>
            </w:r>
          </w:p>
        </w:tc>
      </w:tr>
      <w:tr>
        <w:trPr>
          <w:trHeight w:val="203"/>
        </w:trPr>
        <w:tc>
          <w:tcPr>
            <w:tcW w:w="35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Income tax expense</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272</w:t>
            </w: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0.12</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(0.01)</w:t>
            </w:r>
          </w:p>
        </w:tc>
      </w:tr>
      <w:tr>
        <w:trPr>
          <w:trHeight w:val="203"/>
        </w:trPr>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 Cash Flow</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$3,685</w:t>
            </w: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$1.62</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$3,040</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$1.35</w:t>
            </w:r>
          </w:p>
        </w:tc>
      </w:tr>
      <w:tr>
        <w:trPr>
          <w:trHeight w:val="405"/>
        </w:trPr>
        <w:tc>
          <w:tcPr>
            <w:tcW w:w="35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60" w:type="dxa"/>
            <w:vAlign w:val="bottom"/>
          </w:tcPr>
          <w:p>
            <w:pPr>
              <w:jc w:val="right"/>
              <w:ind w:right="752"/>
              <w:spacing w:after="0"/>
              <w:rPr>
                <w:sz w:val="20"/>
                <w:szCs w:val="20"/>
                <w:color w:val="auto"/>
              </w:rPr>
            </w:pPr>
            <w:r>
              <w:rPr>
                <w:rFonts w:ascii="Courier New" w:cs="Courier New" w:eastAsia="Courier New" w:hAnsi="Courier New"/>
                <w:sz w:val="18"/>
                <w:szCs w:val="18"/>
                <w:color w:val="auto"/>
                <w:w w:val="92"/>
              </w:rPr>
              <w:t>2004</w:t>
            </w:r>
          </w:p>
        </w:tc>
        <w:tc>
          <w:tcPr>
            <w:tcW w:w="840" w:type="dxa"/>
            <w:vAlign w:val="bottom"/>
          </w:tcPr>
          <w:p>
            <w:pPr>
              <w:spacing w:after="0"/>
              <w:rPr>
                <w:sz w:val="24"/>
                <w:szCs w:val="24"/>
                <w:color w:val="auto"/>
              </w:rPr>
            </w:pPr>
          </w:p>
        </w:tc>
        <w:tc>
          <w:tcPr>
            <w:tcW w:w="1160" w:type="dxa"/>
            <w:vAlign w:val="bottom"/>
          </w:tcPr>
          <w:p>
            <w:pPr>
              <w:jc w:val="right"/>
              <w:ind w:right="652"/>
              <w:spacing w:after="0"/>
              <w:rPr>
                <w:sz w:val="20"/>
                <w:szCs w:val="20"/>
                <w:color w:val="auto"/>
              </w:rPr>
            </w:pPr>
            <w:r>
              <w:rPr>
                <w:rFonts w:ascii="Courier New" w:cs="Courier New" w:eastAsia="Courier New" w:hAnsi="Courier New"/>
                <w:sz w:val="18"/>
                <w:szCs w:val="18"/>
                <w:color w:val="auto"/>
                <w:w w:val="92"/>
              </w:rPr>
              <w:t>2003</w:t>
            </w:r>
          </w:p>
        </w:tc>
      </w:tr>
      <w:tr>
        <w:trPr>
          <w:trHeight w:val="203"/>
        </w:trPr>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 Cash Flow</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$3,685</w:t>
            </w: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$3,685</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$3,040</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$3,040</w:t>
            </w:r>
          </w:p>
        </w:tc>
      </w:tr>
      <w:tr>
        <w:trPr>
          <w:trHeight w:val="203"/>
        </w:trPr>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Less:</w:t>
            </w:r>
          </w:p>
        </w:tc>
        <w:tc>
          <w:tcPr>
            <w:tcW w:w="7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3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Interest, net (2)</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(906)</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(906)</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(1,068)</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(1,068)</w:t>
            </w:r>
          </w:p>
        </w:tc>
      </w:tr>
      <w:tr>
        <w:trPr>
          <w:trHeight w:val="203"/>
        </w:trPr>
        <w:tc>
          <w:tcPr>
            <w:tcW w:w="3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Cash Paid for Income Taxes</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(150)</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(150)</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(53)</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(53)</w:t>
            </w:r>
          </w:p>
        </w:tc>
      </w:tr>
      <w:tr>
        <w:trPr>
          <w:trHeight w:val="203"/>
        </w:trPr>
        <w:tc>
          <w:tcPr>
            <w:tcW w:w="3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Change in Operating Assets and</w:t>
            </w:r>
          </w:p>
        </w:tc>
        <w:tc>
          <w:tcPr>
            <w:tcW w:w="7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35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Liabilities, net of</w:t>
            </w:r>
          </w:p>
        </w:tc>
        <w:tc>
          <w:tcPr>
            <w:tcW w:w="7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35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acquisitions (7)</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w:t>
            </w:r>
          </w:p>
        </w:tc>
        <w:tc>
          <w:tcPr>
            <w:tcW w:w="126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(253)</w:t>
            </w:r>
          </w:p>
        </w:tc>
        <w:tc>
          <w:tcPr>
            <w:tcW w:w="1160" w:type="dxa"/>
            <w:vAlign w:val="bottom"/>
          </w:tcPr>
          <w:p>
            <w:pPr>
              <w:spacing w:after="0"/>
              <w:rPr>
                <w:sz w:val="17"/>
                <w:szCs w:val="17"/>
                <w:color w:val="auto"/>
              </w:rPr>
            </w:pPr>
          </w:p>
        </w:tc>
      </w:tr>
      <w:tr>
        <w:trPr>
          <w:trHeight w:val="203"/>
        </w:trPr>
        <w:tc>
          <w:tcPr>
            <w:tcW w:w="3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 (6)</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w:t>
            </w:r>
          </w:p>
        </w:tc>
        <w:tc>
          <w:tcPr>
            <w:tcW w:w="12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45</w:t>
            </w:r>
          </w:p>
        </w:tc>
        <w:tc>
          <w:tcPr>
            <w:tcW w:w="1160" w:type="dxa"/>
            <w:vAlign w:val="bottom"/>
          </w:tcPr>
          <w:p>
            <w:pPr>
              <w:spacing w:after="0"/>
              <w:rPr>
                <w:sz w:val="17"/>
                <w:szCs w:val="17"/>
                <w:color w:val="auto"/>
              </w:rPr>
            </w:pPr>
          </w:p>
        </w:tc>
      </w:tr>
      <w:tr>
        <w:trPr>
          <w:trHeight w:val="203"/>
        </w:trPr>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Net Cash Provided by Operating</w:t>
            </w:r>
          </w:p>
        </w:tc>
        <w:tc>
          <w:tcPr>
            <w:tcW w:w="7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3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Activities</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$2,633</w:t>
            </w:r>
          </w:p>
        </w:tc>
        <w:tc>
          <w:tcPr>
            <w:tcW w:w="12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$1,711</w:t>
            </w:r>
          </w:p>
        </w:tc>
        <w:tc>
          <w:tcPr>
            <w:tcW w:w="1160" w:type="dxa"/>
            <w:vAlign w:val="bottom"/>
          </w:tcPr>
          <w:p>
            <w:pPr>
              <w:spacing w:after="0"/>
              <w:rPr>
                <w:sz w:val="17"/>
                <w:szCs w:val="17"/>
                <w:color w:val="auto"/>
              </w:rPr>
            </w:pPr>
          </w:p>
        </w:tc>
      </w:tr>
      <w:tr>
        <w:trPr>
          <w:trHeight w:val="203"/>
        </w:trPr>
        <w:tc>
          <w:tcPr>
            <w:tcW w:w="35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Less: Capital Expenditures</w:t>
            </w:r>
          </w:p>
        </w:tc>
        <w:tc>
          <w:tcPr>
            <w:tcW w:w="740" w:type="dxa"/>
            <w:vAlign w:val="bottom"/>
          </w:tcPr>
          <w:p>
            <w:pPr>
              <w:spacing w:after="0"/>
              <w:rPr>
                <w:sz w:val="17"/>
                <w:szCs w:val="17"/>
                <w:color w:val="auto"/>
              </w:rPr>
            </w:pP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(1,732)</w:t>
            </w:r>
          </w:p>
        </w:tc>
        <w:tc>
          <w:tcPr>
            <w:tcW w:w="84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(2,012)</w:t>
            </w:r>
          </w:p>
        </w:tc>
      </w:tr>
      <w:tr>
        <w:trPr>
          <w:trHeight w:val="203"/>
        </w:trPr>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Free Cash Flow</w:t>
            </w:r>
          </w:p>
        </w:tc>
        <w:tc>
          <w:tcPr>
            <w:tcW w:w="740" w:type="dxa"/>
            <w:vAlign w:val="bottom"/>
          </w:tcPr>
          <w:p>
            <w:pPr>
              <w:spacing w:after="0"/>
              <w:rPr>
                <w:sz w:val="17"/>
                <w:szCs w:val="17"/>
                <w:color w:val="auto"/>
              </w:rPr>
            </w:pP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$897</w:t>
            </w:r>
          </w:p>
        </w:tc>
        <w:tc>
          <w:tcPr>
            <w:tcW w:w="84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($93)</w:t>
            </w:r>
          </w:p>
        </w:tc>
      </w:tr>
      <w:tr>
        <w:trPr>
          <w:trHeight w:val="608"/>
        </w:trPr>
        <w:tc>
          <w:tcPr>
            <w:tcW w:w="35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60" w:type="dxa"/>
            <w:vAlign w:val="bottom"/>
            <w:gridSpan w:val="3"/>
          </w:tcPr>
          <w:p>
            <w:pPr>
              <w:ind w:left="520"/>
              <w:spacing w:after="0"/>
              <w:rPr>
                <w:sz w:val="20"/>
                <w:szCs w:val="20"/>
                <w:color w:val="auto"/>
              </w:rPr>
            </w:pPr>
            <w:r>
              <w:rPr>
                <w:rFonts w:ascii="Courier New" w:cs="Courier New" w:eastAsia="Courier New" w:hAnsi="Courier New"/>
                <w:sz w:val="18"/>
                <w:szCs w:val="18"/>
                <w:color w:val="auto"/>
              </w:rPr>
              <w:t>Six Months Ended</w:t>
            </w:r>
          </w:p>
        </w:tc>
      </w:tr>
      <w:tr>
        <w:trPr>
          <w:trHeight w:val="203"/>
        </w:trPr>
        <w:tc>
          <w:tcPr>
            <w:tcW w:w="3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10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June 30,</w:t>
            </w:r>
          </w:p>
        </w:tc>
        <w:tc>
          <w:tcPr>
            <w:tcW w:w="1160" w:type="dxa"/>
            <w:vAlign w:val="bottom"/>
          </w:tcPr>
          <w:p>
            <w:pPr>
              <w:spacing w:after="0"/>
              <w:rPr>
                <w:sz w:val="17"/>
                <w:szCs w:val="17"/>
                <w:color w:val="auto"/>
              </w:rPr>
            </w:pPr>
          </w:p>
        </w:tc>
      </w:tr>
      <w:tr>
        <w:trPr>
          <w:trHeight w:val="203"/>
        </w:trPr>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(1) Detail of non-operating items:</w:t>
            </w:r>
          </w:p>
        </w:tc>
        <w:tc>
          <w:tcPr>
            <w:tcW w:w="740" w:type="dxa"/>
            <w:vAlign w:val="bottom"/>
          </w:tcPr>
          <w:p>
            <w:pPr>
              <w:spacing w:after="0"/>
              <w:rPr>
                <w:sz w:val="17"/>
                <w:szCs w:val="17"/>
                <w:color w:val="auto"/>
              </w:rPr>
            </w:pPr>
          </w:p>
        </w:tc>
        <w:tc>
          <w:tcPr>
            <w:tcW w:w="126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w w:val="92"/>
              </w:rPr>
              <w:t>2004</w:t>
            </w:r>
          </w:p>
        </w:tc>
        <w:tc>
          <w:tcPr>
            <w:tcW w:w="840" w:type="dxa"/>
            <w:vAlign w:val="bottom"/>
          </w:tcPr>
          <w:p>
            <w:pPr>
              <w:spacing w:after="0"/>
              <w:rPr>
                <w:sz w:val="17"/>
                <w:szCs w:val="17"/>
                <w:color w:val="auto"/>
              </w:rPr>
            </w:pPr>
          </w:p>
        </w:tc>
        <w:tc>
          <w:tcPr>
            <w:tcW w:w="116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w w:val="92"/>
              </w:rPr>
              <w:t>2003</w:t>
            </w:r>
          </w:p>
        </w:tc>
      </w:tr>
      <w:tr>
        <w:trPr>
          <w:trHeight w:val="203"/>
        </w:trPr>
        <w:tc>
          <w:tcPr>
            <w:tcW w:w="3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per</w:t>
            </w:r>
          </w:p>
        </w:tc>
        <w:tc>
          <w:tcPr>
            <w:tcW w:w="840" w:type="dxa"/>
            <w:vAlign w:val="bottom"/>
          </w:tcPr>
          <w:p>
            <w:pPr>
              <w:spacing w:after="0"/>
              <w:rPr>
                <w:sz w:val="17"/>
                <w:szCs w:val="17"/>
                <w:color w:val="auto"/>
              </w:rPr>
            </w:pPr>
          </w:p>
        </w:tc>
        <w:tc>
          <w:tcPr>
            <w:tcW w:w="1160" w:type="dxa"/>
            <w:vAlign w:val="bottom"/>
          </w:tcPr>
          <w:p>
            <w:pPr>
              <w:jc w:val="center"/>
              <w:ind w:left="132"/>
              <w:spacing w:after="0" w:line="203" w:lineRule="exact"/>
              <w:rPr>
                <w:sz w:val="20"/>
                <w:szCs w:val="20"/>
                <w:color w:val="auto"/>
              </w:rPr>
            </w:pPr>
            <w:r>
              <w:rPr>
                <w:rFonts w:ascii="Courier New" w:cs="Courier New" w:eastAsia="Courier New" w:hAnsi="Courier New"/>
                <w:sz w:val="18"/>
                <w:szCs w:val="18"/>
                <w:color w:val="auto"/>
                <w:w w:val="92"/>
              </w:rPr>
              <w:t>per</w:t>
            </w:r>
          </w:p>
        </w:tc>
      </w:tr>
      <w:tr>
        <w:trPr>
          <w:trHeight w:val="203"/>
        </w:trPr>
        <w:tc>
          <w:tcPr>
            <w:tcW w:w="3580" w:type="dxa"/>
            <w:vAlign w:val="bottom"/>
          </w:tcPr>
          <w:p>
            <w:pPr>
              <w:spacing w:after="0"/>
              <w:rPr>
                <w:sz w:val="17"/>
                <w:szCs w:val="17"/>
                <w:color w:val="auto"/>
              </w:rPr>
            </w:pPr>
          </w:p>
        </w:tc>
        <w:tc>
          <w:tcPr>
            <w:tcW w:w="7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share (3)</w:t>
            </w: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center"/>
              <w:ind w:left="132"/>
              <w:spacing w:after="0" w:line="203" w:lineRule="exact"/>
              <w:rPr>
                <w:sz w:val="20"/>
                <w:szCs w:val="20"/>
                <w:color w:val="auto"/>
              </w:rPr>
            </w:pPr>
            <w:r>
              <w:rPr>
                <w:rFonts w:ascii="Courier New" w:cs="Courier New" w:eastAsia="Courier New" w:hAnsi="Courier New"/>
                <w:sz w:val="18"/>
                <w:szCs w:val="18"/>
                <w:color w:val="auto"/>
                <w:w w:val="96"/>
              </w:rPr>
              <w:t>share (3)</w:t>
            </w:r>
          </w:p>
        </w:tc>
      </w:tr>
    </w:tbl>
    <w:p>
      <w:pPr>
        <w:spacing w:after="0" w:line="201" w:lineRule="exact"/>
        <w:rPr>
          <w:sz w:val="20"/>
          <w:szCs w:val="20"/>
          <w:color w:val="auto"/>
        </w:rPr>
      </w:pPr>
    </w:p>
    <w:p>
      <w:pPr>
        <w:ind w:left="625"/>
        <w:spacing w:after="0"/>
        <w:rPr>
          <w:sz w:val="20"/>
          <w:szCs w:val="20"/>
          <w:color w:val="auto"/>
        </w:rPr>
      </w:pPr>
      <w:r>
        <w:rPr>
          <w:rFonts w:ascii="Courier New" w:cs="Courier New" w:eastAsia="Courier New" w:hAnsi="Courier New"/>
          <w:sz w:val="18"/>
          <w:szCs w:val="18"/>
          <w:color w:val="auto"/>
        </w:rPr>
        <w:t>Investment (income) expense</w:t>
      </w:r>
    </w:p>
    <w:p>
      <w:pPr>
        <w:spacing w:after="0" w:line="4" w:lineRule="exact"/>
        <w:rPr>
          <w:sz w:val="20"/>
          <w:szCs w:val="20"/>
          <w:color w:val="auto"/>
        </w:rPr>
      </w:pPr>
    </w:p>
    <w:p>
      <w:pPr>
        <w:ind w:left="745" w:right="5999" w:hanging="8"/>
        <w:spacing w:after="0" w:line="268" w:lineRule="auto"/>
        <w:tabs>
          <w:tab w:leader="none" w:pos="956"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mark to market adjustments on trading securities, derivatives and hedged</w:t>
      </w:r>
    </w:p>
    <w:tbl>
      <w:tblPr>
        <w:tblLayout w:type="fixed"/>
        <w:tblInd w:w="625" w:type="dxa"/>
        <w:tblCellMar>
          <w:top w:w="0" w:type="dxa"/>
          <w:left w:w="0" w:type="dxa"/>
          <w:bottom w:w="0" w:type="dxa"/>
          <w:right w:w="0" w:type="dxa"/>
        </w:tblCellMar>
      </w:tblPr>
      <w:tr>
        <w:trPr>
          <w:trHeight w:val="199"/>
        </w:trPr>
        <w:tc>
          <w:tcPr>
            <w:tcW w:w="1160" w:type="dxa"/>
            <w:vAlign w:val="bottom"/>
          </w:tcPr>
          <w:p>
            <w:pPr>
              <w:ind w:left="120"/>
              <w:spacing w:after="0" w:line="198" w:lineRule="exact"/>
              <w:rPr>
                <w:sz w:val="20"/>
                <w:szCs w:val="20"/>
                <w:color w:val="auto"/>
              </w:rPr>
            </w:pPr>
            <w:r>
              <w:rPr>
                <w:rFonts w:ascii="Courier New" w:cs="Courier New" w:eastAsia="Courier New" w:hAnsi="Courier New"/>
                <w:sz w:val="18"/>
                <w:szCs w:val="18"/>
                <w:color w:val="auto"/>
                <w:w w:val="94"/>
              </w:rPr>
              <w:t>items, net</w:t>
            </w:r>
          </w:p>
        </w:tc>
        <w:tc>
          <w:tcPr>
            <w:tcW w:w="1840" w:type="dxa"/>
            <w:vAlign w:val="bottom"/>
          </w:tcPr>
          <w:p>
            <w:pPr>
              <w:spacing w:after="0"/>
              <w:rPr>
                <w:sz w:val="17"/>
                <w:szCs w:val="17"/>
                <w:color w:val="auto"/>
              </w:rPr>
            </w:pPr>
          </w:p>
        </w:tc>
        <w:tc>
          <w:tcPr>
            <w:tcW w:w="1000" w:type="dxa"/>
            <w:vAlign w:val="bottom"/>
          </w:tcPr>
          <w:p>
            <w:pPr>
              <w:jc w:val="right"/>
              <w:ind w:right="112"/>
              <w:spacing w:after="0" w:line="198" w:lineRule="exact"/>
              <w:rPr>
                <w:sz w:val="20"/>
                <w:szCs w:val="20"/>
                <w:color w:val="auto"/>
              </w:rPr>
            </w:pPr>
            <w:r>
              <w:rPr>
                <w:rFonts w:ascii="Courier New" w:cs="Courier New" w:eastAsia="Courier New" w:hAnsi="Courier New"/>
                <w:sz w:val="18"/>
                <w:szCs w:val="18"/>
                <w:color w:val="auto"/>
              </w:rPr>
              <w:t>($101)</w:t>
            </w:r>
          </w:p>
        </w:tc>
        <w:tc>
          <w:tcPr>
            <w:tcW w:w="1160" w:type="dxa"/>
            <w:vAlign w:val="bottom"/>
          </w:tcPr>
          <w:p>
            <w:pPr>
              <w:jc w:val="right"/>
              <w:ind w:right="112"/>
              <w:spacing w:after="0" w:line="198" w:lineRule="exact"/>
              <w:rPr>
                <w:sz w:val="20"/>
                <w:szCs w:val="20"/>
                <w:color w:val="auto"/>
              </w:rPr>
            </w:pPr>
            <w:r>
              <w:rPr>
                <w:rFonts w:ascii="Courier New" w:cs="Courier New" w:eastAsia="Courier New" w:hAnsi="Courier New"/>
                <w:sz w:val="18"/>
                <w:szCs w:val="18"/>
                <w:color w:val="auto"/>
              </w:rPr>
              <w:t>($0.04)</w:t>
            </w:r>
          </w:p>
        </w:tc>
        <w:tc>
          <w:tcPr>
            <w:tcW w:w="960" w:type="dxa"/>
            <w:vAlign w:val="bottom"/>
          </w:tcPr>
          <w:p>
            <w:pPr>
              <w:jc w:val="right"/>
              <w:ind w:right="232"/>
              <w:spacing w:after="0" w:line="198" w:lineRule="exact"/>
              <w:rPr>
                <w:sz w:val="20"/>
                <w:szCs w:val="20"/>
                <w:color w:val="auto"/>
              </w:rPr>
            </w:pPr>
            <w:r>
              <w:rPr>
                <w:rFonts w:ascii="Courier New" w:cs="Courier New" w:eastAsia="Courier New" w:hAnsi="Courier New"/>
                <w:sz w:val="18"/>
                <w:szCs w:val="18"/>
                <w:color w:val="auto"/>
              </w:rPr>
              <w:t>$265</w:t>
            </w:r>
          </w:p>
        </w:tc>
        <w:tc>
          <w:tcPr>
            <w:tcW w:w="840" w:type="dxa"/>
            <w:vAlign w:val="bottom"/>
          </w:tcPr>
          <w:p>
            <w:pPr>
              <w:jc w:val="right"/>
              <w:ind w:right="12"/>
              <w:spacing w:after="0" w:line="198" w:lineRule="exact"/>
              <w:rPr>
                <w:sz w:val="20"/>
                <w:szCs w:val="20"/>
                <w:color w:val="auto"/>
              </w:rPr>
            </w:pPr>
            <w:r>
              <w:rPr>
                <w:rFonts w:ascii="Courier New" w:cs="Courier New" w:eastAsia="Courier New" w:hAnsi="Courier New"/>
                <w:sz w:val="18"/>
                <w:szCs w:val="18"/>
                <w:color w:val="auto"/>
              </w:rPr>
              <w:t>$0.12</w:t>
            </w:r>
          </w:p>
        </w:tc>
      </w:tr>
      <w:tr>
        <w:trPr>
          <w:trHeight w:val="203"/>
        </w:trPr>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Investment</w:t>
            </w:r>
          </w:p>
        </w:tc>
        <w:tc>
          <w:tcPr>
            <w:tcW w:w="184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expense</w:t>
            </w:r>
          </w:p>
        </w:tc>
        <w:tc>
          <w:tcPr>
            <w:tcW w:w="10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30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 gain (loss) on sales and</w:t>
            </w:r>
          </w:p>
        </w:tc>
        <w:tc>
          <w:tcPr>
            <w:tcW w:w="10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exchanges</w:t>
            </w:r>
          </w:p>
        </w:tc>
        <w:tc>
          <w:tcPr>
            <w:tcW w:w="1840" w:type="dxa"/>
            <w:vAlign w:val="bottom"/>
          </w:tcPr>
          <w:p>
            <w:pPr>
              <w:spacing w:after="0" w:line="203" w:lineRule="exact"/>
              <w:rPr>
                <w:sz w:val="20"/>
                <w:szCs w:val="20"/>
                <w:color w:val="auto"/>
              </w:rPr>
            </w:pPr>
            <w:r>
              <w:rPr>
                <w:rFonts w:ascii="Courier New" w:cs="Courier New" w:eastAsia="Courier New" w:hAnsi="Courier New"/>
                <w:sz w:val="18"/>
                <w:szCs w:val="18"/>
                <w:color w:val="auto"/>
              </w:rPr>
              <w:t>of investments</w:t>
            </w: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w:t>
            </w:r>
          </w:p>
        </w:tc>
        <w:tc>
          <w:tcPr>
            <w:tcW w:w="11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(23)</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(0.01)</w:t>
            </w:r>
          </w:p>
        </w:tc>
      </w:tr>
      <w:tr>
        <w:trPr>
          <w:trHeight w:val="203"/>
        </w:trPr>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Investment</w:t>
            </w:r>
          </w:p>
        </w:tc>
        <w:tc>
          <w:tcPr>
            <w:tcW w:w="1840" w:type="dxa"/>
            <w:vAlign w:val="bottom"/>
          </w:tcPr>
          <w:p>
            <w:pPr>
              <w:spacing w:after="0" w:line="203" w:lineRule="exact"/>
              <w:rPr>
                <w:sz w:val="20"/>
                <w:szCs w:val="20"/>
                <w:color w:val="auto"/>
              </w:rPr>
            </w:pPr>
            <w:r>
              <w:rPr>
                <w:rFonts w:ascii="Courier New" w:cs="Courier New" w:eastAsia="Courier New" w:hAnsi="Courier New"/>
                <w:sz w:val="18"/>
                <w:szCs w:val="18"/>
                <w:color w:val="auto"/>
              </w:rPr>
              <w:t>expense -</w:t>
            </w:r>
          </w:p>
        </w:tc>
        <w:tc>
          <w:tcPr>
            <w:tcW w:w="10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30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investment impairment</w:t>
            </w:r>
          </w:p>
        </w:tc>
        <w:tc>
          <w:tcPr>
            <w:tcW w:w="10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1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4"/>
              </w:rPr>
              <w:t>losses (4)</w:t>
            </w:r>
          </w:p>
        </w:tc>
        <w:tc>
          <w:tcPr>
            <w:tcW w:w="1840" w:type="dxa"/>
            <w:vAlign w:val="bottom"/>
          </w:tcPr>
          <w:p>
            <w:pPr>
              <w:spacing w:after="0"/>
              <w:rPr>
                <w:sz w:val="17"/>
                <w:szCs w:val="17"/>
                <w:color w:val="auto"/>
              </w:rPr>
            </w:pPr>
          </w:p>
        </w:tc>
        <w:tc>
          <w:tcPr>
            <w:tcW w:w="10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3</w:t>
            </w:r>
          </w:p>
        </w:tc>
        <w:tc>
          <w:tcPr>
            <w:tcW w:w="11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70</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0.03</w:t>
            </w:r>
          </w:p>
        </w:tc>
      </w:tr>
      <w:tr>
        <w:trPr>
          <w:trHeight w:val="203"/>
        </w:trPr>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All other,</w:t>
            </w:r>
          </w:p>
        </w:tc>
        <w:tc>
          <w:tcPr>
            <w:tcW w:w="1840" w:type="dxa"/>
            <w:vAlign w:val="bottom"/>
          </w:tcPr>
          <w:p>
            <w:pPr>
              <w:spacing w:after="0" w:line="203" w:lineRule="exact"/>
              <w:rPr>
                <w:sz w:val="20"/>
                <w:szCs w:val="20"/>
                <w:color w:val="auto"/>
              </w:rPr>
            </w:pPr>
            <w:r>
              <w:rPr>
                <w:rFonts w:ascii="Courier New" w:cs="Courier New" w:eastAsia="Courier New" w:hAnsi="Courier New"/>
                <w:sz w:val="18"/>
                <w:szCs w:val="18"/>
                <w:color w:val="auto"/>
              </w:rPr>
              <w:t>net (5)</w:t>
            </w: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(11)</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(0.01)</w:t>
            </w: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(31)</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(0.02)</w:t>
            </w:r>
          </w:p>
        </w:tc>
      </w:tr>
      <w:tr>
        <w:trPr>
          <w:trHeight w:val="203"/>
        </w:trPr>
        <w:tc>
          <w:tcPr>
            <w:tcW w:w="30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Total non-operating items</w:t>
            </w: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(110)</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(0.05)</w:t>
            </w: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281</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0.12</w:t>
            </w:r>
          </w:p>
        </w:tc>
      </w:tr>
      <w:tr>
        <w:trPr>
          <w:trHeight w:val="203"/>
        </w:trPr>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Tax Effect</w:t>
            </w:r>
          </w:p>
        </w:tc>
        <w:tc>
          <w:tcPr>
            <w:tcW w:w="1840" w:type="dxa"/>
            <w:vAlign w:val="bottom"/>
          </w:tcPr>
          <w:p>
            <w:pPr>
              <w:spacing w:after="0"/>
              <w:rPr>
                <w:sz w:val="17"/>
                <w:szCs w:val="17"/>
                <w:color w:val="auto"/>
              </w:rPr>
            </w:pPr>
          </w:p>
        </w:tc>
        <w:tc>
          <w:tcPr>
            <w:tcW w:w="10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38</w:t>
            </w:r>
          </w:p>
        </w:tc>
        <w:tc>
          <w:tcPr>
            <w:tcW w:w="11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0.02</w:t>
            </w: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(98)</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(0.04)</w:t>
            </w:r>
          </w:p>
        </w:tc>
      </w:tr>
      <w:tr>
        <w:trPr>
          <w:trHeight w:val="203"/>
        </w:trPr>
        <w:tc>
          <w:tcPr>
            <w:tcW w:w="30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Non-operating items, net</w:t>
            </w:r>
          </w:p>
        </w:tc>
        <w:tc>
          <w:tcPr>
            <w:tcW w:w="10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11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of tax</w:t>
            </w:r>
          </w:p>
        </w:tc>
        <w:tc>
          <w:tcPr>
            <w:tcW w:w="1840" w:type="dxa"/>
            <w:vAlign w:val="bottom"/>
          </w:tcPr>
          <w:p>
            <w:pPr>
              <w:spacing w:after="0"/>
              <w:rPr>
                <w:sz w:val="17"/>
                <w:szCs w:val="17"/>
                <w:color w:val="auto"/>
              </w:rPr>
            </w:pP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($72)</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($0.03)</w:t>
            </w: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$183</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$0.08</w:t>
            </w:r>
          </w:p>
        </w:tc>
      </w:tr>
    </w:tbl>
    <w:p>
      <w:pPr>
        <w:spacing w:after="0" w:line="200" w:lineRule="exact"/>
        <w:rPr>
          <w:sz w:val="20"/>
          <w:szCs w:val="20"/>
          <w:color w:val="auto"/>
        </w:rPr>
      </w:pPr>
    </w:p>
    <w:p>
      <w:pPr>
        <w:spacing w:after="0" w:line="209" w:lineRule="exact"/>
        <w:rPr>
          <w:sz w:val="20"/>
          <w:szCs w:val="20"/>
          <w:color w:val="auto"/>
        </w:rPr>
      </w:pPr>
    </w:p>
    <w:p>
      <w:pPr>
        <w:ind w:left="525" w:right="2199" w:hanging="525"/>
        <w:spacing w:after="0" w:line="235" w:lineRule="auto"/>
        <w:tabs>
          <w:tab w:leader="none" w:pos="525"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interest expense net of interest income and excludes non-cash interest and subsidiary preferred dividends.</w:t>
      </w:r>
    </w:p>
    <w:p>
      <w:pPr>
        <w:spacing w:after="0" w:line="208" w:lineRule="exact"/>
        <w:rPr>
          <w:rFonts w:ascii="Courier New" w:cs="Courier New" w:eastAsia="Courier New" w:hAnsi="Courier New"/>
          <w:sz w:val="18"/>
          <w:szCs w:val="18"/>
          <w:color w:val="auto"/>
        </w:rPr>
      </w:pPr>
    </w:p>
    <w:p>
      <w:pPr>
        <w:ind w:left="525" w:right="2199" w:hanging="525"/>
        <w:spacing w:after="0" w:line="275" w:lineRule="auto"/>
        <w:tabs>
          <w:tab w:leader="none" w:pos="525"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Diluted weighted average shares outstanding for the three and six months ended June 30, 2004 were 2.267 billion and 2.268 billion, respectively. Diluted weighted average shares outstanding for the three and six months ended June 30, 2003 were 2.255 billion.</w:t>
      </w:r>
    </w:p>
    <w:p>
      <w:pPr>
        <w:spacing w:after="0" w:line="182" w:lineRule="exact"/>
        <w:rPr>
          <w:rFonts w:ascii="Courier New" w:cs="Courier New" w:eastAsia="Courier New" w:hAnsi="Courier New"/>
          <w:sz w:val="16"/>
          <w:szCs w:val="16"/>
          <w:color w:val="auto"/>
        </w:rPr>
      </w:pPr>
    </w:p>
    <w:p>
      <w:pPr>
        <w:ind w:left="525" w:right="2199" w:hanging="525"/>
        <w:spacing w:after="0" w:line="290" w:lineRule="auto"/>
        <w:tabs>
          <w:tab w:leader="none" w:pos="525"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 record losses on our investments for which we have determined that a decline in value of the investment is other than temporary.</w:t>
      </w:r>
    </w:p>
    <w:p>
      <w:pPr>
        <w:sectPr>
          <w:pgSz w:w="11900" w:h="16838" w:orient="portrait"/>
          <w:cols w:equalWidth="0" w:num="1">
            <w:col w:w="9684"/>
          </w:cols>
          <w:pgMar w:left="775" w:top="136" w:right="1440" w:bottom="0" w:gutter="0" w:footer="0" w:header="0"/>
        </w:sectPr>
      </w:pPr>
    </w:p>
    <w:bookmarkStart w:id="14" w:name="page15"/>
    <w:bookmarkEnd w:id="14"/>
    <w:p>
      <w:pPr>
        <w:ind w:left="1060" w:right="2199" w:hanging="525"/>
        <w:spacing w:after="0" w:line="236" w:lineRule="auto"/>
        <w:tabs>
          <w:tab w:leader="none" w:pos="10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investment, interest and dividend income, equity in net (income) losses of affiliates, other (income) expense and minority interest.</w:t>
      </w:r>
    </w:p>
    <w:p>
      <w:pPr>
        <w:spacing w:after="0" w:line="208" w:lineRule="exact"/>
        <w:rPr>
          <w:rFonts w:ascii="Courier New" w:cs="Courier New" w:eastAsia="Courier New" w:hAnsi="Courier New"/>
          <w:sz w:val="18"/>
          <w:szCs w:val="18"/>
          <w:color w:val="auto"/>
        </w:rPr>
      </w:pPr>
    </w:p>
    <w:p>
      <w:pPr>
        <w:ind w:left="1060" w:right="1999" w:hanging="525"/>
        <w:spacing w:after="0" w:line="237" w:lineRule="auto"/>
        <w:tabs>
          <w:tab w:leader="none" w:pos="10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non-cash expenses included in Operating Cash Flow such as equity compensation, proceeds from sales of trading securities, cash related to other (income) expense, dividends and the net effect of changes in accrued income taxes.</w:t>
      </w:r>
    </w:p>
    <w:p>
      <w:pPr>
        <w:spacing w:after="0" w:line="207" w:lineRule="exact"/>
        <w:rPr>
          <w:rFonts w:ascii="Courier New" w:cs="Courier New" w:eastAsia="Courier New" w:hAnsi="Courier New"/>
          <w:sz w:val="18"/>
          <w:szCs w:val="18"/>
          <w:color w:val="auto"/>
        </w:rPr>
      </w:pPr>
    </w:p>
    <w:p>
      <w:pPr>
        <w:ind w:left="1060" w:right="2319" w:hanging="525"/>
        <w:spacing w:after="0" w:line="235" w:lineRule="auto"/>
        <w:tabs>
          <w:tab w:leader="none" w:pos="10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$536 million of income tax refund received in the second quarter of 2004.</w:t>
      </w:r>
    </w:p>
    <w:p>
      <w:pPr>
        <w:spacing w:after="0" w:line="203"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SOURCE</w:t>
        <w:tab/>
        <w:t>Comcast Corporation</w:t>
      </w:r>
    </w:p>
    <w:p>
      <w:pPr>
        <w:ind w:left="420"/>
        <w:spacing w:after="0"/>
        <w:tabs>
          <w:tab w:leader="none" w:pos="3780" w:val="left"/>
        </w:tabs>
        <w:rPr>
          <w:sz w:val="20"/>
          <w:szCs w:val="20"/>
          <w:color w:val="auto"/>
        </w:rPr>
      </w:pPr>
      <w:r>
        <w:rPr>
          <w:rFonts w:ascii="Courier New" w:cs="Courier New" w:eastAsia="Courier New" w:hAnsi="Courier New"/>
          <w:sz w:val="18"/>
          <w:szCs w:val="18"/>
          <w:color w:val="auto"/>
        </w:rPr>
        <w:t>-0-</w:t>
      </w:r>
      <w:r>
        <w:rPr>
          <w:sz w:val="20"/>
          <w:szCs w:val="20"/>
          <w:color w:val="auto"/>
        </w:rPr>
        <w:tab/>
      </w:r>
      <w:r>
        <w:rPr>
          <w:rFonts w:ascii="Courier New" w:cs="Courier New" w:eastAsia="Courier New" w:hAnsi="Courier New"/>
          <w:sz w:val="16"/>
          <w:szCs w:val="16"/>
          <w:color w:val="auto"/>
        </w:rPr>
        <w:t>07/28/2004</w:t>
      </w:r>
    </w:p>
    <w:p>
      <w:pPr>
        <w:spacing w:after="0" w:line="5" w:lineRule="exact"/>
        <w:rPr>
          <w:sz w:val="20"/>
          <w:szCs w:val="20"/>
          <w:color w:val="auto"/>
        </w:rPr>
      </w:pPr>
    </w:p>
    <w:p>
      <w:pPr>
        <w:ind w:right="2319" w:firstLine="421"/>
        <w:spacing w:after="0" w:line="237" w:lineRule="auto"/>
        <w:rPr>
          <w:sz w:val="20"/>
          <w:szCs w:val="20"/>
          <w:color w:val="auto"/>
        </w:rPr>
      </w:pPr>
      <w:r>
        <w:rPr>
          <w:rFonts w:ascii="Courier New" w:cs="Courier New" w:eastAsia="Courier New" w:hAnsi="Courier New"/>
          <w:sz w:val="18"/>
          <w:szCs w:val="18"/>
          <w:color w:val="auto"/>
        </w:rPr>
        <w:t>/CONTACT: Investor Contacts: Marlene S. Dooner, +1-215-981-7392, or Leslie A. Arena, +1-215-981-8511, or Daniel J. Goodwin, +1-215-981-7518, or Press Contacts: D'Arcy Rudnay, +1-215-981-8582, or Tim Fitzpatrick, +1-215-981-8515, all of Comcast/</w:t>
      </w:r>
    </w:p>
    <w:p>
      <w:pPr>
        <w:ind w:left="420"/>
        <w:spacing w:after="0"/>
        <w:tabs>
          <w:tab w:leader="none" w:pos="1680" w:val="left"/>
        </w:tabs>
        <w:rPr>
          <w:sz w:val="20"/>
          <w:szCs w:val="20"/>
          <w:color w:val="auto"/>
        </w:rPr>
      </w:pPr>
      <w:r>
        <w:rPr>
          <w:rFonts w:ascii="Courier New" w:cs="Courier New" w:eastAsia="Courier New" w:hAnsi="Courier New"/>
          <w:sz w:val="18"/>
          <w:szCs w:val="18"/>
          <w:color w:val="auto"/>
        </w:rPr>
        <w:t>/Web site:</w:t>
      </w:r>
      <w:r>
        <w:rPr>
          <w:sz w:val="20"/>
          <w:szCs w:val="20"/>
          <w:color w:val="auto"/>
        </w:rPr>
        <w:tab/>
      </w:r>
      <w:r>
        <w:rPr>
          <w:rFonts w:ascii="Courier New" w:cs="Courier New" w:eastAsia="Courier New" w:hAnsi="Courier New"/>
          <w:sz w:val="16"/>
          <w:szCs w:val="16"/>
          <w:color w:val="auto"/>
        </w:rPr>
        <w:t>http://www.cmcsa.com</w:t>
      </w:r>
    </w:p>
    <w:p>
      <w:pPr>
        <w:ind w:left="1700"/>
        <w:spacing w:after="0" w:line="237" w:lineRule="auto"/>
        <w:rPr>
          <w:sz w:val="20"/>
          <w:szCs w:val="20"/>
          <w:color w:val="auto"/>
        </w:rPr>
      </w:pPr>
      <w:r>
        <w:rPr>
          <w:rFonts w:ascii="Courier New" w:cs="Courier New" w:eastAsia="Courier New" w:hAnsi="Courier New"/>
          <w:sz w:val="18"/>
          <w:szCs w:val="18"/>
          <w:color w:val="auto"/>
        </w:rPr>
        <w:t>http://www.cmcsk.com</w:t>
      </w:r>
    </w:p>
    <w:p>
      <w:pPr>
        <w:ind w:left="1700"/>
        <w:spacing w:after="0"/>
        <w:rPr>
          <w:sz w:val="20"/>
          <w:szCs w:val="20"/>
          <w:color w:val="auto"/>
        </w:rPr>
      </w:pPr>
      <w:r>
        <w:rPr>
          <w:rFonts w:ascii="Courier New" w:cs="Courier New" w:eastAsia="Courier New" w:hAnsi="Courier New"/>
          <w:sz w:val="18"/>
          <w:szCs w:val="18"/>
          <w:color w:val="auto"/>
        </w:rPr>
        <w:t>http://www.comcast.com /</w:t>
      </w:r>
    </w:p>
    <w:p>
      <w:pPr>
        <w:ind w:left="420"/>
        <w:spacing w:after="0" w:line="237" w:lineRule="auto"/>
        <w:rPr>
          <w:sz w:val="20"/>
          <w:szCs w:val="20"/>
          <w:color w:val="auto"/>
        </w:rPr>
      </w:pPr>
      <w:r>
        <w:rPr>
          <w:rFonts w:ascii="Courier New" w:cs="Courier New" w:eastAsia="Courier New" w:hAnsi="Courier New"/>
          <w:sz w:val="18"/>
          <w:szCs w:val="18"/>
          <w:color w:val="auto"/>
        </w:rPr>
        <w:t>(CMCSK CMCSA)</w:t>
      </w:r>
    </w:p>
    <w:p>
      <w:pPr>
        <w:spacing w:after="0" w:line="202"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CO:</w:t>
        <w:tab/>
        <w:t>Comcast Corporation</w:t>
      </w:r>
    </w:p>
    <w:p>
      <w:pPr>
        <w:spacing w:after="0" w:line="238" w:lineRule="auto"/>
        <w:tabs>
          <w:tab w:leader="none" w:pos="520" w:val="left"/>
        </w:tabs>
        <w:rPr>
          <w:sz w:val="20"/>
          <w:szCs w:val="20"/>
          <w:color w:val="auto"/>
        </w:rPr>
      </w:pPr>
      <w:r>
        <w:rPr>
          <w:rFonts w:ascii="Courier New" w:cs="Courier New" w:eastAsia="Courier New" w:hAnsi="Courier New"/>
          <w:sz w:val="18"/>
          <w:szCs w:val="18"/>
          <w:color w:val="auto"/>
        </w:rPr>
        <w:t>ST:</w:t>
        <w:tab/>
        <w:t>Pennsylvania</w:t>
      </w:r>
    </w:p>
    <w:p>
      <w:pPr>
        <w:spacing w:after="0"/>
        <w:tabs>
          <w:tab w:leader="none" w:pos="520" w:val="left"/>
        </w:tabs>
        <w:rPr>
          <w:sz w:val="20"/>
          <w:szCs w:val="20"/>
          <w:color w:val="auto"/>
        </w:rPr>
      </w:pPr>
      <w:r>
        <w:rPr>
          <w:rFonts w:ascii="Courier New" w:cs="Courier New" w:eastAsia="Courier New" w:hAnsi="Courier New"/>
          <w:sz w:val="18"/>
          <w:szCs w:val="18"/>
          <w:color w:val="auto"/>
        </w:rPr>
        <w:t>IN:</w:t>
        <w:tab/>
        <w:t>ENT TVN CPR ITE MLM</w:t>
      </w:r>
    </w:p>
    <w:p>
      <w:pPr>
        <w:spacing w:after="0" w:line="237" w:lineRule="auto"/>
        <w:tabs>
          <w:tab w:leader="none" w:pos="520" w:val="left"/>
        </w:tabs>
        <w:rPr>
          <w:sz w:val="20"/>
          <w:szCs w:val="20"/>
          <w:color w:val="auto"/>
        </w:rPr>
      </w:pPr>
      <w:r>
        <w:rPr>
          <w:rFonts w:ascii="Courier New" w:cs="Courier New" w:eastAsia="Courier New" w:hAnsi="Courier New"/>
          <w:sz w:val="18"/>
          <w:szCs w:val="18"/>
          <w:color w:val="auto"/>
        </w:rPr>
        <w:t>SU:</w:t>
        <w:tab/>
        <w:t>ERN MAV CCA</w:t>
      </w:r>
    </w:p>
    <w:sectPr>
      <w:pgSz w:w="11900" w:h="16838" w:orient="portrait"/>
      <w:cols w:equalWidth="0" w:num="1">
        <w:col w:w="10219"/>
      </w:cols>
      <w:pgMar w:left="240" w:top="34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1)"/>
      <w:numFmt w:val="decimal"/>
      <w:start w:val="1"/>
    </w:lvl>
  </w:abstractNum>
  <w:abstractNum w:abstractNumId="5">
    <w:nsid w:val="5BD062C2"/>
    <w:multiLevelType w:val="hybridMultilevel"/>
    <w:lvl w:ilvl="0">
      <w:lvlJc w:val="left"/>
      <w:lvlText w:val="(%1)"/>
      <w:numFmt w:val="decimal"/>
      <w:start w:val="1"/>
    </w:lvl>
  </w:abstractNum>
  <w:abstractNum w:abstractNumId="6">
    <w:nsid w:val="12200854"/>
    <w:multiLevelType w:val="hybridMultilevel"/>
    <w:lvl w:ilvl="0">
      <w:lvlJc w:val="left"/>
      <w:lvlText w:val="(%1)"/>
      <w:numFmt w:val="decimal"/>
      <w:start w:val="4"/>
    </w:lvl>
  </w:abstractNum>
  <w:abstractNum w:abstractNumId="7">
    <w:nsid w:val="4DB127F8"/>
    <w:multiLevelType w:val="hybridMultilevel"/>
    <w:lvl w:ilvl="0">
      <w:lvlJc w:val="left"/>
      <w:lvlText w:val="(%1)"/>
      <w:numFmt w:val="decimal"/>
      <w:start w:val="1"/>
    </w:lvl>
  </w:abstractNum>
  <w:abstractNum w:abstractNumId="8">
    <w:nsid w:val="216231B"/>
    <w:multiLevelType w:val="hybridMultilevel"/>
    <w:lvl w:ilvl="0">
      <w:lvlJc w:val="left"/>
      <w:lvlText w:val="(%1)"/>
      <w:numFmt w:val="decimal"/>
      <w:start w:val="1"/>
    </w:lvl>
  </w:abstractNum>
  <w:abstractNum w:abstractNumId="9">
    <w:nsid w:val="1F16E9E8"/>
    <w:multiLevelType w:val="hybridMultilevel"/>
    <w:lvl w:ilvl="0">
      <w:lvlJc w:val="left"/>
      <w:lvlText w:val="-"/>
      <w:numFmt w:val="bullet"/>
      <w:start w:val="1"/>
    </w:lvl>
  </w:abstractNum>
  <w:abstractNum w:abstractNumId="10">
    <w:nsid w:val="1190CDE7"/>
    <w:multiLevelType w:val="hybridMultilevel"/>
    <w:lvl w:ilvl="0">
      <w:lvlJc w:val="left"/>
      <w:lvlText w:val="(%1)"/>
      <w:numFmt w:val="decimal"/>
      <w:start w:val="2"/>
    </w:lvl>
  </w:abstractNum>
  <w:abstractNum w:abstractNumId="11">
    <w:nsid w:val="66EF438D"/>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2019-12-12T02:52:41Z</dcterms:created>
  <dcterms:modified xsi:type="dcterms:W3CDTF">2019-12-12T02:52:41Z</dcterms:modified>
</cp:coreProperties>
</file>