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10-Q</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2006</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58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Transition Report pursuant to Section 13 or 15(d) of the Securities Exchange Act of 1934 for the Transition Period from</w:t>
            </w:r>
          </w:p>
        </w:tc>
        <w:tc>
          <w:tcPr>
            <w:tcW w:w="640" w:type="dxa"/>
            <w:vAlign w:val="bottom"/>
          </w:tcPr>
          <w:p>
            <w:pPr>
              <w:ind w:left="480"/>
              <w:spacing w:after="0"/>
              <w:rPr>
                <w:sz w:val="20"/>
                <w:szCs w:val="20"/>
                <w:color w:val="auto"/>
              </w:rPr>
            </w:pPr>
            <w:r>
              <w:rPr>
                <w:rFonts w:ascii="Arial" w:cs="Arial" w:eastAsia="Arial" w:hAnsi="Arial"/>
                <w:sz w:val="18"/>
                <w:szCs w:val="18"/>
                <w:b w:val="1"/>
                <w:bCs w:val="1"/>
                <w:color w:val="auto"/>
                <w:w w:val="82"/>
              </w:rPr>
              <w:t>to</w:t>
            </w:r>
          </w:p>
        </w:tc>
      </w:tr>
      <w:tr>
        <w:trPr>
          <w:trHeight w:val="228"/>
        </w:trPr>
        <w:tc>
          <w:tcPr>
            <w:tcW w:w="300" w:type="dxa"/>
            <w:vAlign w:val="bottom"/>
          </w:tcPr>
          <w:p>
            <w:pPr>
              <w:spacing w:after="0"/>
              <w:rPr>
                <w:sz w:val="19"/>
                <w:szCs w:val="19"/>
                <w:color w:val="auto"/>
              </w:rPr>
            </w:pPr>
          </w:p>
        </w:tc>
        <w:tc>
          <w:tcPr>
            <w:tcW w:w="4200" w:type="dxa"/>
            <w:vAlign w:val="bottom"/>
          </w:tcPr>
          <w:p>
            <w:pPr>
              <w:jc w:val="right"/>
              <w:ind w:right="3032"/>
              <w:spacing w:after="0"/>
              <w:rPr>
                <w:sz w:val="20"/>
                <w:szCs w:val="20"/>
                <w:color w:val="auto"/>
              </w:rPr>
            </w:pPr>
            <w:r>
              <w:rPr>
                <w:rFonts w:ascii="Arial" w:cs="Arial" w:eastAsia="Arial" w:hAnsi="Arial"/>
                <w:sz w:val="18"/>
                <w:szCs w:val="18"/>
                <w:b w:val="1"/>
                <w:bCs w:val="1"/>
                <w:color w:val="auto"/>
              </w:rPr>
              <w:t>.</w:t>
            </w:r>
          </w:p>
        </w:tc>
        <w:tc>
          <w:tcPr>
            <w:tcW w:w="2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78"/>
        </w:trPr>
        <w:tc>
          <w:tcPr>
            <w:tcW w:w="300" w:type="dxa"/>
            <w:vAlign w:val="bottom"/>
          </w:tcPr>
          <w:p>
            <w:pPr>
              <w:spacing w:after="0"/>
              <w:rPr>
                <w:sz w:val="24"/>
                <w:szCs w:val="24"/>
                <w:color w:val="auto"/>
              </w:rPr>
            </w:pPr>
          </w:p>
        </w:tc>
        <w:tc>
          <w:tcPr>
            <w:tcW w:w="9580" w:type="dxa"/>
            <w:vAlign w:val="bottom"/>
            <w:gridSpan w:val="3"/>
          </w:tcPr>
          <w:p>
            <w:pPr>
              <w:ind w:left="4060"/>
              <w:spacing w:after="0"/>
              <w:rPr>
                <w:sz w:val="20"/>
                <w:szCs w:val="20"/>
                <w:color w:val="auto"/>
              </w:rPr>
            </w:pPr>
            <w:r>
              <w:rPr>
                <w:rFonts w:ascii="Arial" w:cs="Arial" w:eastAsia="Arial" w:hAnsi="Arial"/>
                <w:sz w:val="18"/>
                <w:szCs w:val="18"/>
                <w:b w:val="1"/>
                <w:bCs w:val="1"/>
                <w:color w:val="auto"/>
              </w:rPr>
              <w:t>Commission File Number 001-32871</w:t>
            </w:r>
          </w:p>
        </w:tc>
        <w:tc>
          <w:tcPr>
            <w:tcW w:w="640" w:type="dxa"/>
            <w:vAlign w:val="bottom"/>
          </w:tcPr>
          <w:p>
            <w:pPr>
              <w:spacing w:after="0"/>
              <w:rPr>
                <w:sz w:val="24"/>
                <w:szCs w:val="24"/>
                <w:color w:val="auto"/>
              </w:rPr>
            </w:pPr>
          </w:p>
        </w:tc>
      </w:tr>
      <w:tr>
        <w:trPr>
          <w:trHeight w:val="191"/>
        </w:trPr>
        <w:tc>
          <w:tcPr>
            <w:tcW w:w="3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68580</wp:posOffset>
            </wp:positionV>
            <wp:extent cx="2933065" cy="746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3065" cy="746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0" w:right="319" w:bottom="1440" w:gutter="0" w:footer="0" w:header="0"/>
        </w:sectPr>
      </w:pPr>
    </w:p>
    <w:p>
      <w:pPr>
        <w:spacing w:after="0" w:line="192"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27-0000798</w:t>
      </w:r>
    </w:p>
    <w:p>
      <w:pPr>
        <w:spacing w:after="0" w:line="21"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Identification No.)</w:t>
      </w:r>
    </w:p>
    <w:p>
      <w:pPr>
        <w:spacing w:after="0" w:line="182" w:lineRule="exact"/>
        <w:rPr>
          <w:sz w:val="24"/>
          <w:szCs w:val="24"/>
          <w:color w:val="auto"/>
        </w:rPr>
      </w:pPr>
    </w:p>
    <w:p>
      <w:pPr>
        <w:sectPr>
          <w:pgSz w:w="11900" w:h="16838" w:orient="portrait"/>
          <w:cols w:equalWidth="0" w:num="2">
            <w:col w:w="7360" w:space="720"/>
            <w:col w:w="3260"/>
          </w:cols>
          <w:pgMar w:left="240" w:top="230" w:right="31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1500 Market Street, Philadelphia, PA 19102-2148</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(Zip Code)</w:t>
      </w:r>
    </w:p>
    <w:p>
      <w:pPr>
        <w:spacing w:after="0" w:line="165"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153035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p>
      <w:pPr>
        <w:spacing w:after="0" w:line="354"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27"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151765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3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 w:lineRule="exact"/>
        <w:rPr>
          <w:sz w:val="24"/>
          <w:szCs w:val="24"/>
          <w:color w:val="auto"/>
        </w:rPr>
      </w:pPr>
    </w:p>
    <w:p>
      <w:pPr>
        <w:spacing w:after="0" w:line="207" w:lineRule="exact"/>
        <w:tabs>
          <w:tab w:leader="none" w:pos="2820" w:val="left"/>
          <w:tab w:leader="none" w:pos="52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58" w:lineRule="exact"/>
        <w:rPr>
          <w:sz w:val="24"/>
          <w:szCs w:val="24"/>
          <w:color w:val="auto"/>
        </w:rPr>
      </w:pPr>
    </w:p>
    <w:p>
      <w:pPr>
        <w:ind w:left="52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right="420" w:firstLine="456"/>
        <w:spacing w:after="0" w:line="268" w:lineRule="auto"/>
        <w:rPr>
          <w:sz w:val="20"/>
          <w:szCs w:val="20"/>
          <w:color w:val="auto"/>
        </w:rPr>
      </w:pPr>
      <w:r>
        <w:rPr>
          <w:rFonts w:ascii="Arial" w:cs="Arial" w:eastAsia="Arial" w:hAnsi="Arial"/>
          <w:sz w:val="18"/>
          <w:szCs w:val="18"/>
          <w:color w:val="auto"/>
        </w:rPr>
        <w:t>As of June 30, 2006, there were 1,365,994,008 shares of our Class A Common Stock, 717,356,654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0940" w:type="dxa"/>
            <w:vAlign w:val="bottom"/>
            <w:gridSpan w:val="18"/>
            <w:vMerge w:val="restart"/>
          </w:tcPr>
          <w:p>
            <w:pPr>
              <w:spacing w:after="0"/>
              <w:rPr>
                <w:sz w:val="20"/>
                <w:szCs w:val="20"/>
                <w:color w:val="auto"/>
              </w:rPr>
            </w:pPr>
            <w:r>
              <w:rPr>
                <w:rFonts w:ascii="Arial" w:cs="Arial" w:eastAsia="Arial" w:hAnsi="Arial"/>
                <w:sz w:val="18"/>
                <w:szCs w:val="18"/>
                <w:color w:val="auto"/>
              </w:rPr>
              <w:t>PART I. FINANCIAL INFORMATION</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201"/>
        </w:trPr>
        <w:tc>
          <w:tcPr>
            <w:tcW w:w="10940" w:type="dxa"/>
            <w:vAlign w:val="bottom"/>
            <w:gridSpan w:val="18"/>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080" w:type="dxa"/>
            <w:vAlign w:val="bottom"/>
            <w:gridSpan w:val="2"/>
          </w:tcPr>
          <w:p>
            <w:pPr>
              <w:spacing w:after="0" w:line="184" w:lineRule="exact"/>
              <w:rPr>
                <w:sz w:val="20"/>
                <w:szCs w:val="20"/>
                <w:color w:val="auto"/>
              </w:rPr>
            </w:pPr>
            <w:r>
              <w:rPr>
                <w:rFonts w:ascii="Arial" w:cs="Arial" w:eastAsia="Arial" w:hAnsi="Arial"/>
                <w:sz w:val="18"/>
                <w:szCs w:val="18"/>
                <w:color w:val="auto"/>
              </w:rPr>
              <w:t>ITEM 1.</w:t>
            </w:r>
          </w:p>
        </w:tc>
        <w:tc>
          <w:tcPr>
            <w:tcW w:w="1460" w:type="dxa"/>
            <w:vAlign w:val="bottom"/>
            <w:tcBorders>
              <w:bottom w:val="single" w:sz="8" w:color="0000EE"/>
            </w:tcBorders>
            <w:gridSpan w:val="5"/>
          </w:tcPr>
          <w:p>
            <w:pPr>
              <w:spacing w:after="0" w:line="184"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Financial Statements</w:t>
              </w:r>
            </w:hyperlink>
          </w:p>
        </w:tc>
        <w:tc>
          <w:tcPr>
            <w:tcW w:w="7180" w:type="dxa"/>
            <w:vAlign w:val="bottom"/>
            <w:gridSpan w:val="10"/>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 as of June 30, 2006 and December 31, 2005 (Unaudited)</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 of Operations for the Three and Six Months Ended June 30, 2006 and 2005</w:t>
              </w:r>
            </w:hyperlink>
          </w:p>
        </w:tc>
        <w:tc>
          <w:tcPr>
            <w:tcW w:w="8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w:t>
              </w:r>
            </w:hyperlink>
          </w:p>
        </w:tc>
        <w:tc>
          <w:tcPr>
            <w:tcW w:w="7800" w:type="dxa"/>
            <w:vAlign w:val="bottom"/>
            <w:gridSpan w:val="1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2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 of Cash Flows for the Six Months Ended June 30, 2006 and 2005 (Unaudited)</w:t>
              </w:r>
            </w:hyperlink>
          </w:p>
        </w:tc>
        <w:tc>
          <w:tcPr>
            <w:tcW w:w="6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86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Management’s Discussion and Analysis of Financial Condition and Results of Operations</w:t>
              </w:r>
            </w:hyperlink>
          </w:p>
        </w:tc>
        <w:tc>
          <w:tcPr>
            <w:tcW w:w="234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Quantitative and Qualitative Disclosures About Market Risk</w:t>
              </w:r>
            </w:hyperlink>
          </w:p>
        </w:tc>
        <w:tc>
          <w:tcPr>
            <w:tcW w:w="4380" w:type="dxa"/>
            <w:vAlign w:val="bottom"/>
            <w:gridSpan w:val="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Controls and Procedures</w:t>
              </w:r>
            </w:hyperlink>
          </w:p>
        </w:tc>
        <w:tc>
          <w:tcPr>
            <w:tcW w:w="6920" w:type="dxa"/>
            <w:vAlign w:val="bottom"/>
            <w:gridSpan w:val="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8"/>
        </w:trPr>
        <w:tc>
          <w:tcPr>
            <w:tcW w:w="10940" w:type="dxa"/>
            <w:vAlign w:val="bottom"/>
            <w:gridSpan w:val="18"/>
          </w:tcPr>
          <w:p>
            <w:pPr>
              <w:spacing w:after="0"/>
              <w:rPr>
                <w:sz w:val="20"/>
                <w:szCs w:val="20"/>
                <w:color w:val="auto"/>
              </w:rPr>
            </w:pPr>
            <w:r>
              <w:rPr>
                <w:rFonts w:ascii="Arial" w:cs="Arial" w:eastAsia="Arial" w:hAnsi="Arial"/>
                <w:sz w:val="18"/>
                <w:szCs w:val="18"/>
                <w:color w:val="auto"/>
              </w:rPr>
              <w:t>PART II. OTHER INFORMATION</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080" w:type="dxa"/>
            <w:vAlign w:val="bottom"/>
            <w:gridSpan w:val="2"/>
          </w:tcPr>
          <w:p>
            <w:pPr>
              <w:spacing w:after="0" w:line="184" w:lineRule="exact"/>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4"/>
          </w:tcPr>
          <w:p>
            <w:pPr>
              <w:spacing w:after="0" w:line="184"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Legal Proceedings</w:t>
              </w:r>
            </w:hyperlink>
          </w:p>
        </w:tc>
        <w:tc>
          <w:tcPr>
            <w:tcW w:w="7340" w:type="dxa"/>
            <w:vAlign w:val="bottom"/>
            <w:gridSpan w:val="11"/>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Risk Factors</w:t>
              </w:r>
            </w:hyperlink>
          </w:p>
        </w:tc>
        <w:tc>
          <w:tcPr>
            <w:tcW w:w="7760" w:type="dxa"/>
            <w:vAlign w:val="bottom"/>
            <w:gridSpan w:val="1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40">
              <w:r>
                <w:rPr>
                  <w:rFonts w:ascii="Arial" w:cs="Arial" w:eastAsia="Arial" w:hAnsi="Arial"/>
                  <w:sz w:val="18"/>
                  <w:szCs w:val="18"/>
                  <w:color w:val="0000EE"/>
                  <w:w w:val="86"/>
                </w:rPr>
                <w:t>Unregistered Sales of Equity Securities and Use of Proceeds</w:t>
              </w:r>
            </w:hyperlink>
          </w:p>
        </w:tc>
        <w:tc>
          <w:tcPr>
            <w:tcW w:w="440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640" w:type="dxa"/>
            <w:vAlign w:val="bottom"/>
            <w:gridSpan w:val="1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Submission of Matters to a Vote of Security Holders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36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498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80" w:type="dxa"/>
            <w:vAlign w:val="bottom"/>
            <w:gridSpan w:val="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SIGNATURES</w:t>
              </w:r>
            </w:hyperlink>
          </w:p>
        </w:tc>
        <w:tc>
          <w:tcPr>
            <w:tcW w:w="5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137160</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Quarterly Report on Form 10-Q is for the three and six months ended June 30, 2006.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outlined below. Actual events or our actual results may differ materially from any of our forward-looking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of the services offered by our cable systems face a wide range of competition that could adversely affect our future results of operations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programming costs are increasing, which could adversely affect our future results of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costs and restrictions</w:t>
      </w:r>
    </w:p>
    <w:p>
      <w:pPr>
        <w:spacing w:after="0" w:line="9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5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 including litigation associated with the acquisition of AT&amp;T Corp.’s broadband cable business</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Chairman and CEO has considerable influence over our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(Dollars in millions,</w:t>
            </w:r>
          </w:p>
        </w:tc>
      </w:tr>
      <w:tr>
        <w:trPr>
          <w:trHeight w:val="161"/>
        </w:trPr>
        <w:tc>
          <w:tcPr>
            <w:tcW w:w="9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except share data)</w:t>
            </w:r>
          </w:p>
        </w:tc>
      </w:tr>
      <w:tr>
        <w:trPr>
          <w:trHeight w:val="129"/>
        </w:trPr>
        <w:tc>
          <w:tcPr>
            <w:tcW w:w="9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82"/>
              </w:rPr>
              <w:t>June 30,</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1"/>
                <w:szCs w:val="11"/>
                <w:color w:val="auto"/>
              </w:rPr>
            </w:pPr>
          </w:p>
        </w:tc>
      </w:tr>
      <w:tr>
        <w:trPr>
          <w:trHeight w:val="161"/>
        </w:trPr>
        <w:tc>
          <w:tcPr>
            <w:tcW w:w="9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less allowance for doubtful accounts of $137 and $136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60" w:type="dxa"/>
            <w:vAlign w:val="bottom"/>
            <w:shd w:val="clear" w:color="auto" w:fill="CCEEFF"/>
          </w:tcPr>
          <w:p>
            <w:pPr>
              <w:spacing w:after="0"/>
              <w:rPr>
                <w:sz w:val="18"/>
                <w:szCs w:val="18"/>
                <w:color w:val="auto"/>
              </w:rPr>
            </w:pPr>
          </w:p>
        </w:tc>
      </w:tr>
      <w:tr>
        <w:trPr>
          <w:trHeight w:val="223"/>
        </w:trPr>
        <w:tc>
          <w:tcPr>
            <w:tcW w:w="936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60" w:type="dxa"/>
            <w:vAlign w:val="bottom"/>
          </w:tcPr>
          <w:p>
            <w:pPr>
              <w:spacing w:after="0"/>
              <w:rPr>
                <w:sz w:val="19"/>
                <w:szCs w:val="19"/>
                <w:color w:val="auto"/>
              </w:rPr>
            </w:pPr>
          </w:p>
        </w:tc>
      </w:tr>
      <w:tr>
        <w:trPr>
          <w:trHeight w:val="216"/>
        </w:trPr>
        <w:tc>
          <w:tcPr>
            <w:tcW w:w="9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60" w:type="dxa"/>
            <w:vAlign w:val="bottom"/>
            <w:shd w:val="clear" w:color="auto" w:fill="CCEEFF"/>
          </w:tcPr>
          <w:p>
            <w:pPr>
              <w:spacing w:after="0"/>
              <w:rPr>
                <w:sz w:val="18"/>
                <w:szCs w:val="18"/>
                <w:color w:val="auto"/>
              </w:rPr>
            </w:pPr>
          </w:p>
        </w:tc>
      </w:tr>
      <w:tr>
        <w:trPr>
          <w:trHeight w:val="221"/>
        </w:trPr>
        <w:tc>
          <w:tcPr>
            <w:tcW w:w="936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11,838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12,682</w:t>
            </w:r>
          </w:p>
        </w:tc>
        <w:tc>
          <w:tcPr>
            <w:tcW w:w="60" w:type="dxa"/>
            <w:vAlign w:val="bottom"/>
          </w:tcPr>
          <w:p>
            <w:pPr>
              <w:spacing w:after="0"/>
              <w:rPr>
                <w:sz w:val="19"/>
                <w:szCs w:val="19"/>
                <w:color w:val="auto"/>
              </w:rPr>
            </w:pPr>
          </w:p>
        </w:tc>
      </w:tr>
      <w:tr>
        <w:trPr>
          <w:trHeight w:val="218"/>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of $14,356 and $12,629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FRANCHISE RIGHTS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51,366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51,090</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14,218</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$5,319 and $4,776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3,160</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60" w:type="dxa"/>
            <w:vAlign w:val="bottom"/>
            <w:shd w:val="clear" w:color="auto" w:fill="CCEEFF"/>
          </w:tcPr>
          <w:p>
            <w:pPr>
              <w:spacing w:after="0"/>
              <w:rPr>
                <w:sz w:val="18"/>
                <w:szCs w:val="18"/>
                <w:color w:val="auto"/>
              </w:rPr>
            </w:pPr>
          </w:p>
        </w:tc>
      </w:tr>
      <w:tr>
        <w:trPr>
          <w:trHeight w:val="222"/>
        </w:trPr>
        <w:tc>
          <w:tcPr>
            <w:tcW w:w="9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103,088</w:t>
            </w:r>
          </w:p>
        </w:tc>
        <w:tc>
          <w:tcPr>
            <w:tcW w:w="28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103,146</w:t>
            </w:r>
          </w:p>
        </w:tc>
        <w:tc>
          <w:tcPr>
            <w:tcW w:w="6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2,545</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23"/>
        </w:trPr>
        <w:tc>
          <w:tcPr>
            <w:tcW w:w="9360" w:type="dxa"/>
            <w:vAlign w:val="bottom"/>
          </w:tcPr>
          <w:p>
            <w:pPr>
              <w:ind w:left="4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60" w:type="dxa"/>
            <w:vAlign w:val="bottom"/>
          </w:tcPr>
          <w:p>
            <w:pPr>
              <w:spacing w:after="0"/>
              <w:rPr>
                <w:sz w:val="19"/>
                <w:szCs w:val="19"/>
                <w:color w:val="auto"/>
              </w:rPr>
            </w:pPr>
          </w:p>
        </w:tc>
      </w:tr>
      <w:tr>
        <w:trPr>
          <w:trHeight w:val="216"/>
        </w:trPr>
        <w:tc>
          <w:tcPr>
            <w:tcW w:w="9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60" w:type="dxa"/>
            <w:vAlign w:val="bottom"/>
            <w:shd w:val="clear" w:color="auto" w:fill="CCEEFF"/>
          </w:tcPr>
          <w:p>
            <w:pPr>
              <w:spacing w:after="0"/>
              <w:rPr>
                <w:sz w:val="18"/>
                <w:szCs w:val="18"/>
                <w:color w:val="auto"/>
              </w:rPr>
            </w:pPr>
          </w:p>
        </w:tc>
      </w:tr>
      <w:tr>
        <w:trPr>
          <w:trHeight w:val="221"/>
        </w:trPr>
        <w:tc>
          <w:tcPr>
            <w:tcW w:w="93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23,360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21,682</w:t>
            </w:r>
          </w:p>
        </w:tc>
        <w:tc>
          <w:tcPr>
            <w:tcW w:w="60" w:type="dxa"/>
            <w:vAlign w:val="bottom"/>
          </w:tcPr>
          <w:p>
            <w:pPr>
              <w:spacing w:after="0"/>
              <w:rPr>
                <w:sz w:val="19"/>
                <w:szCs w:val="19"/>
                <w:color w:val="auto"/>
              </w:rPr>
            </w:pPr>
          </w:p>
        </w:tc>
      </w:tr>
      <w:tr>
        <w:trPr>
          <w:trHeight w:val="218"/>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27,370</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6,949</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Preferred stock—authorized 20,000,000 shares; issued, zero</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8"/>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Class A common stock, $0.01 par value—authorized, 7,500,000,000 shares; issued, 1,609,634,508 and 1,607,007,818;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9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outstanding, 1,365,994,008 and 1,363,367,318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9"/>
                <w:szCs w:val="19"/>
                <w:color w:val="auto"/>
              </w:rPr>
            </w:pPr>
          </w:p>
        </w:tc>
      </w:tr>
      <w:tr>
        <w:trPr>
          <w:trHeight w:val="208"/>
        </w:trPr>
        <w:tc>
          <w:tcPr>
            <w:tcW w:w="9360" w:type="dxa"/>
            <w:vAlign w:val="bottom"/>
          </w:tcPr>
          <w:p>
            <w:pPr>
              <w:ind w:left="440"/>
              <w:spacing w:after="0"/>
              <w:rPr>
                <w:sz w:val="20"/>
                <w:szCs w:val="20"/>
                <w:color w:val="auto"/>
              </w:rPr>
            </w:pPr>
            <w:r>
              <w:rPr>
                <w:rFonts w:ascii="Arial" w:cs="Arial" w:eastAsia="Arial" w:hAnsi="Arial"/>
                <w:sz w:val="18"/>
                <w:szCs w:val="18"/>
                <w:color w:val="auto"/>
              </w:rPr>
              <w:t>Class A Special common stock, $0.01 par value—authorized, 7,500,000,000 shares; issued 764,646,497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9360" w:type="dxa"/>
            <w:vAlign w:val="bottom"/>
          </w:tcPr>
          <w:p>
            <w:pPr>
              <w:ind w:left="660"/>
              <w:spacing w:after="0"/>
              <w:rPr>
                <w:sz w:val="20"/>
                <w:szCs w:val="20"/>
                <w:color w:val="auto"/>
              </w:rPr>
            </w:pPr>
            <w:r>
              <w:rPr>
                <w:rFonts w:ascii="Arial" w:cs="Arial" w:eastAsia="Arial" w:hAnsi="Arial"/>
                <w:sz w:val="18"/>
                <w:szCs w:val="18"/>
                <w:color w:val="auto"/>
              </w:rPr>
              <w:t>813,097,757; outstanding, 717,356,654 and 765,807,914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r>
      <w:tr>
        <w:trPr>
          <w:trHeight w:val="217"/>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B common stock, $0.01 par value—authorized, 75,000,000 shares; issued and outstanding, 9,444,375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Additional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43,000</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Treasury stock, 243,640,500 Class A common shares and 47,289,843 Class A Special common shares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(7,517)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(7,517)</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9360" w:type="dxa"/>
            <w:vAlign w:val="bottom"/>
          </w:tcPr>
          <w:p>
            <w:pPr>
              <w:ind w:left="13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39,907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40,219</w:t>
            </w:r>
          </w:p>
        </w:tc>
        <w:tc>
          <w:tcPr>
            <w:tcW w:w="60" w:type="dxa"/>
            <w:vAlign w:val="bottom"/>
          </w:tcPr>
          <w:p>
            <w:pPr>
              <w:spacing w:after="0"/>
              <w:rPr>
                <w:sz w:val="20"/>
                <w:szCs w:val="20"/>
                <w:color w:val="auto"/>
              </w:rPr>
            </w:pPr>
          </w:p>
        </w:tc>
      </w:tr>
      <w:tr>
        <w:trPr>
          <w:trHeight w:val="216"/>
        </w:trPr>
        <w:tc>
          <w:tcPr>
            <w:tcW w:w="9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103,088</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103,146</w:t>
            </w:r>
          </w:p>
        </w:tc>
        <w:tc>
          <w:tcPr>
            <w:tcW w:w="60" w:type="dxa"/>
            <w:vAlign w:val="bottom"/>
            <w:shd w:val="clear" w:color="auto" w:fill="CCEEFF"/>
          </w:tcPr>
          <w:p>
            <w:pPr>
              <w:spacing w:after="0"/>
              <w:rPr>
                <w:sz w:val="18"/>
                <w:szCs w:val="18"/>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right"/>
              <w:ind w:right="672"/>
              <w:spacing w:after="0"/>
              <w:rPr>
                <w:sz w:val="20"/>
                <w:szCs w:val="20"/>
                <w:color w:val="auto"/>
              </w:rPr>
            </w:pPr>
            <w:r>
              <w:rPr>
                <w:rFonts w:ascii="Arial" w:cs="Arial" w:eastAsia="Arial" w:hAnsi="Arial"/>
                <w:sz w:val="14"/>
                <w:szCs w:val="14"/>
                <w:b w:val="1"/>
                <w:bCs w:val="1"/>
                <w:color w:val="auto"/>
                <w:w w:val="99"/>
              </w:rPr>
              <w:t>(Dollars in millions,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612"/>
              <w:spacing w:after="0"/>
              <w:rPr>
                <w:sz w:val="20"/>
                <w:szCs w:val="20"/>
                <w:color w:val="auto"/>
              </w:rPr>
            </w:pPr>
            <w:r>
              <w:rPr>
                <w:rFonts w:ascii="Arial" w:cs="Arial" w:eastAsia="Arial" w:hAnsi="Arial"/>
                <w:sz w:val="14"/>
                <w:szCs w:val="14"/>
                <w:b w:val="1"/>
                <w:bCs w:val="1"/>
                <w:color w:val="auto"/>
                <w:w w:val="90"/>
              </w:rPr>
              <w:t>except per share data)</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5"/>
          </w:tcPr>
          <w:p>
            <w:pPr>
              <w:jc w:val="right"/>
              <w:ind w:right="480"/>
              <w:spacing w:after="0" w:line="129" w:lineRule="exact"/>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4"/>
          </w:tcPr>
          <w:p>
            <w:pPr>
              <w:jc w:val="right"/>
              <w:ind w:right="213"/>
              <w:spacing w:after="0" w:line="129" w:lineRule="exact"/>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2006</w:t>
            </w: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2005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6,228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5,598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12,129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(excluding depreciation)</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2,310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1,944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1,486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2,990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4,999</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1,229</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1,048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2,279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40" w:type="dxa"/>
            <w:vAlign w:val="bottom"/>
            <w:gridSpan w:val="2"/>
          </w:tcPr>
          <w:p>
            <w:pPr>
              <w:jc w:val="right"/>
              <w:ind w:right="372"/>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(972)</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income (loss), net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Equity in net (losses) income of affiliates</w:t>
            </w:r>
          </w:p>
        </w:tc>
        <w:tc>
          <w:tcPr>
            <w:tcW w:w="100" w:type="dxa"/>
            <w:vAlign w:val="bottom"/>
          </w:tcPr>
          <w:p>
            <w:pPr>
              <w:spacing w:after="0"/>
              <w:rPr>
                <w:sz w:val="18"/>
                <w:szCs w:val="18"/>
                <w:color w:val="auto"/>
              </w:rPr>
            </w:pPr>
          </w:p>
        </w:tc>
        <w:tc>
          <w:tcPr>
            <w:tcW w:w="940" w:type="dxa"/>
            <w:vAlign w:val="bottom"/>
            <w:gridSpan w:val="2"/>
          </w:tcPr>
          <w:p>
            <w:pPr>
              <w:jc w:val="right"/>
              <w:ind w:right="37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72"/>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940" w:type="dxa"/>
            <w:vAlign w:val="bottom"/>
            <w:gridSpan w:val="2"/>
          </w:tcPr>
          <w:p>
            <w:pPr>
              <w:jc w:val="right"/>
              <w:ind w:right="372"/>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BASIC EARNINGS FOR COMMON STOCKHOLDERS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0.22</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0.44</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FOR COMMON STOCKHOLDERS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(Dollars in millions)</w:t>
            </w:r>
          </w:p>
        </w:tc>
      </w:tr>
      <w:tr>
        <w:trPr>
          <w:trHeight w:val="129"/>
        </w:trPr>
        <w:tc>
          <w:tcPr>
            <w:tcW w:w="20" w:type="dxa"/>
            <w:vAlign w:val="bottom"/>
          </w:tcPr>
          <w:p>
            <w:pPr>
              <w:spacing w:after="0"/>
              <w:rPr>
                <w:sz w:val="11"/>
                <w:szCs w:val="11"/>
                <w:color w:val="auto"/>
              </w:rPr>
            </w:pPr>
          </w:p>
        </w:tc>
        <w:tc>
          <w:tcPr>
            <w:tcW w:w="9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5"/>
          </w:tcPr>
          <w:p>
            <w:pPr>
              <w:jc w:val="center"/>
              <w:ind w:right="33"/>
              <w:spacing w:after="0" w:line="129" w:lineRule="exact"/>
              <w:rPr>
                <w:sz w:val="20"/>
                <w:szCs w:val="20"/>
                <w:color w:val="auto"/>
              </w:rPr>
            </w:pPr>
            <w:r>
              <w:rPr>
                <w:rFonts w:ascii="Arial" w:cs="Arial" w:eastAsia="Arial" w:hAnsi="Arial"/>
                <w:sz w:val="14"/>
                <w:szCs w:val="14"/>
                <w:b w:val="1"/>
                <w:bCs w:val="1"/>
                <w:color w:val="auto"/>
                <w:w w:val="87"/>
              </w:rPr>
              <w:t>Six Months Ended</w:t>
            </w:r>
          </w:p>
        </w:tc>
        <w:tc>
          <w:tcPr>
            <w:tcW w:w="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926</w:t>
            </w: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1,890</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interest expense,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Equity in net losses (income) of affiliates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losses on investments and noncash other (income) expense,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Noncash contribution expense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Change in accounts receivable, net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Change in other operating assets and liabilities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3,243</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2,517</w:t>
            </w:r>
          </w:p>
        </w:tc>
        <w:tc>
          <w:tcPr>
            <w:tcW w:w="60" w:type="dxa"/>
            <w:vAlign w:val="bottom"/>
            <w:shd w:val="clear" w:color="auto" w:fill="CCEEFF"/>
          </w:tcPr>
          <w:p>
            <w:pPr>
              <w:spacing w:after="0"/>
              <w:rPr>
                <w:sz w:val="18"/>
                <w:szCs w:val="18"/>
                <w:color w:val="auto"/>
              </w:rPr>
            </w:pPr>
          </w:p>
        </w:tc>
      </w:tr>
      <w:tr>
        <w:trPr>
          <w:trHeight w:val="222"/>
        </w:trPr>
        <w:tc>
          <w:tcPr>
            <w:tcW w:w="96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borrowings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2,587</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Retirements and repayments of debt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(1,905)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(279)</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(1,388)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Issuances of common stock</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620" w:type="dxa"/>
            <w:vAlign w:val="bottom"/>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(644)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(1,854)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(1,842)</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intangible assets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and restructuring of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(305)</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(purchases) of short-term investments,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20" w:type="dxa"/>
            <w:vAlign w:val="bottom"/>
          </w:tcPr>
          <w:p>
            <w:pPr>
              <w:spacing w:after="0"/>
              <w:rPr>
                <w:sz w:val="2"/>
                <w:szCs w:val="2"/>
                <w:color w:val="auto"/>
              </w:rPr>
            </w:pPr>
          </w:p>
        </w:tc>
        <w:tc>
          <w:tcPr>
            <w:tcW w:w="9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(2,319)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(2,332)</w:t>
            </w:r>
          </w:p>
        </w:tc>
      </w:tr>
      <w:tr>
        <w:trPr>
          <w:trHeight w:val="221"/>
        </w:trPr>
        <w:tc>
          <w:tcPr>
            <w:tcW w:w="9640" w:type="dxa"/>
            <w:vAlign w:val="bottom"/>
            <w:gridSpan w:val="2"/>
          </w:tcPr>
          <w:p>
            <w:pPr>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60" w:type="dxa"/>
            <w:vAlign w:val="bottom"/>
            <w:shd w:val="clear" w:color="auto" w:fill="CCEEFF"/>
          </w:tcPr>
          <w:p>
            <w:pPr>
              <w:spacing w:after="0"/>
              <w:rPr>
                <w:sz w:val="18"/>
                <w:szCs w:val="18"/>
                <w:color w:val="auto"/>
              </w:rPr>
            </w:pPr>
          </w:p>
        </w:tc>
      </w:tr>
      <w:tr>
        <w:trPr>
          <w:trHeight w:val="222"/>
        </w:trPr>
        <w:tc>
          <w:tcPr>
            <w:tcW w:w="96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973</w:t>
            </w:r>
          </w:p>
        </w:tc>
        <w:tc>
          <w:tcPr>
            <w:tcW w:w="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1,335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0" w:right="2800"/>
        <w:spacing w:after="0" w:line="261" w:lineRule="auto"/>
        <w:rPr>
          <w:sz w:val="20"/>
          <w:szCs w:val="20"/>
          <w:color w:val="auto"/>
        </w:rPr>
      </w:pPr>
      <w:r>
        <w:rPr>
          <w:rFonts w:ascii="Arial" w:cs="Arial" w:eastAsia="Arial" w:hAnsi="Arial"/>
          <w:sz w:val="18"/>
          <w:szCs w:val="18"/>
          <w:b w:val="1"/>
          <w:bCs w:val="1"/>
          <w:color w:val="auto"/>
        </w:rPr>
        <w:t>COMCAST CORPORATION AND SUBSIDIARIES FORM 10-Q FOR THE QUARTER ENDED JUNE 30, 2006 NOTES TO CONDENSED CONSOLIDATED FINANCIAL STATEMENTS (Unaudited)</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have prepared these unaudited condensed consolidated financial statements based upon Securities and Exchange Commission (“SEC”) rules that permit reduced disclosure for interim periods.</w:t>
      </w:r>
    </w:p>
    <w:p>
      <w:pPr>
        <w:spacing w:after="0" w:line="1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financial statements include all adjustments that are necessary for a fair presentation of our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a more complete discussion of our accounting policies and certain other information, refer to our annual financial statements for the preceding fiscal year as filed with the SEC.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 year financial statements to conform to those classifications used in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SFAS No. 123R</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Effective January 1, 2006, we adopted Statement of Financial Accounting Standards (“SFAS”) No. 123R, “Share-Based Payment” (“SFAS No. 123R”) using the Modified Prospective Approach. See Note 8 for further detail regarding the adoption of this standard.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SFAS No. 155</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February 2006, the Financial Accounting Standards Board (“FASB”) issued SFAS No. 155, “Accounting for Certain Hybrid Financial Instruments—an Amendment of FASB Statements No. 133 and 140” (“SFAS No. 155”). SFAS No. 155 allows financial instruments that contain an embedded derivative and that otherwise would require bifurcation to be accounted for as a whole on a fair value basis, at the holders’ election. SFAS No. 155 also clarifies and amends certain other provisions of SFAS No. 133 and SFAS No. 140. This statement is effective for all financial instruments acquired or issued in fiscal years beginning after September 15, 2006. We do not expect that the adoption of SFAS No. 155 will have a material impact on our consolidated financial condition or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Interpretation No. 48</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July 2006, the FASB issued FIN 48, “Accounting for Uncertainty in Income Taxes—an interpretation of FASB Statement No. 109” (“FIN 48”). FIN 48 clarifies the recognition threshold and measurement of a tax position taken on a tax return. FIN 48 is effective for fiscal years beginning after December 15, 2006. FIN 48 also requires expanded disclosure with respect to the uncertainty in income taxes. We are currently evaluating the requirements of FIN 48 and the impact this interpretation may have on our financial statements.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7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Basic earnings per common share (“Basic EPS”) is computed by dividing net income for common stockholders by the weighted-average number of common shares outstanding during the period.</w:t>
      </w:r>
    </w:p>
    <w:p>
      <w:pPr>
        <w:spacing w:after="0" w:line="132"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Our potentially dilutive securities include potential common shares related to our stock options and restricted share units. Diluted earnings for common stockholders per common share (“Diluted EPS”) considers the impact of potentially dilutive securities except in periods in which there is a loss because the inclusion of the potential common shares would have an antidilutive effect.</w:t>
      </w:r>
    </w:p>
    <w:p>
      <w:pPr>
        <w:spacing w:after="0" w:line="140"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Diluted EPS for the three and six months ended June 30, 2006, excludes approximately 97 million and 113 million potential common shares, respectively, and Diluted EPS for the three and six months ended June 30, 2005, excludes approximately 90 million and 78 million potential common shares, respectively, related to our share-based compensation plans, because the inclusion of the potential common shares would have an antidilutive effect. Diluted EPS for the three and six months ended June 30, 2005, excludes the impact of potential common shares related to our Comcast exchangeable notes, which were settled using cash in 2005.</w:t>
      </w:r>
    </w:p>
    <w:p>
      <w:pPr>
        <w:spacing w:after="0" w:line="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table reconciles the numerator and denominator of the computations of Diluted EPS for common stockholders for the periods presented (amounts in millions,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w w:val="89"/>
              </w:rPr>
              <w:t>Three Months Ended June 30,</w:t>
            </w: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6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Per Share</w:t>
            </w:r>
          </w:p>
        </w:tc>
        <w:tc>
          <w:tcPr>
            <w:tcW w:w="20" w:type="dxa"/>
            <w:vAlign w:val="bottom"/>
          </w:tcPr>
          <w:p>
            <w:pPr>
              <w:spacing w:after="0"/>
              <w:rPr>
                <w:sz w:val="11"/>
                <w:szCs w:val="11"/>
                <w:color w:val="auto"/>
              </w:rPr>
            </w:pPr>
          </w:p>
        </w:tc>
      </w:tr>
      <w:tr>
        <w:trPr>
          <w:trHeight w:val="161"/>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Income</w:t>
            </w:r>
          </w:p>
        </w:tc>
        <w:tc>
          <w:tcPr>
            <w:tcW w:w="340" w:type="dxa"/>
            <w:vAlign w:val="bottom"/>
            <w:gridSpan w:val="2"/>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Income</w:t>
            </w:r>
          </w:p>
        </w:tc>
        <w:tc>
          <w:tcPr>
            <w:tcW w:w="34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Basic EPS for common stockholders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460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2,112</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0.22</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430</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2,207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Assumed exercise or issuance of shares relating to stock plans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Diluted EPS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460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2,123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430</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2,221</w:t>
            </w:r>
          </w:p>
        </w:tc>
        <w:tc>
          <w:tcPr>
            <w:tcW w:w="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0.19</w:t>
            </w:r>
          </w:p>
        </w:tc>
        <w:tc>
          <w:tcPr>
            <w:tcW w:w="2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3"/>
              </w:rPr>
              <w:t>Six Months Ended June 30,</w:t>
            </w: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6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Per Share</w:t>
            </w:r>
          </w:p>
        </w:tc>
        <w:tc>
          <w:tcPr>
            <w:tcW w:w="20" w:type="dxa"/>
            <w:vAlign w:val="bottom"/>
          </w:tcPr>
          <w:p>
            <w:pPr>
              <w:spacing w:after="0"/>
              <w:rPr>
                <w:sz w:val="11"/>
                <w:szCs w:val="11"/>
                <w:color w:val="auto"/>
              </w:rPr>
            </w:pPr>
          </w:p>
        </w:tc>
      </w:tr>
      <w:tr>
        <w:trPr>
          <w:trHeight w:val="161"/>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Income</w:t>
            </w:r>
          </w:p>
        </w:tc>
        <w:tc>
          <w:tcPr>
            <w:tcW w:w="340" w:type="dxa"/>
            <w:vAlign w:val="bottom"/>
            <w:gridSpan w:val="2"/>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Income</w:t>
            </w:r>
          </w:p>
        </w:tc>
        <w:tc>
          <w:tcPr>
            <w:tcW w:w="34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Basic EPS for common stockholders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926</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2,123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573</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2,211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0" w:type="dxa"/>
            <w:vAlign w:val="bottom"/>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Assumed exercise or issuance of shares relating to stock plans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Diluted EPS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926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2,132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573</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2,224</w:t>
            </w:r>
          </w:p>
        </w:tc>
        <w:tc>
          <w:tcPr>
            <w:tcW w:w="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0.26</w:t>
            </w:r>
          </w:p>
        </w:tc>
        <w:tc>
          <w:tcPr>
            <w:tcW w:w="2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OTHER SIGNIFICANT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Susquehanna</w:t>
      </w:r>
    </w:p>
    <w:p>
      <w:pPr>
        <w:spacing w:after="0" w:line="17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On April 30, 2006, we acquired the cable systems of Susquehanna Cable Co. and its subsidiaries (“Susquehanna”) for a total purchase price of approximately $775 million. The Susquehanna systems acquired included approximately 230,000 video subscribers and 86,000 high-speed Internet subscribers primarily in Pennsylvania, New York, Maine, and Mississippi.</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Prior to the acquisition, we held an approximate 30% equity ownership interest in Susquehanna which we accounted for using the equity method of accounting. On May 1, 2006, Susquehanna Cable Co. redeemed the approximate 70% equity ownership interest in Susquehanna held by Susquehanna Media Co., which resulted in Susquehanna becoming 100% owned by us.</w:t>
      </w:r>
    </w:p>
    <w:p>
      <w:pPr>
        <w:spacing w:after="0" w:line="14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results of operations of the Susquehanna systems have been included in our consolidated financial statements since the acquisition date and are reported in our Cable segment. We allocated the purchase price to property and equipment, customer relationship intangibles, nonamortizing franchise rights and goodwill. The purchase price allocation is preliminary pending receipt of a final valuation. The acquisition of the Susquehanna cable systems was not significant to our financial condition or results of operations for the three or six months ended June 30, 2006 and 2005.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Adelphia and Time Warner Proposed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April 2005, we entered into agreements with Time Warner to: (i) jointly acquire substantially all the assets of Adelphia Communications Corporation;</w:t>
      </w:r>
    </w:p>
    <w:p>
      <w:pPr>
        <w:spacing w:after="0" w:line="38" w:lineRule="exact"/>
        <w:rPr>
          <w:sz w:val="20"/>
          <w:szCs w:val="20"/>
          <w:color w:val="auto"/>
        </w:rPr>
      </w:pPr>
    </w:p>
    <w:p>
      <w:pPr>
        <w:ind w:firstLine="8"/>
        <w:spacing w:after="0" w:line="253"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redeem our interest in Time Warner Cable (“TWC”) and its subsidiary, Time Warner Entertainment (“TWE”); and (iii) exchange certain cable systems with Time Warner Cable (“proposed transactions”). As a result of these proposed transactions, on a net basis, our cash investment is expected to be $1.5 billion and we expect to gain approximately 1.7 million video subscribers in geographic areas near our existing systems (including South Florida, New England, mid-Atlantic and Minnesota). The cable systems we expect to transfer to Time Warner in the exchange are located in Los Angeles, Cleveland and Dallas (the “Exchange Systems”).</w:t>
      </w:r>
    </w:p>
    <w:p>
      <w:pPr>
        <w:spacing w:after="0" w:line="14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addition to entering into the agreements described above, we amended certain pre-existing agreements with Time Warner relating to the disposition and redemption of certain of our interests in TWC and TWE in the event these transactions do not close.</w:t>
      </w:r>
    </w:p>
    <w:p>
      <w:pPr>
        <w:spacing w:after="0" w:line="13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These proposed transactions have been subject to customary regulatory review and approvals, including court approval in the Adelphia Chapter 11 bankruptcy case, which has now been obtained. In July 2006, the Federal Communications Commission (“FCC”) approved the proposed transactions which represented the last federal approval needed in order to close the proposed transactions. The proposed transactions are expected to close on July 31, 2006.</w:t>
      </w:r>
    </w:p>
    <w:p>
      <w:pPr>
        <w:spacing w:after="0" w:line="10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Effective in the third quarter, we will classify the Exchange Systems as assets held for sale and the results of their operations as discontinued operations for all periods presented in accordance with SFAS No. 144, “Accounting for the Impairment or Disposal of Long-Lived Assets” (“SFAS No. 144”). Prior to FCC approval in July 2006, the proposed sale of the Exchange Systems was not deemed probable for such classification under SFAS No. 144.</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(Dollars in millions)</w:t>
            </w:r>
          </w:p>
        </w:tc>
      </w:tr>
      <w:tr>
        <w:trPr>
          <w:trHeight w:val="129"/>
        </w:trPr>
        <w:tc>
          <w:tcPr>
            <w:tcW w:w="8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4"/>
                <w:szCs w:val="14"/>
                <w:b w:val="1"/>
                <w:bCs w:val="1"/>
                <w:color w:val="auto"/>
              </w:rPr>
              <w:t>June 30,</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r>
      <w:tr>
        <w:trPr>
          <w:trHeight w:val="161"/>
        </w:trPr>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Fair value method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00" w:type="dxa"/>
            <w:vAlign w:val="bottom"/>
          </w:tcPr>
          <w:p>
            <w:pPr>
              <w:ind w:left="440"/>
              <w:spacing w:after="0"/>
              <w:rPr>
                <w:sz w:val="20"/>
                <w:szCs w:val="20"/>
                <w:color w:val="auto"/>
              </w:rPr>
            </w:pPr>
            <w:r>
              <w:rPr>
                <w:rFonts w:ascii="Arial" w:cs="Arial" w:eastAsia="Arial" w:hAnsi="Arial"/>
                <w:sz w:val="18"/>
                <w:szCs w:val="18"/>
                <w:color w:val="auto"/>
              </w:rPr>
              <w:t>Cablevision</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Discovery Holding Company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r>
      <w:tr>
        <w:trPr>
          <w:trHeight w:val="216"/>
        </w:trPr>
        <w:tc>
          <w:tcPr>
            <w:tcW w:w="8500" w:type="dxa"/>
            <w:vAlign w:val="bottom"/>
          </w:tcPr>
          <w:p>
            <w:pPr>
              <w:ind w:left="440"/>
              <w:spacing w:after="0"/>
              <w:rPr>
                <w:sz w:val="20"/>
                <w:szCs w:val="20"/>
                <w:color w:val="auto"/>
              </w:rPr>
            </w:pPr>
            <w:r>
              <w:rPr>
                <w:rFonts w:ascii="Arial" w:cs="Arial" w:eastAsia="Arial" w:hAnsi="Arial"/>
                <w:sz w:val="18"/>
                <w:szCs w:val="18"/>
                <w:color w:val="auto"/>
              </w:rPr>
              <w:t>Embarq Corporation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Liberty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500" w:type="dxa"/>
            <w:vAlign w:val="bottom"/>
          </w:tcPr>
          <w:p>
            <w:pPr>
              <w:ind w:left="440"/>
              <w:spacing w:after="0"/>
              <w:rPr>
                <w:sz w:val="20"/>
                <w:szCs w:val="20"/>
                <w:color w:val="auto"/>
              </w:rPr>
            </w:pPr>
            <w:r>
              <w:rPr>
                <w:rFonts w:ascii="Arial" w:cs="Arial" w:eastAsia="Arial" w:hAnsi="Arial"/>
                <w:sz w:val="18"/>
                <w:szCs w:val="18"/>
                <w:color w:val="auto"/>
              </w:rPr>
              <w:t>Liberty Global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Liberty Interactive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500" w:type="dxa"/>
            <w:vAlign w:val="bottom"/>
          </w:tcPr>
          <w:p>
            <w:pPr>
              <w:ind w:left="440"/>
              <w:spacing w:after="0"/>
              <w:rPr>
                <w:sz w:val="20"/>
                <w:szCs w:val="20"/>
                <w:color w:val="auto"/>
              </w:rPr>
            </w:pPr>
            <w:r>
              <w:rPr>
                <w:rFonts w:ascii="Arial" w:cs="Arial" w:eastAsia="Arial" w:hAnsi="Arial"/>
                <w:sz w:val="18"/>
                <w:szCs w:val="18"/>
                <w:color w:val="auto"/>
              </w:rPr>
              <w:t>Liberty Media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8"/>
                <w:szCs w:val="18"/>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Sprint Nextel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18"/>
                <w:szCs w:val="18"/>
                <w:color w:val="auto"/>
              </w:rPr>
            </w:pPr>
          </w:p>
        </w:tc>
      </w:tr>
      <w:tr>
        <w:trPr>
          <w:trHeight w:val="216"/>
        </w:trPr>
        <w:tc>
          <w:tcPr>
            <w:tcW w:w="8500" w:type="dxa"/>
            <w:vAlign w:val="bottom"/>
          </w:tcPr>
          <w:p>
            <w:pPr>
              <w:ind w:left="440"/>
              <w:spacing w:after="0"/>
              <w:rPr>
                <w:sz w:val="20"/>
                <w:szCs w:val="20"/>
                <w:color w:val="auto"/>
              </w:rPr>
            </w:pPr>
            <w:r>
              <w:rPr>
                <w:rFonts w:ascii="Arial" w:cs="Arial" w:eastAsia="Arial" w:hAnsi="Arial"/>
                <w:sz w:val="18"/>
                <w:szCs w:val="18"/>
                <w:color w:val="auto"/>
              </w:rPr>
              <w:t>Time Warner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984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994</w:t>
            </w:r>
          </w:p>
        </w:tc>
        <w:tc>
          <w:tcPr>
            <w:tcW w:w="20" w:type="dxa"/>
            <w:vAlign w:val="bottom"/>
          </w:tcPr>
          <w:p>
            <w:pPr>
              <w:spacing w:after="0"/>
              <w:rPr>
                <w:sz w:val="18"/>
                <w:szCs w:val="18"/>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Vodafone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r>
        <w:trPr>
          <w:trHeight w:val="223"/>
        </w:trPr>
        <w:tc>
          <w:tcPr>
            <w:tcW w:w="8500" w:type="dxa"/>
            <w:vAlign w:val="bottom"/>
          </w:tcPr>
          <w:p>
            <w:pPr>
              <w:ind w:left="4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r>
      <w:tr>
        <w:trPr>
          <w:trHeight w:val="216"/>
        </w:trPr>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20" w:type="dxa"/>
            <w:vAlign w:val="bottom"/>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Equity method, principally cable-related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2,670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2,830</w:t>
            </w:r>
          </w:p>
        </w:tc>
        <w:tc>
          <w:tcPr>
            <w:tcW w:w="2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Cost method, principally Time Warner Cable and AirTouch</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20" w:type="dxa"/>
            <w:vAlign w:val="bottom"/>
          </w:tcPr>
          <w:p>
            <w:pPr>
              <w:spacing w:after="0"/>
              <w:rPr>
                <w:sz w:val="18"/>
                <w:szCs w:val="18"/>
                <w:color w:val="auto"/>
              </w:rPr>
            </w:pPr>
          </w:p>
        </w:tc>
      </w:tr>
      <w:tr>
        <w:trPr>
          <w:trHeight w:val="221"/>
        </w:trPr>
        <w:tc>
          <w:tcPr>
            <w:tcW w:w="8500" w:type="dxa"/>
            <w:vAlign w:val="bottom"/>
          </w:tcPr>
          <w:p>
            <w:pPr>
              <w:ind w:left="440"/>
              <w:spacing w:after="0"/>
              <w:rPr>
                <w:sz w:val="20"/>
                <w:szCs w:val="20"/>
                <w:color w:val="auto"/>
              </w:rPr>
            </w:pPr>
            <w:r>
              <w:rPr>
                <w:rFonts w:ascii="Arial" w:cs="Arial" w:eastAsia="Arial" w:hAnsi="Arial"/>
                <w:sz w:val="18"/>
                <w:szCs w:val="18"/>
                <w:color w:val="auto"/>
              </w:rPr>
              <w:t>Total investments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12,651</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12,830</w:t>
            </w:r>
          </w:p>
        </w:tc>
      </w:tr>
      <w:tr>
        <w:trPr>
          <w:trHeight w:val="218"/>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Less, current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Noncurrent investments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11,838</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12,682</w:t>
            </w:r>
          </w:p>
        </w:tc>
        <w:tc>
          <w:tcPr>
            <w:tcW w:w="20" w:type="dxa"/>
            <w:vAlign w:val="bottom"/>
          </w:tcPr>
          <w:p>
            <w:pPr>
              <w:spacing w:after="0"/>
              <w:rPr>
                <w:sz w:val="19"/>
                <w:szCs w:val="19"/>
                <w:color w:val="auto"/>
              </w:rPr>
            </w:pPr>
          </w:p>
        </w:tc>
      </w:tr>
      <w:tr>
        <w:trPr>
          <w:trHeight w:val="20"/>
        </w:trPr>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cost, fair value and unrealized gains and losses related to our available for sale securities, which consist principally of our investment in Time Warner Inc., are as follows (dollars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2"/>
              </w:rPr>
              <w:t>June 30,</w:t>
            </w:r>
          </w:p>
        </w:tc>
        <w:tc>
          <w:tcPr>
            <w:tcW w:w="3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$1,100</w:t>
            </w: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6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Unrealized gains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9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Fair value</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1,178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1,160</w:t>
            </w:r>
          </w:p>
        </w:tc>
        <w:tc>
          <w:tcPr>
            <w:tcW w:w="60" w:type="dxa"/>
            <w:vAlign w:val="bottom"/>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Sprint Nextel Convertible Preferred Stock</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March 2006, we received proceeds of $62 million in connection with Sprint Nextel’s redemption of all of its outstanding Seventh Series B Convertible Preferred Stock (“Sprint Preferred Stock”), including all 61,726 shares of Sprint Preferred Stock held by us. In connection with the redemption transaction, we recognized investment income of $8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 Media Restructuring Transaction</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May 2006, we received 25 million shares of Liberty Media Interactive (“Liberty Interactive”) Series A common stock and 5 million shares of Liberty Media Capital (“Liberty Capital”) Series A common stock in connection with Liberty Media Corporation’s (“Liberty Media”) restructuring. In the restructuring, each share of Liberty Media Series A common stock received 0.25 shares of the new Liberty Interactive Series A common</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stock and 0.05 shares of Liberty Capital Series A common stock for each share of Liberty Media Series A common stock. We have classified all of the shares of Liberty Interactive and Liberty Capital common stock we received as trading securities at fair value. All of these shares collateralize our Liberty Media prepaid forward sales obligation.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Sprint Nextel Spin-off Transaction</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May 2006, we received approximately 1.3 million shares of Embarq Corporation (“Embarq”) common stock in connection with the spin-off by Sprint Nextel of Embarq, its local communications business. In the spin-off, each share of Sprint Nextel common stock received 0.05 shares of the new Embarq common stock. We have classified all of the shares of Embarq common stock we received as trading securities at fair value. All of these shares collateralize our ZONES debt and our Sprint Nextel prepaid forward sales obligation.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 (Loss), Net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income (loss), net includes the following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2005</w:t>
            </w: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Gains (losses) on sales and exchanges of investments, net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Investment impairment losses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Unrealized gains (losses) on trading securities and hedged items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0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6"/>
              </w:rPr>
              <w:t>Mark to market adjustments on derivatives related to trading securities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hedged items</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Mark to market adjustments on derivatives</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by business segment (see Note 11) for the six months ended June 30, 2006, are as follows (dollars in millions):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Corporate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Cable</w:t>
            </w:r>
          </w:p>
        </w:tc>
        <w:tc>
          <w:tcPr>
            <w:tcW w:w="32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Content</w:t>
            </w:r>
          </w:p>
        </w:tc>
        <w:tc>
          <w:tcPr>
            <w:tcW w:w="60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and Other</w:t>
            </w:r>
          </w:p>
        </w:tc>
        <w:tc>
          <w:tcPr>
            <w:tcW w:w="600" w:type="dxa"/>
            <w:vAlign w:val="bottom"/>
          </w:tcPr>
          <w:p>
            <w:pPr>
              <w:spacing w:after="0"/>
              <w:rPr>
                <w:sz w:val="14"/>
                <w:szCs w:val="1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$12,993</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966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$14,218</w:t>
            </w:r>
          </w:p>
        </w:tc>
        <w:tc>
          <w:tcPr>
            <w:tcW w:w="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Settlement or adjustments</w:t>
            </w: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rPr>
              <w:t>(593)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(593)</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Balance, June 30, 2006</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12,549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966</w:t>
            </w: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w:t>
            </w:r>
          </w:p>
        </w:tc>
        <w:tc>
          <w:tcPr>
            <w:tcW w:w="6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13,794</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decrease in goodwill is primarily due to adjustments to certain pre-acquisition tax liabilities associated with the acquisition of AT&amp;T Corp.’s broadband cable business, which we refer to as Broadband.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Borrowings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Notes Offerings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2006, we issued $2.25 billion of senior notes consisting of $1.0 billion of 5.9% senior notes due 2016 and $1.25 billion of 6.45% senior notes due 2037. In May 2006, we issued $345 million of 7.0% senior notes due 2055. We used the net proceeds of these offerings for working capital and general corporate purposes, including the repayment of commercial paper obligations.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Assumed</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May 1, 2006, in connection with the Susquehanna transaction (see Note 4) we assumed a $185 million principal amount variable-rate term loan due 2008. The interest rate on the term loan is the London Interbank Offered Rate (“LIBOR”) plus 0.5%.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January 2006, we repaid all $500 million principal amount of 6.375% senior notes due 2006. In February 2006, we repaid all $388 million principal amount of 6.875% senior notes due 2006. In May 2006, we repaid all $600 million principal amount of 8.3% senior notes due 2006. In June 2006, we repaid all $119 million principal amount of 10.5% senior subordinated notes due 2006. These repayments were funded with available cash and borrowings under our commercial paper program.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and Letters of Credit</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of June 30, 2006, we and certain of our subsidiaries had unused lines of credit totaling $4.365 billion under various credit facilities and unused irrevocable standby letters of credit totaling $385 million to cover potential fundings under various agreements.</w:t>
      </w:r>
    </w:p>
    <w:p>
      <w:pPr>
        <w:spacing w:after="0" w:line="126" w:lineRule="exact"/>
        <w:rPr>
          <w:sz w:val="20"/>
          <w:szCs w:val="20"/>
          <w:color w:val="auto"/>
        </w:rPr>
      </w:pPr>
    </w:p>
    <w:p>
      <w:pPr>
        <w:ind w:right="8980" w:firstLine="8"/>
        <w:spacing w:after="0" w:line="441"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Option Plans</w:t>
      </w:r>
    </w:p>
    <w:p>
      <w:pPr>
        <w:spacing w:after="0" w:line="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maintain stock option plans for certain employees under which fixed price stock options may be granted and the option price is generally not less than the fair value of a share of the underlying stock at the date of grant. Under our stock option plans, approximately 170 million shares of our Class A and Class A Special common stock are reserved for issuance upon the exercise of options, including those outstanding as of June 30, 2006. Option terms are generally 10 years, with options generally becoming exercisable between two and nine and one half years from the date of grant.</w:t>
      </w:r>
    </w:p>
    <w:p>
      <w:pPr>
        <w:spacing w:after="0" w:line="11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fair value of each stock option is estimated on the date of grant using the Black-Scholes option pricing model that uses the assumptions noted in the following table. Expected volatility is based on a blend of implied and historical volatility of our Class A common stock. We use historical data on exercises of stock options and other factors to estimate the expected term of the options granted. The risk-free rate is based on the U.S. Treasury yield curve in effect at the date of grant.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summarizes the weighted-average fair values at date of grant of a Class A common stock option granted under our stock option plans and the related weighted-average valuation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2006</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$ 12.98</w:t>
            </w:r>
          </w:p>
        </w:tc>
        <w:tc>
          <w:tcPr>
            <w:tcW w:w="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6"/>
              </w:rPr>
              <w:t>$ 12.30</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Dividend yield</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312"/>
              <w:spacing w:after="0"/>
              <w:rPr>
                <w:sz w:val="20"/>
                <w:szCs w:val="20"/>
                <w:color w:val="auto"/>
              </w:rPr>
            </w:pPr>
            <w:r>
              <w:rPr>
                <w:rFonts w:ascii="Arial" w:cs="Arial" w:eastAsia="Arial" w:hAnsi="Arial"/>
                <w:sz w:val="18"/>
                <w:szCs w:val="18"/>
                <w:color w:val="auto"/>
              </w:rPr>
              <w:t>0%</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12"/>
              <w:spacing w:after="0"/>
              <w:rPr>
                <w:sz w:val="20"/>
                <w:szCs w:val="20"/>
                <w:color w:val="auto"/>
              </w:rPr>
            </w:pPr>
            <w:r>
              <w:rPr>
                <w:rFonts w:ascii="Arial" w:cs="Arial" w:eastAsia="Arial" w:hAnsi="Arial"/>
                <w:sz w:val="18"/>
                <w:szCs w:val="18"/>
                <w:color w:val="auto"/>
              </w:rPr>
              <w:t>27.0%</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312"/>
              <w:spacing w:after="0"/>
              <w:rPr>
                <w:sz w:val="20"/>
                <w:szCs w:val="20"/>
                <w:color w:val="auto"/>
              </w:rPr>
            </w:pPr>
            <w:r>
              <w:rPr>
                <w:rFonts w:ascii="Arial" w:cs="Arial" w:eastAsia="Arial" w:hAnsi="Arial"/>
                <w:sz w:val="18"/>
                <w:szCs w:val="18"/>
                <w:color w:val="auto"/>
              </w:rPr>
              <w:t>5.1%</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(in years)</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Forfeiture rate</w:t>
            </w: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right"/>
              <w:ind w:right="312"/>
              <w:spacing w:after="0"/>
              <w:rPr>
                <w:sz w:val="20"/>
                <w:szCs w:val="20"/>
                <w:color w:val="auto"/>
              </w:rPr>
            </w:pPr>
            <w:r>
              <w:rPr>
                <w:rFonts w:ascii="Arial" w:cs="Arial" w:eastAsia="Arial" w:hAnsi="Arial"/>
                <w:sz w:val="18"/>
                <w:szCs w:val="18"/>
                <w:color w:val="auto"/>
              </w:rPr>
              <w:t>3.0%</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8660" w:type="dxa"/>
            <w:vAlign w:val="bottom"/>
            <w:gridSpan w:val="9"/>
          </w:tcPr>
          <w:p>
            <w:pPr>
              <w:spacing w:after="0"/>
              <w:rPr>
                <w:sz w:val="20"/>
                <w:szCs w:val="20"/>
                <w:color w:val="auto"/>
              </w:rPr>
            </w:pPr>
            <w:r>
              <w:rPr>
                <w:rFonts w:ascii="Arial" w:cs="Arial" w:eastAsia="Arial" w:hAnsi="Arial"/>
                <w:sz w:val="18"/>
                <w:szCs w:val="18"/>
                <w:color w:val="auto"/>
                <w:w w:val="99"/>
              </w:rPr>
              <w:t>The following table summarizes the activity of our stock option plans for the six months ended June 30, 2006: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820" w:type="dxa"/>
            <w:vAlign w:val="bottom"/>
            <w:gridSpan w:val="2"/>
          </w:tcPr>
          <w:p>
            <w:pPr>
              <w:jc w:val="center"/>
              <w:ind w:left="132"/>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5"/>
          </w:tcPr>
          <w:p>
            <w:pPr>
              <w:jc w:val="center"/>
              <w:ind w:right="572"/>
              <w:spacing w:after="0" w:line="135"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1"/>
                <w:szCs w:val="11"/>
                <w:color w:val="auto"/>
              </w:rPr>
            </w:pPr>
          </w:p>
        </w:tc>
        <w:tc>
          <w:tcPr>
            <w:tcW w:w="1040" w:type="dxa"/>
            <w:vAlign w:val="bottom"/>
            <w:gridSpan w:val="4"/>
          </w:tcPr>
          <w:p>
            <w:pPr>
              <w:jc w:val="center"/>
              <w:ind w:right="20"/>
              <w:spacing w:after="0" w:line="135" w:lineRule="exact"/>
              <w:rPr>
                <w:sz w:val="20"/>
                <w:szCs w:val="20"/>
                <w:color w:val="auto"/>
              </w:rPr>
            </w:pPr>
            <w:r>
              <w:rPr>
                <w:rFonts w:ascii="Arial" w:cs="Arial" w:eastAsia="Arial" w:hAnsi="Arial"/>
                <w:sz w:val="14"/>
                <w:szCs w:val="14"/>
                <w:b w:val="1"/>
                <w:bCs w:val="1"/>
                <w:color w:val="auto"/>
                <w:w w:val="86"/>
              </w:rPr>
              <w:t>Remaining</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64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Options</w:t>
            </w:r>
          </w:p>
        </w:tc>
        <w:tc>
          <w:tcPr>
            <w:tcW w:w="1220" w:type="dxa"/>
            <w:vAlign w:val="bottom"/>
            <w:gridSpan w:val="5"/>
          </w:tcPr>
          <w:p>
            <w:pPr>
              <w:jc w:val="center"/>
              <w:ind w:right="552"/>
              <w:spacing w:after="0" w:line="149" w:lineRule="exact"/>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2"/>
                <w:szCs w:val="12"/>
                <w:color w:val="auto"/>
              </w:rPr>
            </w:pP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87"/>
              </w:rPr>
              <w:t>Contractual Term</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2"/>
              </w:rPr>
              <w:t>(in thousands)</w:t>
            </w:r>
          </w:p>
        </w:tc>
        <w:tc>
          <w:tcPr>
            <w:tcW w:w="120" w:type="dxa"/>
            <w:vAlign w:val="bottom"/>
          </w:tcPr>
          <w:p>
            <w:pPr>
              <w:spacing w:after="0"/>
              <w:rPr>
                <w:sz w:val="15"/>
                <w:szCs w:val="15"/>
                <w:color w:val="auto"/>
              </w:rPr>
            </w:pPr>
          </w:p>
        </w:tc>
        <w:tc>
          <w:tcPr>
            <w:tcW w:w="1100" w:type="dxa"/>
            <w:vAlign w:val="bottom"/>
            <w:gridSpan w:val="4"/>
          </w:tcPr>
          <w:p>
            <w:pPr>
              <w:jc w:val="center"/>
              <w:ind w:right="692"/>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5"/>
                <w:szCs w:val="15"/>
                <w:color w:val="auto"/>
              </w:rPr>
            </w:pPr>
          </w:p>
        </w:tc>
        <w:tc>
          <w:tcPr>
            <w:tcW w:w="82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86"/>
              </w:rPr>
              <w:t>(in years)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5"/>
          </w:tcPr>
          <w:p>
            <w:pPr>
              <w:ind w:left="80"/>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Stock</w:t>
            </w:r>
          </w:p>
        </w:tc>
        <w:tc>
          <w:tcPr>
            <w:tcW w:w="82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Outstanding as of January 1, 2006</w:t>
            </w:r>
          </w:p>
        </w:tc>
        <w:tc>
          <w:tcPr>
            <w:tcW w:w="820" w:type="dxa"/>
            <w:vAlign w:val="bottom"/>
          </w:tcPr>
          <w:p>
            <w:pPr>
              <w:jc w:val="right"/>
              <w:spacing w:after="0"/>
              <w:rPr>
                <w:sz w:val="20"/>
                <w:szCs w:val="20"/>
                <w:color w:val="auto"/>
              </w:rPr>
            </w:pPr>
            <w:r>
              <w:rPr>
                <w:rFonts w:ascii="Arial" w:cs="Arial" w:eastAsia="Arial" w:hAnsi="Arial"/>
                <w:sz w:val="18"/>
                <w:szCs w:val="18"/>
                <w:color w:val="auto"/>
              </w:rPr>
              <w:t>80,827</w:t>
            </w:r>
          </w:p>
        </w:tc>
        <w:tc>
          <w:tcPr>
            <w:tcW w:w="8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37.09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26.52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22.68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30.03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Expired</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40.45</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2006</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89,110</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35.97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5.9</w:t>
            </w:r>
          </w:p>
        </w:tc>
        <w:tc>
          <w:tcPr>
            <w:tcW w:w="840" w:type="dxa"/>
            <w:vAlign w:val="bottom"/>
            <w:gridSpan w:val="3"/>
            <w:shd w:val="clear" w:color="auto" w:fill="CCEEFF"/>
          </w:tcPr>
          <w:p>
            <w:pPr>
              <w:ind w:left="74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June 30, 2006</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51,253</w:t>
            </w:r>
          </w:p>
        </w:tc>
        <w:tc>
          <w:tcPr>
            <w:tcW w:w="8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40.93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4.1</w:t>
            </w:r>
          </w:p>
        </w:tc>
        <w:tc>
          <w:tcPr>
            <w:tcW w:w="74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Special Common Stock</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Outstanding as of January 1, 2006</w:t>
            </w:r>
          </w:p>
        </w:tc>
        <w:tc>
          <w:tcPr>
            <w:tcW w:w="820" w:type="dxa"/>
            <w:vAlign w:val="bottom"/>
          </w:tcPr>
          <w:p>
            <w:pPr>
              <w:jc w:val="right"/>
              <w:spacing w:after="0"/>
              <w:rPr>
                <w:sz w:val="20"/>
                <w:szCs w:val="20"/>
                <w:color w:val="auto"/>
              </w:rPr>
            </w:pPr>
            <w:r>
              <w:rPr>
                <w:rFonts w:ascii="Arial" w:cs="Arial" w:eastAsia="Arial" w:hAnsi="Arial"/>
                <w:sz w:val="18"/>
                <w:szCs w:val="18"/>
                <w:color w:val="auto"/>
              </w:rPr>
              <w:t>51,299</w:t>
            </w:r>
          </w:p>
        </w:tc>
        <w:tc>
          <w:tcPr>
            <w:tcW w:w="8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31.35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12.91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32.19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35.99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Outstanding as of June 30, 2006</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49,447</w:t>
            </w:r>
          </w:p>
        </w:tc>
        <w:tc>
          <w:tcPr>
            <w:tcW w:w="8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31.71</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3.9</w:t>
            </w:r>
          </w:p>
        </w:tc>
        <w:tc>
          <w:tcPr>
            <w:tcW w:w="840" w:type="dxa"/>
            <w:vAlign w:val="bottom"/>
            <w:gridSpan w:val="3"/>
          </w:tcPr>
          <w:p>
            <w:pPr>
              <w:ind w:left="74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June 30, 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43,716</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31.93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3.8</w:t>
            </w:r>
          </w:p>
        </w:tc>
        <w:tc>
          <w:tcPr>
            <w:tcW w:w="840" w:type="dxa"/>
            <w:vAlign w:val="bottom"/>
            <w:gridSpan w:val="3"/>
            <w:shd w:val="clear" w:color="auto" w:fill="CCEEFF"/>
          </w:tcPr>
          <w:p>
            <w:pPr>
              <w:ind w:left="74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maintain a deferred stock option plan for certain employees and directors that provided the optionees with the opportunity to defer the receipt of shares of our Class A or Class A Special common stock which would otherwise be deliverable upon exercise by the optionees of their stock options. As of June 30, 2006, 1.7 million shares of Class A Special common stock were issuable under exercised options, the receipt of which was irrevocably deferred by the optionees pursuant to our deferred stock option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w:t>
      </w:r>
    </w:p>
    <w:p>
      <w:pPr>
        <w:spacing w:after="0" w:line="17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maintain a restricted stock plan under which certain employees and directors (“Participant”) may be granted restricted share unit awards in our Class A or Class A Special common stock (the “Restricted Stock Plan”). Under our Restricted Stock Plan, approximately 27 million shares of our Class A and Class A Special common stock are reserved for issuance pursuant to awards under the plan, including those outstanding as of June 30, 2006. Awards of restricted share units are valued by reference to shares of common stock that entitle a Participant to receive, upon the settlement of the unit, one share of common stock for each unit. The awards vest annually, generally over a period not to exceed five years from the date of the award, and do not have voting rights.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weighted-average fair value at date of grant and the compensation expense recognized related to restricted share unit awards: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w w:val="92"/>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2005</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2"/>
                <w:szCs w:val="12"/>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31.70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29.43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33.63</w:t>
            </w:r>
          </w:p>
        </w:tc>
        <w:tc>
          <w:tcPr>
            <w:tcW w:w="20" w:type="dxa"/>
            <w:vAlign w:val="bottom"/>
          </w:tcPr>
          <w:p>
            <w:pPr>
              <w:spacing w:after="0"/>
              <w:rPr>
                <w:sz w:val="18"/>
                <w:szCs w:val="18"/>
                <w:color w:val="auto"/>
              </w:rPr>
            </w:pPr>
          </w:p>
        </w:tc>
      </w:tr>
      <w:tr>
        <w:trPr>
          <w:trHeight w:val="222"/>
        </w:trPr>
        <w:tc>
          <w:tcPr>
            <w:tcW w:w="7880" w:type="dxa"/>
            <w:vAlign w:val="bottom"/>
          </w:tcPr>
          <w:p>
            <w:pPr>
              <w:spacing w:after="0"/>
              <w:rPr>
                <w:sz w:val="20"/>
                <w:szCs w:val="20"/>
                <w:color w:val="auto"/>
              </w:rPr>
            </w:pPr>
            <w:r>
              <w:rPr>
                <w:rFonts w:ascii="Arial" w:cs="Arial" w:eastAsia="Arial" w:hAnsi="Arial"/>
                <w:sz w:val="18"/>
                <w:szCs w:val="18"/>
                <w:color w:val="auto"/>
              </w:rPr>
              <w:t>Compensation expense recognized (in millions)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of the Restricted Stock Plan for the six months ended June 30,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8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6"/>
              </w:rPr>
              <w:t>Number of Nonvested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080" w:type="dxa"/>
            <w:vAlign w:val="bottom"/>
          </w:tcPr>
          <w:p>
            <w:pPr>
              <w:spacing w:after="0"/>
              <w:rPr>
                <w:sz w:val="12"/>
                <w:szCs w:val="12"/>
                <w:color w:val="auto"/>
              </w:rPr>
            </w:pPr>
          </w:p>
        </w:tc>
        <w:tc>
          <w:tcPr>
            <w:tcW w:w="18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Share Unit Awards</w:t>
            </w:r>
          </w:p>
        </w:tc>
        <w:tc>
          <w:tcPr>
            <w:tcW w:w="5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Average Grant</w:t>
            </w:r>
          </w:p>
        </w:tc>
      </w:tr>
      <w:tr>
        <w:trPr>
          <w:trHeight w:val="175"/>
        </w:trPr>
        <w:tc>
          <w:tcPr>
            <w:tcW w:w="8080" w:type="dxa"/>
            <w:vAlign w:val="bottom"/>
          </w:tcPr>
          <w:p>
            <w:pPr>
              <w:spacing w:after="0"/>
              <w:rPr>
                <w:sz w:val="15"/>
                <w:szCs w:val="15"/>
                <w:color w:val="auto"/>
              </w:rPr>
            </w:pPr>
          </w:p>
        </w:tc>
        <w:tc>
          <w:tcPr>
            <w:tcW w:w="18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4"/>
              </w:rPr>
              <w:t>(in thousands)</w:t>
            </w:r>
          </w:p>
        </w:tc>
        <w:tc>
          <w:tcPr>
            <w:tcW w:w="54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8"/>
              </w:rPr>
              <w:t>Date Fair Value</w:t>
            </w: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Stock</w:t>
            </w: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Unvested awards as of January 1, 2006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5,649</w:t>
            </w:r>
          </w:p>
        </w:tc>
        <w:tc>
          <w:tcPr>
            <w:tcW w:w="60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32.55</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Awards granted</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4,664</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Awards vested</w:t>
            </w: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(1,016)</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32.81</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Awards forfeited</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(184)</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Unvested awards as of June 30, 2006</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9,113</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30.88</w:t>
            </w:r>
          </w:p>
        </w:tc>
      </w:tr>
      <w:tr>
        <w:trPr>
          <w:trHeight w:val="20"/>
        </w:trPr>
        <w:tc>
          <w:tcPr>
            <w:tcW w:w="80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Special Common Stock</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Unvested awards as of January 1, 2006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60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36.69</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Awards vested</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(68)</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Unvested awards as of June 30, 2006</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27.47</w:t>
            </w:r>
          </w:p>
        </w:tc>
      </w:tr>
      <w:tr>
        <w:trPr>
          <w:trHeight w:val="20"/>
        </w:trPr>
        <w:tc>
          <w:tcPr>
            <w:tcW w:w="80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June 30, 2006, 381,000 and 96,000 shares of Class A common and Class A Special common stock, respectively, were issuable under vested restricted share unit awards, the receipt of which was irrevocably deferred by Participants pursuant to the Restricted Stock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Prior to January 1, 2006, we accounted for our share-based compensation plans in accordance with the provisions of Accounting Principles Board (“APB”) Opinion No. 25, “Accounting for Stock Issued to Employees” (“APB No. 25”), as permitted by SFAS No. 123, “Accounting for Stock-Based Compensation” (“SFAS No. 123”), and accordingly did not recognize compensation expense for stock options with an exercise price equal to or greater than the market price of the underlying stock at the date of grant. Had the fair-value based method as prescribed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by SFAS No. 123 been applied, additional pre-tax compensation expense of $39 million and $78 million would have been recognized for the three and six months ended June 30, 2005, respectively, and the effect on net income and earnings per share would have been as follows (dollars in millions, except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5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1"/>
        </w:trPr>
        <w:tc>
          <w:tcPr>
            <w:tcW w:w="7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June 30, 2005</w:t>
            </w:r>
          </w:p>
        </w:tc>
        <w:tc>
          <w:tcPr>
            <w:tcW w:w="1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7"/>
              </w:rPr>
              <w:t>June 30, 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Add: Share-based compensation expense included in net income, as reported above</w:t>
            </w:r>
          </w:p>
        </w:tc>
        <w:tc>
          <w:tcPr>
            <w:tcW w:w="140" w:type="dxa"/>
            <w:vAlign w:val="bottom"/>
          </w:tcPr>
          <w:p>
            <w:pPr>
              <w:spacing w:after="0"/>
              <w:rPr>
                <w:sz w:val="18"/>
                <w:szCs w:val="18"/>
                <w:color w:val="auto"/>
              </w:rPr>
            </w:pPr>
          </w:p>
        </w:tc>
        <w:tc>
          <w:tcPr>
            <w:tcW w:w="2360" w:type="dxa"/>
            <w:vAlign w:val="bottom"/>
            <w:gridSpan w:val="2"/>
          </w:tcPr>
          <w:p>
            <w:pPr>
              <w:jc w:val="right"/>
              <w:ind w:right="12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Less: Share-based compensation expense determined under fair value-based method for all</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awards, net of related tax effects</w:t>
            </w:r>
          </w:p>
        </w:tc>
        <w:tc>
          <w:tcPr>
            <w:tcW w:w="14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Pro forma, net income</w:t>
            </w: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28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for common stockholders per common share: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As reported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28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Diluted earnings for common stockholders per common share: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As reported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tcPr>
          <w:p>
            <w:pPr>
              <w:spacing w:after="0"/>
              <w:rPr>
                <w:sz w:val="20"/>
                <w:szCs w:val="20"/>
                <w:color w:val="auto"/>
              </w:rPr>
            </w:pPr>
            <w:r>
              <w:rPr>
                <w:rFonts w:ascii="Arial" w:cs="Arial" w:eastAsia="Arial" w:hAnsi="Arial"/>
                <w:sz w:val="18"/>
                <w:szCs w:val="18"/>
                <w:color w:val="auto"/>
              </w:rPr>
              <w:t>Pro forma</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280"/>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Effective January 1, 2006, we adopted SFAS No. 123R using the Modified Prospective Approach. SFAS No. 123R revises SFAS No. 123 and supersedes APB No. 25. SFAS No. 123R requires the cost of all share- based payments to employees, including grants of employee stock options, to be recognized in the financial statements based on their fair values at grant date, or the date of later modification, over the requisite service period. In addition, SFAS No. 123R requires unrecognized cost (based on the amounts previously disclosed in our pro forma footnote disclosure) related to options vesting after the date of initial adoption to be recognized in the financial statements over the remaining requisite service period.</w:t>
      </w:r>
    </w:p>
    <w:p>
      <w:pPr>
        <w:spacing w:after="0" w:line="116" w:lineRule="exact"/>
        <w:rPr>
          <w:sz w:val="20"/>
          <w:szCs w:val="20"/>
          <w:color w:val="auto"/>
        </w:rPr>
      </w:pPr>
    </w:p>
    <w:p>
      <w:pPr>
        <w:ind w:right="340"/>
        <w:spacing w:after="0" w:line="305" w:lineRule="auto"/>
        <w:rPr>
          <w:sz w:val="20"/>
          <w:szCs w:val="20"/>
          <w:color w:val="auto"/>
        </w:rPr>
      </w:pPr>
      <w:r>
        <w:rPr>
          <w:rFonts w:ascii="Arial" w:cs="Arial" w:eastAsia="Arial" w:hAnsi="Arial"/>
          <w:sz w:val="15"/>
          <w:szCs w:val="15"/>
          <w:color w:val="auto"/>
        </w:rPr>
        <w:t>Under the Modified Prospective Approach, the amount of compensation cost recognized includes: (i) compensation cost for all share-based payments granted prior to, but not yet vested as of January 1, 2006, based on the grant date fair value estimated in accordance with the provisions of SFAS No. 123 and</w:t>
      </w:r>
    </w:p>
    <w:p>
      <w:pPr>
        <w:ind w:right="40" w:firstLine="8"/>
        <w:spacing w:after="0" w:line="287" w:lineRule="auto"/>
        <w:tabs>
          <w:tab w:leader="none" w:pos="258"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compensation cost for all share-based payments granted subsequent to January 1, 2006, based on the grant date fair value estimated in accordance with the provisions of SFAS No. 123R. Prior to the adoption of SFAS No. 123R, we recognized the majority of our share-based compensation costs using the accelerated recognition method. We recognize the cost of previously granted share-based awards under the accelerated recognition method and recognize the cost of new share-based awards on a straight-line basis over the requisite service period. The incremental pre-tax share-based compensation expense recognized due to the adoption of SFAS No. 123R for the three and six months ended June 30, 2006, was $33 million and $67 million, respectively. Total share-based compensation expense recognized under SFAS No. 123R, including the incremental pre-tax share-based compensation expense above, was $50 million and $96 million, with an associated tax benefit of $17 million and $33 million, respectively, for the three and six months ended June 30, 2006. The amount of share-based compensation capitalized was not material to our consolidated financial statements.</w:t>
      </w:r>
    </w:p>
    <w:p>
      <w:pPr>
        <w:spacing w:after="0" w:line="12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Cash received from option exercises under all share-based payment arrangements for the three and six months ended June 30, 2006, was $36.8 million and $42.0 million, respectively. The total intrinsic value (market value on date of exercise less exercise price) of options exercised for the three and six months ended June 30, 2006, was $19.8 million and $28.3 million respectively. The tax benefit realized from stock options exercised for the three and six months ended June 30, 2006, was $6.4 million and $8.7 million,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As of June 30, 2006, there was $255 million of total unrecognized, pre-tax compensation cost related to nonvested stock options. This cost is expected to be recognized over a weighted-average period of approximately two and one half years.</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total fair value of restricted share units vested during the three and six months ended June 30, 2006, was $3 million and $29 million, respectively. As of June 30, 2006, there was $202 million of total unrecognized pre-tax compensation cost related to nonvested restricted share unit awards. This cost is expected to be recognized over a weighted-average period of approximately two and one half years.</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SFAS No. 123R also required us to change the classification, in our condensed consolidated statement of cash flows, of any tax benefits realized upon the exercise of stock options or issuance of restricted share unit awards in excess of that which is associated with the expense recognized for financial reporting purposes. These amounts are presented as a financing cash inflow rather than as a reduction of income taxes paid in our condensed consolidated statement of cash flows. The excess cash tax benefit classified as a financing cash inflow for the three and six months ended June 30, 2006, was $3 million and $4 million,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total comprehensive income for the three and six months ended June 30, 2006, and 2005 was as follows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2006</w:t>
            </w:r>
          </w:p>
        </w:tc>
        <w:tc>
          <w:tcPr>
            <w:tcW w:w="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2005</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2"/>
                <w:szCs w:val="12"/>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6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Unrealized (losses) gains on marketable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 for losses included in net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946</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w:t>
            </w:r>
          </w:p>
        </w:tc>
        <w:tc>
          <w:tcPr>
            <w:tcW w:w="6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STATEMENT OF CASH FLOWS—SUPPLEMENTAL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made cash payments for interest and income taxes during the three and six months ended June 30, 2006, and 2005 as follows (dollars in millions):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3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9"/>
              </w:rPr>
              <w:t>June 30,</w:t>
            </w:r>
          </w:p>
        </w:tc>
        <w:tc>
          <w:tcPr>
            <w:tcW w:w="4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2006</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2005</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2006</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2"/>
                <w:szCs w:val="12"/>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410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20" w:type="dxa"/>
            <w:vAlign w:val="bottom"/>
          </w:tcPr>
          <w:p>
            <w:pPr>
              <w:spacing w:after="0"/>
              <w:rPr>
                <w:sz w:val="18"/>
                <w:szCs w:val="18"/>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Income taxes</w:t>
            </w:r>
          </w:p>
        </w:tc>
        <w:tc>
          <w:tcPr>
            <w:tcW w:w="2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w w:val="79"/>
              </w:rPr>
              <w:t>395</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411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 significant noncash financing or investing activities occurred during the six months ended June 30, 2006. During the six months ended June 30, 2005, we had the following noncash investing and financing activities:</w:t>
      </w:r>
    </w:p>
    <w:p>
      <w:pPr>
        <w:spacing w:after="0" w:line="51"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recorded $170 million of intangible assets in connection with the formation of a technology development venture with Motorola</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recorded $40 million of investments in connection with our commitment to fund an equity method investment</w:t>
      </w:r>
    </w:p>
    <w:p>
      <w:pPr>
        <w:spacing w:after="0" w:line="90" w:lineRule="exact"/>
        <w:rPr>
          <w:rFonts w:ascii="Arial" w:cs="Arial" w:eastAsia="Arial" w:hAnsi="Arial"/>
          <w:sz w:val="18"/>
          <w:szCs w:val="18"/>
          <w:color w:val="auto"/>
        </w:rPr>
      </w:pPr>
    </w:p>
    <w:p>
      <w:pPr>
        <w:ind w:left="780" w:right="2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settled an aggregate of $572 million face amount of our obligations relating to our Exchangeable Notes by delivering the underlying shares or ADRs to the counterparties upon maturity of the instruments, and the equity collar agreements related to the underlying securities were exercised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Certain of our subsidiaries support debt compliance with respect to obligations of certain cable television partnerships and investments in which we hold an ownership interest (see Note 5). The obligations expire between March 2007 and March 2011. Although there can be no assurance, we believe that we will not be required to meet our obligations under such commitments. The total notional amount of our commitments was $1.161 billion as of June 30, 2006, at which time there were no quoted market prices for similar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At Home Cases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Chairman and Chief Executive Officer and a director), AT&amp;T (the former controlling shareholder of At Home and also a former distributor of the At Home service) and others in the Superior Court of San Mateo County, California, alleging breaches of fiduciary duty in connection with transactions agreed to in March 2000 among At Home, AT&amp;T, Cox (Cox is also an investor in At Home and a former distributor of the At Home service) and us; (ii) class action lawsuits against us,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Exchange Act, purported to have arisen in connection with certain transactions relating to At Home stock, effected pursuant to the March 2000 agreements.</w:t>
      </w:r>
    </w:p>
    <w:p>
      <w:pPr>
        <w:spacing w:after="0" w:line="1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actions in San Mateo County, California (item (i) above), have been stayed by the United States Bankruptcy Court for the Northern District of California, the court in which At Home filed for bankruptcy, as violating the automatic bankruptcy stay. The decision to stay the actions was affirmed by the District Court and the Court of Appeals for the Ninth Circuit, and the actions were dismissed on April 6, 2006. In the Southern District of New York actions (item (ii) above), the court has dismissed the common law fraud claims against all defendants, leaving only the securities law claims. In a subsequent decision, the court limited the remaining claims against us and Mr. Roberts to disclosures that are alleged to have been made by At Home prior to August 28, 2000. In March 2005, the court certified a class of all purchasers of publicly traded At Home stock between March 28, 2000 and September 28, 2001. In a decision dated March 23, 2006, the court dismissed all remaining claims for failure to properly allege loss causation. Plaintiffs in the class action are appealing the decision. Defendants also moved to dismiss a complaint filed by an individual shareholder on the same grounds as the motions to dismiss the class action. The Delaware case (item (iii) above) was transferred to the United States District Court for the Southern District of New York. The court dismissed the Section 16(b) claims against us for failure to state a claim and the breach of fiduciary duty claim for lack of federal jurisdiction. The plaintiffs have appealed the decision dismissing the Section 16(b) claims and have recommenced the breach of fiduciary duty claim in Delaware Chancery Court. We have filed a motion to dismiss the Chancery Court claim. In June 2006, the court denied our motion to dismiss and later set a discovery schedule with a trial date in October 2007.</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Under the terms of the Broadband acquisition, we are contractually liable for 50% of any liabilities of AT&amp;T relating to certain At Home litigation. For litigation in which we are contractually liable for 50% of any liabilities, AT&amp;T will be liable for the other 50%. In addition to the actions against AT&amp;T described in items (i), (ii) and (iii) above (in which we are also a defendant), such litigation matters included two additional actions brought by At Home’s bondholders’ liquidating trust against AT&amp;T (and not naming us): (i) a lawsuit filed against AT&amp;T and certain of its senior officers in Santa Clara, California state court alleging various breaches of fiduciary duties, misappropriation of trade secrets and other causes of action and (ii) an action filed against AT&amp;T in the District Court for the Northern District of California alleging that AT&amp;T infringes an At Home patent by using its broadband distribution and high-speed Internet backbone networks and equipment. In May 2005, At Home bondholders’ liquidating trust and AT&amp;T agreed to settle these two actions. Pursuant to the settlement, AT&amp;T agreed to pay $340 million to the bondholders’ liquidating trust. The settlement was approved by the Bankruptcy Court, and these two actions were dismissed. As a result of the settlement by AT&amp;T, we recorded a $170 million charge to other income (expense), reflecting our portion of the settlement amount, in our first quarter 2005 financial results. In May 2005, we paid $170 million representing our share of the settlement amount, and we classified such payment as an operating activity in our 2005 statement of cash flows.</w:t>
      </w:r>
    </w:p>
    <w:p>
      <w:pPr>
        <w:spacing w:after="0" w:line="1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deny any wrongdoing in connection with the claims that have been made directly against us, our subsidiaries and Brian L. Roberts, and are defending all of these claims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AT&amp;T—Wireless and Common Stock Cases</w:t>
      </w:r>
    </w:p>
    <w:p>
      <w:pPr>
        <w:spacing w:after="0" w:line="171"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Under the terms of the Broadband acquisition, we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and Section 12(a)(2) of the Securities Act of 1933, as amended, and Section 10(b) of the Exchange Act.</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first lawsuit, for which our portion of any loss is up to 15%, alleges that AT&amp;T made material misstatements and omissions in the Registration Statement and Prospectus for the AT&amp;T Wireless initial public offering (“Wireless Case”). In March 2004, the plaintiffs, and AT&amp;T and the other defendants, moved for summary judgment in the Wireless Case. The New Jersey District Court denied the motions and the Judicial Panel on Multidistrict Litigation remanded the cases for trial to the United States District Court for the Southern District of New York, where they had originally been brought. A trial date was set for April 19, 2006. On April 5, 2006, the parties reached an agreement to settle the Wireless Case for $150 million, of which our portion is $22.5 million. This settlement agreement is pending before the Court for approval. The Court has scheduled a final hearing to address the settlement for October 19, 2006. The additional amount recorded related to the settlement did not have a material impact on our results of operations for the six months ended June 30, 2006.</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second lawsuit, for which our portion of any loss is 50%, alleges that AT&amp;T knowingly provided false projections relating to AT&amp;T common stock (“Common Stock Case”). In October 2004, the plaintiffs, and AT&amp;T and the other defendants, agreed to settle the Common Stock Case for $100 million. Some class members have objected to the amount and apportionment of the fees of class counsel and have appealed to the Third Circuit Court of Appeals. In May 2005, we paid $50 million representing our share of the settlement amount. AT&amp;T and its directors and officers insurers are in litigation as to whether the Common Stock Case claims and the settlement are covered by the D&amp;O policies. Should AT&amp;T recover all or some of the settlement from the insurers, we will be entitled to a return of all or some of our payment from AT&amp;T.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AT&amp;T—TCI Cases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June 1998, the first of a number of purported class action lawsuits was filed by then-shareholders of Tele-Communications, Inc. (“TCI”) Series A TCI Group Common Stock (“Common A”) against AT&amp;T and the directors of TCI relating to the acquisition of TCI by AT&amp;T. A consolidated amended complaint combining the various different actions was filed in February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 of their fiduciary duties.</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we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July 2003, the Delaware Court of Chancery granted AT&amp;T’s motion to dismiss on the ground that the complaint failed to adequately plead AT&amp;T’s “knowing participation,” as required to state a claim for aiding and abetting a breach of fiduciary duty. In February 2005, the former TCI director defendants filed a motion for summary judgment. In December 2005, the Court issued a ruling that there were triable issues of fact as to whether the merger was fair to the Common A shareholders, among other matters. The trial is scheduled to begin in October 2006.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Patent Litigation</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the responsibility of our equipment vendors pursuant to applicable contractual indemnification provisions. To the extent that the allegations in these lawsuits can be analyzed by us at this stage of their proceedings, we believe the claims are without merit and intend to defend the actions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Antitrust Cases</w:t>
      </w:r>
    </w:p>
    <w:p>
      <w:pPr>
        <w:spacing w:after="0" w:line="17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are defendants in two purported class actions pending in the United States District Courts for the District of Massachusetts and the Eastern District of Pennsylvania, respectively. The potential class in the Massachusetts case is our subscriber base in the “Boston Cluster” area, and the potential class in the Pennsylvania case is our subscriber base in the “Philadelphia and Chicago clusters,” as those terms are defined in the complaints. In each case, plaintiffs allege that certain subscriber exchange transactions with other cable providers resulted in unlawful “horizontal market restraints” in those areas and seek damages pursuant to antitrust statutes, including treble damages.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a result of recent events in both cases relating to the procedural issue of whether plaintiffs’ claims could proceed in court or, alternatively, whether plaintiffs should be compelled to arbitrate their claims pursuant to arbitration clauses in their subscriber agreements, it has become more likely that these cases will proceed in court. We have moved to dismiss the Pennsylvania case and are negotiating a scheduling order in the Massachusetts case.</w:t>
      </w:r>
    </w:p>
    <w:p>
      <w:pPr>
        <w:spacing w:after="0" w:line="10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believe the claims in these actions are without merit and are defending the actions vigorously. The final disposition of these claims is not expected to have a material adverse effect on our consolidated financial position, but an adverse outcome could possibly be material to our consolidated results of operations of any one period. Further, no assurance can be given that any adverse outcome would not be material to our consolidated financial position.</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DATA BY BUSINESS SEGMENT</w:t>
      </w:r>
    </w:p>
    <w:p>
      <w:pPr>
        <w:spacing w:after="0" w:line="17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Our reportable segments consist of our Cable and Content businesses. Our Content segment consists of our national cable networks E!, Style Network, The Golf Channel, OLN, G4 and AZN Television. In evaluating the profitability of our segments, the components of net income (loss) below operating income (loss) before depreciation and amortization are not separately evaluated by our management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Three Months Ended June 30, 2006</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Cable(a)</w:t>
            </w:r>
          </w:p>
        </w:tc>
        <w:tc>
          <w:tcPr>
            <w:tcW w:w="4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Content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Other(b)(g)</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Eliminations(c)</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55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income (loss) before depreciation and amortization(e)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income (loss)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Three Months Ended June 30, 2005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income (loss) before depreciation and amortization(e)(f)</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income (loss)(f)</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Six Months Ended June 30, 2006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11,519</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income (loss) before depreciation and amortization(e)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income (loss)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Six Months Ended June 30, 2005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income (loss) before depreciation and amortization(e)(f)</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income (loss)(f)</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 of June 30, 2006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100,758</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2,378</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3,124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 of December 31, 2005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100,770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2,530</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2,760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20" w:type="dxa"/>
            <w:vAlign w:val="bottom"/>
          </w:tcPr>
          <w:p>
            <w:pPr>
              <w:jc w:val="right"/>
              <w:ind w:right="112"/>
              <w:spacing w:after="0"/>
              <w:rPr>
                <w:sz w:val="20"/>
                <w:szCs w:val="20"/>
                <w:color w:val="auto"/>
              </w:rPr>
            </w:pPr>
            <w:r>
              <w:rPr>
                <w:rFonts w:ascii="Arial" w:cs="Arial" w:eastAsia="Arial" w:hAnsi="Arial"/>
                <w:sz w:val="18"/>
                <w:szCs w:val="18"/>
                <w:color w:val="auto"/>
                <w:w w:val="99"/>
              </w:rPr>
              <w:t>19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46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61" w:lineRule="exact"/>
        <w:rPr>
          <w:sz w:val="20"/>
          <w:szCs w:val="20"/>
          <w:color w:val="auto"/>
        </w:rPr>
      </w:pPr>
    </w:p>
    <w:p>
      <w:pPr>
        <w:ind w:left="460" w:hanging="452"/>
        <w:spacing w:after="0" w:line="294"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three and six months ended June 30, 2006, and 2005 approximately 63% and 65%, respectively, of our Cable segment’s revenues were derived from our video services. For the three and six months ended June 30, 2006 and 2005 approximately 20% and 18%, respectively, of our Cable segment’s revenues were derived from our high-speed internet services. The remaining revenues were derived primarily from phone, advertising and other revenues. Our regional sports and news networks Comcast SportsNet, Comcast SportsNet Mid-Atlantic, Comcast SportsNet Chicago, Comcast SportsNet West, Cable Sports Southeast and CN8-The Comcast Network are included in our Cable segment.</w:t>
      </w:r>
    </w:p>
    <w:p>
      <w:pPr>
        <w:spacing w:after="0" w:line="34" w:lineRule="exact"/>
        <w:rPr>
          <w:rFonts w:ascii="Arial" w:cs="Arial" w:eastAsia="Arial" w:hAnsi="Arial"/>
          <w:sz w:val="16"/>
          <w:szCs w:val="16"/>
          <w:color w:val="auto"/>
        </w:rPr>
      </w:pPr>
    </w:p>
    <w:p>
      <w:pPr>
        <w:ind w:left="460" w:right="10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and other includes Comcast Spectacor, the portion of operating results of our less than wholly owned technology development ventures (see “(g)” below), corporate activities and all other businesses not presented in our Cable or Content segments. Assets included in this caption consist primarily of our investments (see Note 5).</w:t>
      </w:r>
    </w:p>
    <w:p>
      <w:pPr>
        <w:spacing w:after="0" w:line="59"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the Eliminations column are intersegment transactions that our segments enter into with one another. The most common types of transactions are the following:</w:t>
      </w:r>
    </w:p>
    <w:p>
      <w:pPr>
        <w:spacing w:after="0" w:line="50" w:lineRule="exact"/>
        <w:rPr>
          <w:rFonts w:ascii="Arial" w:cs="Arial" w:eastAsia="Arial" w:hAnsi="Arial"/>
          <w:sz w:val="18"/>
          <w:szCs w:val="18"/>
          <w:color w:val="auto"/>
        </w:rPr>
      </w:pPr>
    </w:p>
    <w:p>
      <w:pPr>
        <w:ind w:left="780" w:right="300" w:hanging="326"/>
        <w:spacing w:after="0" w:line="268" w:lineRule="auto"/>
        <w:tabs>
          <w:tab w:leader="none" w:pos="78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Content segment generates revenue by selling cable network programming to our Cable segment, which represents a substantial majority of the revenue elimination amount</w:t>
      </w:r>
    </w:p>
    <w:p>
      <w:pPr>
        <w:spacing w:after="0" w:line="50" w:lineRule="exact"/>
        <w:rPr>
          <w:rFonts w:ascii="Arial" w:cs="Arial" w:eastAsia="Arial" w:hAnsi="Arial"/>
          <w:sz w:val="18"/>
          <w:szCs w:val="18"/>
          <w:color w:val="auto"/>
        </w:rPr>
      </w:pPr>
    </w:p>
    <w:p>
      <w:pPr>
        <w:ind w:left="780" w:right="300" w:hanging="326"/>
        <w:spacing w:after="0" w:line="268" w:lineRule="auto"/>
        <w:tabs>
          <w:tab w:leader="none" w:pos="78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Cable segment receives incentives offered by our Content segment when negotiating programming contracts that are recorded as a reduction of programming costs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Cable segment generates revenue by selling the use of satellite feeds to our Content segment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Non-U.S. revenues were not significant in any period. No single customer accounted for a significant amount of our revenue in any period.</w:t>
      </w:r>
    </w:p>
    <w:p>
      <w:pPr>
        <w:spacing w:after="0" w:line="113" w:lineRule="exact"/>
        <w:rPr>
          <w:rFonts w:ascii="Arial" w:cs="Arial" w:eastAsia="Arial" w:hAnsi="Arial"/>
          <w:sz w:val="16"/>
          <w:szCs w:val="16"/>
          <w:color w:val="auto"/>
        </w:rPr>
      </w:pPr>
    </w:p>
    <w:p>
      <w:pPr>
        <w:ind w:left="460" w:right="80" w:hanging="452"/>
        <w:spacing w:after="0" w:line="288"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measure the performance of our operating segments, we use operating income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component of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GAAP.</w:t>
      </w:r>
    </w:p>
    <w:p>
      <w:pPr>
        <w:spacing w:after="0" w:line="38" w:lineRule="exact"/>
        <w:rPr>
          <w:rFonts w:ascii="Arial" w:cs="Arial" w:eastAsia="Arial" w:hAnsi="Arial"/>
          <w:sz w:val="16"/>
          <w:szCs w:val="16"/>
          <w:color w:val="auto"/>
        </w:rPr>
      </w:pPr>
    </w:p>
    <w:p>
      <w:pPr>
        <w:ind w:left="460" w:right="180" w:hanging="452"/>
        <w:spacing w:after="0" w:line="29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be consistent with our management reporting presentation, the 2005 segment amounts have been adjusted as if stock options had been expensed as of January 1, 2005 (See Note 8). For the three months ended June 30 2005, the adjustments reducing operating income before depreciation and amortization by segment were $30 million for Cable, $1 million for Content and $8 million for Corporate and Other. For the six months ended June 30, 2005 the adjustments reducing operating income before depreciation and amortization by segment were $56 million for Cable, $2 million for Content and $20 million for Corporate and Other. For the three and six months ended June 30, 2005 the total adjustments of $39 million and $78 million, respectively, are reversed in the Eliminations column to reconcile to our consolidated 2005 amounts.</w:t>
      </w:r>
    </w:p>
    <w:p>
      <w:pPr>
        <w:spacing w:after="0" w:line="39" w:lineRule="exact"/>
        <w:rPr>
          <w:rFonts w:ascii="Arial" w:cs="Arial" w:eastAsia="Arial" w:hAnsi="Arial"/>
          <w:sz w:val="16"/>
          <w:szCs w:val="16"/>
          <w:color w:val="auto"/>
        </w:rPr>
      </w:pPr>
    </w:p>
    <w:p>
      <w:pPr>
        <w:ind w:left="460" w:right="12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consolidate our less than wholly owned technology development ventures which we control or we are deemed the primary beneficiary. These ventures are with various corporate partners, such as Motorola and Gemstar. The ventures have been created to share the costs of development of new technologies for set-top boxes and other devices. The results of these entities are included within Corporate and Other. Cost allocations are made to the Cable segment based on our percentage ownership in each entity. The remaining net costs related to the minority corporate partners are included in the Corporate and Other segment.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CONDENSED CONSOLIDATING FINANCIAL INFORMATION</w:t>
      </w:r>
    </w:p>
    <w:p>
      <w:pPr>
        <w:spacing w:after="0" w:line="17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Comcast Corporation and five of our cable holding company subsidiaries, Comcast Cable Communications, LLC (“CCCL”), Comcast Cable Communications Holdings, Inc. (“CCCH”), Comcast MO Group, Inc. (“Comcast MO Group”), Comcast Cable Holdings, LLC (“CCH”), and Comcast MO of Delaware, LLC (“Comcast MO of Delaware”) fully and unconditionally guaranteed each other’s debt securities. Comcast MO Group, CCH and Comcast MO of Delaware are collectively referred to as the “Combined CCHMO Parents.”</w:t>
      </w:r>
    </w:p>
    <w:p>
      <w:pPr>
        <w:spacing w:after="0" w:line="143"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 xml:space="preserve">In September 2005, Comcast Corporation unconditionally guaranteed Comcast Holdings’ ZONES due October 2029 and its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Subordinated Debentures due 2012, both of which were issued by Comcast Holdings; accordingly we have added Comcast Holdings’ condensed consolidated information for all periods presented. Our condensed consolidating financial information is as follows :</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Elimination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Comcast</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CCCL</w:t>
            </w:r>
          </w:p>
        </w:tc>
        <w:tc>
          <w:tcPr>
            <w:tcW w:w="20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CCCH</w:t>
            </w:r>
          </w:p>
        </w:tc>
        <w:tc>
          <w:tcPr>
            <w:tcW w:w="10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CCHMO</w:t>
            </w:r>
          </w:p>
        </w:tc>
        <w:tc>
          <w:tcPr>
            <w:tcW w:w="12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Comcast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Guarantor</w:t>
            </w:r>
          </w:p>
        </w:tc>
        <w:tc>
          <w:tcPr>
            <w:tcW w:w="22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Comcast</w:t>
            </w:r>
          </w:p>
        </w:tc>
        <w:tc>
          <w:tcPr>
            <w:tcW w:w="0" w:type="dxa"/>
            <w:vAlign w:val="bottom"/>
          </w:tcPr>
          <w:p>
            <w:pPr>
              <w:spacing w:after="0"/>
              <w:rPr>
                <w:sz w:val="1"/>
                <w:szCs w:val="1"/>
                <w:color w:val="auto"/>
              </w:rPr>
            </w:pPr>
          </w:p>
        </w:tc>
      </w:tr>
      <w:tr>
        <w:trPr>
          <w:trHeight w:val="161"/>
        </w:trPr>
        <w:tc>
          <w:tcPr>
            <w:tcW w:w="4580" w:type="dxa"/>
            <w:vAlign w:val="bottom"/>
            <w:gridSpan w:val="6"/>
          </w:tcPr>
          <w:p>
            <w:pPr>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7"/>
              </w:rPr>
              <w:t>Parent</w:t>
            </w:r>
          </w:p>
        </w:tc>
        <w:tc>
          <w:tcPr>
            <w:tcW w:w="200" w:type="dxa"/>
            <w:vAlign w:val="bottom"/>
          </w:tcPr>
          <w:p>
            <w:pPr>
              <w:spacing w:after="0"/>
              <w:rPr>
                <w:sz w:val="14"/>
                <w:szCs w:val="14"/>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Parent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Parents</w:t>
            </w:r>
          </w:p>
        </w:tc>
        <w:tc>
          <w:tcPr>
            <w:tcW w:w="1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6"/>
              </w:rPr>
              <w:t>Holdings</w:t>
            </w: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220" w:type="dxa"/>
            <w:vAlign w:val="bottom"/>
          </w:tcPr>
          <w:p>
            <w:pPr>
              <w:spacing w:after="0"/>
              <w:rPr>
                <w:sz w:val="14"/>
                <w:szCs w:val="14"/>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 w:type="dxa"/>
            <w:vAlign w:val="bottom"/>
            <w:tcBorders>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5"/>
              </w:rPr>
              <w:t>ASSETS</w:t>
            </w:r>
          </w:p>
        </w:tc>
        <w:tc>
          <w:tcPr>
            <w:tcW w:w="4060" w:type="dxa"/>
            <w:vAlign w:val="bottom"/>
            <w:tcBorders>
              <w:bottom w:val="single" w:sz="8" w:color="CCEEFF"/>
            </w:tcBorders>
            <w:gridSpan w:val="3"/>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right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360" w:type="dxa"/>
            <w:vAlign w:val="bottom"/>
            <w:gridSpan w:val="4"/>
          </w:tcPr>
          <w:p>
            <w:pPr>
              <w:ind w:left="220"/>
              <w:spacing w:after="0" w:line="142" w:lineRule="exact"/>
              <w:rPr>
                <w:sz w:val="20"/>
                <w:szCs w:val="20"/>
                <w:color w:val="auto"/>
              </w:rPr>
            </w:pPr>
            <w:r>
              <w:rPr>
                <w:rFonts w:ascii="Arial" w:cs="Arial" w:eastAsia="Arial" w:hAnsi="Arial"/>
                <w:sz w:val="14"/>
                <w:szCs w:val="14"/>
                <w:color w:val="auto"/>
              </w:rPr>
              <w:t>Cash and cash equivalents</w:t>
            </w:r>
          </w:p>
        </w:tc>
        <w:tc>
          <w:tcPr>
            <w:tcW w:w="280" w:type="dxa"/>
            <w:vAlign w:val="bottom"/>
            <w:gridSpan w:val="2"/>
          </w:tcPr>
          <w:p>
            <w:pPr>
              <w:ind w:left="200"/>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7</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966</w:t>
            </w:r>
          </w:p>
        </w:tc>
        <w:tc>
          <w:tcPr>
            <w:tcW w:w="3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973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360" w:type="dxa"/>
            <w:vAlign w:val="bottom"/>
            <w:gridSpan w:val="4"/>
            <w:shd w:val="clear" w:color="auto" w:fill="CCEEFF"/>
          </w:tcPr>
          <w:p>
            <w:pPr>
              <w:ind w:left="220"/>
              <w:spacing w:after="0" w:line="149" w:lineRule="exact"/>
              <w:rPr>
                <w:sz w:val="20"/>
                <w:szCs w:val="20"/>
                <w:color w:val="auto"/>
              </w:rPr>
            </w:pPr>
            <w:r>
              <w:rPr>
                <w:rFonts w:ascii="Arial" w:cs="Arial" w:eastAsia="Arial" w:hAnsi="Arial"/>
                <w:sz w:val="14"/>
                <w:szCs w:val="14"/>
                <w:color w:val="auto"/>
              </w:rPr>
              <w:t>Investments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360" w:type="dxa"/>
            <w:vAlign w:val="bottom"/>
            <w:gridSpan w:val="4"/>
          </w:tcPr>
          <w:p>
            <w:pPr>
              <w:ind w:left="220"/>
              <w:spacing w:after="0" w:line="149" w:lineRule="exact"/>
              <w:rPr>
                <w:sz w:val="20"/>
                <w:szCs w:val="20"/>
                <w:color w:val="auto"/>
              </w:rPr>
            </w:pPr>
            <w:r>
              <w:rPr>
                <w:rFonts w:ascii="Arial" w:cs="Arial" w:eastAsia="Arial" w:hAnsi="Arial"/>
                <w:sz w:val="14"/>
                <w:szCs w:val="14"/>
                <w:color w:val="auto"/>
              </w:rPr>
              <w:t>Accounts receivable, net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360" w:type="dxa"/>
            <w:vAlign w:val="bottom"/>
            <w:gridSpan w:val="4"/>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current assets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60" w:type="dxa"/>
            <w:vAlign w:val="bottom"/>
            <w:gridSpan w:val="3"/>
            <w:vMerge w:val="restart"/>
          </w:tcPr>
          <w:p>
            <w:pPr>
              <w:ind w:left="36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3,523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3,540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11,838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11,838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5"/>
          </w:tcPr>
          <w:p>
            <w:pPr>
              <w:spacing w:after="0" w:line="149" w:lineRule="exact"/>
              <w:rPr>
                <w:sz w:val="20"/>
                <w:szCs w:val="20"/>
                <w:color w:val="auto"/>
              </w:rPr>
            </w:pPr>
            <w:r>
              <w:rPr>
                <w:rFonts w:ascii="Arial" w:cs="Arial" w:eastAsia="Arial" w:hAnsi="Arial"/>
                <w:sz w:val="14"/>
                <w:szCs w:val="14"/>
                <w:color w:val="auto"/>
                <w:w w:val="90"/>
              </w:rPr>
              <w:t>Investments in and amounts due from subsidiaries eliminated upon consolidation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55,251</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30,213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3"/>
              </w:rPr>
              <w:t>36,657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40,072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24,117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851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(187,161)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18,933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5"/>
          </w:tcPr>
          <w:p>
            <w:pPr>
              <w:spacing w:after="0" w:line="149" w:lineRule="exact"/>
              <w:rPr>
                <w:sz w:val="20"/>
                <w:szCs w:val="20"/>
                <w:color w:val="auto"/>
              </w:rPr>
            </w:pPr>
            <w:r>
              <w:rPr>
                <w:rFonts w:ascii="Arial" w:cs="Arial" w:eastAsia="Arial" w:hAnsi="Arial"/>
                <w:sz w:val="14"/>
                <w:szCs w:val="14"/>
                <w:color w:val="auto"/>
              </w:rPr>
              <w:t>Franchise rights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51,366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51,366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13,794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5"/>
          </w:tcPr>
          <w:p>
            <w:pPr>
              <w:spacing w:after="0" w:line="149" w:lineRule="exact"/>
              <w:rPr>
                <w:sz w:val="20"/>
                <w:szCs w:val="20"/>
                <w:color w:val="auto"/>
              </w:rPr>
            </w:pPr>
            <w:r>
              <w:rPr>
                <w:rFonts w:ascii="Arial" w:cs="Arial" w:eastAsia="Arial" w:hAnsi="Arial"/>
                <w:sz w:val="14"/>
                <w:szCs w:val="14"/>
                <w:color w:val="auto"/>
              </w:rPr>
              <w:t>Other intangible assets, net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3,090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 net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60" w:type="dxa"/>
            <w:vAlign w:val="bottom"/>
            <w:gridSpan w:val="3"/>
            <w:vMerge w:val="restart"/>
          </w:tcPr>
          <w:p>
            <w:pPr>
              <w:ind w:left="360"/>
              <w:spacing w:after="0"/>
              <w:rPr>
                <w:sz w:val="20"/>
                <w:szCs w:val="20"/>
                <w:color w:val="auto"/>
              </w:rPr>
            </w:pPr>
            <w:r>
              <w:rPr>
                <w:rFonts w:ascii="Arial" w:cs="Arial" w:eastAsia="Arial" w:hAnsi="Arial"/>
                <w:sz w:val="14"/>
                <w:szCs w:val="14"/>
                <w:color w:val="auto"/>
              </w:rPr>
              <w:t>Total assets</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55,377</w:t>
            </w:r>
          </w:p>
        </w:tc>
        <w:tc>
          <w:tcPr>
            <w:tcW w:w="100" w:type="dxa"/>
            <w:vAlign w:val="bottom"/>
          </w:tcPr>
          <w:p>
            <w:pPr>
              <w:spacing w:after="0"/>
              <w:rPr>
                <w:sz w:val="13"/>
                <w:szCs w:val="13"/>
                <w:color w:val="auto"/>
              </w:rPr>
            </w:pPr>
          </w:p>
        </w:tc>
        <w:tc>
          <w:tcPr>
            <w:tcW w:w="1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30,232</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83"/>
              </w:rPr>
              <w:t>36,681</w:t>
            </w:r>
          </w:p>
        </w:tc>
        <w:tc>
          <w:tcPr>
            <w:tcW w:w="1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40,072</w:t>
            </w:r>
          </w:p>
        </w:tc>
        <w:tc>
          <w:tcPr>
            <w:tcW w:w="24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24,150</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103,737</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(187,161)</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103,088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LIABILITIES AND</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75"/>
              </w:rPr>
              <w:t>STOCKHOLDERS’</w:t>
            </w:r>
          </w:p>
        </w:tc>
        <w:tc>
          <w:tcPr>
            <w:tcW w:w="3420" w:type="dxa"/>
            <w:vAlign w:val="bottom"/>
            <w:tcBorders>
              <w:top w:val="single" w:sz="8" w:color="CCEEFF"/>
            </w:tcBorders>
            <w:gridSpan w:val="2"/>
            <w:shd w:val="clear" w:color="auto" w:fill="CCEEFF"/>
          </w:tcPr>
          <w:p>
            <w:pPr>
              <w:ind w:left="280"/>
              <w:spacing w:after="0" w:line="129" w:lineRule="exact"/>
              <w:rPr>
                <w:sz w:val="20"/>
                <w:szCs w:val="20"/>
                <w:color w:val="auto"/>
              </w:rPr>
            </w:pPr>
            <w:r>
              <w:rPr>
                <w:rFonts w:ascii="Arial" w:cs="Arial" w:eastAsia="Arial" w:hAnsi="Arial"/>
                <w:sz w:val="14"/>
                <w:szCs w:val="14"/>
                <w:b w:val="1"/>
                <w:bCs w:val="1"/>
                <w:color w:val="auto"/>
              </w:rPr>
              <w:t>EQUITY</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360" w:type="dxa"/>
            <w:vAlign w:val="bottom"/>
            <w:gridSpan w:val="4"/>
          </w:tcPr>
          <w:p>
            <w:pPr>
              <w:ind w:left="220"/>
              <w:spacing w:after="0" w:line="142" w:lineRule="exact"/>
              <w:rPr>
                <w:sz w:val="20"/>
                <w:szCs w:val="20"/>
                <w:color w:val="auto"/>
              </w:rPr>
            </w:pPr>
            <w:r>
              <w:rPr>
                <w:rFonts w:ascii="Arial" w:cs="Arial" w:eastAsia="Arial" w:hAnsi="Arial"/>
                <w:sz w:val="14"/>
                <w:szCs w:val="14"/>
                <w:color w:val="auto"/>
              </w:rPr>
              <w:t>Accounts payable and accrued expenses related to trade creditors</w:t>
            </w:r>
          </w:p>
        </w:tc>
        <w:tc>
          <w:tcPr>
            <w:tcW w:w="280" w:type="dxa"/>
            <w:vAlign w:val="bottom"/>
            <w:gridSpan w:val="2"/>
          </w:tcPr>
          <w:p>
            <w:pPr>
              <w:ind w:left="200"/>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2,068</w:t>
            </w:r>
          </w:p>
        </w:tc>
        <w:tc>
          <w:tcPr>
            <w:tcW w:w="3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2,068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360" w:type="dxa"/>
            <w:vAlign w:val="bottom"/>
            <w:gridSpan w:val="4"/>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495</w:t>
            </w: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360" w:type="dxa"/>
            <w:vAlign w:val="bottom"/>
            <w:gridSpan w:val="4"/>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360" w:type="dxa"/>
            <w:vAlign w:val="bottom"/>
            <w:gridSpan w:val="4"/>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long-term debt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60" w:type="dxa"/>
            <w:vAlign w:val="bottom"/>
            <w:gridSpan w:val="3"/>
            <w:vMerge w:val="restart"/>
          </w:tcPr>
          <w:p>
            <w:pPr>
              <w:ind w:left="36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495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822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152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81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4,117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5,764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10,505</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3,263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23,360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5"/>
          </w:tcPr>
          <w:p>
            <w:pPr>
              <w:spacing w:after="0" w:line="149" w:lineRule="exact"/>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3,470</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866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22,537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26,873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5"/>
          </w:tcPr>
          <w:p>
            <w:pPr>
              <w:spacing w:after="0" w:line="149" w:lineRule="exact"/>
              <w:rPr>
                <w:sz w:val="20"/>
                <w:szCs w:val="20"/>
                <w:color w:val="auto"/>
              </w:rPr>
            </w:pPr>
            <w:r>
              <w:rPr>
                <w:rFonts w:ascii="Arial" w:cs="Arial" w:eastAsia="Arial" w:hAnsi="Arial"/>
                <w:sz w:val="14"/>
                <w:szCs w:val="14"/>
                <w:color w:val="auto"/>
              </w:rPr>
              <w:t>Minority interest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672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360" w:type="dxa"/>
            <w:vAlign w:val="bottom"/>
            <w:gridSpan w:val="4"/>
          </w:tcPr>
          <w:p>
            <w:pPr>
              <w:ind w:left="220"/>
              <w:spacing w:after="0" w:line="149" w:lineRule="exact"/>
              <w:rPr>
                <w:sz w:val="20"/>
                <w:szCs w:val="20"/>
                <w:color w:val="auto"/>
              </w:rPr>
            </w:pPr>
            <w:r>
              <w:rPr>
                <w:rFonts w:ascii="Arial" w:cs="Arial" w:eastAsia="Arial" w:hAnsi="Arial"/>
                <w:sz w:val="14"/>
                <w:szCs w:val="14"/>
                <w:color w:val="auto"/>
              </w:rPr>
              <w:t>Common 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360" w:type="dxa"/>
            <w:vAlign w:val="bottom"/>
            <w:gridSpan w:val="4"/>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stockholders’ equity</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39,883</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24,967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33,086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36,657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22,192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70,259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(187,161)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60" w:type="dxa"/>
            <w:vAlign w:val="bottom"/>
            <w:gridSpan w:val="3"/>
            <w:vMerge w:val="restart"/>
          </w:tcPr>
          <w:p>
            <w:pPr>
              <w:ind w:left="360"/>
              <w:spacing w:after="0"/>
              <w:rPr>
                <w:sz w:val="20"/>
                <w:szCs w:val="20"/>
                <w:color w:val="auto"/>
              </w:rPr>
            </w:pPr>
            <w:r>
              <w:rPr>
                <w:rFonts w:ascii="Arial" w:cs="Arial" w:eastAsia="Arial" w:hAnsi="Arial"/>
                <w:sz w:val="14"/>
                <w:szCs w:val="14"/>
                <w:color w:val="auto"/>
              </w:rPr>
              <w:t>Total stockholders’ equity</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39,907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24,967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3"/>
              </w:rPr>
              <w:t>33,086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36,657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22,192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70,259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(187,161)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39,907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6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55,377</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30,232</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83"/>
              </w:rPr>
              <w:t>36,681</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40,072</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24,150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103,737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(187,161)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103,088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Elimination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Comcast</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CCCL</w:t>
            </w:r>
          </w:p>
        </w:tc>
        <w:tc>
          <w:tcPr>
            <w:tcW w:w="20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CCCH</w:t>
            </w:r>
          </w:p>
        </w:tc>
        <w:tc>
          <w:tcPr>
            <w:tcW w:w="10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CCHMO</w:t>
            </w:r>
          </w:p>
        </w:tc>
        <w:tc>
          <w:tcPr>
            <w:tcW w:w="12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Comcast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Guarantor</w:t>
            </w:r>
          </w:p>
        </w:tc>
        <w:tc>
          <w:tcPr>
            <w:tcW w:w="22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Comcast</w:t>
            </w:r>
          </w:p>
        </w:tc>
        <w:tc>
          <w:tcPr>
            <w:tcW w:w="0" w:type="dxa"/>
            <w:vAlign w:val="bottom"/>
          </w:tcPr>
          <w:p>
            <w:pPr>
              <w:spacing w:after="0"/>
              <w:rPr>
                <w:sz w:val="1"/>
                <w:szCs w:val="1"/>
                <w:color w:val="auto"/>
              </w:rPr>
            </w:pPr>
          </w:p>
        </w:tc>
      </w:tr>
      <w:tr>
        <w:trPr>
          <w:trHeight w:val="161"/>
        </w:trPr>
        <w:tc>
          <w:tcPr>
            <w:tcW w:w="4580" w:type="dxa"/>
            <w:vAlign w:val="bottom"/>
            <w:gridSpan w:val="4"/>
          </w:tcPr>
          <w:p>
            <w:pPr>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7"/>
              </w:rPr>
              <w:t>Parent</w:t>
            </w:r>
          </w:p>
        </w:tc>
        <w:tc>
          <w:tcPr>
            <w:tcW w:w="200" w:type="dxa"/>
            <w:vAlign w:val="bottom"/>
          </w:tcPr>
          <w:p>
            <w:pPr>
              <w:spacing w:after="0"/>
              <w:rPr>
                <w:sz w:val="14"/>
                <w:szCs w:val="14"/>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Parent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Parents</w:t>
            </w:r>
          </w:p>
        </w:tc>
        <w:tc>
          <w:tcPr>
            <w:tcW w:w="1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6"/>
              </w:rPr>
              <w:t>Holdings</w:t>
            </w: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220" w:type="dxa"/>
            <w:vAlign w:val="bottom"/>
          </w:tcPr>
          <w:p>
            <w:pPr>
              <w:spacing w:after="0"/>
              <w:rPr>
                <w:sz w:val="14"/>
                <w:szCs w:val="14"/>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5"/>
              </w:rPr>
              <w:t>ASSETS</w:t>
            </w:r>
          </w:p>
        </w:tc>
        <w:tc>
          <w:tcPr>
            <w:tcW w:w="4060" w:type="dxa"/>
            <w:vAlign w:val="bottom"/>
            <w:tcBorders>
              <w:bottom w:val="single" w:sz="8" w:color="CCEEFF"/>
            </w:tcBorders>
            <w:gridSpan w:val="2"/>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right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3"/>
          </w:tcPr>
          <w:p>
            <w:pPr>
              <w:ind w:left="420"/>
              <w:spacing w:after="0"/>
              <w:rPr>
                <w:sz w:val="20"/>
                <w:szCs w:val="20"/>
                <w:color w:val="auto"/>
              </w:rPr>
            </w:pPr>
            <w:r>
              <w:rPr>
                <w:rFonts w:ascii="Arial" w:cs="Arial" w:eastAsia="Arial" w:hAnsi="Arial"/>
                <w:sz w:val="14"/>
                <w:szCs w:val="14"/>
                <w:color w:val="auto"/>
              </w:rPr>
              <w:t>Cash and cash equivalents</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693</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Investments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60" w:type="dxa"/>
            <w:vAlign w:val="bottom"/>
            <w:gridSpan w:val="2"/>
            <w:vMerge w:val="restart"/>
          </w:tcPr>
          <w:p>
            <w:pPr>
              <w:ind w:left="36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2,578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2,594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12,682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12,682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tcPr>
          <w:p>
            <w:pPr>
              <w:spacing w:after="0" w:line="149" w:lineRule="exact"/>
              <w:rPr>
                <w:sz w:val="20"/>
                <w:szCs w:val="20"/>
                <w:color w:val="auto"/>
              </w:rPr>
            </w:pPr>
            <w:r>
              <w:rPr>
                <w:rFonts w:ascii="Arial" w:cs="Arial" w:eastAsia="Arial" w:hAnsi="Arial"/>
                <w:sz w:val="14"/>
                <w:szCs w:val="14"/>
                <w:color w:val="auto"/>
                <w:w w:val="90"/>
              </w:rPr>
              <w:t>Investments in and amounts due from subsidiaries eliminated upon consolidation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53,103</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29,562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3"/>
              </w:rPr>
              <w:t>36,042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40,482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22,742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(182,886)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tcPr>
          <w:p>
            <w:pPr>
              <w:spacing w:after="0" w:line="149" w:lineRule="exact"/>
              <w:rPr>
                <w:sz w:val="20"/>
                <w:szCs w:val="20"/>
                <w:color w:val="auto"/>
              </w:rPr>
            </w:pPr>
            <w:r>
              <w:rPr>
                <w:rFonts w:ascii="Arial" w:cs="Arial" w:eastAsia="Arial" w:hAnsi="Arial"/>
                <w:sz w:val="14"/>
                <w:szCs w:val="14"/>
                <w:color w:val="auto"/>
              </w:rPr>
              <w:t>Franchise rights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51,090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51,090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14,218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tcPr>
          <w:p>
            <w:pPr>
              <w:spacing w:after="0" w:line="149" w:lineRule="exact"/>
              <w:rPr>
                <w:sz w:val="20"/>
                <w:szCs w:val="20"/>
                <w:color w:val="auto"/>
              </w:rPr>
            </w:pPr>
            <w:r>
              <w:rPr>
                <w:rFonts w:ascii="Arial" w:cs="Arial" w:eastAsia="Arial" w:hAnsi="Arial"/>
                <w:sz w:val="14"/>
                <w:szCs w:val="14"/>
                <w:color w:val="auto"/>
              </w:rPr>
              <w:t>Other intangible assets, net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3,156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 net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60" w:type="dxa"/>
            <w:vAlign w:val="bottom"/>
            <w:gridSpan w:val="2"/>
            <w:vMerge w:val="restart"/>
          </w:tcPr>
          <w:p>
            <w:pPr>
              <w:ind w:left="360"/>
              <w:spacing w:after="0"/>
              <w:rPr>
                <w:sz w:val="20"/>
                <w:szCs w:val="20"/>
                <w:color w:val="auto"/>
              </w:rPr>
            </w:pPr>
            <w:r>
              <w:rPr>
                <w:rFonts w:ascii="Arial" w:cs="Arial" w:eastAsia="Arial" w:hAnsi="Arial"/>
                <w:sz w:val="14"/>
                <w:szCs w:val="14"/>
                <w:color w:val="auto"/>
              </w:rPr>
              <w:t>Total assets</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53,252</w:t>
            </w:r>
          </w:p>
        </w:tc>
        <w:tc>
          <w:tcPr>
            <w:tcW w:w="100" w:type="dxa"/>
            <w:vAlign w:val="bottom"/>
          </w:tcPr>
          <w:p>
            <w:pPr>
              <w:spacing w:after="0"/>
              <w:rPr>
                <w:sz w:val="13"/>
                <w:szCs w:val="13"/>
                <w:color w:val="auto"/>
              </w:rPr>
            </w:pPr>
          </w:p>
        </w:tc>
        <w:tc>
          <w:tcPr>
            <w:tcW w:w="1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29,583</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83"/>
              </w:rPr>
              <w:t>36,067</w:t>
            </w:r>
          </w:p>
        </w:tc>
        <w:tc>
          <w:tcPr>
            <w:tcW w:w="1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40,482</w:t>
            </w:r>
          </w:p>
        </w:tc>
        <w:tc>
          <w:tcPr>
            <w:tcW w:w="24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22,792</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103,856</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(182,886)</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103,146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3"/>
          </w:tcPr>
          <w:p>
            <w:pPr>
              <w:ind w:left="420"/>
              <w:spacing w:after="0"/>
              <w:rPr>
                <w:sz w:val="20"/>
                <w:szCs w:val="20"/>
                <w:color w:val="auto"/>
              </w:rPr>
            </w:pPr>
            <w:r>
              <w:rPr>
                <w:rFonts w:ascii="Arial" w:cs="Arial" w:eastAsia="Arial" w:hAnsi="Arial"/>
                <w:sz w:val="14"/>
                <w:szCs w:val="14"/>
                <w:color w:val="auto"/>
              </w:rPr>
              <w:t>Accounts payable and accrued expenses related to trade creditors</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2,033</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447</w:t>
            </w: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portion of long-term debt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60" w:type="dxa"/>
            <w:vAlign w:val="bottom"/>
            <w:gridSpan w:val="2"/>
            <w:vMerge w:val="restart"/>
          </w:tcPr>
          <w:p>
            <w:pPr>
              <w:ind w:left="36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447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844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113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1,122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89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3,654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Long term-debt, less current portion</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8,243</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3,318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21,682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tcPr>
          <w:p>
            <w:pPr>
              <w:spacing w:after="0" w:line="149" w:lineRule="exact"/>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3,470</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811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23,089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27,370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873</w:t>
            </w: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tcPr>
          <w:p>
            <w:pPr>
              <w:spacing w:after="0" w:line="149" w:lineRule="exact"/>
              <w:rPr>
                <w:sz w:val="20"/>
                <w:szCs w:val="20"/>
                <w:color w:val="auto"/>
              </w:rPr>
            </w:pPr>
            <w:r>
              <w:rPr>
                <w:rFonts w:ascii="Arial" w:cs="Arial" w:eastAsia="Arial" w:hAnsi="Arial"/>
                <w:sz w:val="14"/>
                <w:szCs w:val="14"/>
                <w:color w:val="auto"/>
              </w:rPr>
              <w:t>Minority interest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Common 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stockholders’ equity</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40,194</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23,697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32,456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36,042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20,861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69,830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(182,886)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60" w:type="dxa"/>
            <w:vAlign w:val="bottom"/>
            <w:gridSpan w:val="2"/>
            <w:vMerge w:val="restart"/>
          </w:tcPr>
          <w:p>
            <w:pPr>
              <w:ind w:left="360"/>
              <w:spacing w:after="0"/>
              <w:rPr>
                <w:sz w:val="20"/>
                <w:szCs w:val="20"/>
                <w:color w:val="auto"/>
              </w:rPr>
            </w:pPr>
            <w:r>
              <w:rPr>
                <w:rFonts w:ascii="Arial" w:cs="Arial" w:eastAsia="Arial" w:hAnsi="Arial"/>
                <w:sz w:val="14"/>
                <w:szCs w:val="14"/>
                <w:color w:val="auto"/>
              </w:rPr>
              <w:t>Total stockholders’ equity</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40,219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23,697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3"/>
              </w:rPr>
              <w:t>32,456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36,042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20,861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69,830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(182,886)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40,219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53,252</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29,583</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83"/>
              </w:rPr>
              <w:t>36,067</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40,482</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22,792</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103,856</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(182,886)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103,146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Elimination</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2"/>
                <w:szCs w:val="12"/>
                <w:color w:val="auto"/>
              </w:rPr>
            </w:pPr>
          </w:p>
        </w:tc>
        <w:tc>
          <w:tcPr>
            <w:tcW w:w="10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0"/>
              </w:rPr>
              <w:t>and</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Comcast</w:t>
            </w:r>
          </w:p>
        </w:tc>
        <w:tc>
          <w:tcPr>
            <w:tcW w:w="16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CCCL</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CCCH</w:t>
            </w:r>
          </w:p>
        </w:tc>
        <w:tc>
          <w:tcPr>
            <w:tcW w:w="16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CCHMO</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Comcast</w:t>
            </w:r>
          </w:p>
        </w:tc>
        <w:tc>
          <w:tcPr>
            <w:tcW w:w="11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Comcast</w:t>
            </w:r>
          </w:p>
        </w:tc>
        <w:tc>
          <w:tcPr>
            <w:tcW w:w="0" w:type="dxa"/>
            <w:vAlign w:val="bottom"/>
          </w:tcPr>
          <w:p>
            <w:pPr>
              <w:spacing w:after="0"/>
              <w:rPr>
                <w:sz w:val="1"/>
                <w:szCs w:val="1"/>
                <w:color w:val="auto"/>
              </w:rPr>
            </w:pPr>
          </w:p>
        </w:tc>
      </w:tr>
      <w:tr>
        <w:trPr>
          <w:trHeight w:val="16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Parent</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Parents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Adjustments</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1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Service revenues</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6,228</w:t>
            </w:r>
          </w:p>
        </w:tc>
        <w:tc>
          <w:tcPr>
            <w:tcW w:w="180" w:type="dxa"/>
            <w:vAlign w:val="bottom"/>
          </w:tcPr>
          <w:p>
            <w:pPr>
              <w:jc w:val="right"/>
              <w:ind w:right="5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Management fee revenue</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77</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126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48</w:t>
            </w:r>
          </w:p>
        </w:tc>
        <w:tc>
          <w:tcPr>
            <w:tcW w:w="120" w:type="dxa"/>
            <w:vAlign w:val="bottom"/>
          </w:tcPr>
          <w:p>
            <w:pPr>
              <w:spacing w:after="0"/>
              <w:rPr>
                <w:sz w:val="14"/>
                <w:szCs w:val="14"/>
                <w:color w:val="auto"/>
              </w:rPr>
            </w:pPr>
          </w:p>
        </w:tc>
        <w:tc>
          <w:tcPr>
            <w:tcW w:w="5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77</w:t>
            </w:r>
          </w:p>
        </w:tc>
        <w:tc>
          <w:tcPr>
            <w:tcW w:w="200" w:type="dxa"/>
            <w:vAlign w:val="bottom"/>
          </w:tcPr>
          <w:p>
            <w:pPr>
              <w:spacing w:after="0"/>
              <w:rPr>
                <w:sz w:val="14"/>
                <w:szCs w:val="14"/>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6,228</w:t>
            </w:r>
          </w:p>
        </w:tc>
        <w:tc>
          <w:tcPr>
            <w:tcW w:w="180" w:type="dxa"/>
            <w:vAlign w:val="bottom"/>
          </w:tcPr>
          <w:p>
            <w:pPr>
              <w:spacing w:after="0"/>
              <w:rPr>
                <w:sz w:val="14"/>
                <w:szCs w:val="14"/>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(330)</w:t>
            </w:r>
          </w:p>
        </w:tc>
        <w:tc>
          <w:tcPr>
            <w:tcW w:w="100" w:type="dxa"/>
            <w:vAlign w:val="bottom"/>
          </w:tcPr>
          <w:p>
            <w:pPr>
              <w:spacing w:after="0"/>
              <w:rPr>
                <w:sz w:val="14"/>
                <w:szCs w:val="14"/>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and Expenses</w:t>
            </w:r>
          </w:p>
        </w:tc>
        <w:tc>
          <w:tcPr>
            <w:tcW w:w="1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Operating (excluding depreciation)</w:t>
            </w:r>
          </w:p>
        </w:tc>
        <w:tc>
          <w:tcPr>
            <w:tcW w:w="18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2,310</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77</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1,549</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955</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244</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64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48</w:t>
            </w:r>
          </w:p>
        </w:tc>
        <w:tc>
          <w:tcPr>
            <w:tcW w:w="120" w:type="dxa"/>
            <w:vAlign w:val="bottom"/>
          </w:tcPr>
          <w:p>
            <w:pPr>
              <w:spacing w:after="0"/>
              <w:rPr>
                <w:sz w:val="13"/>
                <w:szCs w:val="13"/>
                <w:color w:val="auto"/>
              </w:rPr>
            </w:pPr>
          </w:p>
        </w:tc>
        <w:tc>
          <w:tcPr>
            <w:tcW w:w="5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77</w:t>
            </w:r>
          </w:p>
        </w:tc>
        <w:tc>
          <w:tcPr>
            <w:tcW w:w="2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5</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5,058</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(330)</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1,170</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(103)</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Investment income (loss), net</w:t>
            </w:r>
          </w:p>
        </w:tc>
        <w:tc>
          <w:tcPr>
            <w:tcW w:w="18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in net (losses) income of affiliates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623</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39</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(2,872)</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Other income (expense)</w:t>
            </w: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85</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557</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34</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(2,872)</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Income (loss) before income taxes and minority interest</w:t>
            </w: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421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499</w:t>
            </w:r>
          </w:p>
        </w:tc>
        <w:tc>
          <w:tcPr>
            <w:tcW w:w="120" w:type="dxa"/>
            <w:vAlign w:val="bottom"/>
          </w:tcPr>
          <w:p>
            <w:pPr>
              <w:spacing w:after="0"/>
              <w:rPr>
                <w:sz w:val="13"/>
                <w:szCs w:val="13"/>
                <w:color w:val="auto"/>
              </w:rPr>
            </w:pPr>
          </w:p>
        </w:tc>
        <w:tc>
          <w:tcPr>
            <w:tcW w:w="5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498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557</w:t>
            </w:r>
          </w:p>
        </w:tc>
        <w:tc>
          <w:tcPr>
            <w:tcW w:w="200" w:type="dxa"/>
            <w:vAlign w:val="bottom"/>
          </w:tcPr>
          <w:p>
            <w:pPr>
              <w:spacing w:after="0"/>
              <w:rPr>
                <w:sz w:val="13"/>
                <w:szCs w:val="13"/>
                <w:color w:val="auto"/>
              </w:rPr>
            </w:pPr>
          </w:p>
        </w:tc>
        <w:tc>
          <w:tcPr>
            <w:tcW w:w="7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511</w:t>
            </w:r>
          </w:p>
        </w:tc>
        <w:tc>
          <w:tcPr>
            <w:tcW w:w="14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1,204</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(2,872)</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(478)</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Income (loss) before minority interest</w:t>
            </w: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460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535</w:t>
            </w:r>
          </w:p>
        </w:tc>
        <w:tc>
          <w:tcPr>
            <w:tcW w:w="120" w:type="dxa"/>
            <w:vAlign w:val="bottom"/>
          </w:tcPr>
          <w:p>
            <w:pPr>
              <w:spacing w:after="0"/>
              <w:rPr>
                <w:sz w:val="13"/>
                <w:szCs w:val="13"/>
                <w:color w:val="auto"/>
              </w:rPr>
            </w:pPr>
          </w:p>
        </w:tc>
        <w:tc>
          <w:tcPr>
            <w:tcW w:w="5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526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580</w:t>
            </w:r>
          </w:p>
        </w:tc>
        <w:tc>
          <w:tcPr>
            <w:tcW w:w="2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501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726</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(2,872)</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460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535</w:t>
            </w: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526</w:t>
            </w: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w w:val="76"/>
              </w:rPr>
              <w:t>$</w:t>
            </w: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580</w:t>
            </w:r>
          </w:p>
        </w:tc>
        <w:tc>
          <w:tcPr>
            <w:tcW w:w="2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501</w:t>
            </w:r>
          </w:p>
        </w:tc>
        <w:tc>
          <w:tcPr>
            <w:tcW w:w="38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730</w:t>
            </w:r>
          </w:p>
        </w:tc>
        <w:tc>
          <w:tcPr>
            <w:tcW w:w="180" w:type="dxa"/>
            <w:vAlign w:val="bottom"/>
          </w:tcPr>
          <w:p>
            <w:pPr>
              <w:jc w:val="right"/>
              <w:ind w:right="59"/>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(2,872)</w:t>
            </w: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Elimination</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2"/>
                <w:szCs w:val="12"/>
                <w:color w:val="auto"/>
              </w:rPr>
            </w:pPr>
          </w:p>
        </w:tc>
        <w:tc>
          <w:tcPr>
            <w:tcW w:w="10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0"/>
              </w:rPr>
              <w:t>and</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Comcast</w:t>
            </w:r>
          </w:p>
        </w:tc>
        <w:tc>
          <w:tcPr>
            <w:tcW w:w="16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CCCL</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CCCH</w:t>
            </w:r>
          </w:p>
        </w:tc>
        <w:tc>
          <w:tcPr>
            <w:tcW w:w="16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CCHMO</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Comcast</w:t>
            </w:r>
          </w:p>
        </w:tc>
        <w:tc>
          <w:tcPr>
            <w:tcW w:w="11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Comcast</w:t>
            </w:r>
          </w:p>
        </w:tc>
        <w:tc>
          <w:tcPr>
            <w:tcW w:w="0" w:type="dxa"/>
            <w:vAlign w:val="bottom"/>
          </w:tcPr>
          <w:p>
            <w:pPr>
              <w:spacing w:after="0"/>
              <w:rPr>
                <w:sz w:val="1"/>
                <w:szCs w:val="1"/>
                <w:color w:val="auto"/>
              </w:rPr>
            </w:pPr>
          </w:p>
        </w:tc>
      </w:tr>
      <w:tr>
        <w:trPr>
          <w:trHeight w:val="16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Parent</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Parents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Adjustments</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2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Service revenues</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5,598</w:t>
            </w:r>
          </w:p>
        </w:tc>
        <w:tc>
          <w:tcPr>
            <w:tcW w:w="180" w:type="dxa"/>
            <w:vAlign w:val="bottom"/>
          </w:tcPr>
          <w:p>
            <w:pPr>
              <w:jc w:val="right"/>
              <w:ind w:right="5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Management fee revenue</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69</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113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44</w:t>
            </w:r>
          </w:p>
        </w:tc>
        <w:tc>
          <w:tcPr>
            <w:tcW w:w="140" w:type="dxa"/>
            <w:vAlign w:val="bottom"/>
          </w:tcPr>
          <w:p>
            <w:pPr>
              <w:spacing w:after="0"/>
              <w:rPr>
                <w:sz w:val="14"/>
                <w:szCs w:val="14"/>
                <w:color w:val="auto"/>
              </w:rPr>
            </w:pPr>
          </w:p>
        </w:tc>
        <w:tc>
          <w:tcPr>
            <w:tcW w:w="4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69</w:t>
            </w:r>
          </w:p>
        </w:tc>
        <w:tc>
          <w:tcPr>
            <w:tcW w:w="200" w:type="dxa"/>
            <w:vAlign w:val="bottom"/>
          </w:tcPr>
          <w:p>
            <w:pPr>
              <w:spacing w:after="0"/>
              <w:rPr>
                <w:sz w:val="14"/>
                <w:szCs w:val="14"/>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5,598</w:t>
            </w:r>
          </w:p>
        </w:tc>
        <w:tc>
          <w:tcPr>
            <w:tcW w:w="180" w:type="dxa"/>
            <w:vAlign w:val="bottom"/>
          </w:tcPr>
          <w:p>
            <w:pPr>
              <w:spacing w:after="0"/>
              <w:rPr>
                <w:sz w:val="14"/>
                <w:szCs w:val="14"/>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(297)</w:t>
            </w:r>
          </w:p>
        </w:tc>
        <w:tc>
          <w:tcPr>
            <w:tcW w:w="100" w:type="dxa"/>
            <w:vAlign w:val="bottom"/>
          </w:tcPr>
          <w:p>
            <w:pPr>
              <w:spacing w:after="0"/>
              <w:rPr>
                <w:sz w:val="14"/>
                <w:szCs w:val="14"/>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and Expenses</w:t>
            </w:r>
          </w:p>
        </w:tc>
        <w:tc>
          <w:tcPr>
            <w:tcW w:w="2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Operating (excluding depreciation)</w:t>
            </w:r>
          </w:p>
        </w:tc>
        <w:tc>
          <w:tcPr>
            <w:tcW w:w="20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1,944</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69</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1,508</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Depreciation</w:t>
            </w:r>
          </w:p>
        </w:tc>
        <w:tc>
          <w:tcPr>
            <w:tcW w:w="20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890</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268</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49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44</w:t>
            </w:r>
          </w:p>
        </w:tc>
        <w:tc>
          <w:tcPr>
            <w:tcW w:w="140" w:type="dxa"/>
            <w:vAlign w:val="bottom"/>
          </w:tcPr>
          <w:p>
            <w:pPr>
              <w:spacing w:after="0"/>
              <w:rPr>
                <w:sz w:val="13"/>
                <w:szCs w:val="13"/>
                <w:color w:val="auto"/>
              </w:rPr>
            </w:pPr>
          </w:p>
        </w:tc>
        <w:tc>
          <w:tcPr>
            <w:tcW w:w="4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69</w:t>
            </w:r>
          </w:p>
        </w:tc>
        <w:tc>
          <w:tcPr>
            <w:tcW w:w="2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4,610</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(297)</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4,550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988</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(120)</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(98)</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(60)</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Investment income (loss), net</w:t>
            </w:r>
          </w:p>
        </w:tc>
        <w:tc>
          <w:tcPr>
            <w:tcW w:w="20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178</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in net income (losses) of affiliates</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364</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160</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(83)</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(1,346)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Other income (expense)</w:t>
            </w: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30</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244</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62</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(1,346)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Income (loss) before income taxes and minority interest</w:t>
            </w: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424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244</w:t>
            </w:r>
          </w:p>
        </w:tc>
        <w:tc>
          <w:tcPr>
            <w:tcW w:w="140" w:type="dxa"/>
            <w:vAlign w:val="bottom"/>
          </w:tcPr>
          <w:p>
            <w:pPr>
              <w:spacing w:after="0"/>
              <w:rPr>
                <w:sz w:val="13"/>
                <w:szCs w:val="13"/>
                <w:color w:val="auto"/>
              </w:rPr>
            </w:pPr>
          </w:p>
        </w:tc>
        <w:tc>
          <w:tcPr>
            <w:tcW w:w="4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62</w:t>
            </w:r>
          </w:p>
        </w:tc>
        <w:tc>
          <w:tcPr>
            <w:tcW w:w="2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320</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1,053</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(1,346)</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34</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(453)</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Income (loss) before minority interest</w:t>
            </w: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430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286</w:t>
            </w:r>
          </w:p>
        </w:tc>
        <w:tc>
          <w:tcPr>
            <w:tcW w:w="140" w:type="dxa"/>
            <w:vAlign w:val="bottom"/>
          </w:tcPr>
          <w:p>
            <w:pPr>
              <w:spacing w:after="0"/>
              <w:rPr>
                <w:sz w:val="13"/>
                <w:szCs w:val="13"/>
                <w:color w:val="auto"/>
              </w:rPr>
            </w:pPr>
          </w:p>
        </w:tc>
        <w:tc>
          <w:tcPr>
            <w:tcW w:w="4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42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96</w:t>
            </w:r>
          </w:p>
        </w:tc>
        <w:tc>
          <w:tcPr>
            <w:tcW w:w="2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332</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600</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(1,346)</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Net income (loss)</w:t>
            </w: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286</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42</w:t>
            </w: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w w:val="76"/>
              </w:rPr>
              <w:t>$</w:t>
            </w: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96</w:t>
            </w:r>
          </w:p>
        </w:tc>
        <w:tc>
          <w:tcPr>
            <w:tcW w:w="2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332</w:t>
            </w:r>
          </w:p>
        </w:tc>
        <w:tc>
          <w:tcPr>
            <w:tcW w:w="38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590</w:t>
            </w:r>
          </w:p>
        </w:tc>
        <w:tc>
          <w:tcPr>
            <w:tcW w:w="180" w:type="dxa"/>
            <w:vAlign w:val="bottom"/>
          </w:tcPr>
          <w:p>
            <w:pPr>
              <w:jc w:val="right"/>
              <w:ind w:right="59"/>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(1,346)</w:t>
            </w: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Elimination</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2"/>
                <w:szCs w:val="12"/>
                <w:color w:val="auto"/>
              </w:rPr>
            </w:pPr>
          </w:p>
        </w:tc>
        <w:tc>
          <w:tcPr>
            <w:tcW w:w="10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0"/>
              </w:rPr>
              <w:t>and</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Comcast</w:t>
            </w:r>
          </w:p>
        </w:tc>
        <w:tc>
          <w:tcPr>
            <w:tcW w:w="16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CCCL</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CCCH</w:t>
            </w:r>
          </w:p>
        </w:tc>
        <w:tc>
          <w:tcPr>
            <w:tcW w:w="16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CCHMO</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Comcast</w:t>
            </w:r>
          </w:p>
        </w:tc>
        <w:tc>
          <w:tcPr>
            <w:tcW w:w="11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Comcast</w:t>
            </w:r>
          </w:p>
        </w:tc>
        <w:tc>
          <w:tcPr>
            <w:tcW w:w="0" w:type="dxa"/>
            <w:vAlign w:val="bottom"/>
          </w:tcPr>
          <w:p>
            <w:pPr>
              <w:spacing w:after="0"/>
              <w:rPr>
                <w:sz w:val="1"/>
                <w:szCs w:val="1"/>
                <w:color w:val="auto"/>
              </w:rPr>
            </w:pPr>
          </w:p>
        </w:tc>
      </w:tr>
      <w:tr>
        <w:trPr>
          <w:trHeight w:val="16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Parent</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Parents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Adjustments</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1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Service revenues</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12,129</w:t>
            </w:r>
          </w:p>
        </w:tc>
        <w:tc>
          <w:tcPr>
            <w:tcW w:w="180" w:type="dxa"/>
            <w:vAlign w:val="bottom"/>
          </w:tcPr>
          <w:p>
            <w:pPr>
              <w:jc w:val="right"/>
              <w:ind w:right="5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Management fee revenue</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150</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246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93</w:t>
            </w:r>
          </w:p>
        </w:tc>
        <w:tc>
          <w:tcPr>
            <w:tcW w:w="100" w:type="dxa"/>
            <w:vAlign w:val="bottom"/>
          </w:tcPr>
          <w:p>
            <w:pPr>
              <w:spacing w:after="0"/>
              <w:rPr>
                <w:sz w:val="14"/>
                <w:szCs w:val="14"/>
                <w:color w:val="auto"/>
              </w:rPr>
            </w:pPr>
          </w:p>
        </w:tc>
        <w:tc>
          <w:tcPr>
            <w:tcW w:w="5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150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150</w:t>
            </w:r>
          </w:p>
        </w:tc>
        <w:tc>
          <w:tcPr>
            <w:tcW w:w="200" w:type="dxa"/>
            <w:vAlign w:val="bottom"/>
          </w:tcPr>
          <w:p>
            <w:pPr>
              <w:spacing w:after="0"/>
              <w:rPr>
                <w:sz w:val="14"/>
                <w:szCs w:val="14"/>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12,129</w:t>
            </w:r>
          </w:p>
        </w:tc>
        <w:tc>
          <w:tcPr>
            <w:tcW w:w="180" w:type="dxa"/>
            <w:vAlign w:val="bottom"/>
          </w:tcPr>
          <w:p>
            <w:pPr>
              <w:spacing w:after="0"/>
              <w:rPr>
                <w:sz w:val="14"/>
                <w:szCs w:val="14"/>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(643)</w:t>
            </w:r>
          </w:p>
        </w:tc>
        <w:tc>
          <w:tcPr>
            <w:tcW w:w="100" w:type="dxa"/>
            <w:vAlign w:val="bottom"/>
          </w:tcPr>
          <w:p>
            <w:pPr>
              <w:spacing w:after="0"/>
              <w:rPr>
                <w:sz w:val="14"/>
                <w:szCs w:val="14"/>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and Expenses</w:t>
            </w:r>
          </w:p>
        </w:tc>
        <w:tc>
          <w:tcPr>
            <w:tcW w:w="1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Operating (excluding depreciation)</w:t>
            </w:r>
          </w:p>
        </w:tc>
        <w:tc>
          <w:tcPr>
            <w:tcW w:w="14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4,506</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150</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3,108</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Depreciation</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1,883</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460</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130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93</w:t>
            </w:r>
          </w:p>
        </w:tc>
        <w:tc>
          <w:tcPr>
            <w:tcW w:w="100" w:type="dxa"/>
            <w:vAlign w:val="bottom"/>
          </w:tcPr>
          <w:p>
            <w:pPr>
              <w:spacing w:after="0"/>
              <w:rPr>
                <w:sz w:val="13"/>
                <w:szCs w:val="13"/>
                <w:color w:val="auto"/>
              </w:rPr>
            </w:pPr>
          </w:p>
        </w:tc>
        <w:tc>
          <w:tcPr>
            <w:tcW w:w="5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150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150</w:t>
            </w:r>
          </w:p>
        </w:tc>
        <w:tc>
          <w:tcPr>
            <w:tcW w:w="2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13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9,957</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(643)</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2,172</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(207)</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(164)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(97)</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Investment income (loss), net</w:t>
            </w:r>
          </w:p>
        </w:tc>
        <w:tc>
          <w:tcPr>
            <w:tcW w:w="14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53</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in net (losses) income of affiliates</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822</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(4,047)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Other income (expense)</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97</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686</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47</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(4,047)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Income (loss) before income taxes and minority interest</w:t>
            </w: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854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576</w:t>
            </w:r>
          </w:p>
        </w:tc>
        <w:tc>
          <w:tcPr>
            <w:tcW w:w="100" w:type="dxa"/>
            <w:vAlign w:val="bottom"/>
          </w:tcPr>
          <w:p>
            <w:pPr>
              <w:spacing w:after="0"/>
              <w:rPr>
                <w:sz w:val="13"/>
                <w:szCs w:val="13"/>
                <w:color w:val="auto"/>
              </w:rPr>
            </w:pPr>
          </w:p>
        </w:tc>
        <w:tc>
          <w:tcPr>
            <w:tcW w:w="5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570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686</w:t>
            </w:r>
          </w:p>
        </w:tc>
        <w:tc>
          <w:tcPr>
            <w:tcW w:w="2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600</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2,219</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(4,047)</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48</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(786)</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Income (loss) before minority interest</w:t>
            </w: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926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648</w:t>
            </w:r>
          </w:p>
        </w:tc>
        <w:tc>
          <w:tcPr>
            <w:tcW w:w="100" w:type="dxa"/>
            <w:vAlign w:val="bottom"/>
          </w:tcPr>
          <w:p>
            <w:pPr>
              <w:spacing w:after="0"/>
              <w:rPr>
                <w:sz w:val="13"/>
                <w:szCs w:val="13"/>
                <w:color w:val="auto"/>
              </w:rPr>
            </w:pPr>
          </w:p>
        </w:tc>
        <w:tc>
          <w:tcPr>
            <w:tcW w:w="5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627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734</w:t>
            </w:r>
          </w:p>
        </w:tc>
        <w:tc>
          <w:tcPr>
            <w:tcW w:w="200" w:type="dxa"/>
            <w:vAlign w:val="bottom"/>
          </w:tcPr>
          <w:p>
            <w:pPr>
              <w:spacing w:after="0"/>
              <w:rPr>
                <w:sz w:val="13"/>
                <w:szCs w:val="13"/>
                <w:color w:val="auto"/>
              </w:rPr>
            </w:pPr>
          </w:p>
        </w:tc>
        <w:tc>
          <w:tcPr>
            <w:tcW w:w="7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611</w:t>
            </w:r>
          </w:p>
        </w:tc>
        <w:tc>
          <w:tcPr>
            <w:tcW w:w="14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1,433</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(4,047)</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926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648</w:t>
            </w: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627</w:t>
            </w: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w w:val="76"/>
              </w:rPr>
              <w:t>$</w:t>
            </w: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734</w:t>
            </w:r>
          </w:p>
        </w:tc>
        <w:tc>
          <w:tcPr>
            <w:tcW w:w="2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611</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1,427</w:t>
            </w:r>
          </w:p>
        </w:tc>
        <w:tc>
          <w:tcPr>
            <w:tcW w:w="180" w:type="dxa"/>
            <w:vAlign w:val="bottom"/>
          </w:tcPr>
          <w:p>
            <w:pPr>
              <w:jc w:val="right"/>
              <w:ind w:right="59"/>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(4,047)</w:t>
            </w: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Elimination</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2"/>
                <w:szCs w:val="12"/>
                <w:color w:val="auto"/>
              </w:rPr>
            </w:pPr>
          </w:p>
        </w:tc>
        <w:tc>
          <w:tcPr>
            <w:tcW w:w="10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0"/>
              </w:rPr>
              <w:t>and</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Comcast</w:t>
            </w:r>
          </w:p>
        </w:tc>
        <w:tc>
          <w:tcPr>
            <w:tcW w:w="16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CCCL</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CCCH</w:t>
            </w:r>
          </w:p>
        </w:tc>
        <w:tc>
          <w:tcPr>
            <w:tcW w:w="16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CCHMO</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Comcast</w:t>
            </w:r>
          </w:p>
        </w:tc>
        <w:tc>
          <w:tcPr>
            <w:tcW w:w="11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Comcast</w:t>
            </w:r>
          </w:p>
        </w:tc>
        <w:tc>
          <w:tcPr>
            <w:tcW w:w="0" w:type="dxa"/>
            <w:vAlign w:val="bottom"/>
          </w:tcPr>
          <w:p>
            <w:pPr>
              <w:spacing w:after="0"/>
              <w:rPr>
                <w:sz w:val="1"/>
                <w:szCs w:val="1"/>
                <w:color w:val="auto"/>
              </w:rPr>
            </w:pPr>
          </w:p>
        </w:tc>
      </w:tr>
      <w:tr>
        <w:trPr>
          <w:trHeight w:val="16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Parent</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Parents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Adjustments</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1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Service revenues</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10,961</w:t>
            </w:r>
          </w:p>
        </w:tc>
        <w:tc>
          <w:tcPr>
            <w:tcW w:w="180" w:type="dxa"/>
            <w:vAlign w:val="bottom"/>
          </w:tcPr>
          <w:p>
            <w:pPr>
              <w:jc w:val="right"/>
              <w:ind w:right="5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Management fee revenue</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136</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224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86</w:t>
            </w:r>
          </w:p>
        </w:tc>
        <w:tc>
          <w:tcPr>
            <w:tcW w:w="100" w:type="dxa"/>
            <w:vAlign w:val="bottom"/>
          </w:tcPr>
          <w:p>
            <w:pPr>
              <w:spacing w:after="0"/>
              <w:rPr>
                <w:sz w:val="14"/>
                <w:szCs w:val="14"/>
                <w:color w:val="auto"/>
              </w:rPr>
            </w:pPr>
          </w:p>
        </w:tc>
        <w:tc>
          <w:tcPr>
            <w:tcW w:w="5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136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136</w:t>
            </w:r>
          </w:p>
        </w:tc>
        <w:tc>
          <w:tcPr>
            <w:tcW w:w="200" w:type="dxa"/>
            <w:vAlign w:val="bottom"/>
          </w:tcPr>
          <w:p>
            <w:pPr>
              <w:spacing w:after="0"/>
              <w:rPr>
                <w:sz w:val="14"/>
                <w:szCs w:val="14"/>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10,961</w:t>
            </w:r>
          </w:p>
        </w:tc>
        <w:tc>
          <w:tcPr>
            <w:tcW w:w="180" w:type="dxa"/>
            <w:vAlign w:val="bottom"/>
          </w:tcPr>
          <w:p>
            <w:pPr>
              <w:spacing w:after="0"/>
              <w:rPr>
                <w:sz w:val="14"/>
                <w:szCs w:val="14"/>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(586)</w:t>
            </w:r>
          </w:p>
        </w:tc>
        <w:tc>
          <w:tcPr>
            <w:tcW w:w="100" w:type="dxa"/>
            <w:vAlign w:val="bottom"/>
          </w:tcPr>
          <w:p>
            <w:pPr>
              <w:spacing w:after="0"/>
              <w:rPr>
                <w:sz w:val="14"/>
                <w:szCs w:val="14"/>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and Expenses</w:t>
            </w:r>
          </w:p>
        </w:tc>
        <w:tc>
          <w:tcPr>
            <w:tcW w:w="1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Operating (excluding depreciation)</w:t>
            </w:r>
          </w:p>
        </w:tc>
        <w:tc>
          <w:tcPr>
            <w:tcW w:w="18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3,901</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136</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2,952</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1,762</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555</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92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86</w:t>
            </w:r>
          </w:p>
        </w:tc>
        <w:tc>
          <w:tcPr>
            <w:tcW w:w="100" w:type="dxa"/>
            <w:vAlign w:val="bottom"/>
          </w:tcPr>
          <w:p>
            <w:pPr>
              <w:spacing w:after="0"/>
              <w:rPr>
                <w:sz w:val="13"/>
                <w:szCs w:val="13"/>
                <w:color w:val="auto"/>
              </w:rPr>
            </w:pPr>
          </w:p>
        </w:tc>
        <w:tc>
          <w:tcPr>
            <w:tcW w:w="5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136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136</w:t>
            </w:r>
          </w:p>
        </w:tc>
        <w:tc>
          <w:tcPr>
            <w:tcW w:w="2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13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9,170</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(586)</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9,047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1,791</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(240)</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(165)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(195)</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(107)</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Investment income (loss), net</w:t>
            </w:r>
          </w:p>
        </w:tc>
        <w:tc>
          <w:tcPr>
            <w:tcW w:w="18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89</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in net income (losses) of affiliates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406</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(2,476)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Other income (expense)</w:t>
            </w: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(78)</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211</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(118)</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(2,476)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Income (loss) before income taxes and minority interest</w:t>
            </w: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566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441</w:t>
            </w:r>
          </w:p>
        </w:tc>
        <w:tc>
          <w:tcPr>
            <w:tcW w:w="100" w:type="dxa"/>
            <w:vAlign w:val="bottom"/>
          </w:tcPr>
          <w:p>
            <w:pPr>
              <w:spacing w:after="0"/>
              <w:rPr>
                <w:sz w:val="13"/>
                <w:szCs w:val="13"/>
                <w:color w:val="auto"/>
              </w:rPr>
            </w:pPr>
          </w:p>
        </w:tc>
        <w:tc>
          <w:tcPr>
            <w:tcW w:w="5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211</w:t>
            </w:r>
          </w:p>
        </w:tc>
        <w:tc>
          <w:tcPr>
            <w:tcW w:w="2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532</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1,673</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(2,476)</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68</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(692)</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Income (loss) before minority interest</w:t>
            </w: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573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525</w:t>
            </w:r>
          </w:p>
        </w:tc>
        <w:tc>
          <w:tcPr>
            <w:tcW w:w="100" w:type="dxa"/>
            <w:vAlign w:val="bottom"/>
          </w:tcPr>
          <w:p>
            <w:pPr>
              <w:spacing w:after="0"/>
              <w:rPr>
                <w:sz w:val="13"/>
                <w:szCs w:val="13"/>
                <w:color w:val="auto"/>
              </w:rPr>
            </w:pPr>
          </w:p>
        </w:tc>
        <w:tc>
          <w:tcPr>
            <w:tcW w:w="5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172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279</w:t>
            </w:r>
          </w:p>
        </w:tc>
        <w:tc>
          <w:tcPr>
            <w:tcW w:w="2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536</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981</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(2,476)</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573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525</w:t>
            </w: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172</w:t>
            </w: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w w:val="76"/>
              </w:rPr>
              <w:t>$</w:t>
            </w: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279</w:t>
            </w:r>
          </w:p>
        </w:tc>
        <w:tc>
          <w:tcPr>
            <w:tcW w:w="2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536</w:t>
            </w:r>
          </w:p>
        </w:tc>
        <w:tc>
          <w:tcPr>
            <w:tcW w:w="38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964</w:t>
            </w:r>
          </w:p>
        </w:tc>
        <w:tc>
          <w:tcPr>
            <w:tcW w:w="180" w:type="dxa"/>
            <w:vAlign w:val="bottom"/>
          </w:tcPr>
          <w:p>
            <w:pPr>
              <w:jc w:val="right"/>
              <w:ind w:right="59"/>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(2,476)</w:t>
            </w: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0"/>
              </w:rPr>
              <w:t>and</w:t>
            </w:r>
          </w:p>
        </w:tc>
        <w:tc>
          <w:tcPr>
            <w:tcW w:w="3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Comcast</w:t>
            </w:r>
          </w:p>
        </w:tc>
        <w:tc>
          <w:tcPr>
            <w:tcW w:w="16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CCCL</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CCCH</w:t>
            </w:r>
          </w:p>
        </w:tc>
        <w:tc>
          <w:tcPr>
            <w:tcW w:w="160" w:type="dxa"/>
            <w:vAlign w:val="bottom"/>
          </w:tcPr>
          <w:p>
            <w:pPr>
              <w:spacing w:after="0"/>
              <w:rPr>
                <w:sz w:val="12"/>
                <w:szCs w:val="12"/>
                <w:color w:val="auto"/>
              </w:rPr>
            </w:pPr>
          </w:p>
        </w:tc>
        <w:tc>
          <w:tcPr>
            <w:tcW w:w="84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CCHMO</w:t>
            </w:r>
          </w:p>
        </w:tc>
        <w:tc>
          <w:tcPr>
            <w:tcW w:w="1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Comcast</w:t>
            </w:r>
          </w:p>
        </w:tc>
        <w:tc>
          <w:tcPr>
            <w:tcW w:w="9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3"/>
              </w:rPr>
              <w:t>Consolidation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Comcast</w:t>
            </w:r>
          </w:p>
        </w:tc>
        <w:tc>
          <w:tcPr>
            <w:tcW w:w="0" w:type="dxa"/>
            <w:vAlign w:val="bottom"/>
          </w:tcPr>
          <w:p>
            <w:pPr>
              <w:spacing w:after="0"/>
              <w:rPr>
                <w:sz w:val="1"/>
                <w:szCs w:val="1"/>
                <w:color w:val="auto"/>
              </w:rPr>
            </w:pPr>
          </w:p>
        </w:tc>
      </w:tr>
      <w:tr>
        <w:trPr>
          <w:trHeight w:val="16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Parent</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Parents</w:t>
            </w: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36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Activities</w:t>
            </w:r>
          </w:p>
        </w:tc>
        <w:tc>
          <w:tcPr>
            <w:tcW w:w="1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220" w:type="dxa"/>
            <w:vAlign w:val="bottom"/>
          </w:tcPr>
          <w:p>
            <w:pPr>
              <w:spacing w:after="0"/>
              <w:rPr>
                <w:sz w:val="13"/>
                <w:szCs w:val="13"/>
                <w:color w:val="auto"/>
              </w:rPr>
            </w:pP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1"/>
              </w:rPr>
              <w:t>(114)</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(117)</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w:t>
            </w:r>
          </w:p>
        </w:tc>
        <w:tc>
          <w:tcPr>
            <w:tcW w:w="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3,491</w:t>
            </w:r>
          </w:p>
        </w:tc>
        <w:tc>
          <w:tcPr>
            <w:tcW w:w="36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Activities</w:t>
            </w:r>
          </w:p>
        </w:tc>
        <w:tc>
          <w:tcPr>
            <w:tcW w:w="1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borrowings</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2,587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Retirements and repayments of debt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(619)</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(988)</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Repurchases of common stock</w:t>
            </w:r>
          </w:p>
        </w:tc>
        <w:tc>
          <w:tcPr>
            <w:tcW w:w="1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(1,388)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Issuances of common stock</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(619)</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(988)</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156"/>
        </w:trPr>
        <w:tc>
          <w:tcPr>
            <w:tcW w:w="388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transactions with affiliates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(1,142)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1,113</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Capital expenditures</w:t>
            </w:r>
          </w:p>
        </w:tc>
        <w:tc>
          <w:tcPr>
            <w:tcW w:w="1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(1,851)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intangible assets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Acquisitions, net of cash acquired</w:t>
            </w:r>
          </w:p>
        </w:tc>
        <w:tc>
          <w:tcPr>
            <w:tcW w:w="12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and restructuring of investments</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Purchases of investments</w:t>
            </w:r>
          </w:p>
        </w:tc>
        <w:tc>
          <w:tcPr>
            <w:tcW w:w="12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Proceeds from sales (purchases) of short-term</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investments, net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(1,098)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1,113</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(3,187)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(2,319)</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Increase in cash and cash equivalents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273</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end of period</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966</w:t>
            </w:r>
          </w:p>
        </w:tc>
        <w:tc>
          <w:tcPr>
            <w:tcW w:w="360" w:type="dxa"/>
            <w:vAlign w:val="bottom"/>
            <w:gridSpan w:val="2"/>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0"/>
              </w:rPr>
              <w:t>and</w:t>
            </w:r>
          </w:p>
        </w:tc>
        <w:tc>
          <w:tcPr>
            <w:tcW w:w="3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Comcast</w:t>
            </w:r>
          </w:p>
        </w:tc>
        <w:tc>
          <w:tcPr>
            <w:tcW w:w="16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CCCL</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CCCH</w:t>
            </w:r>
          </w:p>
        </w:tc>
        <w:tc>
          <w:tcPr>
            <w:tcW w:w="160" w:type="dxa"/>
            <w:vAlign w:val="bottom"/>
          </w:tcPr>
          <w:p>
            <w:pPr>
              <w:spacing w:after="0"/>
              <w:rPr>
                <w:sz w:val="12"/>
                <w:szCs w:val="12"/>
                <w:color w:val="auto"/>
              </w:rPr>
            </w:pPr>
          </w:p>
        </w:tc>
        <w:tc>
          <w:tcPr>
            <w:tcW w:w="84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CCHMO</w:t>
            </w:r>
          </w:p>
        </w:tc>
        <w:tc>
          <w:tcPr>
            <w:tcW w:w="1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Comcast</w:t>
            </w:r>
          </w:p>
        </w:tc>
        <w:tc>
          <w:tcPr>
            <w:tcW w:w="9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3"/>
              </w:rPr>
              <w:t>Consolidation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Comcast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Parent</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Parents</w:t>
            </w: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3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Corporation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Activities</w:t>
            </w:r>
          </w:p>
        </w:tc>
        <w:tc>
          <w:tcPr>
            <w:tcW w:w="1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372</w:t>
            </w:r>
          </w:p>
        </w:tc>
        <w:tc>
          <w:tcPr>
            <w:tcW w:w="220" w:type="dxa"/>
            <w:vAlign w:val="bottom"/>
          </w:tcPr>
          <w:p>
            <w:pPr>
              <w:spacing w:after="0"/>
              <w:rPr>
                <w:sz w:val="13"/>
                <w:szCs w:val="13"/>
                <w:color w:val="auto"/>
              </w:rPr>
            </w:pP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1"/>
              </w:rPr>
              <w:t>(131)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(107)</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(182)</w:t>
            </w:r>
          </w:p>
        </w:tc>
        <w:tc>
          <w:tcPr>
            <w:tcW w:w="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(99)</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2,664</w:t>
            </w:r>
          </w:p>
        </w:tc>
        <w:tc>
          <w:tcPr>
            <w:tcW w:w="36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Activities</w:t>
            </w:r>
          </w:p>
        </w:tc>
        <w:tc>
          <w:tcPr>
            <w:tcW w:w="1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borrowings</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1,494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Retirements and repayments of debt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Repurchases of common stock</w:t>
            </w:r>
          </w:p>
        </w:tc>
        <w:tc>
          <w:tcPr>
            <w:tcW w:w="1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Issuances of common stock</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56"/>
        </w:trPr>
        <w:tc>
          <w:tcPr>
            <w:tcW w:w="388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transactions with affiliates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(1,131)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106</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Capital expenditures</w:t>
            </w:r>
          </w:p>
        </w:tc>
        <w:tc>
          <w:tcPr>
            <w:tcW w:w="12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(1,842)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intangible assets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Acquisitions, net of cash acquired</w:t>
            </w:r>
          </w:p>
        </w:tc>
        <w:tc>
          <w:tcPr>
            <w:tcW w:w="12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and restructuring of investments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Purchases of investments</w:t>
            </w:r>
          </w:p>
        </w:tc>
        <w:tc>
          <w:tcPr>
            <w:tcW w:w="12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Proceeds from sales (purchases) of short-term</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investments, net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(63)</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(1,131)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106</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(1,842)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(2,332)</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Increase in cash and cash equivalents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880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end of period</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1,332</w:t>
            </w:r>
          </w:p>
        </w:tc>
        <w:tc>
          <w:tcPr>
            <w:tcW w:w="360" w:type="dxa"/>
            <w:vAlign w:val="bottom"/>
            <w:gridSpan w:val="2"/>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ind w:right="1420"/>
        <w:spacing w:after="0" w:line="44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the nation’s largest broadband cable provider and offer a wide variety of consumer entertainment and communication products and services, serving approximately 21.7 million video subscribers, 9.3 million high-speed Internet subscribers and 1.7 million phone subscribers as of June 30, 2006. We also have a controlling interest in six national cable networks (E! Entertainment Television; Style Network; The Golf Channel; OLN; G4; and AZN Television) and other entertainment-related businesses. We classify our operations in two reportable segments: Cable and Content. Our Cable segment develops, manages and operates our broadband cable systems, including video, high-speed Internet and phone services. The majority of our Cable segment revenue is earned from monthly subscriptions for these cable services. Other revenue sources include advertising sales and the operation of our regional sports and news networks. The Cable segment generates approximately 95% of our consolidated revenues. Revenue from our Content segment is earned primarily from advertising sales and from monthly per subscriber license fees paid by cable system operators and satellite television companies.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six months ended June 30, 2006, include the following:</w:t>
      </w:r>
    </w:p>
    <w:p>
      <w:pPr>
        <w:spacing w:after="0" w:line="90" w:lineRule="exact"/>
        <w:rPr>
          <w:sz w:val="20"/>
          <w:szCs w:val="20"/>
          <w:color w:val="auto"/>
        </w:rPr>
      </w:pPr>
    </w:p>
    <w:p>
      <w:pPr>
        <w:ind w:left="780" w:right="20" w:hanging="326"/>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growth of 10.4% and operating income before depreciation and amortization growth of 13.3% in our Cable segment compared to the same period in 2005, driven by continued growth in the cable system assets of our digital cable and high-speed Internet services, rate increases in our video services</w:t>
      </w:r>
    </w:p>
    <w:p>
      <w:pPr>
        <w:spacing w:after="0" w:line="59"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subscriber growth for digital (approximately 693,000), high-speed Internet (approximately 747,000) and Comcast Digital Voice (approximately 517,000) services since December 31, 2005</w:t>
      </w:r>
    </w:p>
    <w:p>
      <w:pPr>
        <w:spacing w:after="0" w:line="50"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acquired the cable systems of Susquehanna Communications and added approximately 230,000 video subscribers and 86,000 high-speed Internet subscribers primarily in Pennsylvania, New York, Maine, and Mississippi</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repurchased approximately 49 million shares of our Class A Special common stock pursuant to our Board-authorized share repurchase program for approximately $1.4 billion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Adelphia and Time Warner Proposed Transactions</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disclosed in Note 4 to our consolidated financial statements, in April 2005, we entered into agreements with Time Warner to: (i) jointly acquire substantially all the assets of Adelphia Communications Corporation; (ii) redeem our interest in Time Warner Cable and its subsidiary, Time Warner Entertainment; and</w:t>
      </w:r>
    </w:p>
    <w:p>
      <w:pPr>
        <w:ind w:right="100" w:firstLine="8"/>
        <w:spacing w:after="0" w:line="254" w:lineRule="auto"/>
        <w:tabs>
          <w:tab w:leader="none" w:pos="307"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exchange certain cable systems with Time Warner Cable (“proposed transactions”). These proposed transactions have been subject to customary regulatory review and approvals, including court approval in the Adelphia Chapter 11 bankruptcy case, which has now been obtained. In July, 2006, the Federal Communications Commission “FCC” approved the proposed transactions which represented the last federal approval needed in order to close the transactions. The proposed transactions are expected to close on July 31, 2006.</w:t>
      </w:r>
    </w:p>
    <w:p>
      <w:pPr>
        <w:spacing w:after="0" w:line="14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July 2006, we initiated the dissolution of a cable system partnership we have with Time Warner. The partnership holds cable systems which will be distributed to the partners upon dissolution. We account for this partnership using the equity method of accounting. The specific cable systems to be received by us in the dissolution are expected to be known by August 2006. We expect this transaction to close in late 2006 or early 2007.</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provides the details of these highlights and insights into our consolidated financial statements, including discussion of our results of operations and our liquidity and capital resources (dollars in millions).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Operating Results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w w:val="92"/>
              </w:rPr>
              <w:t>Three Months Ended</w:t>
            </w: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jc w:val="right"/>
              <w:ind w:right="43"/>
              <w:spacing w:after="0"/>
              <w:rPr>
                <w:sz w:val="20"/>
                <w:szCs w:val="20"/>
                <w:color w:val="auto"/>
              </w:rPr>
            </w:pPr>
            <w:r>
              <w:rPr>
                <w:rFonts w:ascii="Arial" w:cs="Arial" w:eastAsia="Arial" w:hAnsi="Arial"/>
                <w:sz w:val="14"/>
                <w:szCs w:val="14"/>
                <w:b w:val="1"/>
                <w:bCs w:val="1"/>
                <w:color w:val="auto"/>
                <w:w w:val="78"/>
              </w:rPr>
              <w:t>June 30,</w:t>
            </w: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3"/>
              </w:rPr>
              <w:t>Increase /(Decrease)</w:t>
            </w:r>
          </w:p>
        </w:tc>
        <w:tc>
          <w:tcPr>
            <w:tcW w:w="8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Increase /(Decrease)</w:t>
            </w:r>
          </w:p>
        </w:tc>
        <w:tc>
          <w:tcPr>
            <w:tcW w:w="0" w:type="dxa"/>
            <w:vAlign w:val="bottom"/>
          </w:tcPr>
          <w:p>
            <w:pPr>
              <w:spacing w:after="0"/>
              <w:rPr>
                <w:sz w:val="1"/>
                <w:szCs w:val="1"/>
                <w:color w:val="auto"/>
              </w:rPr>
            </w:pPr>
          </w:p>
        </w:tc>
      </w:tr>
      <w:tr>
        <w:trPr>
          <w:trHeight w:val="142"/>
        </w:trPr>
        <w:tc>
          <w:tcPr>
            <w:tcW w:w="416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2005</w:t>
            </w:r>
          </w:p>
        </w:tc>
        <w:tc>
          <w:tcPr>
            <w:tcW w:w="48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2005 to 2006</w:t>
            </w:r>
          </w:p>
        </w:tc>
        <w:tc>
          <w:tcPr>
            <w:tcW w:w="5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11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2005 to 2006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6,228</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5,598</w:t>
            </w:r>
          </w:p>
        </w:tc>
        <w:tc>
          <w:tcPr>
            <w:tcW w:w="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10,961</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selling, 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(excluding depreciation)</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3,796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3,389</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4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958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891</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1,765</w:t>
            </w:r>
          </w:p>
        </w:tc>
        <w:tc>
          <w:tcPr>
            <w:tcW w:w="4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1,229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1,048</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2,279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1,914</w:t>
            </w:r>
          </w:p>
        </w:tc>
        <w:tc>
          <w:tcPr>
            <w:tcW w:w="4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items,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(411)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(853)</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Income before income taxes and minority interest</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771</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1,061</w:t>
            </w:r>
          </w:p>
        </w:tc>
        <w:tc>
          <w:tcPr>
            <w:tcW w:w="4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(362)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(471)</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Income before minority interest</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440</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590</w:t>
            </w:r>
          </w:p>
        </w:tc>
        <w:tc>
          <w:tcPr>
            <w:tcW w:w="4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17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460</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430</w:t>
            </w:r>
          </w:p>
        </w:tc>
        <w:tc>
          <w:tcPr>
            <w:tcW w:w="480" w:type="dxa"/>
            <w:vAlign w:val="bottom"/>
          </w:tcPr>
          <w:p>
            <w:pPr>
              <w:spacing w:after="0"/>
              <w:rPr>
                <w:sz w:val="19"/>
                <w:szCs w:val="19"/>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7.0%</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926</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573</w:t>
            </w:r>
          </w:p>
        </w:tc>
        <w:tc>
          <w:tcPr>
            <w:tcW w:w="4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61.6%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All percentages are calculated based on actual amounts. Minor differences may exist due to rounding.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Revenues</w:t>
      </w:r>
    </w:p>
    <w:p>
      <w:pPr>
        <w:spacing w:after="0" w:line="17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Our Cable segment and Content segment accounted for substantially all of the increases in consolidated revenues for the three and six months ended June 30, 2006, compared to the same periods in 2005. Cable segment and Content segment revenues are discussed separately below in </w:t>
      </w:r>
      <w:r>
        <w:rPr>
          <w:rFonts w:ascii="Arial" w:cs="Arial" w:eastAsia="Arial" w:hAnsi="Arial"/>
          <w:sz w:val="18"/>
          <w:szCs w:val="18"/>
          <w:i w:val="1"/>
          <w:iCs w:val="1"/>
          <w:color w:val="auto"/>
        </w:rPr>
        <w:t>Segment Operating Results</w:t>
      </w:r>
      <w:r>
        <w:rPr>
          <w:rFonts w:ascii="Arial" w:cs="Arial" w:eastAsia="Arial" w:hAnsi="Arial"/>
          <w:sz w:val="18"/>
          <w:szCs w:val="18"/>
          <w:color w:val="auto"/>
        </w:rPr>
        <w:t>. The remaining changes relate to our other business activities revenues, primarily Comcast Spectacor, whose revenues increased reflecting the return of National Hockey League games for the 2005/2006 season.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Selling, General and Administrative Expenses</w:t>
      </w:r>
    </w:p>
    <w:p>
      <w:pPr>
        <w:spacing w:after="0" w:line="171"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 xml:space="preserve">Our Cable segment and Content segment accounted for substantially all of the increases in consolidated operating, selling, general and administrative expenses for the three and six months ended June 30, 2006, compared to the same periods in 2005. Cable segment and Content segment operating, selling, general and administrative expenses are discussed separately below in </w:t>
      </w:r>
      <w:r>
        <w:rPr>
          <w:rFonts w:ascii="Arial" w:cs="Arial" w:eastAsia="Arial" w:hAnsi="Arial"/>
          <w:sz w:val="15"/>
          <w:szCs w:val="15"/>
          <w:i w:val="1"/>
          <w:iCs w:val="1"/>
          <w:color w:val="auto"/>
        </w:rPr>
        <w:t>Segment Operating Results</w:t>
      </w:r>
      <w:r>
        <w:rPr>
          <w:rFonts w:ascii="Arial" w:cs="Arial" w:eastAsia="Arial" w:hAnsi="Arial"/>
          <w:sz w:val="15"/>
          <w:szCs w:val="15"/>
          <w:color w:val="auto"/>
        </w:rPr>
        <w:t>. The remaining changes relate to our other business activities, primarily Comcast Spectacor and the impact of adopting Statement of Financial Accounting Standards (“SFAS”) No. 123R, “Share-Based Payment” (“SFAS No. 123R”).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SFAS No. 123R</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Effective January 1, 2006, we adopted SFAS No. 123R using the Modified Prospective Approach. SFAS No. 123R revises SFAS No. 123, “Accounting for Stock-Based Compensation” (“SFAS No. 123”)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supersedes Accounting Principles Board (“APB”) Opinion No. 25, “Accounting for Stock Issued to Employees” (“APB No. 25”). SFAS No. 123R requires the cost of all share-based payments to employees, including grants of employee stock options, to be recognized in the financial statements based on their fair values at grant date, or the date of later modification, over the requisite service period. In addition, SFAS No. 123R requires unrecognized cost (based on the amounts previously disclosed in our pro forma footnote disclosure) related to options vesting after the date of initial adoption to be recognized in the financial statements over the remaining requisite service period.</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estimated annual increase in share-based compensation expense relating to the adoption of SFAS No. 123R, including the estimated impact of 2006 share-based awards, is expected to be approximately $135 million in 2006. The incremental pre-tax share-based compensation expense recognized due to the adoption of SFAS No. 123R for the three and six months ended June 30, 2006, was $33 million and $67 million respectively. Total share-based compensation expense recognized under SFAS No. 123R, including the incremental pre-tax share-based compensation expense above, was $50 million and $96 million, respectively, for the three and six months ended June 30, 2006. Share-based compensation expense is reflected in the operating results of each segment (see Note 8 and Note 11 to our consolidated financial statements for further detail).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increases in depreciation expense for the three and six months ended June 30, 2006, compared to the same periods in 2005 are primarily due to the effects of capital expenditures in our Cable segment.</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decreases in amortization expense for the three and six months ended June 30, 2006, compared to the same periods in 2005 are primarily due to the decrease in the amortization of our franchise-related customer relationship intangible assets in our Cable segment, partially offset by increased amortization expense related to software-related intangibles acquired in various transactions in 2005.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7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Certain adjustments have been made to the 2005 segment presentation to conform to our 2006 management reporting presentation. These adjustments primarily relate to the adoption of SFAS No. 123R and are further discussed in Note 11 to our consolidated financial statements included in Item 1.</w:t>
      </w:r>
    </w:p>
    <w:p>
      <w:pPr>
        <w:spacing w:after="0" w:line="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 measure the performance of our operating segments, we use operating income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component of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(“GAAP”) in the business segment footnote to our consolidated financial statements. You should not consider this measure a substitute for operating income (loss), net income (loss), net cash provided by operating activities, or other measures of performance or liquidity we have reported in accordance with GAAP.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Operating Results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our Cable segment operating results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Video</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High-speed Internet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1,204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982</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Phone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Advertising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Franchise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5,330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2,109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1,839</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2,456</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2,152</w:t>
            </w:r>
          </w:p>
        </w:tc>
        <w:tc>
          <w:tcPr>
            <w:tcW w:w="6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304</w:t>
            </w:r>
          </w:p>
        </w:tc>
        <w:tc>
          <w:tcPr>
            <w:tcW w:w="6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88"/>
              </w:rPr>
              <w:t>Six Months Ended</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Video</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High-speed Internet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2,335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1,907</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Phone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Advertising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Franchise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11,519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3"/>
              </w:rPr>
              <w:t>10,436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4,157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3,703</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2,611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4,671</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4,122</w:t>
            </w:r>
          </w:p>
        </w:tc>
        <w:tc>
          <w:tcPr>
            <w:tcW w:w="6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549</w:t>
            </w:r>
          </w:p>
        </w:tc>
        <w:tc>
          <w:tcPr>
            <w:tcW w:w="6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following table presents our subscriber and monthly average revenue statistics on a pro forma basis. The pro forma adjustments reflect the addition of approximately 230,000 video subscribers and approximately 86,000 high-speed Internet subscribers acquired in the Susquehanna acquisition and from various other small acquisitions. The impact of these acquisitions on our segment operating results was not material (subscribers in thousands).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4"/>
                <w:szCs w:val="14"/>
                <w:color w:val="auto"/>
              </w:rPr>
            </w:pPr>
          </w:p>
        </w:tc>
        <w:tc>
          <w:tcPr>
            <w:tcW w:w="20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Video subscribers</w:t>
            </w:r>
          </w:p>
        </w:tc>
        <w:tc>
          <w:tcPr>
            <w:tcW w:w="3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21,657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21,680</w:t>
            </w:r>
          </w:p>
        </w:tc>
        <w:tc>
          <w:tcPr>
            <w:tcW w:w="17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High-speed Internet subscribers</w:t>
            </w:r>
          </w:p>
        </w:tc>
        <w:tc>
          <w:tcPr>
            <w:tcW w:w="3120" w:type="dxa"/>
            <w:vAlign w:val="bottom"/>
            <w:gridSpan w:val="3"/>
          </w:tcPr>
          <w:p>
            <w:pPr>
              <w:jc w:val="right"/>
              <w:ind w:right="20"/>
              <w:spacing w:after="0"/>
              <w:rPr>
                <w:sz w:val="20"/>
                <w:szCs w:val="20"/>
                <w:color w:val="auto"/>
              </w:rPr>
            </w:pPr>
            <w:r>
              <w:rPr>
                <w:rFonts w:ascii="Arial" w:cs="Arial" w:eastAsia="Arial" w:hAnsi="Arial"/>
                <w:sz w:val="18"/>
                <w:szCs w:val="18"/>
                <w:color w:val="auto"/>
              </w:rPr>
              <w:t>9,344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7,774</w:t>
            </w: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1,570</w:t>
            </w:r>
          </w:p>
        </w:tc>
        <w:tc>
          <w:tcPr>
            <w:tcW w:w="68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Phone subscribers:</w:t>
            </w:r>
          </w:p>
        </w:tc>
        <w:tc>
          <w:tcPr>
            <w:tcW w:w="2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Comcast Digital Voice</w:t>
            </w:r>
          </w:p>
        </w:tc>
        <w:tc>
          <w:tcPr>
            <w:tcW w:w="3120" w:type="dxa"/>
            <w:vAlign w:val="bottom"/>
            <w:gridSpan w:val="3"/>
          </w:tcPr>
          <w:p>
            <w:pPr>
              <w:jc w:val="right"/>
              <w:ind w:right="20"/>
              <w:spacing w:after="0"/>
              <w:rPr>
                <w:sz w:val="20"/>
                <w:szCs w:val="20"/>
                <w:color w:val="auto"/>
              </w:rPr>
            </w:pPr>
            <w:r>
              <w:rPr>
                <w:rFonts w:ascii="Arial" w:cs="Arial" w:eastAsia="Arial" w:hAnsi="Arial"/>
                <w:sz w:val="18"/>
                <w:szCs w:val="18"/>
                <w:color w:val="auto"/>
              </w:rPr>
              <w:t>721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697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Circuit-switched</w:t>
            </w:r>
          </w:p>
        </w:tc>
        <w:tc>
          <w:tcPr>
            <w:tcW w:w="2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7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40"/>
              <w:spacing w:after="0"/>
              <w:rPr>
                <w:sz w:val="20"/>
                <w:szCs w:val="20"/>
                <w:color w:val="auto"/>
              </w:rPr>
            </w:pPr>
            <w:r>
              <w:rPr>
                <w:rFonts w:ascii="Arial" w:cs="Arial" w:eastAsia="Arial" w:hAnsi="Arial"/>
                <w:sz w:val="18"/>
                <w:szCs w:val="18"/>
                <w:color w:val="auto"/>
              </w:rPr>
              <w:t>Total phone subscribers</w:t>
            </w:r>
          </w:p>
        </w:tc>
        <w:tc>
          <w:tcPr>
            <w:tcW w:w="2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vMerge w:val="continue"/>
          </w:tcPr>
          <w:p>
            <w:pPr>
              <w:spacing w:after="0"/>
              <w:rPr>
                <w:sz w:val="19"/>
                <w:szCs w:val="19"/>
                <w:color w:val="auto"/>
              </w:rPr>
            </w:pPr>
          </w:p>
        </w:tc>
        <w:tc>
          <w:tcPr>
            <w:tcW w:w="26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1,699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1,239</w:t>
            </w: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460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372"/>
        </w:trPr>
        <w:tc>
          <w:tcPr>
            <w:tcW w:w="3700" w:type="dxa"/>
            <w:vAlign w:val="bottom"/>
          </w:tcPr>
          <w:p>
            <w:pPr>
              <w:spacing w:after="0"/>
              <w:rPr>
                <w:sz w:val="24"/>
                <w:szCs w:val="24"/>
                <w:color w:val="auto"/>
              </w:rPr>
            </w:pPr>
          </w:p>
        </w:tc>
        <w:tc>
          <w:tcPr>
            <w:tcW w:w="2620" w:type="dxa"/>
            <w:vAlign w:val="bottom"/>
          </w:tcPr>
          <w:p>
            <w:pPr>
              <w:jc w:val="right"/>
              <w:ind w:right="892"/>
              <w:spacing w:after="0"/>
              <w:rPr>
                <w:sz w:val="20"/>
                <w:szCs w:val="20"/>
                <w:color w:val="auto"/>
              </w:rPr>
            </w:pPr>
            <w:r>
              <w:rPr>
                <w:rFonts w:ascii="Arial" w:cs="Arial" w:eastAsia="Arial" w:hAnsi="Arial"/>
                <w:sz w:val="18"/>
                <w:szCs w:val="18"/>
                <w:color w:val="auto"/>
              </w:rPr>
              <w:t>32</w:t>
            </w: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88"/>
              </w:rPr>
              <w:t>Three Months Ended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6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ind w:left="60"/>
              <w:spacing w:after="0"/>
              <w:rPr>
                <w:sz w:val="20"/>
                <w:szCs w:val="20"/>
                <w:color w:val="auto"/>
              </w:rPr>
            </w:pPr>
            <w:r>
              <w:rPr>
                <w:rFonts w:ascii="Arial" w:cs="Arial" w:eastAsia="Arial" w:hAnsi="Arial"/>
                <w:sz w:val="14"/>
                <w:szCs w:val="14"/>
                <w:b w:val="1"/>
                <w:bCs w:val="1"/>
                <w:color w:val="auto"/>
              </w:rPr>
              <w:t>Increase/(Decrease)</w:t>
            </w:r>
          </w:p>
        </w:tc>
      </w:tr>
      <w:tr>
        <w:trPr>
          <w:trHeight w:val="142"/>
        </w:trPr>
        <w:tc>
          <w:tcPr>
            <w:tcW w:w="6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2006</w:t>
            </w: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2005</w:t>
            </w:r>
          </w:p>
        </w:tc>
        <w:tc>
          <w:tcPr>
            <w:tcW w:w="5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video revenue per video subscriber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57.49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4.16</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w w:val="93"/>
              </w:rPr>
              <w:t>Monthly average high-speed Internet revenue per high-speed Internet subscriber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43.78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43.35</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ind w:left="80"/>
              <w:spacing w:after="0"/>
              <w:rPr>
                <w:sz w:val="20"/>
                <w:szCs w:val="20"/>
                <w:color w:val="auto"/>
              </w:rPr>
            </w:pPr>
            <w:r>
              <w:rPr>
                <w:rFonts w:ascii="Arial" w:cs="Arial" w:eastAsia="Arial" w:hAnsi="Arial"/>
                <w:sz w:val="18"/>
                <w:szCs w:val="18"/>
                <w:color w:val="auto"/>
                <w:w w:val="79"/>
              </w:rPr>
              <w:t>0.43</w:t>
            </w:r>
          </w:p>
        </w:tc>
        <w:tc>
          <w:tcPr>
            <w:tcW w:w="5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phone revenue per phone subscriber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44.83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64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rPr>
              <w:t>$ (1.80)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r>
        <w:trPr>
          <w:trHeight w:val="352"/>
        </w:trPr>
        <w:tc>
          <w:tcPr>
            <w:tcW w:w="6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87"/>
              </w:rPr>
              <w:t>Six Months Ended</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61"/>
        </w:trPr>
        <w:tc>
          <w:tcPr>
            <w:tcW w:w="6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ind w:left="60"/>
              <w:spacing w:after="0"/>
              <w:rPr>
                <w:sz w:val="20"/>
                <w:szCs w:val="20"/>
                <w:color w:val="auto"/>
              </w:rPr>
            </w:pPr>
            <w:r>
              <w:rPr>
                <w:rFonts w:ascii="Arial" w:cs="Arial" w:eastAsia="Arial" w:hAnsi="Arial"/>
                <w:sz w:val="14"/>
                <w:szCs w:val="14"/>
                <w:b w:val="1"/>
                <w:bCs w:val="1"/>
                <w:color w:val="auto"/>
              </w:rPr>
              <w:t>Increase/(Decrease)</w:t>
            </w:r>
          </w:p>
        </w:tc>
      </w:tr>
      <w:tr>
        <w:trPr>
          <w:trHeight w:val="142"/>
        </w:trPr>
        <w:tc>
          <w:tcPr>
            <w:tcW w:w="6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2006</w:t>
            </w: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2005</w:t>
            </w:r>
          </w:p>
        </w:tc>
        <w:tc>
          <w:tcPr>
            <w:tcW w:w="5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video revenue per video subscriber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56.55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3.87</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w w:val="93"/>
              </w:rPr>
              <w:t>Monthly average high-speed Internet revenue per high-speed Internet subscriber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43.64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43.26</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ind w:left="80"/>
              <w:spacing w:after="0"/>
              <w:rPr>
                <w:sz w:val="20"/>
                <w:szCs w:val="20"/>
                <w:color w:val="auto"/>
              </w:rPr>
            </w:pPr>
            <w:r>
              <w:rPr>
                <w:rFonts w:ascii="Arial" w:cs="Arial" w:eastAsia="Arial" w:hAnsi="Arial"/>
                <w:sz w:val="18"/>
                <w:szCs w:val="18"/>
                <w:color w:val="auto"/>
                <w:w w:val="79"/>
              </w:rPr>
              <w:t>0.38</w:t>
            </w:r>
          </w:p>
        </w:tc>
        <w:tc>
          <w:tcPr>
            <w:tcW w:w="5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phone revenue per phone subscriber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44.63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64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rPr>
              <w:t>$ (2.57)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Segment Revenues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Video</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video revenues continue to grow from rate increases and growth in our digital cable services, including the demand for advanced services such as DVR, which allows subscribers to record programs digitally, and to pause and rewind live television, and HDTV, which provides multiple channels in high definition. From June 30, 2005 to June 30, 2006, we added approximately 1.3 million digital subscribers, or a 14.7% increase. As of June 30, 2006, approximately 49%, or 10.5 million subscribers, of our 21.7 million video subscribers subscribed to at least one of our digital services, compared to approximately 42.4% as of June 30, 2005. As a result of these factors, our average monthly video revenue per video subscriber increased, while our video subscriber base has been stable. The acquisition of Susquehanna also contributed $23 million in revenue during the three and six months ended June 30, 2006.</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High-speed Internet</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increases in high-speed Internet revenue for the three and six months ended June 30, 2006, compared to the same periods in 2005 are primarily due to the addition of approximately 1.6 million high-speed Internet subscribers since June 30, 2005, or a 20.2% increase, with stable average monthly revenue per subscriber. The acquisition of Susquehanna also contributed $7 million in revenue during the three and six months ended June 30, 2006. We expect that the rate of subscriber and revenue growth will slow as the market matures and competition increases.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Phone</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offer two phone services, Comcast Digital Voice, our IP-enabled phone service, and our circuit-switched local phone service. The increases in phone revenue for the three and six months ended June 30, 2006, compared to the same periods in 2005 are primarily due to the addition of approximately 460,000 phone subscribers since June 30, 2005, as a result of the increase of approximately 697,000 Comcast Digital Voice subscribers, partially offset by the decrease of approximately 237,000 circuit-switched subscribers. We expect the number of phone subscribers will grow as we continue to expand Comcast Digital Voice to new markets in 2006.</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Advertising Sales</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increases in advertising sales revenue for the three and six months ended June 30, 2006, compared to the same periods in 2005 are reflective of strong growth in political advertising due to several primary races in our markets. We expect continued growth in our advertising sales revenue.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171"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We also generate revenues from our sports and news networks, video installation services, commissions from third-party electronic retailing, and fees for other services, such as providing businesses with Internet connectivity and networked business applications. The increase in other revenue for the six months ended June 30, 2006, compared to the same period in 2005 is primarily due to our regional sports networks.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Franchise Fees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increase in franchise fees collected from our cable subscribers for the three and six months ended June 30, 2006, compared to the same periods in 2005 are primarily due to the increase in our revenues upon which the fees apply.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Segment Operating Expenses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Operating expenses increased 14.7% and 12.3%, respectively, for the three and six months ended June 30, 2006, compared to the same periods in 2005 primarily due to growth in our high-speed Internet, digital cable and Comcast Digital Voice services.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Segment Selling, General and Administrative Expenses</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Selling, general and administrative expenses increased 2.0% and 3.1%, respectively, for the three and six months ended June 30, 2006, compared to the same periods in 2005 primarily due to growth in our high-speed Internet, digital cable and Comcast Digital Voice services.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Segment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Content segment operating results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center"/>
              <w:ind w:right="37"/>
              <w:spacing w:after="0"/>
              <w:rPr>
                <w:sz w:val="20"/>
                <w:szCs w:val="20"/>
                <w:color w:val="auto"/>
              </w:rPr>
            </w:pPr>
            <w:r>
              <w:rPr>
                <w:rFonts w:ascii="Arial" w:cs="Arial" w:eastAsia="Arial" w:hAnsi="Arial"/>
                <w:sz w:val="14"/>
                <w:szCs w:val="14"/>
                <w:b w:val="1"/>
                <w:bCs w:val="1"/>
                <w:color w:val="auto"/>
                <w:w w:val="89"/>
              </w:rPr>
              <w:t>Three Months Ended</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86"/>
              </w:rPr>
              <w:t>Increase/(Decrease)</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2005</w:t>
            </w:r>
          </w:p>
        </w:tc>
        <w:tc>
          <w:tcPr>
            <w:tcW w:w="7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(33)</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5"/>
          </w:tcPr>
          <w:p>
            <w:pPr>
              <w:jc w:val="center"/>
              <w:ind w:right="57"/>
              <w:spacing w:after="0"/>
              <w:rPr>
                <w:sz w:val="20"/>
                <w:szCs w:val="20"/>
                <w:color w:val="auto"/>
              </w:rPr>
            </w:pPr>
            <w:r>
              <w:rPr>
                <w:rFonts w:ascii="Arial" w:cs="Arial" w:eastAsia="Arial" w:hAnsi="Arial"/>
                <w:sz w:val="14"/>
                <w:szCs w:val="14"/>
                <w:b w:val="1"/>
                <w:bCs w:val="1"/>
                <w:color w:val="auto"/>
                <w:w w:val="87"/>
              </w:rPr>
              <w:t>Six Months Ended</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86"/>
              </w:rPr>
              <w:t>Increase/(Decrease)</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2005</w:t>
            </w:r>
          </w:p>
        </w:tc>
        <w:tc>
          <w:tcPr>
            <w:tcW w:w="7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(59)</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20" w:type="dxa"/>
            <w:vAlign w:val="bottom"/>
            <w:vMerge w:val="restart"/>
          </w:tcPr>
          <w:p>
            <w:pPr>
              <w:jc w:val="right"/>
              <w:ind w:right="132"/>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Segment Revenues</w:t>
      </w:r>
    </w:p>
    <w:p>
      <w:pPr>
        <w:spacing w:after="0" w:line="171" w:lineRule="exact"/>
        <w:rPr>
          <w:sz w:val="20"/>
          <w:szCs w:val="20"/>
          <w:color w:val="auto"/>
        </w:rPr>
      </w:pPr>
    </w:p>
    <w:p>
      <w:pPr>
        <w:jc w:val="both"/>
        <w:ind w:right="20"/>
        <w:spacing w:after="0" w:line="323" w:lineRule="auto"/>
        <w:rPr>
          <w:sz w:val="20"/>
          <w:szCs w:val="20"/>
          <w:color w:val="auto"/>
        </w:rPr>
      </w:pPr>
      <w:r>
        <w:rPr>
          <w:rFonts w:ascii="Arial" w:cs="Arial" w:eastAsia="Arial" w:hAnsi="Arial"/>
          <w:sz w:val="15"/>
          <w:szCs w:val="15"/>
          <w:color w:val="auto"/>
        </w:rPr>
        <w:t>Content revenues for the three and six months ended June 30, 2006, increased 16.7% and 14.5% compared to the same periods in 2005, primarily due to increases in advertising revenue and license fee revenue. For the three and six months ended June 30, 2006, approximately 10% and 11% of our Content segment revenues were generated from our Cable segment. For the three and six months ended June 30, 2005, approximately 11% of our Content segment revenues were generated from our Cable segment. These amounts are eliminated in our consolidated financial statements, but are included in the amounts presented above.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Segment Operating, Selling, General and Administrative Expenses</w:t>
      </w:r>
    </w:p>
    <w:p>
      <w:pPr>
        <w:spacing w:after="0" w:line="17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Content operating, selling, general and administrative expenses for the three and six months ended June 30, 2006, increased compared to the same periods in 2005, primarily due to an increase in the production of and programming rights costs for new and live event programming for our cable networks, including the NHL on OLN, and a corresponding increase in marketing expenses for this programming. We have and expect to continue to invest in new and live event programming, such as our rights agreement with the NHL, which will cause our Content segment expenses to increase in the future.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Other Income (Expense) Items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4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2005</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right"/>
              <w:ind w:right="420"/>
              <w:spacing w:after="0" w:line="142" w:lineRule="exact"/>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income of affiliates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(821)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(853)</w:t>
            </w:r>
          </w:p>
        </w:tc>
      </w:tr>
      <w:tr>
        <w:trPr>
          <w:trHeight w:val="20"/>
        </w:trPr>
        <w:tc>
          <w:tcPr>
            <w:tcW w:w="4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increases in interest expense for the three and six months ended June 30, 2006, compared to the same periods in 2005 are primarily due to the effects of higher interest rates on our variable rate debt and to an increase in our average debt outstanding, as well as to the effects of the gain on the early extinguishment of certain interest rate swaps during the six months ended June 30,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 (Loss), Net</w:t>
      </w:r>
    </w:p>
    <w:p>
      <w:pPr>
        <w:spacing w:after="0" w:line="171"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The components of investment income (loss), net for the three and six months ended June 30, 2006, and 2005 are presented in a table in Note 5 to our consolidated financial statements.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entered into derivative financial instruments that we account for at fair value and which economically hedge the market price fluctuations in the common stock of all of our investments accounted for as trading securities (as of December 31, 2005). The differences between the unrealized gains (losses) on trading securities and the mark-to-market adjustments on derivatives related to trading securities, as presented in the table in Note 5 to our consolidated financial statements, result from one or more of the following:</w:t>
      </w:r>
    </w:p>
    <w:p>
      <w:pPr>
        <w:spacing w:after="0" w:line="62"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did not maintain an economic hedge for our entire investment in the security during some or all of the period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were changes in the derivative valuation assumptions such as interest rates, volatility and dividend policy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magnitude of the difference between the market price of the underlying security to which the derivative relates and the strike price of the derivative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change in the time value component of the derivative value during the period</w:t>
      </w:r>
    </w:p>
    <w:p>
      <w:pPr>
        <w:spacing w:after="0" w:line="9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security to which the derivative relates changed due to a corporate reorganization of the issuing company to a security with a different volatility rate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Other income for the three and six months ended June 30, 2006, consists principally of $54 million of gains on the sales of investment assets, a $35 million gain on the sale of one of our equity method investments, and lease rental income. Other income for the three months ended June 30, 2005 consists principally of a $32 million gain on the sale of investment assets. Other expense for the six months ended June 30, 2005 consists principally of a $170 million charge representing our share of the settlement amount related to certain of AT&amp;T’s litigation with At Home Corporation, partially offset by $55 million of gains on the sales of investment assets, a $24 million gain on the exchange of one of our equity method investments and lease rental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Income tax expense for the three and six months ended June 30, 2006, reflects an income tax rate higher than the federal statutory rate primarily due to state income taxes, adjustments to prior year accruals, including related interest, offset by a favorable resolution of certain tax matters and change in tax law in the state of Texas. We expect our 2006 annual effective tax rate to be in the range of 40% to 45%. Income tax expense for the three and six months ended June 30, 2005 reflects an income tax rate higher than the federal statutory rate primarily due to state income taxes and adjustments to prior year accruals and related interest.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we describe further below, our businesses generate significant cash flow from operating activities. The proceeds from monetizing our nonstrategic investments have also provided us with a significant source of cash flow. We believe that we will be able to meet our current and long term liquidity and capital requirements, including fixed charges, through our cash flows from operating activities, existing cash, cash equivalents and investments; through available borrowings under our existing credit facilities; and through our ability to obtain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future external financing. We anticipate continuing to use a substantial portion of our cash flow to fund our capital expenditures, repurchase our stock and to invest in business opportunities.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Net cash provided by operating activities amounted to $3.243 billion for the six months ended June 30, 2006, due principally to our operating income before depreciation and amortization, the effects of the timing of interest and income tax payments, and changes in other operating assets and liabilities.</w:t>
      </w:r>
    </w:p>
    <w:p>
      <w:pPr>
        <w:spacing w:after="0" w:line="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six months ended June 30, 2006, the net change in our operating assets and liabilities was $88 million, primarily due to an increase in our accounts receivable of $61 million, offset by an increase in other operating assets and liabilities of $115 million, and an increase in our accounts payable and accrued expenses related to trade creditors of $34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Net cash used in financing activities was $644 million for the six months ended June 30, 2006, and consisted principally of our proceeds from borrowings of $2.587 billion, offset by our debt repayments of $1.905 billion, and repurchases of approximately 49 million shares of our Class A Special common stock for $1.388 billion (recognized on a settlement date or cash basis).</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open market repurchases of our outstanding public notes and debentures, depending on various factors, such as market conditions.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 Borrowings Under Credit Facilities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traditionally maintain significant availability under our lines of credit and commercial paper program to meet our short-term liquidity requirements. As of June 30, 2006, amounts available under these facilities totaled $4.365 billion.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7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As of June 30, 2006, the maximum dollar value of shares that may be repurchased under our Board-authorized share repurchase program is approximately $3.9 billion. We expect such repurchases to continue from time to time in the open market or in private transactions, subject to market conditions.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See Note 7 to our consolidated financial statements included in Item 1 for further discussion of our 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investing activities was $2.319 billion for the six months ended June 30, 2006, and consisted primarily of capital expenditures of $1.854 billion, cash paid for acquisitions of $550 million and cash paid for intangible assets of $141 million. These cash outflows were partially offset by proceeds from sales and restructuring of investments of $303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most significant recurring investing activity has been for capital expenditures and we expect that this will continue in the future.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that affect the reported amounts of assets, liabilities, revenues and expenses, and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13"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For a discussion of the critical accounting judgments and estimates we identified that we believe require significant judgment in the preparation of our consolidated financial statements, please refer to our 2005 Form 10-K.</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to the information required under this Item from what was disclosed in our 2005 Form 10-K.</w:t>
      </w:r>
    </w:p>
    <w:p>
      <w:pPr>
        <w:spacing w:after="0" w:line="16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Conclusions regarding disclosure controls and procedures. </w:t>
      </w:r>
      <w:r>
        <w:rPr>
          <w:rFonts w:ascii="Arial" w:cs="Arial" w:eastAsia="Arial" w:hAnsi="Arial"/>
          <w:sz w:val="18"/>
          <w:szCs w:val="18"/>
          <w:color w:val="auto"/>
        </w:rPr>
        <w:t>Our chief executive officer and our co-chief financial officers, after evaluating the effectiveness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w:t>
      </w:r>
    </w:p>
    <w:p>
      <w:pPr>
        <w:spacing w:after="0" w:line="143"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identified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required by paragraph (d) of Exchange Act Rules 13a-15 or 15d-15 that occurred during our last fiscal quarter that have materially affected, or are reasonably likely to materially affect, our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Refer to Note 10 to our consolidated financial statements of this Quarterly Report on Form 10-Q for a discussion of recent developments related to our legal proceedings.</w:t>
      </w:r>
    </w:p>
    <w:p>
      <w:pPr>
        <w:spacing w:after="0" w:line="12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For a more detailed explanation of the factors affecting our businesses, please refer to the Risk Factors section in Item 1A of our 2005 Form 10-K.</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A summary of our repurchases during the three months ended June 30, 2006, under our Board-authorized repurchase program, on a trade-date basis, is as follows: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Total Number of</w:t>
            </w:r>
          </w:p>
        </w:tc>
        <w:tc>
          <w:tcPr>
            <w:tcW w:w="8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80" w:type="dxa"/>
            <w:vAlign w:val="bottom"/>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Dollars</w:t>
            </w:r>
          </w:p>
        </w:tc>
        <w:tc>
          <w:tcPr>
            <w:tcW w:w="13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Maximum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8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Purchased</w:t>
            </w:r>
          </w:p>
        </w:tc>
        <w:tc>
          <w:tcPr>
            <w:tcW w:w="1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Period</w:t>
            </w:r>
          </w:p>
        </w:tc>
        <w:tc>
          <w:tcPr>
            <w:tcW w:w="560" w:type="dxa"/>
            <w:vAlign w:val="bottom"/>
          </w:tcPr>
          <w:p>
            <w:pPr>
              <w:spacing w:after="0"/>
              <w:rPr>
                <w:sz w:val="12"/>
                <w:szCs w:val="12"/>
                <w:color w:val="auto"/>
              </w:rPr>
            </w:pP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of Shares</w:t>
            </w: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560" w:type="dxa"/>
            <w:vAlign w:val="bottom"/>
          </w:tcPr>
          <w:p>
            <w:pPr>
              <w:spacing w:after="0"/>
              <w:rPr>
                <w:sz w:val="12"/>
                <w:szCs w:val="12"/>
                <w:color w:val="auto"/>
              </w:rPr>
            </w:pPr>
          </w:p>
        </w:tc>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Announced</w:t>
            </w:r>
          </w:p>
        </w:tc>
        <w:tc>
          <w:tcPr>
            <w:tcW w:w="8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Under</w:t>
            </w:r>
          </w:p>
        </w:tc>
        <w:tc>
          <w:tcPr>
            <w:tcW w:w="1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40" w:type="dxa"/>
            <w:vAlign w:val="bottom"/>
            <w:tcBorders>
              <w:bottom w:val="single" w:sz="8" w:color="auto"/>
            </w:tcBorders>
            <w:vMerge w:val="continue"/>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56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6"/>
              <w:spacing w:after="0" w:line="148" w:lineRule="exact"/>
              <w:rPr>
                <w:sz w:val="20"/>
                <w:szCs w:val="20"/>
                <w:color w:val="auto"/>
              </w:rPr>
            </w:pPr>
            <w:r>
              <w:rPr>
                <w:rFonts w:ascii="Arial" w:cs="Arial" w:eastAsia="Arial" w:hAnsi="Arial"/>
                <w:sz w:val="14"/>
                <w:szCs w:val="14"/>
                <w:b w:val="1"/>
                <w:bCs w:val="1"/>
                <w:color w:val="auto"/>
                <w:w w:val="89"/>
              </w:rPr>
              <w:t>per Share</w:t>
            </w:r>
          </w:p>
        </w:tc>
        <w:tc>
          <w:tcPr>
            <w:tcW w:w="560" w:type="dxa"/>
            <w:vAlign w:val="bottom"/>
          </w:tcPr>
          <w:p>
            <w:pPr>
              <w:spacing w:after="0"/>
              <w:rPr>
                <w:sz w:val="13"/>
                <w:szCs w:val="13"/>
                <w:color w:val="auto"/>
              </w:rPr>
            </w:pPr>
          </w:p>
        </w:tc>
        <w:tc>
          <w:tcPr>
            <w:tcW w:w="11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Program</w:t>
            </w:r>
          </w:p>
        </w:tc>
        <w:tc>
          <w:tcPr>
            <w:tcW w:w="5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3"/>
              <w:spacing w:after="0" w:line="148" w:lineRule="exact"/>
              <w:rPr>
                <w:sz w:val="20"/>
                <w:szCs w:val="20"/>
                <w:color w:val="auto"/>
              </w:rPr>
            </w:pPr>
            <w:r>
              <w:rPr>
                <w:rFonts w:ascii="Arial" w:cs="Arial" w:eastAsia="Arial" w:hAnsi="Arial"/>
                <w:sz w:val="14"/>
                <w:szCs w:val="14"/>
                <w:b w:val="1"/>
                <w:bCs w:val="1"/>
                <w:color w:val="auto"/>
                <w:w w:val="87"/>
              </w:rPr>
              <w:t>the Program</w:t>
            </w:r>
          </w:p>
        </w:tc>
        <w:tc>
          <w:tcPr>
            <w:tcW w:w="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1"/>
              <w:spacing w:after="0" w:line="148" w:lineRule="exact"/>
              <w:rPr>
                <w:sz w:val="20"/>
                <w:szCs w:val="20"/>
                <w:color w:val="auto"/>
              </w:rPr>
            </w:pPr>
            <w:r>
              <w:rPr>
                <w:rFonts w:ascii="Arial" w:cs="Arial" w:eastAsia="Arial" w:hAnsi="Arial"/>
                <w:sz w:val="14"/>
                <w:szCs w:val="14"/>
                <w:b w:val="1"/>
                <w:bCs w:val="1"/>
                <w:color w:val="auto"/>
                <w:w w:val="88"/>
              </w:rPr>
              <w:t>Under the Program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April 1-30, 2006</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809,335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2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21,136,000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4,611,966,630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May 1-31, 2006</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11,296,035</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29.45</w:t>
            </w:r>
          </w:p>
        </w:tc>
        <w:tc>
          <w:tcPr>
            <w:tcW w:w="2320" w:type="dxa"/>
            <w:vAlign w:val="bottom"/>
            <w:gridSpan w:val="3"/>
          </w:tcPr>
          <w:p>
            <w:pPr>
              <w:jc w:val="right"/>
              <w:ind w:right="580"/>
              <w:spacing w:after="0"/>
              <w:rPr>
                <w:sz w:val="20"/>
                <w:szCs w:val="20"/>
                <w:color w:val="auto"/>
              </w:rPr>
            </w:pPr>
            <w:r>
              <w:rPr>
                <w:rFonts w:ascii="Arial" w:cs="Arial" w:eastAsia="Arial" w:hAnsi="Arial"/>
                <w:sz w:val="18"/>
                <w:szCs w:val="18"/>
                <w:color w:val="auto"/>
              </w:rPr>
              <w:t>11,271,432</w:t>
            </w:r>
          </w:p>
        </w:tc>
        <w:tc>
          <w:tcPr>
            <w:tcW w:w="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331,952,490</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4,280,014,140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June 1-30, 2006</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10,405,555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2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10,397,337</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331,793,312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3,948,220,828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22,510,925</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30.48</w:t>
            </w:r>
          </w:p>
        </w:tc>
        <w:tc>
          <w:tcPr>
            <w:tcW w:w="5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22,468,769</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684,881,802</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3,948,220,828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total number of shares purchased includes 42,156 shares received in the administration of employee equity compensation plans. In January 2006, our Board of Directors authorized a $5 billion increase to our share repurchase program.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our Annual Meeting of Shareholders on May 18, 2006, the shareholders approved, or did not approve, the following proposals, in each case consistent with the unanimous recommendations of our Board of Directors (numbers represent the aggregate votes cast, with holders of our Class A Common Stock entitled to 0.2077 votes per share and holders of our Class B Common Stock entitled to 15 votes per share):</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elect the following nominees to serve as our directors for one-year terms.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380" w:type="dxa"/>
            <w:vAlign w:val="bottom"/>
          </w:tcPr>
          <w:p>
            <w:pPr>
              <w:spacing w:after="0"/>
              <w:rPr>
                <w:sz w:val="15"/>
                <w:szCs w:val="15"/>
                <w:color w:val="auto"/>
              </w:rPr>
            </w:pPr>
          </w:p>
        </w:tc>
        <w:tc>
          <w:tcPr>
            <w:tcW w:w="12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For</w:t>
            </w:r>
          </w:p>
        </w:tc>
        <w:tc>
          <w:tcPr>
            <w:tcW w:w="380" w:type="dxa"/>
            <w:vAlign w:val="bottom"/>
          </w:tcPr>
          <w:p>
            <w:pPr>
              <w:spacing w:after="0"/>
              <w:rPr>
                <w:sz w:val="15"/>
                <w:szCs w:val="15"/>
                <w:color w:val="auto"/>
              </w:rPr>
            </w:pPr>
          </w:p>
        </w:tc>
        <w:tc>
          <w:tcPr>
            <w:tcW w:w="11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Withheld</w:t>
            </w:r>
          </w:p>
        </w:tc>
      </w:tr>
      <w:tr>
        <w:trPr>
          <w:trHeight w:val="195"/>
        </w:trPr>
        <w:tc>
          <w:tcPr>
            <w:tcW w:w="6520" w:type="dxa"/>
            <w:vAlign w:val="bottom"/>
          </w:tcPr>
          <w:p>
            <w:pPr>
              <w:spacing w:after="0" w:line="195" w:lineRule="exact"/>
              <w:rPr>
                <w:sz w:val="20"/>
                <w:szCs w:val="20"/>
                <w:color w:val="auto"/>
              </w:rPr>
            </w:pPr>
            <w:r>
              <w:rPr>
                <w:rFonts w:ascii="Arial" w:cs="Arial" w:eastAsia="Arial" w:hAnsi="Arial"/>
                <w:sz w:val="18"/>
                <w:szCs w:val="18"/>
                <w:color w:val="auto"/>
              </w:rPr>
              <w:t>S. Decker Anstrom</w:t>
            </w:r>
          </w:p>
        </w:tc>
        <w:tc>
          <w:tcPr>
            <w:tcW w:w="3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367,684,507</w:t>
            </w:r>
          </w:p>
        </w:tc>
        <w:tc>
          <w:tcPr>
            <w:tcW w:w="380" w:type="dxa"/>
            <w:vAlign w:val="bottom"/>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15,950,939</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Kenneth J. Bacon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373,312,914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10,322,533</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Sheldon M. Bonovitz</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362,094,078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21,541,369</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Edward D. Breen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370,306,620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13,328,826</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Julian A. Brodsky</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371,463,564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12,171,883</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Joseph J. Collins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359,605,457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24,029,989</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J. Michael Cook</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373,161,994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10,473,453</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Jeffrey A. Honickman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372,742,204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10,893,242</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Brian L. Roberts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372,114,184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11,521,263</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Ralph J. Roberts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372,413,278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11,222,168</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Dr. Judith Rodin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363,196,644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20,438,802</w:t>
            </w: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Michael I. Sovern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367,823,883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15,811,564</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To ratify the appointment of Deloitte &amp; Touche LLP as our independent auditors for the 2006 fiscal year.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3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For</w:t>
            </w:r>
          </w:p>
        </w:tc>
        <w:tc>
          <w:tcPr>
            <w:tcW w:w="3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Against</w:t>
            </w:r>
          </w:p>
        </w:tc>
        <w:tc>
          <w:tcPr>
            <w:tcW w:w="300" w:type="dxa"/>
            <w:vAlign w:val="bottom"/>
          </w:tcPr>
          <w:p>
            <w:pPr>
              <w:spacing w:after="0"/>
              <w:rPr>
                <w:sz w:val="14"/>
                <w:szCs w:val="14"/>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Abstain</w:t>
            </w:r>
          </w:p>
        </w:tc>
      </w:tr>
      <w:tr>
        <w:trPr>
          <w:trHeight w:val="221"/>
        </w:trPr>
        <w:tc>
          <w:tcPr>
            <w:tcW w:w="4280" w:type="dxa"/>
            <w:vAlign w:val="bottom"/>
            <w:gridSpan w:val="2"/>
          </w:tcPr>
          <w:p>
            <w:pPr>
              <w:jc w:val="center"/>
              <w:ind w:left="832"/>
              <w:spacing w:after="0"/>
              <w:rPr>
                <w:sz w:val="20"/>
                <w:szCs w:val="20"/>
                <w:color w:val="auto"/>
              </w:rPr>
            </w:pPr>
            <w:r>
              <w:rPr>
                <w:rFonts w:ascii="Arial" w:cs="Arial" w:eastAsia="Arial" w:hAnsi="Arial"/>
                <w:sz w:val="18"/>
                <w:szCs w:val="18"/>
                <w:color w:val="auto"/>
                <w:w w:val="87"/>
              </w:rPr>
              <w:t>378,549,133</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tcPr>
          <w:p>
            <w:pPr>
              <w:jc w:val="center"/>
              <w:ind w:right="901"/>
              <w:spacing w:after="0"/>
              <w:rPr>
                <w:sz w:val="20"/>
                <w:szCs w:val="20"/>
                <w:color w:val="auto"/>
              </w:rPr>
            </w:pPr>
            <w:r>
              <w:rPr>
                <w:rFonts w:ascii="Arial" w:cs="Arial" w:eastAsia="Arial" w:hAnsi="Arial"/>
                <w:sz w:val="18"/>
                <w:szCs w:val="18"/>
                <w:color w:val="auto"/>
                <w:w w:val="87"/>
              </w:rPr>
              <w:t>2,621,102</w:t>
            </w:r>
          </w:p>
        </w:tc>
        <w:tc>
          <w:tcPr>
            <w:tcW w:w="306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2,465,211</w:t>
            </w:r>
          </w:p>
        </w:tc>
      </w:tr>
      <w:tr>
        <w:trPr>
          <w:trHeight w:val="378"/>
        </w:trPr>
        <w:tc>
          <w:tcPr>
            <w:tcW w:w="5560" w:type="dxa"/>
            <w:vAlign w:val="bottom"/>
            <w:gridSpan w:val="4"/>
          </w:tcPr>
          <w:p>
            <w:pPr>
              <w:spacing w:after="0"/>
              <w:rPr>
                <w:sz w:val="20"/>
                <w:szCs w:val="20"/>
                <w:color w:val="auto"/>
              </w:rPr>
            </w:pPr>
            <w:r>
              <w:rPr>
                <w:rFonts w:ascii="Arial" w:cs="Arial" w:eastAsia="Arial" w:hAnsi="Arial"/>
                <w:sz w:val="18"/>
                <w:szCs w:val="18"/>
                <w:color w:val="auto"/>
                <w:w w:val="86"/>
              </w:rPr>
              <w:t>To approve our 2002 Employee Stock Purchase Plan, as amended and restated.</w:t>
            </w: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53"/>
        </w:trPr>
        <w:tc>
          <w:tcPr>
            <w:tcW w:w="920" w:type="dxa"/>
            <w:vAlign w:val="bottom"/>
          </w:tcPr>
          <w:p>
            <w:pPr>
              <w:spacing w:after="0"/>
              <w:rPr>
                <w:sz w:val="24"/>
                <w:szCs w:val="24"/>
                <w:color w:val="auto"/>
              </w:rPr>
            </w:pPr>
          </w:p>
        </w:tc>
        <w:tc>
          <w:tcPr>
            <w:tcW w:w="33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For</w:t>
            </w:r>
          </w:p>
        </w:tc>
        <w:tc>
          <w:tcPr>
            <w:tcW w:w="3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Against</w:t>
            </w:r>
          </w:p>
        </w:tc>
        <w:tc>
          <w:tcPr>
            <w:tcW w:w="300" w:type="dxa"/>
            <w:vAlign w:val="bottom"/>
          </w:tcPr>
          <w:p>
            <w:pPr>
              <w:spacing w:after="0"/>
              <w:rPr>
                <w:sz w:val="24"/>
                <w:szCs w:val="24"/>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Abstain</w:t>
            </w:r>
          </w:p>
        </w:tc>
      </w:tr>
      <w:tr>
        <w:trPr>
          <w:trHeight w:val="221"/>
        </w:trPr>
        <w:tc>
          <w:tcPr>
            <w:tcW w:w="4280" w:type="dxa"/>
            <w:vAlign w:val="bottom"/>
            <w:gridSpan w:val="2"/>
          </w:tcPr>
          <w:p>
            <w:pPr>
              <w:jc w:val="center"/>
              <w:ind w:left="832"/>
              <w:spacing w:after="0"/>
              <w:rPr>
                <w:sz w:val="20"/>
                <w:szCs w:val="20"/>
                <w:color w:val="auto"/>
              </w:rPr>
            </w:pPr>
            <w:r>
              <w:rPr>
                <w:rFonts w:ascii="Arial" w:cs="Arial" w:eastAsia="Arial" w:hAnsi="Arial"/>
                <w:sz w:val="18"/>
                <w:szCs w:val="18"/>
                <w:color w:val="auto"/>
                <w:w w:val="87"/>
              </w:rPr>
              <w:t>335,570,560</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tcPr>
          <w:p>
            <w:pPr>
              <w:jc w:val="center"/>
              <w:ind w:right="901"/>
              <w:spacing w:after="0"/>
              <w:rPr>
                <w:sz w:val="20"/>
                <w:szCs w:val="20"/>
                <w:color w:val="auto"/>
              </w:rPr>
            </w:pPr>
            <w:r>
              <w:rPr>
                <w:rFonts w:ascii="Arial" w:cs="Arial" w:eastAsia="Arial" w:hAnsi="Arial"/>
                <w:sz w:val="18"/>
                <w:szCs w:val="18"/>
                <w:color w:val="auto"/>
                <w:w w:val="87"/>
              </w:rPr>
              <w:t>5,064,390</w:t>
            </w:r>
          </w:p>
        </w:tc>
        <w:tc>
          <w:tcPr>
            <w:tcW w:w="306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2,686,068</w:t>
            </w:r>
          </w:p>
        </w:tc>
      </w:tr>
      <w:tr>
        <w:trPr>
          <w:trHeight w:val="378"/>
        </w:trPr>
        <w:tc>
          <w:tcPr>
            <w:tcW w:w="5560" w:type="dxa"/>
            <w:vAlign w:val="bottom"/>
            <w:gridSpan w:val="4"/>
          </w:tcPr>
          <w:p>
            <w:pPr>
              <w:spacing w:after="0"/>
              <w:rPr>
                <w:sz w:val="20"/>
                <w:szCs w:val="20"/>
                <w:color w:val="auto"/>
              </w:rPr>
            </w:pPr>
            <w:r>
              <w:rPr>
                <w:rFonts w:ascii="Arial" w:cs="Arial" w:eastAsia="Arial" w:hAnsi="Arial"/>
                <w:sz w:val="18"/>
                <w:szCs w:val="18"/>
                <w:color w:val="auto"/>
                <w:w w:val="98"/>
              </w:rPr>
              <w:t>To approve our 2002 Restricted Stock Plan, as amended and restated.</w:t>
            </w: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53"/>
        </w:trPr>
        <w:tc>
          <w:tcPr>
            <w:tcW w:w="920" w:type="dxa"/>
            <w:vAlign w:val="bottom"/>
          </w:tcPr>
          <w:p>
            <w:pPr>
              <w:spacing w:after="0"/>
              <w:rPr>
                <w:sz w:val="24"/>
                <w:szCs w:val="24"/>
                <w:color w:val="auto"/>
              </w:rPr>
            </w:pPr>
          </w:p>
        </w:tc>
        <w:tc>
          <w:tcPr>
            <w:tcW w:w="33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For</w:t>
            </w:r>
          </w:p>
        </w:tc>
        <w:tc>
          <w:tcPr>
            <w:tcW w:w="3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Against</w:t>
            </w:r>
          </w:p>
        </w:tc>
        <w:tc>
          <w:tcPr>
            <w:tcW w:w="300" w:type="dxa"/>
            <w:vAlign w:val="bottom"/>
          </w:tcPr>
          <w:p>
            <w:pPr>
              <w:spacing w:after="0"/>
              <w:rPr>
                <w:sz w:val="24"/>
                <w:szCs w:val="24"/>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Abstain</w:t>
            </w:r>
          </w:p>
        </w:tc>
      </w:tr>
      <w:tr>
        <w:trPr>
          <w:trHeight w:val="221"/>
        </w:trPr>
        <w:tc>
          <w:tcPr>
            <w:tcW w:w="4280" w:type="dxa"/>
            <w:vAlign w:val="bottom"/>
            <w:gridSpan w:val="2"/>
          </w:tcPr>
          <w:p>
            <w:pPr>
              <w:jc w:val="center"/>
              <w:ind w:left="832"/>
              <w:spacing w:after="0"/>
              <w:rPr>
                <w:sz w:val="20"/>
                <w:szCs w:val="20"/>
                <w:color w:val="auto"/>
              </w:rPr>
            </w:pPr>
            <w:r>
              <w:rPr>
                <w:rFonts w:ascii="Arial" w:cs="Arial" w:eastAsia="Arial" w:hAnsi="Arial"/>
                <w:sz w:val="18"/>
                <w:szCs w:val="18"/>
                <w:color w:val="auto"/>
                <w:w w:val="87"/>
              </w:rPr>
              <w:t>323,527,137</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tcPr>
          <w:p>
            <w:pPr>
              <w:jc w:val="center"/>
              <w:ind w:right="881"/>
              <w:spacing w:after="0"/>
              <w:rPr>
                <w:sz w:val="20"/>
                <w:szCs w:val="20"/>
                <w:color w:val="auto"/>
              </w:rPr>
            </w:pPr>
            <w:r>
              <w:rPr>
                <w:rFonts w:ascii="Arial" w:cs="Arial" w:eastAsia="Arial" w:hAnsi="Arial"/>
                <w:sz w:val="18"/>
                <w:szCs w:val="18"/>
                <w:color w:val="auto"/>
                <w:w w:val="88"/>
              </w:rPr>
              <w:t>16,874,958</w:t>
            </w:r>
          </w:p>
        </w:tc>
        <w:tc>
          <w:tcPr>
            <w:tcW w:w="306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2,918,923</w:t>
            </w:r>
          </w:p>
        </w:tc>
      </w:tr>
      <w:tr>
        <w:trPr>
          <w:trHeight w:val="378"/>
        </w:trPr>
        <w:tc>
          <w:tcPr>
            <w:tcW w:w="5560" w:type="dxa"/>
            <w:vAlign w:val="bottom"/>
            <w:gridSpan w:val="4"/>
          </w:tcPr>
          <w:p>
            <w:pPr>
              <w:spacing w:after="0"/>
              <w:rPr>
                <w:sz w:val="20"/>
                <w:szCs w:val="20"/>
                <w:color w:val="auto"/>
              </w:rPr>
            </w:pPr>
            <w:r>
              <w:rPr>
                <w:rFonts w:ascii="Arial" w:cs="Arial" w:eastAsia="Arial" w:hAnsi="Arial"/>
                <w:sz w:val="18"/>
                <w:szCs w:val="18"/>
                <w:color w:val="auto"/>
              </w:rPr>
              <w:t>To approve our 2006 Cash Bonus Plan.</w:t>
            </w: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53"/>
        </w:trPr>
        <w:tc>
          <w:tcPr>
            <w:tcW w:w="920" w:type="dxa"/>
            <w:vAlign w:val="bottom"/>
          </w:tcPr>
          <w:p>
            <w:pPr>
              <w:spacing w:after="0"/>
              <w:rPr>
                <w:sz w:val="24"/>
                <w:szCs w:val="24"/>
                <w:color w:val="auto"/>
              </w:rPr>
            </w:pPr>
          </w:p>
        </w:tc>
        <w:tc>
          <w:tcPr>
            <w:tcW w:w="33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For</w:t>
            </w:r>
          </w:p>
        </w:tc>
        <w:tc>
          <w:tcPr>
            <w:tcW w:w="3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Against</w:t>
            </w:r>
          </w:p>
        </w:tc>
        <w:tc>
          <w:tcPr>
            <w:tcW w:w="300" w:type="dxa"/>
            <w:vAlign w:val="bottom"/>
          </w:tcPr>
          <w:p>
            <w:pPr>
              <w:spacing w:after="0"/>
              <w:rPr>
                <w:sz w:val="24"/>
                <w:szCs w:val="24"/>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Abstain</w:t>
            </w:r>
          </w:p>
        </w:tc>
      </w:tr>
      <w:tr>
        <w:trPr>
          <w:trHeight w:val="221"/>
        </w:trPr>
        <w:tc>
          <w:tcPr>
            <w:tcW w:w="4280" w:type="dxa"/>
            <w:vAlign w:val="bottom"/>
            <w:gridSpan w:val="2"/>
          </w:tcPr>
          <w:p>
            <w:pPr>
              <w:jc w:val="center"/>
              <w:ind w:left="832"/>
              <w:spacing w:after="0"/>
              <w:rPr>
                <w:sz w:val="20"/>
                <w:szCs w:val="20"/>
                <w:color w:val="auto"/>
              </w:rPr>
            </w:pPr>
            <w:r>
              <w:rPr>
                <w:rFonts w:ascii="Arial" w:cs="Arial" w:eastAsia="Arial" w:hAnsi="Arial"/>
                <w:sz w:val="18"/>
                <w:szCs w:val="18"/>
                <w:color w:val="auto"/>
                <w:w w:val="87"/>
              </w:rPr>
              <w:t>319,895,277</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tcPr>
          <w:p>
            <w:pPr>
              <w:jc w:val="center"/>
              <w:ind w:right="881"/>
              <w:spacing w:after="0"/>
              <w:rPr>
                <w:sz w:val="20"/>
                <w:szCs w:val="20"/>
                <w:color w:val="auto"/>
              </w:rPr>
            </w:pPr>
            <w:r>
              <w:rPr>
                <w:rFonts w:ascii="Arial" w:cs="Arial" w:eastAsia="Arial" w:hAnsi="Arial"/>
                <w:sz w:val="18"/>
                <w:szCs w:val="18"/>
                <w:color w:val="auto"/>
                <w:w w:val="88"/>
              </w:rPr>
              <w:t>20,464,417</w:t>
            </w:r>
          </w:p>
        </w:tc>
        <w:tc>
          <w:tcPr>
            <w:tcW w:w="306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2,961,324</w:t>
            </w:r>
          </w:p>
        </w:tc>
      </w:tr>
      <w:tr>
        <w:trPr>
          <w:trHeight w:val="378"/>
        </w:trPr>
        <w:tc>
          <w:tcPr>
            <w:tcW w:w="5560" w:type="dxa"/>
            <w:vAlign w:val="bottom"/>
            <w:gridSpan w:val="4"/>
          </w:tcPr>
          <w:p>
            <w:pPr>
              <w:spacing w:after="0"/>
              <w:rPr>
                <w:sz w:val="20"/>
                <w:szCs w:val="20"/>
                <w:color w:val="auto"/>
              </w:rPr>
            </w:pPr>
            <w:r>
              <w:rPr>
                <w:rFonts w:ascii="Arial" w:cs="Arial" w:eastAsia="Arial" w:hAnsi="Arial"/>
                <w:sz w:val="18"/>
                <w:szCs w:val="18"/>
                <w:color w:val="auto"/>
              </w:rPr>
              <w:t>To prevent the issuance of new stock options.</w:t>
            </w: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53"/>
        </w:trPr>
        <w:tc>
          <w:tcPr>
            <w:tcW w:w="920" w:type="dxa"/>
            <w:vAlign w:val="bottom"/>
          </w:tcPr>
          <w:p>
            <w:pPr>
              <w:spacing w:after="0"/>
              <w:rPr>
                <w:sz w:val="24"/>
                <w:szCs w:val="24"/>
                <w:color w:val="auto"/>
              </w:rPr>
            </w:pPr>
          </w:p>
        </w:tc>
        <w:tc>
          <w:tcPr>
            <w:tcW w:w="33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For</w:t>
            </w:r>
          </w:p>
        </w:tc>
        <w:tc>
          <w:tcPr>
            <w:tcW w:w="3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Against</w:t>
            </w:r>
          </w:p>
        </w:tc>
        <w:tc>
          <w:tcPr>
            <w:tcW w:w="300" w:type="dxa"/>
            <w:vAlign w:val="bottom"/>
          </w:tcPr>
          <w:p>
            <w:pPr>
              <w:spacing w:after="0"/>
              <w:rPr>
                <w:sz w:val="24"/>
                <w:szCs w:val="24"/>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Abstain</w:t>
            </w:r>
          </w:p>
        </w:tc>
      </w:tr>
      <w:tr>
        <w:trPr>
          <w:trHeight w:val="221"/>
        </w:trPr>
        <w:tc>
          <w:tcPr>
            <w:tcW w:w="4280" w:type="dxa"/>
            <w:vAlign w:val="bottom"/>
            <w:gridSpan w:val="2"/>
          </w:tcPr>
          <w:p>
            <w:pPr>
              <w:jc w:val="center"/>
              <w:ind w:left="852"/>
              <w:spacing w:after="0"/>
              <w:rPr>
                <w:sz w:val="20"/>
                <w:szCs w:val="20"/>
                <w:color w:val="auto"/>
              </w:rPr>
            </w:pPr>
            <w:r>
              <w:rPr>
                <w:rFonts w:ascii="Arial" w:cs="Arial" w:eastAsia="Arial" w:hAnsi="Arial"/>
                <w:sz w:val="18"/>
                <w:szCs w:val="18"/>
                <w:color w:val="auto"/>
                <w:w w:val="86"/>
              </w:rPr>
              <w:t>26,433,196</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tcPr>
          <w:p>
            <w:pPr>
              <w:jc w:val="center"/>
              <w:ind w:right="881"/>
              <w:spacing w:after="0"/>
              <w:rPr>
                <w:sz w:val="20"/>
                <w:szCs w:val="20"/>
                <w:color w:val="auto"/>
              </w:rPr>
            </w:pPr>
            <w:r>
              <w:rPr>
                <w:rFonts w:ascii="Arial" w:cs="Arial" w:eastAsia="Arial" w:hAnsi="Arial"/>
                <w:sz w:val="18"/>
                <w:szCs w:val="18"/>
                <w:color w:val="auto"/>
                <w:w w:val="87"/>
              </w:rPr>
              <w:t>313,796,150</w:t>
            </w:r>
          </w:p>
        </w:tc>
        <w:tc>
          <w:tcPr>
            <w:tcW w:w="306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3,091,672</w:t>
            </w:r>
          </w:p>
        </w:tc>
      </w:tr>
      <w:tr>
        <w:trPr>
          <w:trHeight w:val="365"/>
        </w:trPr>
        <w:tc>
          <w:tcPr>
            <w:tcW w:w="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80" w:type="dxa"/>
            <w:vAlign w:val="bottom"/>
          </w:tcPr>
          <w:p>
            <w:pPr>
              <w:ind w:left="6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require that the Chairman of the Board not be an employee.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300" w:type="dxa"/>
            <w:vAlign w:val="bottom"/>
          </w:tcPr>
          <w:p>
            <w:pPr>
              <w:spacing w:after="0"/>
              <w:rPr>
                <w:sz w:val="14"/>
                <w:szCs w:val="1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300" w:type="dxa"/>
            <w:vAlign w:val="bottom"/>
          </w:tcPr>
          <w:p>
            <w:pPr>
              <w:spacing w:after="0"/>
              <w:rPr>
                <w:sz w:val="14"/>
                <w:szCs w:val="14"/>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Abstain</w:t>
            </w:r>
          </w:p>
        </w:tc>
      </w:tr>
      <w:tr>
        <w:trPr>
          <w:trHeight w:val="221"/>
        </w:trPr>
        <w:tc>
          <w:tcPr>
            <w:tcW w:w="4280" w:type="dxa"/>
            <w:vAlign w:val="bottom"/>
            <w:gridSpan w:val="2"/>
          </w:tcPr>
          <w:p>
            <w:pPr>
              <w:jc w:val="center"/>
              <w:ind w:left="852"/>
              <w:spacing w:after="0"/>
              <w:rPr>
                <w:sz w:val="20"/>
                <w:szCs w:val="20"/>
                <w:color w:val="auto"/>
              </w:rPr>
            </w:pPr>
            <w:r>
              <w:rPr>
                <w:rFonts w:ascii="Arial" w:cs="Arial" w:eastAsia="Arial" w:hAnsi="Arial"/>
                <w:sz w:val="18"/>
                <w:szCs w:val="18"/>
                <w:color w:val="auto"/>
                <w:w w:val="86"/>
              </w:rPr>
              <w:t>72,272,443</w:t>
            </w:r>
          </w:p>
        </w:tc>
        <w:tc>
          <w:tcPr>
            <w:tcW w:w="316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267,955,075</w:t>
            </w:r>
          </w:p>
        </w:tc>
        <w:tc>
          <w:tcPr>
            <w:tcW w:w="306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3,093,499</w:t>
            </w:r>
          </w:p>
        </w:tc>
      </w:tr>
      <w:tr>
        <w:trPr>
          <w:trHeight w:val="378"/>
        </w:trPr>
        <w:tc>
          <w:tcPr>
            <w:tcW w:w="4280" w:type="dxa"/>
            <w:vAlign w:val="bottom"/>
            <w:gridSpan w:val="2"/>
          </w:tcPr>
          <w:p>
            <w:pPr>
              <w:spacing w:after="0"/>
              <w:rPr>
                <w:sz w:val="20"/>
                <w:szCs w:val="20"/>
                <w:color w:val="auto"/>
              </w:rPr>
            </w:pPr>
            <w:r>
              <w:rPr>
                <w:rFonts w:ascii="Arial" w:cs="Arial" w:eastAsia="Arial" w:hAnsi="Arial"/>
                <w:sz w:val="18"/>
                <w:szCs w:val="18"/>
                <w:color w:val="auto"/>
              </w:rPr>
              <w:t>To adopt a recapitalization plan.</w:t>
            </w: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53"/>
        </w:trPr>
        <w:tc>
          <w:tcPr>
            <w:tcW w:w="92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300" w:type="dxa"/>
            <w:vAlign w:val="bottom"/>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300" w:type="dxa"/>
            <w:vAlign w:val="bottom"/>
          </w:tcPr>
          <w:p>
            <w:pPr>
              <w:spacing w:after="0"/>
              <w:rPr>
                <w:sz w:val="24"/>
                <w:szCs w:val="24"/>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Abstain</w:t>
            </w:r>
          </w:p>
        </w:tc>
      </w:tr>
      <w:tr>
        <w:trPr>
          <w:trHeight w:val="221"/>
        </w:trPr>
        <w:tc>
          <w:tcPr>
            <w:tcW w:w="4280" w:type="dxa"/>
            <w:vAlign w:val="bottom"/>
            <w:gridSpan w:val="2"/>
          </w:tcPr>
          <w:p>
            <w:pPr>
              <w:jc w:val="center"/>
              <w:ind w:left="852"/>
              <w:spacing w:after="0"/>
              <w:rPr>
                <w:sz w:val="20"/>
                <w:szCs w:val="20"/>
                <w:color w:val="auto"/>
              </w:rPr>
            </w:pPr>
            <w:r>
              <w:rPr>
                <w:rFonts w:ascii="Arial" w:cs="Arial" w:eastAsia="Arial" w:hAnsi="Arial"/>
                <w:sz w:val="18"/>
                <w:szCs w:val="18"/>
                <w:color w:val="auto"/>
                <w:w w:val="86"/>
              </w:rPr>
              <w:t>96,561,246</w:t>
            </w:r>
          </w:p>
        </w:tc>
        <w:tc>
          <w:tcPr>
            <w:tcW w:w="316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243,279,121</w:t>
            </w:r>
          </w:p>
        </w:tc>
        <w:tc>
          <w:tcPr>
            <w:tcW w:w="306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3,480,650</w:t>
            </w:r>
          </w:p>
        </w:tc>
      </w:tr>
      <w:tr>
        <w:trPr>
          <w:trHeight w:val="378"/>
        </w:trPr>
        <w:tc>
          <w:tcPr>
            <w:tcW w:w="4280" w:type="dxa"/>
            <w:vAlign w:val="bottom"/>
            <w:gridSpan w:val="2"/>
          </w:tcPr>
          <w:p>
            <w:pPr>
              <w:spacing w:after="0"/>
              <w:rPr>
                <w:sz w:val="20"/>
                <w:szCs w:val="20"/>
                <w:color w:val="auto"/>
              </w:rPr>
            </w:pPr>
            <w:r>
              <w:rPr>
                <w:rFonts w:ascii="Arial" w:cs="Arial" w:eastAsia="Arial" w:hAnsi="Arial"/>
                <w:sz w:val="18"/>
                <w:szCs w:val="18"/>
                <w:color w:val="auto"/>
              </w:rPr>
              <w:t>To establish a majority vote shareholder committee.</w:t>
            </w: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53"/>
        </w:trPr>
        <w:tc>
          <w:tcPr>
            <w:tcW w:w="92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300" w:type="dxa"/>
            <w:vAlign w:val="bottom"/>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300" w:type="dxa"/>
            <w:vAlign w:val="bottom"/>
          </w:tcPr>
          <w:p>
            <w:pPr>
              <w:spacing w:after="0"/>
              <w:rPr>
                <w:sz w:val="24"/>
                <w:szCs w:val="24"/>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Abstain</w:t>
            </w:r>
          </w:p>
        </w:tc>
      </w:tr>
      <w:tr>
        <w:trPr>
          <w:trHeight w:val="221"/>
        </w:trPr>
        <w:tc>
          <w:tcPr>
            <w:tcW w:w="4280" w:type="dxa"/>
            <w:vAlign w:val="bottom"/>
            <w:gridSpan w:val="2"/>
          </w:tcPr>
          <w:p>
            <w:pPr>
              <w:jc w:val="center"/>
              <w:ind w:left="852"/>
              <w:spacing w:after="0"/>
              <w:rPr>
                <w:sz w:val="20"/>
                <w:szCs w:val="20"/>
                <w:color w:val="auto"/>
              </w:rPr>
            </w:pPr>
            <w:r>
              <w:rPr>
                <w:rFonts w:ascii="Arial" w:cs="Arial" w:eastAsia="Arial" w:hAnsi="Arial"/>
                <w:sz w:val="18"/>
                <w:szCs w:val="18"/>
                <w:color w:val="auto"/>
                <w:w w:val="86"/>
              </w:rPr>
              <w:t>53,819,996</w:t>
            </w:r>
          </w:p>
        </w:tc>
        <w:tc>
          <w:tcPr>
            <w:tcW w:w="316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286,285,303</w:t>
            </w:r>
          </w:p>
        </w:tc>
        <w:tc>
          <w:tcPr>
            <w:tcW w:w="306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3,215,782</w:t>
            </w:r>
          </w:p>
        </w:tc>
      </w:tr>
    </w:tbl>
    <w:p>
      <w:pPr>
        <w:spacing w:after="0" w:line="1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 Exhibits required to be filed by Item 601 of Regulation S-K:</w:t>
      </w:r>
    </w:p>
    <w:p>
      <w:pPr>
        <w:spacing w:after="0" w:line="90" w:lineRule="exact"/>
        <w:rPr>
          <w:sz w:val="20"/>
          <w:szCs w:val="20"/>
          <w:color w:val="auto"/>
        </w:rPr>
      </w:pPr>
    </w:p>
    <w:p>
      <w:pPr>
        <w:ind w:left="1620" w:right="240" w:hanging="678"/>
        <w:spacing w:after="0" w:line="332" w:lineRule="auto"/>
        <w:tabs>
          <w:tab w:leader="none" w:pos="16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Amendment No. 2 to the Asset Purchase Agreement between Adelphia Communications Corporation and Comcast Corporation, dated June 21, 2006 (incorporated by reference to Exhibit 2.1 to our Current Report on Form 8-K filed on June 27, 2006).</w:t>
      </w:r>
    </w:p>
    <w:p>
      <w:pPr>
        <w:spacing w:after="0" w:line="31" w:lineRule="exact"/>
        <w:rPr>
          <w:sz w:val="20"/>
          <w:szCs w:val="20"/>
          <w:color w:val="auto"/>
        </w:rPr>
      </w:pPr>
    </w:p>
    <w:p>
      <w:pPr>
        <w:ind w:left="1620" w:hanging="678"/>
        <w:spacing w:after="0" w:line="332" w:lineRule="auto"/>
        <w:tabs>
          <w:tab w:leader="none" w:pos="16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Letter Agreement by and among TWE Holdings II Trust, Comcast Corporation, Adelphia Communications Corporation and Time Warner Cable Inc., dated June 21, 2006 (incorporated by reference to Exhibit 2.2 to our Current Report on Form 8-K filed on June 27, 2006).</w:t>
      </w:r>
    </w:p>
    <w:p>
      <w:pPr>
        <w:spacing w:after="0" w:line="31" w:lineRule="exact"/>
        <w:rPr>
          <w:sz w:val="20"/>
          <w:szCs w:val="20"/>
          <w:color w:val="auto"/>
        </w:rPr>
      </w:pPr>
    </w:p>
    <w:p>
      <w:pPr>
        <w:ind w:left="840"/>
        <w:spacing w:after="0"/>
        <w:tabs>
          <w:tab w:leader="none" w:pos="160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5"/>
          <w:szCs w:val="15"/>
          <w:color w:val="auto"/>
        </w:rPr>
        <w:t>Amendment to Term Life Insurance Premium and Tax Bonus Agreement.</w:t>
      </w:r>
    </w:p>
    <w:p>
      <w:pPr>
        <w:spacing w:after="0" w:line="117" w:lineRule="exact"/>
        <w:rPr>
          <w:sz w:val="20"/>
          <w:szCs w:val="20"/>
          <w:color w:val="auto"/>
        </w:rPr>
      </w:pPr>
    </w:p>
    <w:p>
      <w:pPr>
        <w:ind w:left="840"/>
        <w:spacing w:after="0"/>
        <w:tabs>
          <w:tab w:leader="none" w:pos="1600" w:val="left"/>
        </w:tabs>
        <w:rPr>
          <w:sz w:val="20"/>
          <w:szCs w:val="20"/>
          <w:color w:val="auto"/>
        </w:rPr>
      </w:pPr>
      <w:r>
        <w:rPr>
          <w:rFonts w:ascii="Arial" w:cs="Arial" w:eastAsia="Arial" w:hAnsi="Arial"/>
          <w:sz w:val="18"/>
          <w:szCs w:val="18"/>
          <w:color w:val="auto"/>
        </w:rPr>
        <w:t>10.2  *</w:t>
      </w:r>
      <w:r>
        <w:rPr>
          <w:sz w:val="20"/>
          <w:szCs w:val="20"/>
          <w:color w:val="auto"/>
        </w:rPr>
        <w:tab/>
      </w:r>
      <w:r>
        <w:rPr>
          <w:rFonts w:ascii="Arial" w:cs="Arial" w:eastAsia="Arial" w:hAnsi="Arial"/>
          <w:sz w:val="15"/>
          <w:szCs w:val="15"/>
          <w:color w:val="auto"/>
        </w:rPr>
        <w:t>Life Insurance Premium and Tax Bonus Agreement.</w:t>
      </w:r>
    </w:p>
    <w:p>
      <w:pPr>
        <w:spacing w:after="0" w:line="117" w:lineRule="exact"/>
        <w:rPr>
          <w:sz w:val="20"/>
          <w:szCs w:val="20"/>
          <w:color w:val="auto"/>
        </w:rPr>
      </w:pPr>
    </w:p>
    <w:p>
      <w:pPr>
        <w:ind w:left="1620" w:hanging="640"/>
        <w:spacing w:after="0"/>
        <w:tabs>
          <w:tab w:leader="none" w:pos="16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Certifications of Chief Executive Officer and Co-Chief Financial Officers pursuant to Section 302 of the Sarbanes-Oxley Act of 2002.</w:t>
      </w:r>
    </w:p>
    <w:p>
      <w:pPr>
        <w:spacing w:after="0" w:line="140" w:lineRule="exact"/>
        <w:rPr>
          <w:rFonts w:ascii="Arial" w:cs="Arial" w:eastAsia="Arial" w:hAnsi="Arial"/>
          <w:sz w:val="16"/>
          <w:szCs w:val="16"/>
          <w:color w:val="auto"/>
        </w:rPr>
      </w:pPr>
    </w:p>
    <w:p>
      <w:pPr>
        <w:ind w:right="260" w:firstLine="980"/>
        <w:spacing w:after="0" w:line="469" w:lineRule="auto"/>
        <w:tabs>
          <w:tab w:leader="none" w:pos="1607" w:val="left"/>
        </w:tabs>
        <w:numPr>
          <w:ilvl w:val="1"/>
          <w:numId w:val="11"/>
        </w:numPr>
        <w:rPr>
          <w:rFonts w:ascii="Arial" w:cs="Arial" w:eastAsia="Arial" w:hAnsi="Arial"/>
          <w:sz w:val="18"/>
          <w:szCs w:val="18"/>
          <w:color w:val="auto"/>
        </w:rPr>
      </w:pPr>
      <w:r>
        <w:rPr>
          <w:rFonts w:ascii="Arial" w:cs="Arial" w:eastAsia="Arial" w:hAnsi="Arial"/>
          <w:sz w:val="18"/>
          <w:szCs w:val="18"/>
          <w:color w:val="auto"/>
        </w:rPr>
        <w:t>Certifications of Chief Executive Officer and Co-Chief Financial Officers pursuant to Section 906 of the Sarbanes-Oxley Act of 2002. * 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46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FORM 10-Q FOR THE QUARTER ENDED JUNE 30, 2006</w:t>
      </w:r>
    </w:p>
    <w:p>
      <w:pPr>
        <w:spacing w:after="0" w:line="14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2006</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240" w:top="459" w:right="6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LIFE INSURANCE PREMIUM AND TAX BONUS AGREEMENT</w:t>
      </w:r>
    </w:p>
    <w:p>
      <w:pPr>
        <w:spacing w:after="0" w:line="165"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This AMENDMENT is made as of the 22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day of May, 2006, between COMCAST CORPORATION, a Pennsylvania corporation (together with its subsidiaries, the “Company”), and BRIAN L. ROBERTS (“Roberts”).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1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parties entered into a Term Life Insurance Premium and Tax Bonus Agreement dated as of September 23, 1998 (the “Agreement”), and desire to modify the provisions thereof as set forth herein.</w:t>
      </w:r>
    </w:p>
    <w:p>
      <w:pPr>
        <w:spacing w:after="0" w:line="12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Intending to be legally bound hereby, the Company and Roberts agree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 Section 1 of the Agreement is hereby replaced in its entirety with the following:</w:t>
      </w:r>
    </w:p>
    <w:p>
      <w:pPr>
        <w:spacing w:after="0" w:line="171"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“At or as soon as practical following the due date of each annual premium under each Policy, the Company shall pay to Roberts the full amount of the annual premium under such Policy. The payment or payments made to Roberts under this Section 1 are referred to individually as a “Premium Payment” and collectively as the “Premium Payments.””</w:t>
      </w:r>
    </w:p>
    <w:p>
      <w:pPr>
        <w:spacing w:after="0" w:line="140" w:lineRule="exact"/>
        <w:rPr>
          <w:sz w:val="20"/>
          <w:szCs w:val="20"/>
          <w:color w:val="auto"/>
        </w:rPr>
      </w:pPr>
    </w:p>
    <w:p>
      <w:pPr>
        <w:ind w:right="660" w:firstLine="8"/>
        <w:spacing w:after="0" w:line="268" w:lineRule="auto"/>
        <w:tabs>
          <w:tab w:leader="none" w:pos="1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words “thirty days prior to” in the first sentence in Section 2(a) of the Agreement are hereby deleted and replaced with the words “at or as soon as practicable following”.</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words “or the Trust” in Section 2(a) of the Agreement are hereby deleted.</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3 of the Agreement is hereby deleted in its entirety.</w:t>
      </w:r>
    </w:p>
    <w:p>
      <w:pPr>
        <w:spacing w:after="0" w:line="171" w:lineRule="exact"/>
        <w:rPr>
          <w:rFonts w:ascii="Arial" w:cs="Arial" w:eastAsia="Arial" w:hAnsi="Arial"/>
          <w:sz w:val="18"/>
          <w:szCs w:val="18"/>
          <w:color w:val="auto"/>
        </w:rPr>
      </w:pPr>
    </w:p>
    <w:p>
      <w:pPr>
        <w:ind w:right="60" w:firstLine="8"/>
        <w:spacing w:after="0" w:line="306" w:lineRule="auto"/>
        <w:tabs>
          <w:tab w:leader="none" w:pos="1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It is acknowledged by the parties that their common understanding is that, consistent with the language contained in the Agreement, the obligations of the Company under the Agreement will survive in all events until Roberts’ death, including upon a prior termination of employment by Roberts. Accordingly, for the avoidance of doubt, Section 4 of the Agreement is hereby amended to add the following phrase at the end thereof:</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notwithstanding any prior termination of employment of Roberts.”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6. Except as amended hereby, the Agreement remains in full force and effect.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311150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L. Roberts</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 INSURANCE PREMIUM AND TAX BONUS AGREEMENT</w:t>
      </w:r>
    </w:p>
    <w:p>
      <w:pPr>
        <w:spacing w:after="0" w:line="177" w:lineRule="exact"/>
        <w:rPr>
          <w:sz w:val="20"/>
          <w:szCs w:val="20"/>
          <w:color w:val="auto"/>
        </w:rPr>
      </w:pPr>
    </w:p>
    <w:p>
      <w:pPr>
        <w:ind w:right="400"/>
        <w:spacing w:after="0" w:line="228" w:lineRule="auto"/>
        <w:rPr>
          <w:sz w:val="20"/>
          <w:szCs w:val="20"/>
          <w:color w:val="auto"/>
        </w:rPr>
      </w:pPr>
      <w:r>
        <w:rPr>
          <w:rFonts w:ascii="Arial" w:cs="Arial" w:eastAsia="Arial" w:hAnsi="Arial"/>
          <w:sz w:val="18"/>
          <w:szCs w:val="18"/>
          <w:color w:val="auto"/>
        </w:rPr>
        <w:t>This LIFE INSURANCE PREMIUM AND TAX BONUS AGREEMENT is made as of the 22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day of May, 2006 between COMCAST CORPORATION, a Pennsylvania corporation (together with its subsidiaries, the “Company”), and BRIAN L. ROBERTS (“Roberts”).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17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Company, in addition to other forms of compensation (including life insurance) provided to Roberts, and pursuant to the requirements of an Employment Agreement between the parties dated as of June 1, 2005, wishes to provide funding to Roberts for additional life insurance protection having an aggregate death benefit amount of $50,000,000 under policies of life insurance insuring the life of Roberts, which are owned by a trust created by Roberts, as described on the attached Schedule A and which were or will be issued by the insurance companies identified in Schedule A (such policies referred to individually as a “Policy” and collectively as the “Policies” and the insurance companies identified on Schedule A referred to individually as the “Insurer” and collectively as the “Insurers”).</w:t>
      </w:r>
    </w:p>
    <w:p>
      <w:pPr>
        <w:spacing w:after="0" w:line="13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Intending to be legally bound, the Company and Roberts agree as follows:</w:t>
      </w:r>
    </w:p>
    <w:p>
      <w:pPr>
        <w:spacing w:after="0" w:line="171" w:lineRule="exact"/>
        <w:rPr>
          <w:sz w:val="20"/>
          <w:szCs w:val="20"/>
          <w:color w:val="auto"/>
        </w:rPr>
      </w:pPr>
    </w:p>
    <w:p>
      <w:pPr>
        <w:ind w:right="100" w:firstLine="8"/>
        <w:spacing w:after="0" w:line="259" w:lineRule="auto"/>
        <w:tabs>
          <w:tab w:leader="none" w:pos="17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Life Insurance Premiums</w:t>
      </w:r>
      <w:r>
        <w:rPr>
          <w:rFonts w:ascii="Arial" w:cs="Arial" w:eastAsia="Arial" w:hAnsi="Arial"/>
          <w:sz w:val="18"/>
          <w:szCs w:val="18"/>
          <w:color w:val="auto"/>
        </w:rPr>
        <w:t>. At or as soon as practical following the due date of each annual premium under each Policy, the Company shall pay to Roberts the</w:t>
      </w:r>
      <w:r>
        <w:rPr>
          <w:rFonts w:ascii="Arial" w:cs="Arial" w:eastAsia="Arial" w:hAnsi="Arial"/>
          <w:sz w:val="18"/>
          <w:szCs w:val="18"/>
          <w:i w:val="1"/>
          <w:iCs w:val="1"/>
          <w:color w:val="auto"/>
        </w:rPr>
        <w:t xml:space="preserve"> </w:t>
      </w:r>
      <w:r>
        <w:rPr>
          <w:rFonts w:ascii="Arial" w:cs="Arial" w:eastAsia="Arial" w:hAnsi="Arial"/>
          <w:sz w:val="18"/>
          <w:szCs w:val="18"/>
          <w:color w:val="auto"/>
        </w:rPr>
        <w:t>full amount of the annual premium under such Policy. The payment or payments made to Roberts under this Section 1 are referred to individually as a “Premium Payment” and collectively as the “Premium Payments.”</w:t>
      </w:r>
    </w:p>
    <w:p>
      <w:pPr>
        <w:spacing w:after="0" w:line="140"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Bonus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60" w:right="60" w:firstLine="4"/>
        <w:spacing w:after="0" w:line="288" w:lineRule="auto"/>
        <w:tabs>
          <w:tab w:leader="none" w:pos="699"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 addition to the Premium Payments, the Company shall pay to Roberts, at or as soon as practical following the time each Premium Payment is to be made under Section 1, the following supplemental amount with respect to each such Premium Payment (such amount referred to individually as a “Bonus” and collectively as the “Bonuses”): an income tax gross-up amount equal to (i) the product of such Premium Payment times the highest marginal income tax rate, (ii) divided by one minus the highest marginal income tax rate. The term “highest marginal income tax rate” shall mean the sum of the highest marginal combined local, state and federal personal income tax rates (including any state unemployment compensation tax rate, any surtax rate, and the Medicare hospital insurance tax rate imposed on employees under the Federal Insurance Contributions Act), as in effect for the calendar year as to which the Bonus relates, provided that in determining such tax rate the highest marginal local and state income tax rates shall be reduced by such number of percentage points as will give effect to the tax benefit obtained by Roberts in connection with his deduction of state and local taxes for federal income tax purposes.</w:t>
      </w:r>
    </w:p>
    <w:p>
      <w:pPr>
        <w:spacing w:after="0" w:line="119" w:lineRule="exact"/>
        <w:rPr>
          <w:rFonts w:ascii="Arial" w:cs="Arial" w:eastAsia="Arial" w:hAnsi="Arial"/>
          <w:sz w:val="16"/>
          <w:szCs w:val="16"/>
          <w:color w:val="auto"/>
        </w:rPr>
      </w:pPr>
    </w:p>
    <w:p>
      <w:pPr>
        <w:ind w:left="700" w:hanging="236"/>
        <w:spacing w:after="0"/>
        <w:tabs>
          <w:tab w:leader="none" w:pos="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Bonuses to be paid under this Agreement are subject to applicable tax withholding requirements.</w:t>
      </w:r>
    </w:p>
    <w:p>
      <w:pPr>
        <w:spacing w:after="0" w:line="171" w:lineRule="exact"/>
        <w:rPr>
          <w:rFonts w:ascii="Arial" w:cs="Arial" w:eastAsia="Arial" w:hAnsi="Arial"/>
          <w:sz w:val="18"/>
          <w:szCs w:val="18"/>
          <w:color w:val="auto"/>
        </w:rPr>
      </w:pPr>
    </w:p>
    <w:p>
      <w:pPr>
        <w:ind w:right="60" w:firstLine="8"/>
        <w:spacing w:after="0" w:line="268" w:lineRule="auto"/>
        <w:tabs>
          <w:tab w:leader="none" w:pos="17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Payment in All Events</w:t>
      </w:r>
      <w:r>
        <w:rPr>
          <w:rFonts w:ascii="Arial" w:cs="Arial" w:eastAsia="Arial" w:hAnsi="Arial"/>
          <w:sz w:val="18"/>
          <w:szCs w:val="18"/>
          <w:color w:val="auto"/>
        </w:rPr>
        <w:t>. The Company shall satisfy during the terms of the Policies and continue to satisfy thereafter its obligations under this Agreement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granted to Roberts until the death of Roberts, notwithstanding any prior termination of employment of Roberts.</w:t>
      </w:r>
    </w:p>
    <w:p>
      <w:pPr>
        <w:spacing w:after="0" w:line="131" w:lineRule="exact"/>
        <w:rPr>
          <w:rFonts w:ascii="Arial" w:cs="Arial" w:eastAsia="Arial" w:hAnsi="Arial"/>
          <w:sz w:val="18"/>
          <w:szCs w:val="18"/>
          <w:color w:val="auto"/>
        </w:rPr>
      </w:pPr>
    </w:p>
    <w:p>
      <w:pPr>
        <w:ind w:right="80" w:firstLine="8"/>
        <w:spacing w:after="0" w:line="306" w:lineRule="auto"/>
        <w:tabs>
          <w:tab w:leader="none" w:pos="176"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Policy Proceeds</w:t>
      </w:r>
      <w:r>
        <w:rPr>
          <w:rFonts w:ascii="Arial" w:cs="Arial" w:eastAsia="Arial" w:hAnsi="Arial"/>
          <w:sz w:val="16"/>
          <w:szCs w:val="16"/>
          <w:color w:val="auto"/>
        </w:rPr>
        <w:t>. Upon the death of Roberts, the Policies shall be paid directly to the beneficiary or beneficiaries designated by Roberts (or by the owner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if not owned by Roberts) in the manner and in the amount or amounts provided in the beneficiary designation provision of the applicable Policy. The Company shall have no claim with respect to the proceeds of the Policies, whether on account of the Premium Payments, the Bonuses or otherwise.</w:t>
      </w:r>
    </w:p>
    <w:p>
      <w:pPr>
        <w:sectPr>
          <w:pgSz w:w="11900" w:h="16838" w:orient="portrait"/>
          <w:cols w:equalWidth="0" w:num="1">
            <w:col w:w="11420"/>
          </w:cols>
          <w:pgMar w:left="240" w:top="125" w:right="239" w:bottom="1440" w:gutter="0" w:footer="0" w:header="0"/>
        </w:sectPr>
      </w:pPr>
    </w:p>
    <w:bookmarkStart w:id="45" w:name="page46"/>
    <w:bookmarkEnd w:id="45"/>
    <w:p>
      <w:pPr>
        <w:ind w:right="280" w:firstLine="8"/>
        <w:spacing w:after="0" w:line="268"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w:t>
      </w:r>
      <w:r>
        <w:rPr>
          <w:rFonts w:ascii="Arial" w:cs="Arial" w:eastAsia="Arial" w:hAnsi="Arial"/>
          <w:sz w:val="18"/>
          <w:szCs w:val="18"/>
          <w:color w:val="auto"/>
        </w:rPr>
        <w:t>. Roberts may terminate this Agreement by written notice to the Company. Such termination shall be effective as of the date of such notice.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may not terminate this Agreement.</w:t>
      </w:r>
    </w:p>
    <w:p>
      <w:pPr>
        <w:spacing w:after="0" w:line="131" w:lineRule="exact"/>
        <w:rPr>
          <w:rFonts w:ascii="Arial" w:cs="Arial" w:eastAsia="Arial" w:hAnsi="Arial"/>
          <w:sz w:val="18"/>
          <w:szCs w:val="18"/>
          <w:color w:val="auto"/>
        </w:rPr>
      </w:pPr>
    </w:p>
    <w:p>
      <w:pPr>
        <w:ind w:right="620" w:firstLine="8"/>
        <w:spacing w:after="0" w:line="268"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This Agreement may not be amended, altered or modified, except by a written instrument signed by the parties to this Agreement, 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successors or assigns, and may not otherwise be terminated except as provided herein.</w:t>
      </w:r>
    </w:p>
    <w:p>
      <w:pPr>
        <w:spacing w:after="0" w:line="131" w:lineRule="exact"/>
        <w:rPr>
          <w:rFonts w:ascii="Arial" w:cs="Arial" w:eastAsia="Arial" w:hAnsi="Arial"/>
          <w:sz w:val="18"/>
          <w:szCs w:val="18"/>
          <w:color w:val="auto"/>
        </w:rPr>
      </w:pPr>
    </w:p>
    <w:p>
      <w:pPr>
        <w:ind w:firstLine="8"/>
        <w:spacing w:after="0" w:line="268"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Succession</w:t>
      </w:r>
      <w:r>
        <w:rPr>
          <w:rFonts w:ascii="Arial" w:cs="Arial" w:eastAsia="Arial" w:hAnsi="Arial"/>
          <w:sz w:val="18"/>
          <w:szCs w:val="18"/>
          <w:color w:val="auto"/>
        </w:rPr>
        <w:t>. This Agreement shall be binding upon and shall inure to the benefit of the Company and its successors and assigns, and Roberts and his successors,</w:t>
      </w:r>
      <w:r>
        <w:rPr>
          <w:rFonts w:ascii="Arial" w:cs="Arial" w:eastAsia="Arial" w:hAnsi="Arial"/>
          <w:sz w:val="18"/>
          <w:szCs w:val="18"/>
          <w:i w:val="1"/>
          <w:iCs w:val="1"/>
          <w:color w:val="auto"/>
        </w:rPr>
        <w:t xml:space="preserve"> </w:t>
      </w:r>
      <w:r>
        <w:rPr>
          <w:rFonts w:ascii="Arial" w:cs="Arial" w:eastAsia="Arial" w:hAnsi="Arial"/>
          <w:sz w:val="18"/>
          <w:szCs w:val="18"/>
          <w:color w:val="auto"/>
        </w:rPr>
        <w:t>assigns, heirs, executors, administrators and beneficiaries.</w:t>
      </w:r>
    </w:p>
    <w:p>
      <w:pPr>
        <w:spacing w:after="0" w:line="131" w:lineRule="exact"/>
        <w:rPr>
          <w:rFonts w:ascii="Arial" w:cs="Arial" w:eastAsia="Arial" w:hAnsi="Arial"/>
          <w:sz w:val="18"/>
          <w:szCs w:val="18"/>
          <w:color w:val="auto"/>
        </w:rPr>
      </w:pPr>
    </w:p>
    <w:p>
      <w:pPr>
        <w:ind w:right="20" w:firstLine="8"/>
        <w:spacing w:after="0" w:line="256"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Any notice, consent or demand required or permitted to be given under the provisions of this Agreement shall be in writing, and shall be signed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party making the same. If such notice, consent or demand is mailed to a party hereto, it shall be sent by certified mail, postage prepaid, or delivered by a nationally recognized overnight carrier service addressed to such party’s last known address as shown on the records of the Company. The date of such mailing or delivery to such service shall be deemed the date of notice, consent or demand.</w:t>
      </w:r>
    </w:p>
    <w:p>
      <w:pPr>
        <w:spacing w:after="0" w:line="143" w:lineRule="exact"/>
        <w:rPr>
          <w:rFonts w:ascii="Arial" w:cs="Arial" w:eastAsia="Arial" w:hAnsi="Arial"/>
          <w:sz w:val="18"/>
          <w:szCs w:val="18"/>
          <w:color w:val="auto"/>
        </w:rPr>
      </w:pPr>
    </w:p>
    <w:p>
      <w:pPr>
        <w:ind w:right="60" w:firstLine="8"/>
        <w:spacing w:after="0" w:line="268"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Captions</w:t>
      </w:r>
      <w:r>
        <w:rPr>
          <w:rFonts w:ascii="Arial" w:cs="Arial" w:eastAsia="Arial" w:hAnsi="Arial"/>
          <w:sz w:val="18"/>
          <w:szCs w:val="18"/>
          <w:color w:val="auto"/>
        </w:rPr>
        <w:t>. The captions of the Sections herein are inserted as a matter of convenience of reference only and in no way define, limit or describe the scope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any provisions hereof.</w:t>
      </w:r>
    </w:p>
    <w:p>
      <w:pPr>
        <w:spacing w:after="0" w:line="131" w:lineRule="exact"/>
        <w:rPr>
          <w:rFonts w:ascii="Arial" w:cs="Arial" w:eastAsia="Arial" w:hAnsi="Arial"/>
          <w:sz w:val="18"/>
          <w:szCs w:val="18"/>
          <w:color w:val="auto"/>
        </w:rPr>
      </w:pPr>
    </w:p>
    <w:p>
      <w:pPr>
        <w:ind w:right="480" w:firstLine="8"/>
        <w:spacing w:after="0" w:line="268" w:lineRule="auto"/>
        <w:tabs>
          <w:tab w:leader="none" w:pos="263"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rights of the parties hereunder, shall be governed by and construed in accordance with the internal laws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Commonwealth of Pennsylvania and shall be enforced in the Commonwealth of Pennsylvania.</w:t>
      </w:r>
    </w:p>
    <w:p>
      <w:pPr>
        <w:spacing w:after="0" w:line="131" w:lineRule="exact"/>
        <w:rPr>
          <w:rFonts w:ascii="Arial" w:cs="Arial" w:eastAsia="Arial" w:hAnsi="Arial"/>
          <w:sz w:val="18"/>
          <w:szCs w:val="18"/>
          <w:color w:val="auto"/>
        </w:rPr>
      </w:pPr>
    </w:p>
    <w:p>
      <w:pPr>
        <w:ind w:right="100" w:firstLine="8"/>
        <w:spacing w:after="0" w:line="291" w:lineRule="auto"/>
        <w:tabs>
          <w:tab w:leader="none" w:pos="257"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Representations</w:t>
      </w:r>
      <w:r>
        <w:rPr>
          <w:rFonts w:ascii="Arial" w:cs="Arial" w:eastAsia="Arial" w:hAnsi="Arial"/>
          <w:sz w:val="16"/>
          <w:szCs w:val="16"/>
          <w:color w:val="auto"/>
        </w:rPr>
        <w:t>. The Company has the corporate power and authority to enter into and deliver this Agreement and to perform its obligations hereunder.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delivery and performance of this Agreement by the Company has been duly authorized by all necessary corporate action required to have been taken under applicable law and the Company’s organizational documents. This Agreement has been duly executed and delivered by the Company and constitutes the legal, valid and binding obligation of the Company, enforceable against it in accordance with its terms. Neither the execution nor performance of this Agreement by the Company will conflict with or result in the breach of the provisions of the Company’s Articles of Incorporation or Bylaws or any agreement to which the Company is a party, or violate or require any consent under any law, regulation, order or decree.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303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311150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L. Roberts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8"/>
        </w:trPr>
        <w:tc>
          <w:tcPr>
            <w:tcW w:w="2780" w:type="dxa"/>
            <w:vAlign w:val="bottom"/>
          </w:tcPr>
          <w:p>
            <w:pPr>
              <w:spacing w:after="0"/>
              <w:rPr>
                <w:sz w:val="19"/>
                <w:szCs w:val="19"/>
                <w:color w:val="auto"/>
              </w:rPr>
            </w:pPr>
          </w:p>
        </w:tc>
        <w:tc>
          <w:tcPr>
            <w:tcW w:w="4360" w:type="dxa"/>
            <w:vAlign w:val="bottom"/>
            <w:gridSpan w:val="3"/>
          </w:tcPr>
          <w:p>
            <w:pPr>
              <w:jc w:val="center"/>
              <w:ind w:right="252"/>
              <w:spacing w:after="0"/>
              <w:rPr>
                <w:sz w:val="20"/>
                <w:szCs w:val="20"/>
                <w:color w:val="auto"/>
              </w:rPr>
            </w:pPr>
            <w:r>
              <w:rPr>
                <w:rFonts w:ascii="Arial" w:cs="Arial" w:eastAsia="Arial" w:hAnsi="Arial"/>
                <w:sz w:val="18"/>
                <w:szCs w:val="18"/>
                <w:b w:val="1"/>
                <w:bCs w:val="1"/>
                <w:color w:val="auto"/>
                <w:w w:val="85"/>
              </w:rPr>
              <w:t>Schedule A</w:t>
            </w:r>
          </w:p>
        </w:tc>
        <w:tc>
          <w:tcPr>
            <w:tcW w:w="2440" w:type="dxa"/>
            <w:vAlign w:val="bottom"/>
          </w:tcPr>
          <w:p>
            <w:pPr>
              <w:spacing w:after="0"/>
              <w:rPr>
                <w:sz w:val="19"/>
                <w:szCs w:val="19"/>
                <w:color w:val="auto"/>
              </w:rPr>
            </w:pPr>
          </w:p>
        </w:tc>
      </w:tr>
      <w:tr>
        <w:trPr>
          <w:trHeight w:val="360"/>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Insurer</w:t>
            </w:r>
          </w:p>
        </w:tc>
        <w:tc>
          <w:tcPr>
            <w:tcW w:w="21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400" w:type="dxa"/>
            <w:vAlign w:val="bottom"/>
            <w:tcBorders>
              <w:bottom w:val="single" w:sz="8" w:color="auto"/>
            </w:tcBorders>
            <w:gridSpan w:val="2"/>
          </w:tcPr>
          <w:p>
            <w:pPr>
              <w:jc w:val="right"/>
              <w:ind w:right="1512"/>
              <w:spacing w:after="0"/>
              <w:rPr>
                <w:sz w:val="20"/>
                <w:szCs w:val="20"/>
                <w:color w:val="auto"/>
              </w:rPr>
            </w:pPr>
            <w:r>
              <w:rPr>
                <w:rFonts w:ascii="Arial" w:cs="Arial" w:eastAsia="Arial" w:hAnsi="Arial"/>
                <w:sz w:val="14"/>
                <w:szCs w:val="14"/>
                <w:b w:val="1"/>
                <w:bCs w:val="1"/>
                <w:color w:val="auto"/>
              </w:rPr>
              <w:t>Amount (in millions)</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Phoenix</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40" w:type="dxa"/>
            <w:vAlign w:val="bottom"/>
            <w:shd w:val="clear" w:color="auto" w:fill="CCEEFF"/>
          </w:tcPr>
          <w:p>
            <w:pPr>
              <w:jc w:val="right"/>
              <w:ind w:right="1792"/>
              <w:spacing w:after="0"/>
              <w:rPr>
                <w:sz w:val="20"/>
                <w:szCs w:val="20"/>
                <w:color w:val="auto"/>
              </w:rPr>
            </w:pPr>
            <w:r>
              <w:rPr>
                <w:rFonts w:ascii="Arial" w:cs="Arial" w:eastAsia="Arial" w:hAnsi="Arial"/>
                <w:sz w:val="18"/>
                <w:szCs w:val="18"/>
                <w:color w:val="auto"/>
                <w:w w:val="82"/>
              </w:rPr>
              <w:t>10.0000</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AIG</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1792"/>
              <w:spacing w:after="0"/>
              <w:rPr>
                <w:sz w:val="20"/>
                <w:szCs w:val="20"/>
                <w:color w:val="auto"/>
              </w:rPr>
            </w:pPr>
            <w:r>
              <w:rPr>
                <w:rFonts w:ascii="Arial" w:cs="Arial" w:eastAsia="Arial" w:hAnsi="Arial"/>
                <w:sz w:val="18"/>
                <w:szCs w:val="18"/>
                <w:color w:val="auto"/>
                <w:w w:val="98"/>
              </w:rPr>
              <w:t>3.5000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Nationwide</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40" w:type="dxa"/>
            <w:vAlign w:val="bottom"/>
            <w:shd w:val="clear" w:color="auto" w:fill="CCEEFF"/>
          </w:tcPr>
          <w:p>
            <w:pPr>
              <w:jc w:val="right"/>
              <w:ind w:right="1792"/>
              <w:spacing w:after="0"/>
              <w:rPr>
                <w:sz w:val="20"/>
                <w:szCs w:val="20"/>
                <w:color w:val="auto"/>
              </w:rPr>
            </w:pPr>
            <w:r>
              <w:rPr>
                <w:rFonts w:ascii="Arial" w:cs="Arial" w:eastAsia="Arial" w:hAnsi="Arial"/>
                <w:sz w:val="18"/>
                <w:szCs w:val="18"/>
                <w:color w:val="auto"/>
                <w:w w:val="98"/>
              </w:rPr>
              <w:t>5.0000</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Lincoln National</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1792"/>
              <w:spacing w:after="0"/>
              <w:rPr>
                <w:sz w:val="20"/>
                <w:szCs w:val="20"/>
                <w:color w:val="auto"/>
              </w:rPr>
            </w:pPr>
            <w:r>
              <w:rPr>
                <w:rFonts w:ascii="Arial" w:cs="Arial" w:eastAsia="Arial" w:hAnsi="Arial"/>
                <w:sz w:val="18"/>
                <w:szCs w:val="18"/>
                <w:color w:val="auto"/>
                <w:w w:val="98"/>
              </w:rPr>
              <w:t>3.5625</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Pacific Life</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40" w:type="dxa"/>
            <w:vAlign w:val="bottom"/>
            <w:shd w:val="clear" w:color="auto" w:fill="CCEEFF"/>
          </w:tcPr>
          <w:p>
            <w:pPr>
              <w:jc w:val="right"/>
              <w:ind w:right="1792"/>
              <w:spacing w:after="0"/>
              <w:rPr>
                <w:sz w:val="20"/>
                <w:szCs w:val="20"/>
                <w:color w:val="auto"/>
              </w:rPr>
            </w:pPr>
            <w:r>
              <w:rPr>
                <w:rFonts w:ascii="Arial" w:cs="Arial" w:eastAsia="Arial" w:hAnsi="Arial"/>
                <w:sz w:val="18"/>
                <w:szCs w:val="18"/>
                <w:color w:val="auto"/>
                <w:w w:val="98"/>
              </w:rPr>
              <w:t>5.0000</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Hartford</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1792"/>
              <w:spacing w:after="0"/>
              <w:rPr>
                <w:sz w:val="20"/>
                <w:szCs w:val="20"/>
                <w:color w:val="auto"/>
              </w:rPr>
            </w:pPr>
            <w:r>
              <w:rPr>
                <w:rFonts w:ascii="Arial" w:cs="Arial" w:eastAsia="Arial" w:hAnsi="Arial"/>
                <w:sz w:val="18"/>
                <w:szCs w:val="18"/>
                <w:color w:val="auto"/>
                <w:w w:val="98"/>
              </w:rPr>
              <w:t>5.0000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AIG</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40" w:type="dxa"/>
            <w:vAlign w:val="bottom"/>
            <w:shd w:val="clear" w:color="auto" w:fill="CCEEFF"/>
          </w:tcPr>
          <w:p>
            <w:pPr>
              <w:jc w:val="right"/>
              <w:ind w:right="1792"/>
              <w:spacing w:after="0"/>
              <w:rPr>
                <w:sz w:val="20"/>
                <w:szCs w:val="20"/>
                <w:color w:val="auto"/>
              </w:rPr>
            </w:pPr>
            <w:r>
              <w:rPr>
                <w:rFonts w:ascii="Arial" w:cs="Arial" w:eastAsia="Arial" w:hAnsi="Arial"/>
                <w:sz w:val="18"/>
                <w:szCs w:val="18"/>
                <w:color w:val="auto"/>
                <w:w w:val="98"/>
              </w:rPr>
              <w:t>5.0000</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Travelers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1792"/>
              <w:spacing w:after="0"/>
              <w:rPr>
                <w:sz w:val="20"/>
                <w:szCs w:val="20"/>
                <w:color w:val="auto"/>
              </w:rPr>
            </w:pPr>
            <w:r>
              <w:rPr>
                <w:rFonts w:ascii="Arial" w:cs="Arial" w:eastAsia="Arial" w:hAnsi="Arial"/>
                <w:sz w:val="18"/>
                <w:szCs w:val="18"/>
                <w:color w:val="auto"/>
                <w:w w:val="98"/>
              </w:rPr>
              <w:t>4.1875</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Lincoln Benefit</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40" w:type="dxa"/>
            <w:vAlign w:val="bottom"/>
            <w:shd w:val="clear" w:color="auto" w:fill="CCEEFF"/>
          </w:tcPr>
          <w:p>
            <w:pPr>
              <w:jc w:val="right"/>
              <w:ind w:right="1792"/>
              <w:spacing w:after="0"/>
              <w:rPr>
                <w:sz w:val="20"/>
                <w:szCs w:val="20"/>
                <w:color w:val="auto"/>
              </w:rPr>
            </w:pPr>
            <w:r>
              <w:rPr>
                <w:rFonts w:ascii="Arial" w:cs="Arial" w:eastAsia="Arial" w:hAnsi="Arial"/>
                <w:sz w:val="18"/>
                <w:szCs w:val="18"/>
                <w:color w:val="auto"/>
                <w:w w:val="98"/>
              </w:rPr>
              <w:t>5.0000</w:t>
            </w: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Principal</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1792"/>
              <w:spacing w:after="0"/>
              <w:rPr>
                <w:sz w:val="20"/>
                <w:szCs w:val="20"/>
                <w:color w:val="auto"/>
              </w:rPr>
            </w:pPr>
            <w:r>
              <w:rPr>
                <w:rFonts w:ascii="Arial" w:cs="Arial" w:eastAsia="Arial" w:hAnsi="Arial"/>
                <w:sz w:val="18"/>
                <w:szCs w:val="18"/>
                <w:color w:val="auto"/>
                <w:w w:val="98"/>
              </w:rPr>
              <w:t>3.7500</w:t>
            </w:r>
          </w:p>
        </w:tc>
      </w:tr>
      <w:tr>
        <w:trPr>
          <w:trHeight w:val="356"/>
        </w:trPr>
        <w:tc>
          <w:tcPr>
            <w:tcW w:w="278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580"/>
          </w:cols>
          <w:pgMar w:left="1160" w:top="274" w:right="11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21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28,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Lawrence S. Smith, certify that:</w:t>
      </w:r>
    </w:p>
    <w:p>
      <w:pPr>
        <w:spacing w:after="0" w:line="21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90" w:lineRule="exact"/>
        <w:rPr>
          <w:rFonts w:ascii="Arial" w:cs="Arial" w:eastAsia="Arial" w:hAnsi="Arial"/>
          <w:sz w:val="18"/>
          <w:szCs w:val="18"/>
          <w:color w:val="auto"/>
        </w:rPr>
      </w:pPr>
    </w:p>
    <w:p>
      <w:pPr>
        <w:ind w:left="460" w:right="20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2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2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28,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ectPr>
          <w:pgSz w:w="11900" w:h="16838" w:orient="portrait"/>
          <w:cols w:equalWidth="0" w:num="1">
            <w:col w:w="11360"/>
          </w:cols>
          <w:pgMar w:left="240" w:top="280" w:right="29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John R. Alchin, certify that:</w:t>
      </w:r>
    </w:p>
    <w:p>
      <w:pPr>
        <w:spacing w:after="0" w:line="21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90" w:lineRule="exact"/>
        <w:rPr>
          <w:rFonts w:ascii="Arial" w:cs="Arial" w:eastAsia="Arial" w:hAnsi="Arial"/>
          <w:sz w:val="18"/>
          <w:szCs w:val="18"/>
          <w:color w:val="auto"/>
        </w:rPr>
      </w:pPr>
    </w:p>
    <w:p>
      <w:pPr>
        <w:ind w:left="460" w:right="200" w:hanging="452"/>
        <w:spacing w:after="0" w:line="35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2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2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ectPr>
          <w:pgSz w:w="11900" w:h="16838" w:orient="portrait"/>
          <w:cols w:equalWidth="0" w:num="1">
            <w:col w:w="11360"/>
          </w:cols>
          <w:pgMar w:left="240" w:top="280" w:right="2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28,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Brian L. Roberts, the Chief Executive Officer, Lawrence S. Smith, the Co-Chief Financial Officer and John R. Alchin, the Co-Chief Financial Officer of Comcast Corporation, each certifies that, to the best of his knowledge:</w:t>
      </w:r>
    </w:p>
    <w:p>
      <w:pPr>
        <w:spacing w:after="0" w:line="17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Roman"/>
      <w:start w:val="2"/>
    </w:lvl>
  </w:abstractNum>
  <w:abstractNum w:abstractNumId="3">
    <w:nsid w:val="1F16E9E8"/>
    <w:multiLevelType w:val="hybridMultilevel"/>
    <w:lvl w:ilvl="0">
      <w:lvlJc w:val="left"/>
      <w:lvlText w:val="%1."/>
      <w:numFmt w:val="decimal"/>
      <w:start w:val="8"/>
    </w:lvl>
  </w:abstractNum>
  <w:abstractNum w:abstractNumId="4">
    <w:nsid w:val="1190CDE7"/>
    <w:multiLevelType w:val="hybridMultilevel"/>
    <w:lvl w:ilvl="0">
      <w:lvlJc w:val="left"/>
      <w:lvlText w:val="(%1)"/>
      <w:numFmt w:val="lowerRoman"/>
      <w:start w:val="2"/>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Letter"/>
      <w:start w:val="1"/>
    </w:lvl>
    <w:lvl w:ilvl="1">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lowerRoman"/>
      <w:start w:val="3"/>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lvl w:ilvl="1">
      <w:lvlJc w:val="left"/>
      <w:lvlText w:val="%2"/>
      <w:numFmt w:val="decimal"/>
      <w:start w:val="31"/>
    </w:lvl>
  </w:abstractNum>
  <w:abstractNum w:abstractNumId="11">
    <w:nsid w:val="1BEFD79F"/>
    <w:multiLevelType w:val="hybridMultilevel"/>
    <w:lvl w:ilvl="0">
      <w:lvlJc w:val="left"/>
      <w:lvlText w:val="%1."/>
      <w:numFmt w:val="decimal"/>
      <w:start w:val="2"/>
    </w:lvl>
  </w:abstractNum>
  <w:abstractNum w:abstractNumId="12">
    <w:nsid w:val="41A7C4C9"/>
    <w:multiLevelType w:val="hybridMultilevel"/>
    <w:lvl w:ilvl="0">
      <w:lvlJc w:val="left"/>
      <w:lvlText w:val="%1."/>
      <w:numFmt w:val="decimal"/>
      <w:start w:val="1"/>
    </w:lvl>
    <w:lvl w:ilvl="1">
      <w:lvlJc w:val="left"/>
      <w:lvlText w:val="(%2)"/>
      <w:numFmt w:val="lowerLetter"/>
      <w:start w:val="1"/>
    </w:lvl>
  </w:abstractNum>
  <w:abstractNum w:abstractNumId="13">
    <w:nsid w:val="6B68079A"/>
    <w:multiLevelType w:val="hybridMultilevel"/>
    <w:lvl w:ilvl="0">
      <w:lvlJc w:val="left"/>
      <w:lvlText w:val="%1."/>
      <w:numFmt w:val="decimal"/>
      <w:start w:val="5"/>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2019-12-15T06:10:05Z</dcterms:created>
  <dcterms:modified xsi:type="dcterms:W3CDTF">2019-12-15T06:10:05Z</dcterms:modified>
</cp:coreProperties>
</file>