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ind w:right="-5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77" w:lineRule="exact"/>
        <w:rPr>
          <w:sz w:val="20"/>
          <w:szCs w:val="20"/>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14A</w:t>
      </w:r>
    </w:p>
    <w:p>
      <w:pPr>
        <w:spacing w:after="0" w:line="4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(Rule 14a-101)</w:t>
      </w:r>
    </w:p>
    <w:p>
      <w:pPr>
        <w:spacing w:after="0" w:line="196"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INFORMATION REQUIRED IN PROXY STATEMENT</w:t>
      </w:r>
    </w:p>
    <w:p>
      <w:pPr>
        <w:spacing w:after="0" w:line="14"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SCHEDULE 14A INFORMATION</w:t>
      </w:r>
    </w:p>
    <w:p>
      <w:pPr>
        <w:spacing w:after="0" w:line="182"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Proxy Statement Pursuant to Section 14(a) of the Securities</w:t>
      </w:r>
    </w:p>
    <w:p>
      <w:pPr>
        <w:spacing w:after="0" w:line="14" w:lineRule="exact"/>
        <w:rPr>
          <w:sz w:val="20"/>
          <w:szCs w:val="20"/>
          <w:color w:val="auto"/>
        </w:rPr>
      </w:pPr>
    </w:p>
    <w:p>
      <w:pPr>
        <w:jc w:val="center"/>
        <w:ind w:right="-79"/>
        <w:spacing w:after="0"/>
        <w:tabs>
          <w:tab w:leader="none" w:pos="200" w:val="left"/>
        </w:tabs>
        <w:rPr>
          <w:sz w:val="20"/>
          <w:szCs w:val="20"/>
          <w:color w:val="auto"/>
        </w:rPr>
      </w:pPr>
      <w:r>
        <w:rPr>
          <w:rFonts w:ascii="Arial" w:cs="Arial" w:eastAsia="Arial" w:hAnsi="Arial"/>
          <w:sz w:val="21"/>
          <w:szCs w:val="21"/>
          <w:b w:val="1"/>
          <w:bCs w:val="1"/>
          <w:color w:val="auto"/>
        </w:rPr>
        <w:t>Exchange Act of 1934 (Amendment No.</w:t>
      </w:r>
      <w:r>
        <w:rPr>
          <w:sz w:val="20"/>
          <w:szCs w:val="20"/>
          <w:color w:val="auto"/>
        </w:rPr>
        <w:tab/>
      </w:r>
      <w:r>
        <w:rPr>
          <w:rFonts w:ascii="Arial" w:cs="Arial" w:eastAsia="Arial" w:hAnsi="Arial"/>
          <w:sz w:val="22"/>
          <w:szCs w:val="22"/>
          <w:b w:val="1"/>
          <w:bCs w:val="1"/>
          <w:color w:val="auto"/>
        </w:rPr>
        <w:t>)</w:t>
      </w:r>
    </w:p>
    <w:p>
      <w:pPr>
        <w:spacing w:after="0" w:line="55"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Filed by a Party other than the Registrant 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25" w:lineRule="exact"/>
        <w:rPr>
          <w:sz w:val="20"/>
          <w:szCs w:val="20"/>
          <w:color w:val="auto"/>
        </w:rPr>
      </w:pPr>
    </w:p>
    <w:p>
      <w:pPr>
        <w:ind w:left="360" w:hanging="352"/>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113" w:lineRule="exact"/>
        <w:rPr>
          <w:rFonts w:ascii="Arial" w:cs="Arial" w:eastAsia="Arial" w:hAnsi="Arial"/>
          <w:sz w:val="18"/>
          <w:szCs w:val="18"/>
          <w:color w:val="auto"/>
        </w:rPr>
      </w:pPr>
    </w:p>
    <w:p>
      <w:pPr>
        <w:ind w:left="360" w:hanging="352"/>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rFonts w:ascii="Arial" w:cs="Arial" w:eastAsia="Arial" w:hAnsi="Arial"/>
          <w:sz w:val="18"/>
          <w:szCs w:val="18"/>
          <w:color w:val="auto"/>
        </w:rPr>
      </w:pPr>
    </w:p>
    <w:p>
      <w:pPr>
        <w:ind w:left="360" w:hanging="352"/>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117" w:lineRule="exact"/>
        <w:rPr>
          <w:sz w:val="20"/>
          <w:szCs w:val="20"/>
          <w:color w:val="auto"/>
        </w:rPr>
      </w:pPr>
    </w:p>
    <w:p>
      <w:pPr>
        <w:ind w:left="440" w:hanging="432"/>
        <w:spacing w:after="0"/>
        <w:tabs>
          <w:tab w:leader="none" w:pos="4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sz w:val="20"/>
          <w:szCs w:val="20"/>
          <w:color w:val="auto"/>
        </w:rPr>
      </w:pPr>
    </w:p>
    <w:p>
      <w:pPr>
        <w:ind w:left="360" w:hanging="352"/>
        <w:spacing w:after="0"/>
        <w:tabs>
          <w:tab w:leader="none" w:pos="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Soliciting Material Pursuant to § 240.14a-12</w:t>
      </w:r>
    </w:p>
    <w:p>
      <w:pPr>
        <w:spacing w:after="0" w:line="257"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COMCAST CORPORATION</w:t>
      </w:r>
    </w:p>
    <w:p>
      <w:pPr>
        <w:spacing w:after="0" w:line="4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340995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0"/>
          <w:szCs w:val="20"/>
          <w:color w:val="auto"/>
        </w:rPr>
      </w:pPr>
    </w:p>
    <w:p>
      <w:pPr>
        <w:ind w:left="340" w:hanging="332"/>
        <w:spacing w:after="0"/>
        <w:tabs>
          <w:tab w:leader="none" w:pos="34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Arial" w:cs="Arial" w:eastAsia="Arial" w:hAnsi="Arial"/>
          <w:sz w:val="18"/>
          <w:szCs w:val="18"/>
          <w:color w:val="auto"/>
        </w:rPr>
      </w:pPr>
    </w:p>
    <w:p>
      <w:pPr>
        <w:ind w:left="860" w:hanging="475"/>
        <w:spacing w:after="0"/>
        <w:tabs>
          <w:tab w:leader="none" w:pos="8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52" w:lineRule="exact"/>
        <w:rPr>
          <w:rFonts w:ascii="Arial" w:cs="Arial" w:eastAsia="Arial" w:hAnsi="Arial"/>
          <w:sz w:val="18"/>
          <w:szCs w:val="18"/>
          <w:color w:val="auto"/>
        </w:rPr>
      </w:pPr>
    </w:p>
    <w:p>
      <w:pPr>
        <w:ind w:left="860" w:hanging="475"/>
        <w:spacing w:after="0"/>
        <w:tabs>
          <w:tab w:leader="none" w:pos="8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52" w:lineRule="exact"/>
        <w:rPr>
          <w:rFonts w:ascii="Arial" w:cs="Arial" w:eastAsia="Arial" w:hAnsi="Arial"/>
          <w:sz w:val="18"/>
          <w:szCs w:val="18"/>
          <w:color w:val="auto"/>
        </w:rPr>
      </w:pPr>
    </w:p>
    <w:p>
      <w:pPr>
        <w:ind w:left="860" w:hanging="475"/>
        <w:spacing w:after="0" w:line="277" w:lineRule="auto"/>
        <w:tabs>
          <w:tab w:leader="none" w:pos="8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97" w:lineRule="exact"/>
        <w:rPr>
          <w:rFonts w:ascii="Arial" w:cs="Arial" w:eastAsia="Arial" w:hAnsi="Arial"/>
          <w:sz w:val="18"/>
          <w:szCs w:val="18"/>
          <w:color w:val="auto"/>
        </w:rPr>
      </w:pPr>
    </w:p>
    <w:p>
      <w:pPr>
        <w:ind w:left="860" w:hanging="475"/>
        <w:spacing w:after="0"/>
        <w:tabs>
          <w:tab w:leader="none" w:pos="8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52" w:lineRule="exact"/>
        <w:rPr>
          <w:rFonts w:ascii="Arial" w:cs="Arial" w:eastAsia="Arial" w:hAnsi="Arial"/>
          <w:sz w:val="18"/>
          <w:szCs w:val="18"/>
          <w:color w:val="auto"/>
        </w:rPr>
      </w:pPr>
    </w:p>
    <w:p>
      <w:pPr>
        <w:ind w:left="860" w:hanging="475"/>
        <w:spacing w:after="0"/>
        <w:tabs>
          <w:tab w:leader="none" w:pos="8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4" w:lineRule="exact"/>
        <w:rPr>
          <w:rFonts w:ascii="Arial" w:cs="Arial" w:eastAsia="Arial" w:hAnsi="Arial"/>
          <w:sz w:val="18"/>
          <w:szCs w:val="18"/>
          <w:color w:val="auto"/>
        </w:rPr>
      </w:pPr>
    </w:p>
    <w:p>
      <w:pPr>
        <w:ind w:left="360" w:hanging="352"/>
        <w:spacing w:after="0"/>
        <w:tabs>
          <w:tab w:leader="none" w:pos="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38" w:lineRule="exact"/>
        <w:rPr>
          <w:rFonts w:ascii="Arial" w:cs="Arial" w:eastAsia="Arial" w:hAnsi="Arial"/>
          <w:sz w:val="18"/>
          <w:szCs w:val="18"/>
          <w:color w:val="auto"/>
        </w:rPr>
      </w:pPr>
    </w:p>
    <w:p>
      <w:pPr>
        <w:ind w:left="360" w:right="480" w:hanging="352"/>
        <w:spacing w:after="0" w:line="308" w:lineRule="auto"/>
        <w:tabs>
          <w:tab w:leader="none" w:pos="360"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46" w:lineRule="exact"/>
        <w:rPr>
          <w:rFonts w:ascii="Arial" w:cs="Arial" w:eastAsia="Arial" w:hAnsi="Arial"/>
          <w:sz w:val="17"/>
          <w:szCs w:val="17"/>
          <w:color w:val="auto"/>
        </w:rPr>
      </w:pPr>
    </w:p>
    <w:p>
      <w:pPr>
        <w:ind w:left="860" w:hanging="475"/>
        <w:spacing w:after="0"/>
        <w:tabs>
          <w:tab w:leader="none" w:pos="8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52" w:lineRule="exact"/>
        <w:rPr>
          <w:rFonts w:ascii="Arial" w:cs="Arial" w:eastAsia="Arial" w:hAnsi="Arial"/>
          <w:sz w:val="18"/>
          <w:szCs w:val="18"/>
          <w:color w:val="auto"/>
        </w:rPr>
      </w:pPr>
    </w:p>
    <w:p>
      <w:pPr>
        <w:ind w:left="860" w:hanging="475"/>
        <w:spacing w:after="0"/>
        <w:tabs>
          <w:tab w:leader="none" w:pos="8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52" w:lineRule="exact"/>
        <w:rPr>
          <w:rFonts w:ascii="Arial" w:cs="Arial" w:eastAsia="Arial" w:hAnsi="Arial"/>
          <w:sz w:val="18"/>
          <w:szCs w:val="18"/>
          <w:color w:val="auto"/>
        </w:rPr>
      </w:pPr>
    </w:p>
    <w:p>
      <w:pPr>
        <w:ind w:left="860" w:hanging="475"/>
        <w:spacing w:after="0"/>
        <w:tabs>
          <w:tab w:leader="none" w:pos="8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52" w:lineRule="exact"/>
        <w:rPr>
          <w:rFonts w:ascii="Arial" w:cs="Arial" w:eastAsia="Arial" w:hAnsi="Arial"/>
          <w:sz w:val="18"/>
          <w:szCs w:val="18"/>
          <w:color w:val="auto"/>
        </w:rPr>
      </w:pPr>
    </w:p>
    <w:p>
      <w:pPr>
        <w:ind w:left="860" w:hanging="475"/>
        <w:spacing w:after="0"/>
        <w:tabs>
          <w:tab w:leader="none" w:pos="86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-3286125</wp:posOffset>
            </wp:positionV>
            <wp:extent cx="67062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06235" cy="8890"/>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-2994660</wp:posOffset>
            </wp:positionV>
            <wp:extent cx="67062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06235" cy="8890"/>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-2566035</wp:posOffset>
            </wp:positionV>
            <wp:extent cx="67062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06235" cy="8890"/>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-2273935</wp:posOffset>
            </wp:positionV>
            <wp:extent cx="67062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06235" cy="8890"/>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-1982470</wp:posOffset>
            </wp:positionV>
            <wp:extent cx="67062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06235" cy="8890"/>
                    </a:xfrm>
                    <a:prstGeom prst="rect">
                      <a:avLst/>
                    </a:prstGeom>
                    <a:noFill/>
                  </pic:spPr>
                </pic:pic>
              </a:graphicData>
            </a:graphic>
          </wp:anchor>
        </w:drawing>
        <w:drawing>
          <wp:anchor simplePos="0" relativeHeight="251657728" behindDoc="1" locked="0" layoutInCell="0" allowOverlap="1">
            <wp:simplePos x="0" y="0"/>
            <wp:positionH relativeFrom="column">
              <wp:posOffset>2766695</wp:posOffset>
            </wp:positionH>
            <wp:positionV relativeFrom="paragraph">
              <wp:posOffset>-1553845</wp:posOffset>
            </wp:positionV>
            <wp:extent cx="448500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485005" cy="8890"/>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-721995</wp:posOffset>
            </wp:positionV>
            <wp:extent cx="67062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06235" cy="8890"/>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-430530</wp:posOffset>
            </wp:positionV>
            <wp:extent cx="670623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06235" cy="8890"/>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-139065</wp:posOffset>
            </wp:positionV>
            <wp:extent cx="670623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06235" cy="8890"/>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152400</wp:posOffset>
            </wp:positionV>
            <wp:extent cx="670623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0623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304165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630" w:right="299" w:bottom="896" w:gutter="0" w:footer="0" w:header="0"/>
        </w:sectPr>
      </w:pPr>
    </w:p>
    <w:bookmarkStart w:id="2" w:name="page3"/>
    <w:bookmarkEnd w:id="2"/>
    <w:p>
      <w:pPr>
        <w:ind w:left="6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163830</wp:posOffset>
            </wp:positionH>
            <wp:positionV relativeFrom="page">
              <wp:posOffset>610235</wp:posOffset>
            </wp:positionV>
            <wp:extent cx="7301865" cy="1587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01865" cy="158750"/>
                    </a:xfrm>
                    <a:prstGeom prst="rect">
                      <a:avLst/>
                    </a:prstGeom>
                    <a:noFill/>
                  </pic:spPr>
                </pic:pic>
              </a:graphicData>
            </a:graphic>
          </wp:anchor>
        </w:drawing>
        <w:t>Important Notice Regarding the Availability of Proxy Materials for the Shareholder Meeting to be held on 5/14/08 and Notice of Annual Meeting of Shareholders.</w:t>
      </w:r>
    </w:p>
    <w:p>
      <w:pPr>
        <w:spacing w:after="0" w:line="48" w:lineRule="exact"/>
        <w:rPr>
          <w:sz w:val="20"/>
          <w:szCs w:val="20"/>
          <w:color w:val="auto"/>
        </w:rPr>
      </w:pPr>
    </w:p>
    <w:p>
      <w:pPr>
        <w:jc w:val="both"/>
        <w:ind w:right="160"/>
        <w:spacing w:after="0" w:line="228" w:lineRule="auto"/>
        <w:rPr>
          <w:sz w:val="20"/>
          <w:szCs w:val="20"/>
          <w:color w:val="auto"/>
        </w:rPr>
      </w:pPr>
      <w:r>
        <w:rPr>
          <w:rFonts w:ascii="Arial" w:cs="Arial" w:eastAsia="Arial" w:hAnsi="Arial"/>
          <w:sz w:val="13"/>
          <w:szCs w:val="13"/>
          <w:b w:val="1"/>
          <w:bCs w:val="1"/>
          <w:i w:val="1"/>
          <w:iCs w:val="1"/>
          <w:color w:val="auto"/>
        </w:rPr>
        <w:t>This communication presents only an overview of the more complete proxy materials that are available to you on the Internet. We encourage you to access and review all of the important information contained in the proxy materials before voting.</w:t>
      </w:r>
    </w:p>
    <w:p>
      <w:pPr>
        <w:spacing w:after="0" w:line="216" w:lineRule="auto"/>
        <w:rPr>
          <w:sz w:val="20"/>
          <w:szCs w:val="20"/>
          <w:color w:val="auto"/>
        </w:rPr>
      </w:pPr>
      <w:r>
        <w:rPr>
          <w:rFonts w:ascii="Arial" w:cs="Arial" w:eastAsia="Arial" w:hAnsi="Arial"/>
          <w:sz w:val="13"/>
          <w:szCs w:val="13"/>
          <w:color w:val="auto"/>
        </w:rPr>
        <w:t>The following materials are available for view:</w:t>
      </w:r>
    </w:p>
    <w:p>
      <w:pPr>
        <w:spacing w:after="0" w:line="217" w:lineRule="auto"/>
        <w:rPr>
          <w:sz w:val="20"/>
          <w:szCs w:val="20"/>
          <w:color w:val="auto"/>
        </w:rPr>
      </w:pPr>
      <w:r>
        <w:rPr>
          <w:rFonts w:ascii="Arial" w:cs="Arial" w:eastAsia="Arial" w:hAnsi="Arial"/>
          <w:sz w:val="13"/>
          <w:szCs w:val="13"/>
          <w:b w:val="1"/>
          <w:bCs w:val="1"/>
          <w:color w:val="auto"/>
        </w:rPr>
        <w:t>Notice of Internet Availability of Proxy Materials, Proxy Statement and Annual Report on Form 10-K</w:t>
      </w:r>
    </w:p>
    <w:p>
      <w:pPr>
        <w:spacing w:after="0"/>
        <w:rPr>
          <w:sz w:val="20"/>
          <w:szCs w:val="20"/>
          <w:color w:val="auto"/>
        </w:rPr>
      </w:pPr>
      <w:r>
        <w:rPr>
          <w:rFonts w:ascii="Arial" w:cs="Arial" w:eastAsia="Arial" w:hAnsi="Arial"/>
          <w:sz w:val="13"/>
          <w:szCs w:val="13"/>
          <w:color w:val="auto"/>
        </w:rPr>
        <w:t xml:space="preserve">To view these materials, have the </w:t>
      </w:r>
      <w:r>
        <w:rPr>
          <w:rFonts w:ascii="Arial" w:cs="Arial" w:eastAsia="Arial" w:hAnsi="Arial"/>
          <w:sz w:val="13"/>
          <w:szCs w:val="13"/>
          <w:b w:val="1"/>
          <w:bCs w:val="1"/>
          <w:color w:val="auto"/>
        </w:rPr>
        <w:t>12-digit Control # (located on the following page)</w:t>
      </w:r>
      <w:r>
        <w:rPr>
          <w:rFonts w:ascii="Arial" w:cs="Arial" w:eastAsia="Arial" w:hAnsi="Arial"/>
          <w:sz w:val="13"/>
          <w:szCs w:val="13"/>
          <w:color w:val="auto"/>
        </w:rPr>
        <w:t xml:space="preserve"> available and visit: </w:t>
      </w:r>
      <w:r>
        <w:rPr>
          <w:rFonts w:ascii="Arial" w:cs="Arial" w:eastAsia="Arial" w:hAnsi="Arial"/>
          <w:sz w:val="13"/>
          <w:szCs w:val="13"/>
          <w:b w:val="1"/>
          <w:bCs w:val="1"/>
          <w:u w:val="single" w:color="auto"/>
          <w:color w:val="auto"/>
        </w:rPr>
        <w:t>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31" w:lineRule="exact"/>
        <w:rPr>
          <w:sz w:val="20"/>
          <w:szCs w:val="20"/>
          <w:color w:val="auto"/>
        </w:rPr>
      </w:pPr>
    </w:p>
    <w:p>
      <w:pPr>
        <w:jc w:val="both"/>
        <w:ind w:right="180"/>
        <w:spacing w:after="0" w:line="234" w:lineRule="auto"/>
        <w:rPr>
          <w:sz w:val="20"/>
          <w:szCs w:val="20"/>
          <w:color w:val="auto"/>
        </w:rPr>
      </w:pPr>
      <w:r>
        <w:rPr>
          <w:rFonts w:ascii="Arial" w:cs="Arial" w:eastAsia="Arial" w:hAnsi="Arial"/>
          <w:sz w:val="13"/>
          <w:szCs w:val="13"/>
          <w:b w:val="1"/>
          <w:bCs w:val="1"/>
          <w:color w:val="auto"/>
        </w:rPr>
        <w:t xml:space="preserve">If you want to receive a paper or e-mail copy of the above listed documents you must request one. There is no charge to you for requesting a copy. To facilitate timely delivery prior to the annual meeting, please make the request as instructed below on or before 4/30/08. </w:t>
      </w:r>
      <w:r>
        <w:rPr>
          <w:rFonts w:ascii="Arial" w:cs="Arial" w:eastAsia="Arial" w:hAnsi="Arial"/>
          <w:sz w:val="13"/>
          <w:szCs w:val="13"/>
          <w:color w:val="auto"/>
        </w:rPr>
        <w:t>You will have the opportunity to make your request for paper copies apply to all meetings (which you may later</w:t>
      </w:r>
      <w:r>
        <w:rPr>
          <w:rFonts w:ascii="Arial" w:cs="Arial" w:eastAsia="Arial" w:hAnsi="Arial"/>
          <w:sz w:val="13"/>
          <w:szCs w:val="13"/>
          <w:b w:val="1"/>
          <w:bCs w:val="1"/>
          <w:color w:val="auto"/>
        </w:rPr>
        <w:t xml:space="preserve"> </w:t>
      </w:r>
      <w:r>
        <w:rPr>
          <w:rFonts w:ascii="Arial" w:cs="Arial" w:eastAsia="Arial" w:hAnsi="Arial"/>
          <w:sz w:val="13"/>
          <w:szCs w:val="13"/>
          <w:color w:val="auto"/>
        </w:rPr>
        <w:t>revoke at any time) or only for the 2008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6" w:lineRule="exact"/>
        <w:rPr>
          <w:sz w:val="20"/>
          <w:szCs w:val="20"/>
          <w:color w:val="auto"/>
        </w:rPr>
      </w:pPr>
    </w:p>
    <w:p>
      <w:pPr>
        <w:spacing w:after="0"/>
        <w:tabs>
          <w:tab w:leader="none" w:pos="1440" w:val="left"/>
          <w:tab w:leader="none" w:pos="3440" w:val="left"/>
          <w:tab w:leader="none" w:pos="5380" w:val="left"/>
        </w:tabs>
        <w:rPr>
          <w:sz w:val="20"/>
          <w:szCs w:val="20"/>
          <w:color w:val="auto"/>
        </w:rPr>
      </w:pPr>
      <w:r>
        <w:rPr>
          <w:rFonts w:ascii="Arial" w:cs="Arial" w:eastAsia="Arial" w:hAnsi="Arial"/>
          <w:sz w:val="13"/>
          <w:szCs w:val="13"/>
          <w:color w:val="auto"/>
        </w:rPr>
        <w:t>To request material:</w:t>
      </w:r>
      <w:r>
        <w:rPr>
          <w:sz w:val="20"/>
          <w:szCs w:val="20"/>
          <w:color w:val="auto"/>
        </w:rPr>
        <w:tab/>
      </w:r>
      <w:r>
        <w:rPr>
          <w:rFonts w:ascii="Arial" w:cs="Arial" w:eastAsia="Arial" w:hAnsi="Arial"/>
          <w:sz w:val="13"/>
          <w:szCs w:val="13"/>
          <w:b w:val="1"/>
          <w:bCs w:val="1"/>
          <w:color w:val="auto"/>
        </w:rPr>
        <w:t>Internet</w:t>
      </w:r>
      <w:r>
        <w:rPr>
          <w:rFonts w:ascii="Arial" w:cs="Arial" w:eastAsia="Arial" w:hAnsi="Arial"/>
          <w:sz w:val="13"/>
          <w:szCs w:val="13"/>
          <w:color w:val="auto"/>
        </w:rPr>
        <w:t>:</w:t>
      </w:r>
      <w:r>
        <w:rPr>
          <w:rFonts w:ascii="Arial" w:cs="Arial" w:eastAsia="Arial" w:hAnsi="Arial"/>
          <w:sz w:val="13"/>
          <w:szCs w:val="13"/>
          <w:b w:val="1"/>
          <w:bCs w:val="1"/>
          <w:color w:val="auto"/>
        </w:rPr>
        <w:t xml:space="preserve"> </w:t>
      </w:r>
      <w:r>
        <w:rPr>
          <w:rFonts w:ascii="Arial" w:cs="Arial" w:eastAsia="Arial" w:hAnsi="Arial"/>
          <w:sz w:val="13"/>
          <w:szCs w:val="13"/>
          <w:u w:val="single" w:color="auto"/>
          <w:color w:val="auto"/>
        </w:rPr>
        <w:t>www.proxyvote.com</w:t>
      </w:r>
      <w:r>
        <w:rPr>
          <w:sz w:val="20"/>
          <w:szCs w:val="20"/>
          <w:color w:val="auto"/>
        </w:rPr>
        <w:tab/>
      </w:r>
      <w:r>
        <w:rPr>
          <w:rFonts w:ascii="Arial" w:cs="Arial" w:eastAsia="Arial" w:hAnsi="Arial"/>
          <w:sz w:val="13"/>
          <w:szCs w:val="13"/>
          <w:b w:val="1"/>
          <w:bCs w:val="1"/>
          <w:color w:val="auto"/>
        </w:rPr>
        <w:t>Telephone</w:t>
      </w:r>
      <w:r>
        <w:rPr>
          <w:rFonts w:ascii="Arial" w:cs="Arial" w:eastAsia="Arial" w:hAnsi="Arial"/>
          <w:sz w:val="13"/>
          <w:szCs w:val="13"/>
          <w:color w:val="auto"/>
        </w:rPr>
        <w:t>: 1-800-579-1639</w:t>
      </w:r>
      <w:r>
        <w:rPr>
          <w:sz w:val="20"/>
          <w:szCs w:val="20"/>
          <w:color w:val="auto"/>
        </w:rPr>
        <w:tab/>
      </w:r>
      <w:r>
        <w:rPr>
          <w:rFonts w:ascii="Arial" w:cs="Arial" w:eastAsia="Arial" w:hAnsi="Arial"/>
          <w:sz w:val="12"/>
          <w:szCs w:val="12"/>
          <w:b w:val="1"/>
          <w:bCs w:val="1"/>
          <w:color w:val="auto"/>
        </w:rPr>
        <w:t>**Email</w:t>
      </w:r>
      <w:r>
        <w:rPr>
          <w:rFonts w:ascii="Arial" w:cs="Arial" w:eastAsia="Arial" w:hAnsi="Arial"/>
          <w:sz w:val="12"/>
          <w:szCs w:val="12"/>
          <w:color w:val="auto"/>
        </w:rPr>
        <w:t>: sendmaterial@proxyvote.com</w:t>
      </w:r>
    </w:p>
    <w:p>
      <w:pPr>
        <w:spacing w:after="0" w:line="9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**If requesting material by e-mail, please send a blank e-mail with the </w:t>
      </w:r>
      <w:r>
        <w:rPr>
          <w:rFonts w:ascii="Arial" w:cs="Arial" w:eastAsia="Arial" w:hAnsi="Arial"/>
          <w:sz w:val="13"/>
          <w:szCs w:val="13"/>
          <w:b w:val="1"/>
          <w:bCs w:val="1"/>
          <w:color w:val="auto"/>
        </w:rPr>
        <w:t>12-digit Control # (located on the following page)</w:t>
      </w:r>
      <w:r>
        <w:rPr>
          <w:rFonts w:ascii="Arial" w:cs="Arial" w:eastAsia="Arial" w:hAnsi="Arial"/>
          <w:sz w:val="13"/>
          <w:szCs w:val="13"/>
          <w:color w:val="auto"/>
        </w:rPr>
        <w:t xml:space="preserve"> in the subject line.</w:t>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color w:val="auto"/>
        </w:rPr>
        <w:t>Requests, instructions and other inquiries will NOT be forwarded to any broker or investment advisor.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-4445</wp:posOffset>
            </wp:positionV>
            <wp:extent cx="1423670" cy="4114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23670" cy="411480"/>
                    </a:xfrm>
                    <a:prstGeom prst="rect">
                      <a:avLst/>
                    </a:prstGeom>
                    <a:noFill/>
                  </pic:spPr>
                </pic:pic>
              </a:graphicData>
            </a:graphic>
          </wp:anchor>
        </w:drawing>
      </w:r>
    </w:p>
    <w:p>
      <w:pPr>
        <w:sectPr>
          <w:pgSz w:w="11900" w:h="16838" w:orient="portrait"/>
          <w:cols w:equalWidth="0" w:num="1">
            <w:col w:w="11320"/>
          </w:cols>
          <w:pgMar w:left="240" w:top="9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20"/>
        <w:spacing w:after="0"/>
        <w:rPr>
          <w:sz w:val="20"/>
          <w:szCs w:val="20"/>
          <w:color w:val="auto"/>
        </w:rPr>
      </w:pPr>
      <w:r>
        <w:rPr>
          <w:rFonts w:ascii="Arial" w:cs="Arial" w:eastAsia="Arial" w:hAnsi="Arial"/>
          <w:sz w:val="10"/>
          <w:szCs w:val="10"/>
          <w:i w:val="1"/>
          <w:iCs w:val="1"/>
          <w:color w:val="auto"/>
        </w:rPr>
        <w:t>ONE COMCAST CENTER</w:t>
      </w:r>
    </w:p>
    <w:p>
      <w:pPr>
        <w:spacing w:after="0" w:line="17" w:lineRule="exact"/>
        <w:rPr>
          <w:sz w:val="20"/>
          <w:szCs w:val="20"/>
          <w:color w:val="auto"/>
        </w:rPr>
      </w:pPr>
    </w:p>
    <w:p>
      <w:pPr>
        <w:ind w:left="520"/>
        <w:spacing w:after="0"/>
        <w:rPr>
          <w:sz w:val="20"/>
          <w:szCs w:val="20"/>
          <w:color w:val="auto"/>
        </w:rPr>
      </w:pPr>
      <w:r>
        <w:rPr>
          <w:rFonts w:ascii="Arial" w:cs="Arial" w:eastAsia="Arial" w:hAnsi="Arial"/>
          <w:sz w:val="10"/>
          <w:szCs w:val="10"/>
          <w:i w:val="1"/>
          <w:iCs w:val="1"/>
          <w:color w:val="auto"/>
        </w:rPr>
        <w:t>PHILADELPHIA, PA 19103</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COMCAST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49530</wp:posOffset>
            </wp:positionV>
            <wp:extent cx="810260" cy="1587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10260" cy="158750"/>
                    </a:xfrm>
                    <a:prstGeom prst="rect">
                      <a:avLst/>
                    </a:prstGeom>
                    <a:noFill/>
                  </pic:spPr>
                </pic:pic>
              </a:graphicData>
            </a:graphic>
          </wp:anchor>
        </w:drawing>
      </w:r>
    </w:p>
    <w:p>
      <w:pPr>
        <w:spacing w:after="0" w:line="89"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Vote In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-372745</wp:posOffset>
            </wp:positionH>
            <wp:positionV relativeFrom="paragraph">
              <wp:posOffset>-93345</wp:posOffset>
            </wp:positionV>
            <wp:extent cx="214630" cy="3943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14630" cy="394335"/>
                    </a:xfrm>
                    <a:prstGeom prst="rect">
                      <a:avLst/>
                    </a:prstGeom>
                    <a:noFill/>
                  </pic:spPr>
                </pic:pic>
              </a:graphicData>
            </a:graphic>
          </wp:anchor>
        </w:drawing>
      </w:r>
    </w:p>
    <w:p>
      <w:pPr>
        <w:spacing w:after="0" w:line="69" w:lineRule="exact"/>
        <w:rPr>
          <w:sz w:val="20"/>
          <w:szCs w:val="20"/>
          <w:color w:val="auto"/>
        </w:rPr>
      </w:pPr>
    </w:p>
    <w:p>
      <w:pPr>
        <w:spacing w:after="0" w:line="221" w:lineRule="auto"/>
        <w:rPr>
          <w:sz w:val="20"/>
          <w:szCs w:val="20"/>
          <w:color w:val="auto"/>
        </w:rPr>
      </w:pPr>
      <w:r>
        <w:rPr>
          <w:rFonts w:ascii="Arial" w:cs="Arial" w:eastAsia="Arial" w:hAnsi="Arial"/>
          <w:sz w:val="13"/>
          <w:szCs w:val="13"/>
          <w:color w:val="auto"/>
        </w:rPr>
        <w:t>All shareholders must bring an admission ticket to the meeting. Without an admission ticket, shareholders will be admitted only upon verification of ownership. This notice serves as your admission ticket. At the meeting you will need to request a ballot to vote these shares. Please check the proxy materials for additional requirements for, and information on, meeting admission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34925</wp:posOffset>
            </wp:positionV>
            <wp:extent cx="878840" cy="1587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78840" cy="158750"/>
                    </a:xfrm>
                    <a:prstGeom prst="rect">
                      <a:avLst/>
                    </a:prstGeom>
                    <a:noFill/>
                  </pic:spPr>
                </pic:pic>
              </a:graphicData>
            </a:graphic>
          </wp:anchor>
        </w:drawing>
      </w:r>
    </w:p>
    <w:p>
      <w:pPr>
        <w:spacing w:after="0" w:line="85" w:lineRule="exact"/>
        <w:rPr>
          <w:sz w:val="20"/>
          <w:szCs w:val="20"/>
          <w:color w:val="auto"/>
        </w:rPr>
      </w:pPr>
    </w:p>
    <w:p>
      <w:pPr>
        <w:sectPr>
          <w:pgSz w:w="11900" w:h="16838" w:orient="portrait"/>
          <w:cols w:equalWidth="0" w:num="2">
            <w:col w:w="6440" w:space="720"/>
            <w:col w:w="4160"/>
          </w:cols>
          <w:pgMar w:left="240" w:top="991" w:right="339" w:bottom="1440" w:gutter="0" w:footer="0" w:header="0"/>
          <w:type w:val="continuous"/>
        </w:sectPr>
      </w:pPr>
    </w:p>
    <w:p>
      <w:pPr>
        <w:ind w:left="7220"/>
        <w:spacing w:after="0"/>
        <w:rPr>
          <w:sz w:val="20"/>
          <w:szCs w:val="20"/>
          <w:color w:val="auto"/>
        </w:rPr>
      </w:pPr>
      <w:r>
        <w:rPr>
          <w:rFonts w:ascii="Arial" w:cs="Arial" w:eastAsia="Arial" w:hAnsi="Arial"/>
          <w:sz w:val="14"/>
          <w:szCs w:val="14"/>
          <w:b w:val="1"/>
          <w:bCs w:val="1"/>
          <w:color w:val="auto"/>
        </w:rPr>
        <w:t>Vote By 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4027170</wp:posOffset>
            </wp:positionH>
            <wp:positionV relativeFrom="paragraph">
              <wp:posOffset>-93345</wp:posOffset>
            </wp:positionV>
            <wp:extent cx="360045" cy="3346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60045" cy="334645"/>
                    </a:xfrm>
                    <a:prstGeom prst="rect">
                      <a:avLst/>
                    </a:prstGeom>
                    <a:noFill/>
                  </pic:spPr>
                </pic:pic>
              </a:graphicData>
            </a:graphic>
          </wp:anchor>
        </w:drawing>
      </w:r>
    </w:p>
    <w:p>
      <w:pPr>
        <w:spacing w:after="0" w:line="55" w:lineRule="exact"/>
        <w:rPr>
          <w:sz w:val="20"/>
          <w:szCs w:val="20"/>
          <w:color w:val="auto"/>
        </w:rPr>
      </w:pPr>
    </w:p>
    <w:p>
      <w:pPr>
        <w:ind w:left="7160" w:right="180"/>
        <w:spacing w:after="0" w:line="226" w:lineRule="auto"/>
        <w:rPr>
          <w:sz w:val="20"/>
          <w:szCs w:val="20"/>
          <w:color w:val="auto"/>
        </w:rPr>
      </w:pPr>
      <w:r>
        <w:rPr>
          <w:rFonts w:ascii="Arial" w:cs="Arial" w:eastAsia="Arial" w:hAnsi="Arial"/>
          <w:sz w:val="13"/>
          <w:szCs w:val="13"/>
          <w:color w:val="auto"/>
        </w:rPr>
        <w:t xml:space="preserve">To vote </w:t>
      </w:r>
      <w:r>
        <w:rPr>
          <w:rFonts w:ascii="Arial" w:cs="Arial" w:eastAsia="Arial" w:hAnsi="Arial"/>
          <w:sz w:val="13"/>
          <w:szCs w:val="13"/>
          <w:b w:val="1"/>
          <w:bCs w:val="1"/>
          <w:i w:val="1"/>
          <w:iCs w:val="1"/>
          <w:color w:val="auto"/>
        </w:rPr>
        <w:t>now</w:t>
      </w:r>
      <w:r>
        <w:rPr>
          <w:rFonts w:ascii="Arial" w:cs="Arial" w:eastAsia="Arial" w:hAnsi="Arial"/>
          <w:sz w:val="13"/>
          <w:szCs w:val="13"/>
          <w:color w:val="auto"/>
        </w:rPr>
        <w:t xml:space="preserve"> by Internet, go to </w:t>
      </w:r>
      <w:r>
        <w:rPr>
          <w:rFonts w:ascii="Arial" w:cs="Arial" w:eastAsia="Arial" w:hAnsi="Arial"/>
          <w:sz w:val="13"/>
          <w:szCs w:val="13"/>
          <w:u w:val="single" w:color="auto"/>
          <w:color w:val="auto"/>
        </w:rPr>
        <w:t>www.proxyvote.com</w:t>
      </w:r>
      <w:r>
        <w:rPr>
          <w:rFonts w:ascii="Arial" w:cs="Arial" w:eastAsia="Arial" w:hAnsi="Arial"/>
          <w:sz w:val="13"/>
          <w:szCs w:val="13"/>
          <w:color w:val="auto"/>
        </w:rPr>
        <w:t>. Use the Internet to transmit your voting instructions. Proxies submitted by Internet must be received by 11:59 p.m. Eastern Daylight Time on May 13, 2008. Please have this notice in hand when you access the Web site and follow the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1064260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252095</wp:posOffset>
            </wp:positionV>
            <wp:extent cx="120015" cy="4286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0015" cy="428625"/>
                    </a:xfrm>
                    <a:prstGeom prst="rect">
                      <a:avLst/>
                    </a:prstGeom>
                    <a:noFill/>
                  </pic:spPr>
                </pic:pic>
              </a:graphicData>
            </a:graphic>
          </wp:anchor>
        </w:drawing>
      </w:r>
    </w:p>
    <w:p>
      <w:pPr>
        <w:sectPr>
          <w:pgSz w:w="11900" w:h="16838" w:orient="portrait"/>
          <w:cols w:equalWidth="0" w:num="1">
            <w:col w:w="11320"/>
          </w:cols>
          <w:pgMar w:left="240" w:top="991" w:right="3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4"/>
          <w:szCs w:val="14"/>
          <w:b w:val="1"/>
          <w:bCs w:val="1"/>
          <w:color w:val="auto"/>
        </w:rPr>
        <w:t>Meeting Location</w:t>
      </w:r>
    </w:p>
    <w:p>
      <w:pPr>
        <w:spacing w:after="0" w:line="5" w:lineRule="exact"/>
        <w:rPr>
          <w:sz w:val="20"/>
          <w:szCs w:val="20"/>
          <w:color w:val="auto"/>
        </w:rPr>
      </w:pPr>
    </w:p>
    <w:p>
      <w:pPr>
        <w:spacing w:after="0"/>
        <w:rPr>
          <w:sz w:val="20"/>
          <w:szCs w:val="20"/>
          <w:color w:val="auto"/>
        </w:rPr>
      </w:pPr>
      <w:r>
        <w:rPr>
          <w:rFonts w:ascii="Arial" w:cs="Arial" w:eastAsia="Arial" w:hAnsi="Arial"/>
          <w:sz w:val="12"/>
          <w:szCs w:val="12"/>
          <w:color w:val="auto"/>
        </w:rPr>
        <w:t>The Annual Meeting of Shareholders</w:t>
      </w:r>
    </w:p>
    <w:p>
      <w:pPr>
        <w:spacing w:after="0" w:line="234" w:lineRule="auto"/>
        <w:rPr>
          <w:sz w:val="20"/>
          <w:szCs w:val="20"/>
          <w:color w:val="auto"/>
        </w:rPr>
      </w:pPr>
      <w:r>
        <w:rPr>
          <w:rFonts w:ascii="Arial" w:cs="Arial" w:eastAsia="Arial" w:hAnsi="Arial"/>
          <w:sz w:val="12"/>
          <w:szCs w:val="12"/>
          <w:color w:val="auto"/>
        </w:rPr>
        <w:t>is to be held on 5/14/08 at 9:00 a.m.</w:t>
      </w:r>
    </w:p>
    <w:p>
      <w:pPr>
        <w:spacing w:after="0" w:line="217" w:lineRule="auto"/>
        <w:rPr>
          <w:sz w:val="20"/>
          <w:szCs w:val="20"/>
          <w:color w:val="auto"/>
        </w:rPr>
      </w:pPr>
      <w:r>
        <w:rPr>
          <w:rFonts w:ascii="Arial" w:cs="Arial" w:eastAsia="Arial" w:hAnsi="Arial"/>
          <w:sz w:val="13"/>
          <w:szCs w:val="13"/>
          <w:color w:val="auto"/>
        </w:rPr>
        <w:t>at: Wachovia Complex</w:t>
      </w:r>
    </w:p>
    <w:p>
      <w:pPr>
        <w:ind w:left="200"/>
        <w:spacing w:after="0" w:line="217" w:lineRule="auto"/>
        <w:rPr>
          <w:sz w:val="20"/>
          <w:szCs w:val="20"/>
          <w:color w:val="auto"/>
        </w:rPr>
      </w:pPr>
      <w:r>
        <w:rPr>
          <w:rFonts w:ascii="Arial" w:cs="Arial" w:eastAsia="Arial" w:hAnsi="Arial"/>
          <w:sz w:val="13"/>
          <w:szCs w:val="13"/>
          <w:color w:val="auto"/>
        </w:rPr>
        <w:t>3601 South Broad Street</w:t>
      </w:r>
    </w:p>
    <w:p>
      <w:pPr>
        <w:ind w:left="200"/>
        <w:spacing w:after="0"/>
        <w:rPr>
          <w:sz w:val="20"/>
          <w:szCs w:val="20"/>
          <w:color w:val="auto"/>
        </w:rPr>
      </w:pPr>
      <w:r>
        <w:rPr>
          <w:rFonts w:ascii="Arial" w:cs="Arial" w:eastAsia="Arial" w:hAnsi="Arial"/>
          <w:sz w:val="13"/>
          <w:szCs w:val="13"/>
          <w:color w:val="auto"/>
        </w:rPr>
        <w:t>Philadelphia, PA 19148</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line="230" w:lineRule="auto"/>
        <w:rPr>
          <w:sz w:val="20"/>
          <w:szCs w:val="20"/>
          <w:color w:val="auto"/>
        </w:rPr>
      </w:pPr>
      <w:r>
        <w:rPr>
          <w:rFonts w:ascii="Arial" w:cs="Arial" w:eastAsia="Arial" w:hAnsi="Arial"/>
          <w:sz w:val="13"/>
          <w:szCs w:val="13"/>
          <w:b w:val="1"/>
          <w:bCs w:val="1"/>
          <w:color w:val="auto"/>
        </w:rPr>
        <w:t>IMPORTANT NOTICE: All annual meeting attendees may be asked to present a valid government-issued photo identification, such as a driver’s license or passport, before entering the meeting. In addition, video and audio recording devices and other electronic devices will not be permitted at the annual meeting, and attendees will be subject to security inspections.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276225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6" w:lineRule="exact"/>
        <w:rPr>
          <w:sz w:val="20"/>
          <w:szCs w:val="20"/>
          <w:color w:val="auto"/>
        </w:rPr>
      </w:pPr>
    </w:p>
    <w:p>
      <w:pPr>
        <w:sectPr>
          <w:pgSz w:w="11900" w:h="16838" w:orient="portrait"/>
          <w:cols w:equalWidth="0" w:num="2">
            <w:col w:w="3860" w:space="720"/>
            <w:col w:w="6740"/>
          </w:cols>
          <w:pgMar w:left="240" w:top="937" w:right="339" w:bottom="1440" w:gutter="0" w:footer="0" w:header="0"/>
        </w:sectPr>
      </w:pP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Meeting Agenda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3769995</wp:posOffset>
            </wp:positionH>
            <wp:positionV relativeFrom="paragraph">
              <wp:posOffset>-116205</wp:posOffset>
            </wp:positionV>
            <wp:extent cx="3138805" cy="19380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138805" cy="193802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8:00 a.m. Doors Open to Meeting Room</w:t>
      </w:r>
    </w:p>
    <w:p>
      <w:pPr>
        <w:spacing w:after="0" w:line="234" w:lineRule="auto"/>
        <w:rPr>
          <w:sz w:val="20"/>
          <w:szCs w:val="20"/>
          <w:color w:val="auto"/>
        </w:rPr>
      </w:pPr>
      <w:r>
        <w:rPr>
          <w:rFonts w:ascii="Arial" w:cs="Arial" w:eastAsia="Arial" w:hAnsi="Arial"/>
          <w:sz w:val="14"/>
          <w:szCs w:val="14"/>
          <w:b w:val="1"/>
          <w:bCs w:val="1"/>
          <w:color w:val="auto"/>
        </w:rPr>
        <w:t>9:00 a.m. Welcome and Introduction; Matters for Shareholder Vote</w:t>
      </w:r>
    </w:p>
    <w:p>
      <w:pPr>
        <w:ind w:left="2200"/>
        <w:spacing w:after="0" w:line="229" w:lineRule="auto"/>
        <w:rPr>
          <w:sz w:val="20"/>
          <w:szCs w:val="20"/>
          <w:color w:val="auto"/>
        </w:rPr>
      </w:pPr>
      <w:r>
        <w:rPr>
          <w:rFonts w:ascii="Arial" w:cs="Arial" w:eastAsia="Arial" w:hAnsi="Arial"/>
          <w:sz w:val="18"/>
          <w:szCs w:val="18"/>
          <w:b w:val="1"/>
          <w:bCs w:val="1"/>
          <w:color w:val="auto"/>
        </w:rPr>
        <w:t>DIRECTIONS</w:t>
      </w:r>
    </w:p>
    <w:p>
      <w:pPr>
        <w:spacing w:after="0" w:line="217" w:lineRule="auto"/>
        <w:rPr>
          <w:sz w:val="20"/>
          <w:szCs w:val="20"/>
          <w:color w:val="auto"/>
        </w:rPr>
      </w:pPr>
      <w:r>
        <w:rPr>
          <w:rFonts w:ascii="Arial" w:cs="Arial" w:eastAsia="Arial" w:hAnsi="Arial"/>
          <w:sz w:val="13"/>
          <w:szCs w:val="13"/>
          <w:b w:val="1"/>
          <w:bCs w:val="1"/>
          <w:color w:val="auto"/>
        </w:rPr>
        <w:t>From New Jersey via the Walt Whitman Bridge</w:t>
      </w:r>
    </w:p>
    <w:p>
      <w:pPr>
        <w:ind w:right="5840"/>
        <w:spacing w:after="0" w:line="216" w:lineRule="auto"/>
        <w:rPr>
          <w:sz w:val="20"/>
          <w:szCs w:val="20"/>
          <w:color w:val="auto"/>
        </w:rPr>
      </w:pPr>
      <w:r>
        <w:rPr>
          <w:rFonts w:ascii="Arial" w:cs="Arial" w:eastAsia="Arial" w:hAnsi="Arial"/>
          <w:sz w:val="13"/>
          <w:szCs w:val="13"/>
          <w:color w:val="auto"/>
        </w:rPr>
        <w:t>Take the Broad Street exit. At the bottom of the ramp, make a left onto Broad Street and follow the signs to the Sports Complex. The Wachovia Complex will be on your left.</w:t>
      </w:r>
    </w:p>
    <w:p>
      <w:pPr>
        <w:spacing w:after="0" w:line="218" w:lineRule="auto"/>
        <w:rPr>
          <w:sz w:val="20"/>
          <w:szCs w:val="20"/>
          <w:color w:val="auto"/>
        </w:rPr>
      </w:pPr>
      <w:r>
        <w:rPr>
          <w:rFonts w:ascii="Arial" w:cs="Arial" w:eastAsia="Arial" w:hAnsi="Arial"/>
          <w:sz w:val="13"/>
          <w:szCs w:val="13"/>
          <w:b w:val="1"/>
          <w:bCs w:val="1"/>
          <w:color w:val="auto"/>
        </w:rPr>
        <w:t>From Interstate 76/Schuylkill Expressway</w:t>
      </w:r>
    </w:p>
    <w:p>
      <w:pPr>
        <w:ind w:right="6360"/>
        <w:spacing w:after="0" w:line="216" w:lineRule="auto"/>
        <w:rPr>
          <w:sz w:val="20"/>
          <w:szCs w:val="20"/>
          <w:color w:val="auto"/>
        </w:rPr>
      </w:pPr>
      <w:r>
        <w:rPr>
          <w:rFonts w:ascii="Arial" w:cs="Arial" w:eastAsia="Arial" w:hAnsi="Arial"/>
          <w:sz w:val="13"/>
          <w:szCs w:val="13"/>
          <w:color w:val="auto"/>
        </w:rPr>
        <w:t>From I-76 Eastbound, follow the signs for South Jersey, Walt Whitman Bridge and Sports Complex. Take the Broad Street exit. At the bottom of the ramp, make a right onto Broad Street. The Wachovia Complex will be on your left.</w:t>
      </w:r>
    </w:p>
    <w:p>
      <w:pPr>
        <w:spacing w:after="0" w:line="219" w:lineRule="auto"/>
        <w:rPr>
          <w:sz w:val="20"/>
          <w:szCs w:val="20"/>
          <w:color w:val="auto"/>
        </w:rPr>
      </w:pPr>
      <w:r>
        <w:rPr>
          <w:rFonts w:ascii="Arial" w:cs="Arial" w:eastAsia="Arial" w:hAnsi="Arial"/>
          <w:sz w:val="13"/>
          <w:szCs w:val="13"/>
          <w:b w:val="1"/>
          <w:bCs w:val="1"/>
          <w:color w:val="auto"/>
        </w:rPr>
        <w:t>From Interstate 476/Blue Route</w:t>
      </w:r>
    </w:p>
    <w:p>
      <w:pPr>
        <w:spacing w:after="0" w:line="217" w:lineRule="auto"/>
        <w:rPr>
          <w:sz w:val="20"/>
          <w:szCs w:val="20"/>
          <w:color w:val="auto"/>
        </w:rPr>
      </w:pPr>
      <w:r>
        <w:rPr>
          <w:rFonts w:ascii="Arial" w:cs="Arial" w:eastAsia="Arial" w:hAnsi="Arial"/>
          <w:sz w:val="13"/>
          <w:szCs w:val="13"/>
          <w:color w:val="auto"/>
        </w:rPr>
        <w:t>Take I-476 South to the end. Follow signs for I-95 North, Philadelphia. Take I-95 North to the</w:t>
      </w:r>
    </w:p>
    <w:p>
      <w:pPr>
        <w:spacing w:after="0" w:line="216" w:lineRule="auto"/>
        <w:rPr>
          <w:sz w:val="20"/>
          <w:szCs w:val="20"/>
          <w:color w:val="auto"/>
        </w:rPr>
      </w:pPr>
      <w:r>
        <w:rPr>
          <w:rFonts w:ascii="Arial" w:cs="Arial" w:eastAsia="Arial" w:hAnsi="Arial"/>
          <w:sz w:val="13"/>
          <w:szCs w:val="13"/>
          <w:color w:val="auto"/>
        </w:rPr>
        <w:t>Broad Street exit. The Wachovia Complex will be on your right.</w:t>
      </w:r>
    </w:p>
    <w:p>
      <w:pPr>
        <w:spacing w:after="0" w:line="217" w:lineRule="auto"/>
        <w:rPr>
          <w:sz w:val="20"/>
          <w:szCs w:val="20"/>
          <w:color w:val="auto"/>
        </w:rPr>
      </w:pPr>
      <w:r>
        <w:rPr>
          <w:rFonts w:ascii="Arial" w:cs="Arial" w:eastAsia="Arial" w:hAnsi="Arial"/>
          <w:sz w:val="13"/>
          <w:szCs w:val="13"/>
          <w:b w:val="1"/>
          <w:bCs w:val="1"/>
          <w:color w:val="auto"/>
        </w:rPr>
        <w:t>From Interstate 95</w:t>
      </w:r>
    </w:p>
    <w:p>
      <w:pPr>
        <w:ind w:right="5940"/>
        <w:spacing w:after="0" w:line="216" w:lineRule="auto"/>
        <w:rPr>
          <w:sz w:val="20"/>
          <w:szCs w:val="20"/>
          <w:color w:val="auto"/>
        </w:rPr>
      </w:pPr>
      <w:r>
        <w:rPr>
          <w:rFonts w:ascii="Arial" w:cs="Arial" w:eastAsia="Arial" w:hAnsi="Arial"/>
          <w:sz w:val="13"/>
          <w:szCs w:val="13"/>
          <w:color w:val="auto"/>
        </w:rPr>
        <w:t>From I-95 Northbound or Southbound, take the Broad Street exit. The Wachovia Complex will be on your right.</w:t>
      </w:r>
    </w:p>
    <w:p>
      <w:pPr>
        <w:spacing w:after="0" w:line="218" w:lineRule="auto"/>
        <w:rPr>
          <w:sz w:val="20"/>
          <w:szCs w:val="20"/>
          <w:color w:val="auto"/>
        </w:rPr>
      </w:pPr>
      <w:r>
        <w:rPr>
          <w:rFonts w:ascii="Arial" w:cs="Arial" w:eastAsia="Arial" w:hAnsi="Arial"/>
          <w:sz w:val="13"/>
          <w:szCs w:val="13"/>
          <w:b w:val="1"/>
          <w:bCs w:val="1"/>
          <w:color w:val="auto"/>
        </w:rPr>
        <w:t>Public Transportation</w:t>
      </w:r>
    </w:p>
    <w:p>
      <w:pPr>
        <w:ind w:right="6060"/>
        <w:spacing w:after="0" w:line="225" w:lineRule="auto"/>
        <w:rPr>
          <w:sz w:val="20"/>
          <w:szCs w:val="20"/>
          <w:color w:val="auto"/>
        </w:rPr>
      </w:pPr>
      <w:r>
        <w:rPr>
          <w:rFonts w:ascii="Arial" w:cs="Arial" w:eastAsia="Arial" w:hAnsi="Arial"/>
          <w:sz w:val="13"/>
          <w:szCs w:val="13"/>
          <w:color w:val="auto"/>
        </w:rPr>
        <w:t>SEPTA (Southeastern Pennsylvania Transportation Authority). Take the Broad Street (Orange) line South to the Pattison Avenue stop (last stop). When you exit the subway, the Wachovia Complex will be immediately to the south and east.</w:t>
      </w:r>
    </w:p>
    <w:p>
      <w:pPr>
        <w:ind w:left="5940"/>
        <w:spacing w:after="0" w:line="235" w:lineRule="auto"/>
        <w:rPr>
          <w:sz w:val="20"/>
          <w:szCs w:val="20"/>
          <w:color w:val="auto"/>
        </w:rPr>
      </w:pPr>
      <w:r>
        <w:rPr>
          <w:rFonts w:ascii="Arial" w:cs="Arial" w:eastAsia="Arial" w:hAnsi="Arial"/>
          <w:sz w:val="13"/>
          <w:szCs w:val="13"/>
          <w:b w:val="1"/>
          <w:bCs w:val="1"/>
          <w:color w:val="auto"/>
        </w:rPr>
        <w:t>Parking Information</w:t>
      </w:r>
    </w:p>
    <w:p>
      <w:pPr>
        <w:ind w:left="5940"/>
        <w:spacing w:after="0" w:line="235" w:lineRule="auto"/>
        <w:rPr>
          <w:sz w:val="20"/>
          <w:szCs w:val="20"/>
          <w:color w:val="auto"/>
        </w:rPr>
      </w:pPr>
      <w:r>
        <w:rPr>
          <w:rFonts w:ascii="Arial" w:cs="Arial" w:eastAsia="Arial" w:hAnsi="Arial"/>
          <w:sz w:val="12"/>
          <w:szCs w:val="12"/>
          <w:color w:val="auto"/>
        </w:rPr>
        <w:t>There is ample free parking available in the Wachovia Complex. Shareholders should use the</w:t>
      </w:r>
    </w:p>
    <w:p>
      <w:pPr>
        <w:ind w:left="5940"/>
        <w:spacing w:after="0" w:line="235" w:lineRule="auto"/>
        <w:rPr>
          <w:sz w:val="20"/>
          <w:szCs w:val="20"/>
          <w:color w:val="auto"/>
        </w:rPr>
      </w:pPr>
      <w:r>
        <w:rPr>
          <w:rFonts w:ascii="Arial" w:cs="Arial" w:eastAsia="Arial" w:hAnsi="Arial"/>
          <w:sz w:val="12"/>
          <w:szCs w:val="12"/>
          <w:color w:val="auto"/>
        </w:rPr>
        <w:t>main entrance to the Wachovia Complex, which is located on Broad Street at 3601 South Broad</w:t>
      </w:r>
    </w:p>
    <w:p>
      <w:pPr>
        <w:ind w:left="5940"/>
        <w:spacing w:after="0"/>
        <w:rPr>
          <w:sz w:val="20"/>
          <w:szCs w:val="20"/>
          <w:color w:val="auto"/>
        </w:rPr>
      </w:pPr>
      <w:r>
        <w:rPr>
          <w:rFonts w:ascii="Arial" w:cs="Arial" w:eastAsia="Arial" w:hAnsi="Arial"/>
          <w:sz w:val="13"/>
          <w:szCs w:val="13"/>
          <w:color w:val="auto"/>
        </w:rPr>
        <w:t>Street. The gate attendant will direct you to the parking area and building.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132080</wp:posOffset>
            </wp:positionV>
            <wp:extent cx="724662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1021715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226060</wp:posOffset>
            </wp:positionV>
            <wp:extent cx="120015" cy="4203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0015" cy="420370"/>
                    </a:xfrm>
                    <a:prstGeom prst="rect">
                      <a:avLst/>
                    </a:prstGeom>
                    <a:noFill/>
                  </pic:spPr>
                </pic:pic>
              </a:graphicData>
            </a:graphic>
          </wp:anchor>
        </w:drawing>
      </w:r>
    </w:p>
    <w:p>
      <w:pPr>
        <w:sectPr>
          <w:pgSz w:w="11900" w:h="16838" w:orient="portrait"/>
          <w:cols w:equalWidth="0" w:num="1">
            <w:col w:w="11320"/>
          </w:cols>
          <w:pgMar w:left="240" w:top="937" w:right="339" w:bottom="1440" w:gutter="0" w:footer="0" w:header="0"/>
          <w:type w:val="continuous"/>
        </w:sectPr>
      </w:pPr>
    </w:p>
    <w:bookmarkStart w:id="4" w:name="page5"/>
    <w:bookmarkEnd w:id="4"/>
    <w:p>
      <w:pPr>
        <w:ind w:left="86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163830</wp:posOffset>
            </wp:positionH>
            <wp:positionV relativeFrom="page">
              <wp:posOffset>575945</wp:posOffset>
            </wp:positionV>
            <wp:extent cx="1616075" cy="1587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616075" cy="158750"/>
                    </a:xfrm>
                    <a:prstGeom prst="rect">
                      <a:avLst/>
                    </a:prstGeom>
                    <a:noFill/>
                  </pic:spPr>
                </pic:pic>
              </a:graphicData>
            </a:graphic>
          </wp:anchor>
        </w:drawing>
        <w:t>Voting items</w:t>
      </w:r>
    </w:p>
    <w:p>
      <w:pPr>
        <w:spacing w:after="0" w:line="127" w:lineRule="exact"/>
        <w:rPr>
          <w:sz w:val="20"/>
          <w:szCs w:val="20"/>
          <w:color w:val="auto"/>
        </w:rPr>
      </w:pPr>
    </w:p>
    <w:p>
      <w:pPr>
        <w:ind w:left="380" w:right="4039" w:hanging="336"/>
        <w:spacing w:after="0" w:line="180" w:lineRule="auto"/>
        <w:tabs>
          <w:tab w:leader="none" w:pos="380" w:val="left"/>
        </w:tabs>
        <w:numPr>
          <w:ilvl w:val="1"/>
          <w:numId w:val="6"/>
        </w:numPr>
        <w:rPr>
          <w:rFonts w:ascii="Arial" w:cs="Arial" w:eastAsia="Arial" w:hAnsi="Arial"/>
          <w:sz w:val="23"/>
          <w:szCs w:val="23"/>
          <w:b w:val="1"/>
          <w:bCs w:val="1"/>
          <w:color w:val="FFFFFF"/>
          <w:vertAlign w:val="subscript"/>
        </w:rPr>
      </w:pPr>
      <w:r>
        <w:rPr>
          <w:rFonts w:ascii="Arial" w:cs="Arial" w:eastAsia="Arial" w:hAnsi="Arial"/>
          <w:sz w:val="12"/>
          <w:szCs w:val="12"/>
          <w:b w:val="1"/>
          <w:bCs w:val="1"/>
          <w:color w:val="auto"/>
        </w:rPr>
        <w:t>Company Proposals — The Board of Directors recommends a vote “FOR” all the nominees listed in Proposal 1 and “FOR” Proposals 2-4.</w:t>
      </w:r>
    </w:p>
    <w:p>
      <w:pPr>
        <w:spacing w:after="0" w:line="104" w:lineRule="exact"/>
        <w:rPr>
          <w:rFonts w:ascii="Arial" w:cs="Arial" w:eastAsia="Arial" w:hAnsi="Arial"/>
          <w:sz w:val="23"/>
          <w:szCs w:val="23"/>
          <w:b w:val="1"/>
          <w:bCs w:val="1"/>
          <w:color w:val="FFFFFF"/>
          <w:vertAlign w:val="subscript"/>
        </w:rPr>
      </w:pPr>
    </w:p>
    <w:p>
      <w:pPr>
        <w:ind w:left="380" w:hanging="372"/>
        <w:spacing w:after="0"/>
        <w:tabs>
          <w:tab w:leader="none" w:pos="380" w:val="left"/>
        </w:tabs>
        <w:numPr>
          <w:ilvl w:val="0"/>
          <w:numId w:val="6"/>
        </w:numPr>
        <w:rPr>
          <w:rFonts w:ascii="Arial" w:cs="Arial" w:eastAsia="Arial" w:hAnsi="Arial"/>
          <w:sz w:val="13"/>
          <w:szCs w:val="13"/>
          <w:color w:val="auto"/>
        </w:rPr>
      </w:pPr>
      <w:r>
        <w:rPr>
          <w:rFonts w:ascii="Arial" w:cs="Arial" w:eastAsia="Arial" w:hAnsi="Arial"/>
          <w:sz w:val="13"/>
          <w:szCs w:val="13"/>
          <w:color w:val="auto"/>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-338455</wp:posOffset>
            </wp:positionV>
            <wp:extent cx="10287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02870" cy="171450"/>
                    </a:xfrm>
                    <a:prstGeom prst="rect">
                      <a:avLst/>
                    </a:prstGeom>
                    <a:noFill/>
                  </pic:spPr>
                </pic:pic>
              </a:graphicData>
            </a:graphic>
          </wp:anchor>
        </w:drawing>
      </w:r>
    </w:p>
    <w:tbl>
      <w:tblPr>
        <w:tblLayout w:type="fixed"/>
        <w:tblInd w:w="380" w:type="dxa"/>
        <w:tblCellMar>
          <w:top w:w="0" w:type="dxa"/>
          <w:left w:w="0" w:type="dxa"/>
          <w:bottom w:w="0" w:type="dxa"/>
          <w:right w:w="0" w:type="dxa"/>
        </w:tblCellMar>
      </w:tblPr>
      <w:tr>
        <w:trPr>
          <w:trHeight w:val="135"/>
        </w:trPr>
        <w:tc>
          <w:tcPr>
            <w:tcW w:w="160" w:type="dxa"/>
            <w:vAlign w:val="bottom"/>
          </w:tcPr>
          <w:p>
            <w:pPr>
              <w:jc w:val="right"/>
              <w:spacing w:after="0" w:line="135" w:lineRule="exact"/>
              <w:rPr>
                <w:sz w:val="20"/>
                <w:szCs w:val="20"/>
                <w:color w:val="auto"/>
              </w:rPr>
            </w:pPr>
            <w:r>
              <w:rPr>
                <w:rFonts w:ascii="Arial" w:cs="Arial" w:eastAsia="Arial" w:hAnsi="Arial"/>
                <w:sz w:val="13"/>
                <w:szCs w:val="13"/>
                <w:color w:val="auto"/>
                <w:w w:val="82"/>
              </w:rPr>
              <w:t>01</w:t>
            </w:r>
          </w:p>
        </w:tc>
        <w:tc>
          <w:tcPr>
            <w:tcW w:w="2100" w:type="dxa"/>
            <w:vAlign w:val="bottom"/>
          </w:tcPr>
          <w:p>
            <w:pPr>
              <w:spacing w:after="0" w:line="135" w:lineRule="exact"/>
              <w:rPr>
                <w:sz w:val="20"/>
                <w:szCs w:val="20"/>
                <w:color w:val="auto"/>
              </w:rPr>
            </w:pPr>
            <w:r>
              <w:rPr>
                <w:rFonts w:ascii="Arial" w:cs="Arial" w:eastAsia="Arial" w:hAnsi="Arial"/>
                <w:sz w:val="13"/>
                <w:szCs w:val="13"/>
                <w:color w:val="auto"/>
              </w:rPr>
              <w:t>— S. Decker Anstrom</w:t>
            </w: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08</w:t>
            </w:r>
          </w:p>
        </w:tc>
        <w:tc>
          <w:tcPr>
            <w:tcW w:w="1360" w:type="dxa"/>
            <w:vAlign w:val="bottom"/>
          </w:tcPr>
          <w:p>
            <w:pPr>
              <w:ind w:left="20"/>
              <w:spacing w:after="0" w:line="135" w:lineRule="exact"/>
              <w:rPr>
                <w:sz w:val="20"/>
                <w:szCs w:val="20"/>
                <w:color w:val="auto"/>
              </w:rPr>
            </w:pPr>
            <w:r>
              <w:rPr>
                <w:rFonts w:ascii="Arial" w:cs="Arial" w:eastAsia="Arial" w:hAnsi="Arial"/>
                <w:sz w:val="13"/>
                <w:szCs w:val="13"/>
                <w:color w:val="auto"/>
              </w:rPr>
              <w:t>— Gerald L. Hassell</w:t>
            </w:r>
          </w:p>
        </w:tc>
      </w:tr>
      <w:tr>
        <w:trPr>
          <w:trHeight w:val="135"/>
        </w:trPr>
        <w:tc>
          <w:tcPr>
            <w:tcW w:w="160" w:type="dxa"/>
            <w:vAlign w:val="bottom"/>
          </w:tcPr>
          <w:p>
            <w:pPr>
              <w:jc w:val="right"/>
              <w:spacing w:after="0" w:line="135" w:lineRule="exact"/>
              <w:rPr>
                <w:sz w:val="20"/>
                <w:szCs w:val="20"/>
                <w:color w:val="auto"/>
              </w:rPr>
            </w:pPr>
            <w:r>
              <w:rPr>
                <w:rFonts w:ascii="Arial" w:cs="Arial" w:eastAsia="Arial" w:hAnsi="Arial"/>
                <w:sz w:val="13"/>
                <w:szCs w:val="13"/>
                <w:color w:val="auto"/>
                <w:w w:val="82"/>
              </w:rPr>
              <w:t>02</w:t>
            </w:r>
          </w:p>
        </w:tc>
        <w:tc>
          <w:tcPr>
            <w:tcW w:w="2100" w:type="dxa"/>
            <w:vAlign w:val="bottom"/>
          </w:tcPr>
          <w:p>
            <w:pPr>
              <w:spacing w:after="0" w:line="135" w:lineRule="exact"/>
              <w:rPr>
                <w:sz w:val="20"/>
                <w:szCs w:val="20"/>
                <w:color w:val="auto"/>
              </w:rPr>
            </w:pPr>
            <w:r>
              <w:rPr>
                <w:rFonts w:ascii="Arial" w:cs="Arial" w:eastAsia="Arial" w:hAnsi="Arial"/>
                <w:sz w:val="13"/>
                <w:szCs w:val="13"/>
                <w:color w:val="auto"/>
              </w:rPr>
              <w:t>— Kenneth J. Bacon</w:t>
            </w: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09</w:t>
            </w:r>
          </w:p>
        </w:tc>
        <w:tc>
          <w:tcPr>
            <w:tcW w:w="1360" w:type="dxa"/>
            <w:vAlign w:val="bottom"/>
          </w:tcPr>
          <w:p>
            <w:pPr>
              <w:ind w:left="20"/>
              <w:spacing w:after="0" w:line="135" w:lineRule="exact"/>
              <w:rPr>
                <w:sz w:val="20"/>
                <w:szCs w:val="20"/>
                <w:color w:val="auto"/>
              </w:rPr>
            </w:pPr>
            <w:r>
              <w:rPr>
                <w:rFonts w:ascii="Arial" w:cs="Arial" w:eastAsia="Arial" w:hAnsi="Arial"/>
                <w:sz w:val="13"/>
                <w:szCs w:val="13"/>
                <w:color w:val="auto"/>
                <w:w w:val="94"/>
              </w:rPr>
              <w:t>— Jeffrey A. Honickman</w:t>
            </w:r>
          </w:p>
        </w:tc>
      </w:tr>
      <w:tr>
        <w:trPr>
          <w:trHeight w:val="135"/>
        </w:trPr>
        <w:tc>
          <w:tcPr>
            <w:tcW w:w="160" w:type="dxa"/>
            <w:vAlign w:val="bottom"/>
          </w:tcPr>
          <w:p>
            <w:pPr>
              <w:jc w:val="right"/>
              <w:spacing w:after="0" w:line="135" w:lineRule="exact"/>
              <w:rPr>
                <w:sz w:val="20"/>
                <w:szCs w:val="20"/>
                <w:color w:val="auto"/>
              </w:rPr>
            </w:pPr>
            <w:r>
              <w:rPr>
                <w:rFonts w:ascii="Arial" w:cs="Arial" w:eastAsia="Arial" w:hAnsi="Arial"/>
                <w:sz w:val="13"/>
                <w:szCs w:val="13"/>
                <w:color w:val="auto"/>
                <w:w w:val="82"/>
              </w:rPr>
              <w:t>03</w:t>
            </w:r>
          </w:p>
        </w:tc>
        <w:tc>
          <w:tcPr>
            <w:tcW w:w="2100" w:type="dxa"/>
            <w:vAlign w:val="bottom"/>
          </w:tcPr>
          <w:p>
            <w:pPr>
              <w:spacing w:after="0" w:line="135" w:lineRule="exact"/>
              <w:rPr>
                <w:sz w:val="20"/>
                <w:szCs w:val="20"/>
                <w:color w:val="auto"/>
              </w:rPr>
            </w:pPr>
            <w:r>
              <w:rPr>
                <w:rFonts w:ascii="Arial" w:cs="Arial" w:eastAsia="Arial" w:hAnsi="Arial"/>
                <w:sz w:val="13"/>
                <w:szCs w:val="13"/>
                <w:color w:val="auto"/>
              </w:rPr>
              <w:t>— Sheldon M. Bonovitz</w:t>
            </w: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10</w:t>
            </w:r>
          </w:p>
        </w:tc>
        <w:tc>
          <w:tcPr>
            <w:tcW w:w="1360" w:type="dxa"/>
            <w:vAlign w:val="bottom"/>
          </w:tcPr>
          <w:p>
            <w:pPr>
              <w:ind w:left="20"/>
              <w:spacing w:after="0" w:line="135" w:lineRule="exact"/>
              <w:rPr>
                <w:sz w:val="20"/>
                <w:szCs w:val="20"/>
                <w:color w:val="auto"/>
              </w:rPr>
            </w:pPr>
            <w:r>
              <w:rPr>
                <w:rFonts w:ascii="Arial" w:cs="Arial" w:eastAsia="Arial" w:hAnsi="Arial"/>
                <w:sz w:val="13"/>
                <w:szCs w:val="13"/>
                <w:color w:val="auto"/>
              </w:rPr>
              <w:t>— Brian L. Roberts</w:t>
            </w:r>
          </w:p>
        </w:tc>
      </w:tr>
      <w:tr>
        <w:trPr>
          <w:trHeight w:val="135"/>
        </w:trPr>
        <w:tc>
          <w:tcPr>
            <w:tcW w:w="160" w:type="dxa"/>
            <w:vAlign w:val="bottom"/>
          </w:tcPr>
          <w:p>
            <w:pPr>
              <w:jc w:val="right"/>
              <w:spacing w:after="0" w:line="135" w:lineRule="exact"/>
              <w:rPr>
                <w:sz w:val="20"/>
                <w:szCs w:val="20"/>
                <w:color w:val="auto"/>
              </w:rPr>
            </w:pPr>
            <w:r>
              <w:rPr>
                <w:rFonts w:ascii="Arial" w:cs="Arial" w:eastAsia="Arial" w:hAnsi="Arial"/>
                <w:sz w:val="13"/>
                <w:szCs w:val="13"/>
                <w:color w:val="auto"/>
                <w:w w:val="82"/>
              </w:rPr>
              <w:t>04</w:t>
            </w:r>
          </w:p>
        </w:tc>
        <w:tc>
          <w:tcPr>
            <w:tcW w:w="2100" w:type="dxa"/>
            <w:vAlign w:val="bottom"/>
          </w:tcPr>
          <w:p>
            <w:pPr>
              <w:spacing w:after="0" w:line="135" w:lineRule="exact"/>
              <w:rPr>
                <w:sz w:val="20"/>
                <w:szCs w:val="20"/>
                <w:color w:val="auto"/>
              </w:rPr>
            </w:pPr>
            <w:r>
              <w:rPr>
                <w:rFonts w:ascii="Arial" w:cs="Arial" w:eastAsia="Arial" w:hAnsi="Arial"/>
                <w:sz w:val="13"/>
                <w:szCs w:val="13"/>
                <w:color w:val="auto"/>
              </w:rPr>
              <w:t>— Edward D. Breen</w:t>
            </w: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11</w:t>
            </w:r>
          </w:p>
        </w:tc>
        <w:tc>
          <w:tcPr>
            <w:tcW w:w="1360" w:type="dxa"/>
            <w:vAlign w:val="bottom"/>
          </w:tcPr>
          <w:p>
            <w:pPr>
              <w:ind w:left="20"/>
              <w:spacing w:after="0" w:line="135" w:lineRule="exact"/>
              <w:rPr>
                <w:sz w:val="20"/>
                <w:szCs w:val="20"/>
                <w:color w:val="auto"/>
              </w:rPr>
            </w:pPr>
            <w:r>
              <w:rPr>
                <w:rFonts w:ascii="Arial" w:cs="Arial" w:eastAsia="Arial" w:hAnsi="Arial"/>
                <w:sz w:val="13"/>
                <w:szCs w:val="13"/>
                <w:color w:val="auto"/>
              </w:rPr>
              <w:t>— Ralph J. Roberts</w:t>
            </w:r>
          </w:p>
        </w:tc>
      </w:tr>
      <w:tr>
        <w:trPr>
          <w:trHeight w:val="135"/>
        </w:trPr>
        <w:tc>
          <w:tcPr>
            <w:tcW w:w="160" w:type="dxa"/>
            <w:vAlign w:val="bottom"/>
          </w:tcPr>
          <w:p>
            <w:pPr>
              <w:jc w:val="right"/>
              <w:spacing w:after="0" w:line="135" w:lineRule="exact"/>
              <w:rPr>
                <w:sz w:val="20"/>
                <w:szCs w:val="20"/>
                <w:color w:val="auto"/>
              </w:rPr>
            </w:pPr>
            <w:r>
              <w:rPr>
                <w:rFonts w:ascii="Arial" w:cs="Arial" w:eastAsia="Arial" w:hAnsi="Arial"/>
                <w:sz w:val="13"/>
                <w:szCs w:val="13"/>
                <w:color w:val="auto"/>
                <w:w w:val="82"/>
              </w:rPr>
              <w:t>05</w:t>
            </w:r>
          </w:p>
        </w:tc>
        <w:tc>
          <w:tcPr>
            <w:tcW w:w="2100" w:type="dxa"/>
            <w:vAlign w:val="bottom"/>
          </w:tcPr>
          <w:p>
            <w:pPr>
              <w:spacing w:after="0" w:line="135" w:lineRule="exact"/>
              <w:rPr>
                <w:sz w:val="20"/>
                <w:szCs w:val="20"/>
                <w:color w:val="auto"/>
              </w:rPr>
            </w:pPr>
            <w:r>
              <w:rPr>
                <w:rFonts w:ascii="Arial" w:cs="Arial" w:eastAsia="Arial" w:hAnsi="Arial"/>
                <w:sz w:val="13"/>
                <w:szCs w:val="13"/>
                <w:color w:val="auto"/>
              </w:rPr>
              <w:t>— Julian A. Brodsky</w:t>
            </w: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12</w:t>
            </w:r>
          </w:p>
        </w:tc>
        <w:tc>
          <w:tcPr>
            <w:tcW w:w="1360" w:type="dxa"/>
            <w:vAlign w:val="bottom"/>
          </w:tcPr>
          <w:p>
            <w:pPr>
              <w:ind w:left="20"/>
              <w:spacing w:after="0" w:line="135" w:lineRule="exact"/>
              <w:rPr>
                <w:sz w:val="20"/>
                <w:szCs w:val="20"/>
                <w:color w:val="auto"/>
              </w:rPr>
            </w:pPr>
            <w:r>
              <w:rPr>
                <w:rFonts w:ascii="Arial" w:cs="Arial" w:eastAsia="Arial" w:hAnsi="Arial"/>
                <w:sz w:val="13"/>
                <w:szCs w:val="13"/>
                <w:color w:val="auto"/>
              </w:rPr>
              <w:t>— Dr. Judith Rodin</w:t>
            </w:r>
          </w:p>
        </w:tc>
      </w:tr>
      <w:tr>
        <w:trPr>
          <w:trHeight w:val="135"/>
        </w:trPr>
        <w:tc>
          <w:tcPr>
            <w:tcW w:w="160" w:type="dxa"/>
            <w:vAlign w:val="bottom"/>
          </w:tcPr>
          <w:p>
            <w:pPr>
              <w:jc w:val="right"/>
              <w:spacing w:after="0" w:line="135" w:lineRule="exact"/>
              <w:rPr>
                <w:sz w:val="20"/>
                <w:szCs w:val="20"/>
                <w:color w:val="auto"/>
              </w:rPr>
            </w:pPr>
            <w:r>
              <w:rPr>
                <w:rFonts w:ascii="Arial" w:cs="Arial" w:eastAsia="Arial" w:hAnsi="Arial"/>
                <w:sz w:val="13"/>
                <w:szCs w:val="13"/>
                <w:color w:val="auto"/>
                <w:w w:val="82"/>
              </w:rPr>
              <w:t>06</w:t>
            </w:r>
          </w:p>
        </w:tc>
        <w:tc>
          <w:tcPr>
            <w:tcW w:w="2100" w:type="dxa"/>
            <w:vAlign w:val="bottom"/>
          </w:tcPr>
          <w:p>
            <w:pPr>
              <w:spacing w:after="0" w:line="135" w:lineRule="exact"/>
              <w:rPr>
                <w:sz w:val="20"/>
                <w:szCs w:val="20"/>
                <w:color w:val="auto"/>
              </w:rPr>
            </w:pPr>
            <w:r>
              <w:rPr>
                <w:rFonts w:ascii="Arial" w:cs="Arial" w:eastAsia="Arial" w:hAnsi="Arial"/>
                <w:sz w:val="13"/>
                <w:szCs w:val="13"/>
                <w:color w:val="auto"/>
              </w:rPr>
              <w:t>— Joseph J. Collins</w:t>
            </w: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13</w:t>
            </w:r>
          </w:p>
        </w:tc>
        <w:tc>
          <w:tcPr>
            <w:tcW w:w="1360" w:type="dxa"/>
            <w:vAlign w:val="bottom"/>
          </w:tcPr>
          <w:p>
            <w:pPr>
              <w:ind w:left="20"/>
              <w:spacing w:after="0" w:line="135" w:lineRule="exact"/>
              <w:rPr>
                <w:sz w:val="20"/>
                <w:szCs w:val="20"/>
                <w:color w:val="auto"/>
              </w:rPr>
            </w:pPr>
            <w:r>
              <w:rPr>
                <w:rFonts w:ascii="Arial" w:cs="Arial" w:eastAsia="Arial" w:hAnsi="Arial"/>
                <w:sz w:val="13"/>
                <w:szCs w:val="13"/>
                <w:color w:val="auto"/>
              </w:rPr>
              <w:t>— Michael I. Sovern</w:t>
            </w:r>
          </w:p>
        </w:tc>
      </w:tr>
      <w:tr>
        <w:trPr>
          <w:trHeight w:val="152"/>
        </w:trPr>
        <w:tc>
          <w:tcPr>
            <w:tcW w:w="160" w:type="dxa"/>
            <w:vAlign w:val="bottom"/>
          </w:tcPr>
          <w:p>
            <w:pPr>
              <w:jc w:val="right"/>
              <w:spacing w:after="0"/>
              <w:rPr>
                <w:sz w:val="20"/>
                <w:szCs w:val="20"/>
                <w:color w:val="auto"/>
              </w:rPr>
            </w:pPr>
            <w:r>
              <w:rPr>
                <w:rFonts w:ascii="Arial" w:cs="Arial" w:eastAsia="Arial" w:hAnsi="Arial"/>
                <w:sz w:val="13"/>
                <w:szCs w:val="13"/>
                <w:color w:val="auto"/>
                <w:w w:val="82"/>
              </w:rPr>
              <w:t>07</w:t>
            </w:r>
          </w:p>
        </w:tc>
        <w:tc>
          <w:tcPr>
            <w:tcW w:w="2100" w:type="dxa"/>
            <w:vAlign w:val="bottom"/>
          </w:tcPr>
          <w:p>
            <w:pPr>
              <w:spacing w:after="0"/>
              <w:rPr>
                <w:sz w:val="20"/>
                <w:szCs w:val="20"/>
                <w:color w:val="auto"/>
              </w:rPr>
            </w:pPr>
            <w:r>
              <w:rPr>
                <w:rFonts w:ascii="Arial" w:cs="Arial" w:eastAsia="Arial" w:hAnsi="Arial"/>
                <w:sz w:val="13"/>
                <w:szCs w:val="13"/>
                <w:color w:val="auto"/>
              </w:rPr>
              <w:t>— J. Michael Cook</w:t>
            </w:r>
          </w:p>
        </w:tc>
        <w:tc>
          <w:tcPr>
            <w:tcW w:w="920" w:type="dxa"/>
            <w:vAlign w:val="bottom"/>
          </w:tcPr>
          <w:p>
            <w:pPr>
              <w:spacing w:after="0"/>
              <w:rPr>
                <w:sz w:val="13"/>
                <w:szCs w:val="13"/>
                <w:color w:val="auto"/>
              </w:rPr>
            </w:pPr>
          </w:p>
        </w:tc>
        <w:tc>
          <w:tcPr>
            <w:tcW w:w="1360" w:type="dxa"/>
            <w:vAlign w:val="bottom"/>
          </w:tcPr>
          <w:p>
            <w:pPr>
              <w:spacing w:after="0"/>
              <w:rPr>
                <w:sz w:val="13"/>
                <w:szCs w:val="13"/>
                <w:color w:val="auto"/>
              </w:rPr>
            </w:pPr>
          </w:p>
        </w:tc>
      </w:tr>
    </w:tbl>
    <w:p>
      <w:pPr>
        <w:spacing w:after="0" w:line="118" w:lineRule="exact"/>
        <w:rPr>
          <w:sz w:val="20"/>
          <w:szCs w:val="20"/>
          <w:color w:val="auto"/>
        </w:rPr>
      </w:pPr>
    </w:p>
    <w:p>
      <w:pPr>
        <w:ind w:left="380" w:hanging="372"/>
        <w:spacing w:after="0"/>
        <w:tabs>
          <w:tab w:leader="none" w:pos="380" w:val="left"/>
        </w:tabs>
        <w:numPr>
          <w:ilvl w:val="0"/>
          <w:numId w:val="7"/>
        </w:numPr>
        <w:rPr>
          <w:rFonts w:ascii="Arial" w:cs="Arial" w:eastAsia="Arial" w:hAnsi="Arial"/>
          <w:sz w:val="13"/>
          <w:szCs w:val="13"/>
          <w:color w:val="auto"/>
        </w:rPr>
      </w:pPr>
      <w:r>
        <w:rPr>
          <w:rFonts w:ascii="Arial" w:cs="Arial" w:eastAsia="Arial" w:hAnsi="Arial"/>
          <w:sz w:val="13"/>
          <w:szCs w:val="13"/>
          <w:color w:val="auto"/>
        </w:rPr>
        <w:t>Ratification of independent auditors</w:t>
      </w:r>
    </w:p>
    <w:p>
      <w:pPr>
        <w:spacing w:after="0" w:line="120" w:lineRule="exact"/>
        <w:rPr>
          <w:rFonts w:ascii="Arial" w:cs="Arial" w:eastAsia="Arial" w:hAnsi="Arial"/>
          <w:sz w:val="13"/>
          <w:szCs w:val="13"/>
          <w:color w:val="auto"/>
        </w:rPr>
      </w:pPr>
    </w:p>
    <w:p>
      <w:pPr>
        <w:ind w:left="380" w:hanging="372"/>
        <w:spacing w:after="0"/>
        <w:tabs>
          <w:tab w:leader="none" w:pos="380" w:val="left"/>
        </w:tabs>
        <w:numPr>
          <w:ilvl w:val="0"/>
          <w:numId w:val="7"/>
        </w:numPr>
        <w:rPr>
          <w:rFonts w:ascii="Arial" w:cs="Arial" w:eastAsia="Arial" w:hAnsi="Arial"/>
          <w:sz w:val="13"/>
          <w:szCs w:val="13"/>
          <w:color w:val="auto"/>
        </w:rPr>
      </w:pPr>
      <w:r>
        <w:rPr>
          <w:rFonts w:ascii="Arial" w:cs="Arial" w:eastAsia="Arial" w:hAnsi="Arial"/>
          <w:sz w:val="13"/>
          <w:szCs w:val="13"/>
          <w:color w:val="auto"/>
        </w:rPr>
        <w:t>Approval of our 2002 Restricted Stock Plan, as amended and restated</w:t>
      </w:r>
    </w:p>
    <w:p>
      <w:pPr>
        <w:spacing w:after="0" w:line="120" w:lineRule="exact"/>
        <w:rPr>
          <w:rFonts w:ascii="Arial" w:cs="Arial" w:eastAsia="Arial" w:hAnsi="Arial"/>
          <w:sz w:val="13"/>
          <w:szCs w:val="13"/>
          <w:color w:val="auto"/>
        </w:rPr>
      </w:pPr>
    </w:p>
    <w:p>
      <w:pPr>
        <w:ind w:left="380" w:hanging="372"/>
        <w:spacing w:after="0"/>
        <w:tabs>
          <w:tab w:leader="none" w:pos="380" w:val="left"/>
        </w:tabs>
        <w:numPr>
          <w:ilvl w:val="0"/>
          <w:numId w:val="7"/>
        </w:numPr>
        <w:rPr>
          <w:rFonts w:ascii="Arial" w:cs="Arial" w:eastAsia="Arial" w:hAnsi="Arial"/>
          <w:sz w:val="13"/>
          <w:szCs w:val="13"/>
          <w:color w:val="auto"/>
        </w:rPr>
      </w:pPr>
      <w:r>
        <w:rPr>
          <w:rFonts w:ascii="Arial" w:cs="Arial" w:eastAsia="Arial" w:hAnsi="Arial"/>
          <w:sz w:val="13"/>
          <w:szCs w:val="13"/>
          <w:color w:val="auto"/>
        </w:rPr>
        <w:t>Approval of our 2003 Stock Option Plan, as amended and restated</w:t>
      </w:r>
    </w:p>
    <w:p>
      <w:pPr>
        <w:spacing w:after="0" w:line="105" w:lineRule="exact"/>
        <w:rPr>
          <w:sz w:val="20"/>
          <w:szCs w:val="20"/>
          <w:color w:val="auto"/>
        </w:rPr>
      </w:pPr>
    </w:p>
    <w:p>
      <w:pPr>
        <w:ind w:left="380" w:hanging="336"/>
        <w:spacing w:after="0"/>
        <w:tabs>
          <w:tab w:leader="none" w:pos="380" w:val="left"/>
        </w:tabs>
        <w:numPr>
          <w:ilvl w:val="0"/>
          <w:numId w:val="8"/>
        </w:numPr>
        <w:rPr>
          <w:rFonts w:ascii="Arial" w:cs="Arial" w:eastAsia="Arial" w:hAnsi="Arial"/>
          <w:sz w:val="13"/>
          <w:szCs w:val="13"/>
          <w:b w:val="1"/>
          <w:bCs w:val="1"/>
          <w:color w:val="FFFFFF"/>
        </w:rPr>
      </w:pPr>
      <w:r>
        <w:rPr>
          <w:rFonts w:ascii="Arial" w:cs="Arial" w:eastAsia="Arial" w:hAnsi="Arial"/>
          <w:sz w:val="13"/>
          <w:szCs w:val="13"/>
          <w:b w:val="1"/>
          <w:bCs w:val="1"/>
          <w:color w:val="auto"/>
        </w:rPr>
        <w:t>Shareholder Proposals — The Board of Directors recommends a vote “AGAINST” Proposals 5-11, if properly presented at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102870" cy="857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02870" cy="85725"/>
                    </a:xfrm>
                    <a:prstGeom prst="rect">
                      <a:avLst/>
                    </a:prstGeom>
                    <a:noFill/>
                  </pic:spPr>
                </pic:pic>
              </a:graphicData>
            </a:graphic>
          </wp:anchor>
        </w:drawing>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240" w:type="dxa"/>
            <w:vAlign w:val="bottom"/>
          </w:tcPr>
          <w:p>
            <w:pPr>
              <w:jc w:val="right"/>
              <w:ind w:right="57"/>
              <w:spacing w:after="0"/>
              <w:rPr>
                <w:sz w:val="20"/>
                <w:szCs w:val="20"/>
                <w:color w:val="auto"/>
              </w:rPr>
            </w:pPr>
            <w:r>
              <w:rPr>
                <w:rFonts w:ascii="Arial" w:cs="Arial" w:eastAsia="Arial" w:hAnsi="Arial"/>
                <w:sz w:val="13"/>
                <w:szCs w:val="13"/>
                <w:color w:val="auto"/>
                <w:w w:val="91"/>
              </w:rPr>
              <w:t>5.</w:t>
            </w:r>
          </w:p>
        </w:tc>
        <w:tc>
          <w:tcPr>
            <w:tcW w:w="4880" w:type="dxa"/>
            <w:vAlign w:val="bottom"/>
          </w:tcPr>
          <w:p>
            <w:pPr>
              <w:ind w:left="140"/>
              <w:spacing w:after="0"/>
              <w:rPr>
                <w:sz w:val="20"/>
                <w:szCs w:val="20"/>
                <w:color w:val="auto"/>
              </w:rPr>
            </w:pPr>
            <w:r>
              <w:rPr>
                <w:rFonts w:ascii="Arial" w:cs="Arial" w:eastAsia="Arial" w:hAnsi="Arial"/>
                <w:sz w:val="13"/>
                <w:szCs w:val="13"/>
                <w:color w:val="auto"/>
              </w:rPr>
              <w:t>Adopt a recapitalization plan</w:t>
            </w:r>
          </w:p>
        </w:tc>
        <w:tc>
          <w:tcPr>
            <w:tcW w:w="1660" w:type="dxa"/>
            <w:vAlign w:val="bottom"/>
          </w:tcPr>
          <w:p>
            <w:pPr>
              <w:jc w:val="right"/>
              <w:ind w:right="57"/>
              <w:spacing w:after="0"/>
              <w:rPr>
                <w:sz w:val="20"/>
                <w:szCs w:val="20"/>
                <w:color w:val="auto"/>
              </w:rPr>
            </w:pPr>
            <w:r>
              <w:rPr>
                <w:rFonts w:ascii="Arial" w:cs="Arial" w:eastAsia="Arial" w:hAnsi="Arial"/>
                <w:sz w:val="13"/>
                <w:szCs w:val="13"/>
                <w:color w:val="auto"/>
              </w:rPr>
              <w:t>10.</w:t>
            </w:r>
          </w:p>
        </w:tc>
        <w:tc>
          <w:tcPr>
            <w:tcW w:w="3160" w:type="dxa"/>
            <w:vAlign w:val="bottom"/>
          </w:tcPr>
          <w:p>
            <w:pPr>
              <w:ind w:left="120"/>
              <w:spacing w:after="0"/>
              <w:rPr>
                <w:sz w:val="20"/>
                <w:szCs w:val="20"/>
                <w:color w:val="auto"/>
              </w:rPr>
            </w:pPr>
            <w:r>
              <w:rPr>
                <w:rFonts w:ascii="Arial" w:cs="Arial" w:eastAsia="Arial" w:hAnsi="Arial"/>
                <w:sz w:val="13"/>
                <w:szCs w:val="13"/>
                <w:color w:val="auto"/>
                <w:w w:val="96"/>
              </w:rPr>
              <w:t>Adopt principles for comprehensive health care reform</w:t>
            </w:r>
          </w:p>
        </w:tc>
      </w:tr>
      <w:tr>
        <w:trPr>
          <w:trHeight w:val="270"/>
        </w:trPr>
        <w:tc>
          <w:tcPr>
            <w:tcW w:w="240" w:type="dxa"/>
            <w:vAlign w:val="bottom"/>
          </w:tcPr>
          <w:p>
            <w:pPr>
              <w:jc w:val="right"/>
              <w:ind w:right="57"/>
              <w:spacing w:after="0"/>
              <w:rPr>
                <w:sz w:val="20"/>
                <w:szCs w:val="20"/>
                <w:color w:val="auto"/>
              </w:rPr>
            </w:pPr>
            <w:r>
              <w:rPr>
                <w:rFonts w:ascii="Arial" w:cs="Arial" w:eastAsia="Arial" w:hAnsi="Arial"/>
                <w:sz w:val="13"/>
                <w:szCs w:val="13"/>
                <w:color w:val="auto"/>
                <w:w w:val="91"/>
              </w:rPr>
              <w:t>6.</w:t>
            </w:r>
          </w:p>
        </w:tc>
        <w:tc>
          <w:tcPr>
            <w:tcW w:w="4880" w:type="dxa"/>
            <w:vAlign w:val="bottom"/>
          </w:tcPr>
          <w:p>
            <w:pPr>
              <w:ind w:left="140"/>
              <w:spacing w:after="0"/>
              <w:rPr>
                <w:sz w:val="20"/>
                <w:szCs w:val="20"/>
                <w:color w:val="auto"/>
              </w:rPr>
            </w:pPr>
            <w:r>
              <w:rPr>
                <w:rFonts w:ascii="Arial" w:cs="Arial" w:eastAsia="Arial" w:hAnsi="Arial"/>
                <w:sz w:val="13"/>
                <w:szCs w:val="13"/>
                <w:color w:val="auto"/>
              </w:rPr>
              <w:t>Identify all executive officers who earn in excess of $500,000</w:t>
            </w:r>
          </w:p>
        </w:tc>
        <w:tc>
          <w:tcPr>
            <w:tcW w:w="1660" w:type="dxa"/>
            <w:vAlign w:val="bottom"/>
          </w:tcPr>
          <w:p>
            <w:pPr>
              <w:jc w:val="right"/>
              <w:ind w:right="57"/>
              <w:spacing w:after="0"/>
              <w:rPr>
                <w:sz w:val="20"/>
                <w:szCs w:val="20"/>
                <w:color w:val="auto"/>
              </w:rPr>
            </w:pPr>
            <w:r>
              <w:rPr>
                <w:rFonts w:ascii="Arial" w:cs="Arial" w:eastAsia="Arial" w:hAnsi="Arial"/>
                <w:sz w:val="13"/>
                <w:szCs w:val="13"/>
                <w:color w:val="auto"/>
              </w:rPr>
              <w:t>11.</w:t>
            </w:r>
          </w:p>
        </w:tc>
        <w:tc>
          <w:tcPr>
            <w:tcW w:w="3160" w:type="dxa"/>
            <w:vAlign w:val="bottom"/>
          </w:tcPr>
          <w:p>
            <w:pPr>
              <w:ind w:left="120"/>
              <w:spacing w:after="0"/>
              <w:rPr>
                <w:sz w:val="20"/>
                <w:szCs w:val="20"/>
                <w:color w:val="auto"/>
              </w:rPr>
            </w:pPr>
            <w:r>
              <w:rPr>
                <w:rFonts w:ascii="Arial" w:cs="Arial" w:eastAsia="Arial" w:hAnsi="Arial"/>
                <w:sz w:val="13"/>
                <w:szCs w:val="13"/>
                <w:color w:val="auto"/>
              </w:rPr>
              <w:t>Adopt an annual vote on executive compensation</w:t>
            </w:r>
          </w:p>
        </w:tc>
      </w:tr>
    </w:tbl>
    <w:p>
      <w:pPr>
        <w:spacing w:after="0" w:line="118" w:lineRule="exact"/>
        <w:rPr>
          <w:sz w:val="20"/>
          <w:szCs w:val="20"/>
          <w:color w:val="auto"/>
        </w:rPr>
      </w:pPr>
    </w:p>
    <w:p>
      <w:pPr>
        <w:ind w:left="380" w:hanging="372"/>
        <w:spacing w:after="0"/>
        <w:tabs>
          <w:tab w:leader="none" w:pos="380" w:val="left"/>
        </w:tabs>
        <w:numPr>
          <w:ilvl w:val="0"/>
          <w:numId w:val="9"/>
        </w:numPr>
        <w:rPr>
          <w:rFonts w:ascii="Arial" w:cs="Arial" w:eastAsia="Arial" w:hAnsi="Arial"/>
          <w:sz w:val="13"/>
          <w:szCs w:val="13"/>
          <w:color w:val="auto"/>
        </w:rPr>
      </w:pPr>
      <w:r>
        <w:rPr>
          <w:rFonts w:ascii="Arial" w:cs="Arial" w:eastAsia="Arial" w:hAnsi="Arial"/>
          <w:sz w:val="13"/>
          <w:szCs w:val="13"/>
          <w:color w:val="auto"/>
        </w:rPr>
        <w:t>Nominate two directors for every open directorship</w:t>
      </w:r>
    </w:p>
    <w:p>
      <w:pPr>
        <w:spacing w:after="0" w:line="120" w:lineRule="exact"/>
        <w:rPr>
          <w:rFonts w:ascii="Arial" w:cs="Arial" w:eastAsia="Arial" w:hAnsi="Arial"/>
          <w:sz w:val="13"/>
          <w:szCs w:val="13"/>
          <w:color w:val="auto"/>
        </w:rPr>
      </w:pPr>
    </w:p>
    <w:p>
      <w:pPr>
        <w:ind w:left="380" w:hanging="372"/>
        <w:spacing w:after="0"/>
        <w:tabs>
          <w:tab w:leader="none" w:pos="380" w:val="left"/>
        </w:tabs>
        <w:numPr>
          <w:ilvl w:val="0"/>
          <w:numId w:val="9"/>
        </w:numPr>
        <w:rPr>
          <w:rFonts w:ascii="Arial" w:cs="Arial" w:eastAsia="Arial" w:hAnsi="Arial"/>
          <w:sz w:val="13"/>
          <w:szCs w:val="13"/>
          <w:color w:val="auto"/>
        </w:rPr>
      </w:pPr>
      <w:r>
        <w:rPr>
          <w:rFonts w:ascii="Arial" w:cs="Arial" w:eastAsia="Arial" w:hAnsi="Arial"/>
          <w:sz w:val="13"/>
          <w:szCs w:val="13"/>
          <w:color w:val="auto"/>
        </w:rPr>
        <w:t>Require a pay differential report</w:t>
      </w:r>
    </w:p>
    <w:p>
      <w:pPr>
        <w:spacing w:after="0" w:line="120" w:lineRule="exact"/>
        <w:rPr>
          <w:rFonts w:ascii="Arial" w:cs="Arial" w:eastAsia="Arial" w:hAnsi="Arial"/>
          <w:sz w:val="13"/>
          <w:szCs w:val="13"/>
          <w:color w:val="auto"/>
        </w:rPr>
      </w:pPr>
    </w:p>
    <w:p>
      <w:pPr>
        <w:ind w:left="380" w:hanging="372"/>
        <w:spacing w:after="0"/>
        <w:tabs>
          <w:tab w:leader="none" w:pos="380" w:val="left"/>
        </w:tabs>
        <w:numPr>
          <w:ilvl w:val="0"/>
          <w:numId w:val="9"/>
        </w:numPr>
        <w:rPr>
          <w:rFonts w:ascii="Arial" w:cs="Arial" w:eastAsia="Arial" w:hAnsi="Arial"/>
          <w:sz w:val="13"/>
          <w:szCs w:val="13"/>
          <w:color w:val="auto"/>
        </w:rPr>
      </w:pPr>
      <w:r>
        <w:rPr>
          <w:rFonts w:ascii="Arial" w:cs="Arial" w:eastAsia="Arial" w:hAnsi="Arial"/>
          <w:sz w:val="13"/>
          <w:szCs w:val="13"/>
          <w:color w:val="auto"/>
        </w:rPr>
        <w:t>Provide cumulative voting for Class A shareholders in the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137160" cy="4457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7160" cy="445770"/>
                    </a:xfrm>
                    <a:prstGeom prst="rect">
                      <a:avLst/>
                    </a:prstGeom>
                    <a:noFill/>
                  </pic:spPr>
                </pic:pic>
              </a:graphicData>
            </a:graphic>
          </wp:anchor>
        </w:drawing>
      </w:r>
    </w:p>
    <w:sectPr>
      <w:pgSz w:w="11900" w:h="16838" w:orient="portrait"/>
      <w:cols w:equalWidth="0" w:num="1">
        <w:col w:w="10219"/>
      </w:cols>
      <w:pgMar w:left="240" w:top="93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o"/>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o"/>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o"/>
      <w:numFmt w:val="bullet"/>
      <w:start w:val="1"/>
    </w:lvl>
    <w:lvl w:ilvl="1">
      <w:lvlJc w:val="left"/>
      <w:lvlText w:val="(%2)"/>
      <w:numFmt w:val="decimal"/>
      <w:start w:val="1"/>
    </w:lvl>
  </w:abstractNum>
  <w:abstractNum w:abstractNumId="5">
    <w:nsid w:val="79E2A9E3"/>
    <w:multiLevelType w:val="hybridMultilevel"/>
    <w:lvl w:ilvl="0">
      <w:lvlJc w:val="left"/>
      <w:lvlText w:val="%1."/>
      <w:numFmt w:val="decimal"/>
    </w:lvl>
    <w:lvl w:ilvl="1">
      <w:lvlJc w:val="left"/>
      <w:lvlText w:val="A"/>
      <w:numFmt w:val="bullet"/>
      <w:start w:val="1"/>
    </w:lvl>
  </w:abstractNum>
  <w:abstractNum w:abstractNumId="6">
    <w:nsid w:val="7545E146"/>
    <w:multiLevelType w:val="hybridMultilevel"/>
    <w:lvl w:ilvl="0">
      <w:lvlJc w:val="left"/>
      <w:lvlText w:val="%1."/>
      <w:numFmt w:val="decimal"/>
      <w:start w:val="2"/>
    </w:lvl>
  </w:abstractNum>
  <w:abstractNum w:abstractNumId="7">
    <w:nsid w:val="515F007C"/>
    <w:multiLevelType w:val="hybridMultilevel"/>
    <w:lvl w:ilvl="0">
      <w:lvlJc w:val="left"/>
      <w:lvlText w:val="B"/>
      <w:numFmt w:val="bullet"/>
      <w:start w:val="1"/>
    </w:lvl>
  </w:abstractNum>
  <w:abstractNum w:abstractNumId="8">
    <w:nsid w:val="5BD062C2"/>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2019-12-15T06:09:10Z</dcterms:created>
  <dcterms:modified xsi:type="dcterms:W3CDTF">2019-12-15T06:09:10Z</dcterms:modified>
</cp:coreProperties>
</file>