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8"/>
          <w:szCs w:val="18"/>
          <w:color w:val="auto"/>
        </w:rPr>
        <w:t>UNITED STATES</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AND EXCHANGE COMMISSION</w:t>
      </w:r>
    </w:p>
    <w:p>
      <w:pPr>
        <w:jc w:val="center"/>
        <w:ind w:right="-279"/>
        <w:spacing w:after="0"/>
        <w:rPr>
          <w:sz w:val="20"/>
          <w:szCs w:val="20"/>
          <w:color w:val="auto"/>
        </w:rPr>
      </w:pPr>
      <w:r>
        <w:rPr>
          <w:rFonts w:ascii="Arial" w:cs="Arial" w:eastAsia="Arial" w:hAnsi="Arial"/>
          <w:sz w:val="18"/>
          <w:szCs w:val="18"/>
          <w:color w:val="auto"/>
        </w:rPr>
        <w:t>Washington, D.C. 20549</w:t>
      </w:r>
    </w:p>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SCHEDULE 14A</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spacing w:after="0" w:line="12"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42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0"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9" w:lineRule="exact"/>
        <w:rPr>
          <w:rFonts w:ascii="MS PGothic" w:cs="MS PGothic" w:eastAsia="MS PGothic" w:hAnsi="MS PGothic"/>
          <w:sz w:val="22"/>
          <w:szCs w:val="22"/>
          <w:color w:val="auto"/>
        </w:rPr>
      </w:pPr>
    </w:p>
    <w:p>
      <w:pPr>
        <w:ind w:left="80" w:right="4200"/>
        <w:spacing w:after="0" w:line="270"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37"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5" w:lineRule="exact"/>
        <w:rPr>
          <w:rFonts w:ascii="MS PGothic" w:cs="MS PGothic" w:eastAsia="MS PGothic" w:hAnsi="MS PGothic"/>
          <w:sz w:val="22"/>
          <w:szCs w:val="22"/>
          <w:color w:val="auto"/>
        </w:rPr>
      </w:pPr>
    </w:p>
    <w:p>
      <w:pPr>
        <w:ind w:left="540" w:hanging="460"/>
        <w:spacing w:after="0" w:line="237"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132320" cy="1551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Comcast Corporation</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6"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49" w:lineRule="exact"/>
        <w:rPr>
          <w:rFonts w:ascii="MS PGothic" w:cs="MS PGothic" w:eastAsia="MS PGothic" w:hAnsi="MS PGothic"/>
          <w:sz w:val="22"/>
          <w:szCs w:val="22"/>
          <w:color w:val="auto"/>
        </w:rPr>
      </w:pPr>
    </w:p>
    <w:p>
      <w:pPr>
        <w:ind w:left="540" w:hanging="460"/>
        <w:spacing w:after="0" w:line="237"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245110</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960"/>
          </w:cols>
          <w:pgMar w:left="320" w:top="235" w:right="6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143510</wp:posOffset>
            </wp:positionV>
            <wp:extent cx="6172200" cy="803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03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0" w:right="3459"/>
        <w:spacing w:after="0" w:line="259" w:lineRule="auto"/>
        <w:rPr>
          <w:sz w:val="20"/>
          <w:szCs w:val="20"/>
          <w:color w:val="auto"/>
        </w:rPr>
      </w:pPr>
      <w:r>
        <w:rPr>
          <w:rFonts w:ascii="Arial" w:cs="Arial" w:eastAsia="Arial" w:hAnsi="Arial"/>
          <w:sz w:val="46"/>
          <w:szCs w:val="46"/>
          <w:color w:val="auto"/>
        </w:rPr>
        <w:t>Notice of 2022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4626610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2021 Company Highlights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A1DF"/>
        </w:rPr>
        <w:t>Strong Execution on Key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156210</wp:posOffset>
            </wp:positionV>
            <wp:extent cx="8255" cy="216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216027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156210</wp:posOffset>
            </wp:positionV>
            <wp:extent cx="8890" cy="2160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216027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156210</wp:posOffset>
            </wp:positionV>
            <wp:extent cx="28321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210" cy="18859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156210</wp:posOffset>
            </wp:positionV>
            <wp:extent cx="29146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156210</wp:posOffset>
            </wp:positionV>
            <wp:extent cx="2825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00A1DF"/>
        </w:rPr>
        <w:t>Connectivity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billion</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investment in Comcast Cable’s network since 2017 has enabled us to stay ahead of demand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million</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broadband customer net additions in the U.S. in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million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wireless customer line net additions in the U.S. in 2021, the best annual result since the launch of Xfinity Mobile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132715</wp:posOffset>
            </wp:positionV>
            <wp:extent cx="6426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19"/>
        <w:spacing w:after="0"/>
        <w:rPr>
          <w:sz w:val="20"/>
          <w:szCs w:val="20"/>
          <w:color w:val="auto"/>
        </w:rPr>
      </w:pPr>
      <w:r>
        <w:rPr>
          <w:rFonts w:ascii="Arial" w:cs="Arial" w:eastAsia="Arial" w:hAnsi="Arial"/>
          <w:sz w:val="20"/>
          <w:szCs w:val="20"/>
          <w:b w:val="1"/>
          <w:bCs w:val="1"/>
          <w:color w:val="00A1DF"/>
        </w:rPr>
        <w:t>Aggregation</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Increased customer penetration of X1, Flex &amp; Sky Q</w:t>
      </w:r>
    </w:p>
    <w:p>
      <w:pPr>
        <w:spacing w:after="0" w:line="145" w:lineRule="exact"/>
        <w:rPr>
          <w:sz w:val="20"/>
          <w:szCs w:val="20"/>
          <w:color w:val="auto"/>
        </w:rPr>
      </w:pPr>
    </w:p>
    <w:p>
      <w:pPr>
        <w:ind w:right="400"/>
        <w:spacing w:after="0" w:line="285" w:lineRule="auto"/>
        <w:rPr>
          <w:sz w:val="20"/>
          <w:szCs w:val="20"/>
          <w:color w:val="auto"/>
        </w:rPr>
      </w:pPr>
      <w:r>
        <w:rPr>
          <w:rFonts w:ascii="Arial" w:cs="Arial" w:eastAsia="Arial" w:hAnsi="Arial"/>
          <w:sz w:val="14"/>
          <w:szCs w:val="14"/>
          <w:color w:val="auto"/>
        </w:rPr>
        <w:t>provided more of our customers with our leading aggregation platforms</w:t>
      </w:r>
    </w:p>
    <w:p>
      <w:pPr>
        <w:spacing w:after="0" w:line="15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Launched Sky Glass in the U.K. and XClass TV in the U.S.</w:t>
      </w:r>
    </w:p>
    <w:p>
      <w:pPr>
        <w:spacing w:after="0" w:line="145"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powered by Comcast’s global technology platform, which accelerated the new products’ speed to market and provides customers with advanced technology features and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289560</wp:posOffset>
            </wp:positionV>
            <wp:extent cx="8890" cy="2400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00300"/>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289560</wp:posOffset>
            </wp:positionV>
            <wp:extent cx="26543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43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00A1DF"/>
        </w:rPr>
        <w:t>Streaming</w:t>
      </w:r>
    </w:p>
    <w:p>
      <w:pPr>
        <w:spacing w:after="0" w:line="10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Peacock monthly active accounts in the U.S. reached 24.5 million at year-end</w:t>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Launched nationwide in July 2020, NBCUniversal’s differentiated, ad-supported streaming service leverages technologies and capabilities from across the company</w:t>
      </w:r>
    </w:p>
    <w:p>
      <w:pPr>
        <w:spacing w:after="0" w:line="16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Established SkyShowtime in partnership with Paramount</w:t>
      </w:r>
    </w:p>
    <w:p>
      <w:pPr>
        <w:spacing w:after="0" w:line="145"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Subscription video on demand service to launch in more than 20 new markets in Europe starting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380365</wp:posOffset>
            </wp:positionV>
            <wp:extent cx="8255" cy="2400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240030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380365</wp:posOffset>
            </wp:positionV>
            <wp:extent cx="21463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630" cy="29146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3">
            <w:col w:w="3540" w:space="300"/>
            <w:col w:w="3480" w:space="320"/>
            <w:col w:w="3600"/>
          </w:cols>
          <w:pgMar w:left="320" w:top="130"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00A1DF"/>
        </w:rPr>
        <w:t>Digital Equity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Addressing Digital Inequities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10 million+</w:t>
      </w:r>
    </w:p>
    <w:p>
      <w:pPr>
        <w:spacing w:after="0" w:line="226"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low-income Americans connected to the internet over the last decade through Internet Essentials, which we believe is the nation’s largest and most comprehensive broadband adoption program for low-income families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Community Impact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1,000 WiFi-Connected Lift Zones</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opened in community centers nationwide for low-income families by the end of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A1DF"/>
        </w:rPr>
        <w:t>Diversity, Equity &amp; Inclusion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Workforce Leadership Diversity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42% women &amp; 24% people of color</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our VP+ population, and 36% women &amp; 45% people of color in our overall workforce, based on U.S. full-time employees as of year-end 2021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Diversity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At least $3 billion annual spend</w:t>
      </w:r>
    </w:p>
    <w:p>
      <w:pPr>
        <w:spacing w:after="0" w:line="226"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with diverse suppliers during each of the past 5 years, with over $4.3 billion spent with diverse Tier 1 vendors and over $390 million spent with diverse Tier 2 subcontractors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100965</wp:posOffset>
            </wp:positionV>
            <wp:extent cx="7132320" cy="172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00A1DF"/>
        </w:rPr>
        <w:t>Environmental Sustainability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Carbon Neutral by 2035</w:t>
      </w:r>
    </w:p>
    <w:p>
      <w:pPr>
        <w:spacing w:after="0" w:line="226" w:lineRule="exact"/>
        <w:rPr>
          <w:sz w:val="20"/>
          <w:szCs w:val="20"/>
          <w:color w:val="auto"/>
        </w:rPr>
      </w:pPr>
    </w:p>
    <w:p>
      <w:pPr>
        <w:ind w:right="300"/>
        <w:spacing w:after="0" w:line="285" w:lineRule="auto"/>
        <w:rPr>
          <w:sz w:val="20"/>
          <w:szCs w:val="20"/>
          <w:color w:val="auto"/>
        </w:rPr>
      </w:pPr>
      <w:r>
        <w:rPr>
          <w:rFonts w:ascii="Arial" w:cs="Arial" w:eastAsia="Arial" w:hAnsi="Arial"/>
          <w:sz w:val="14"/>
          <w:szCs w:val="14"/>
          <w:color w:val="auto"/>
        </w:rPr>
        <w:t>Goal to be carbon neutral by 2035 in Scope 1 and 2 emissions across our global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Focused on Renewable Energy</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Long-term purchase agreement for renewable electricity signed in 2021 to power approximately 12% of our current U.S. electricity use beginning in 2024-2025</w:t>
      </w:r>
    </w:p>
    <w:p>
      <w:pPr>
        <w:spacing w:after="0" w:line="1329" w:lineRule="exact"/>
        <w:rPr>
          <w:sz w:val="20"/>
          <w:szCs w:val="20"/>
          <w:color w:val="auto"/>
        </w:rPr>
      </w:pPr>
    </w:p>
    <w:p>
      <w:pPr>
        <w:sectPr>
          <w:pgSz w:w="11900" w:h="16838" w:orient="portrait"/>
          <w:cols w:equalWidth="0" w:num="3">
            <w:col w:w="3600" w:space="240"/>
            <w:col w:w="3540" w:space="260"/>
            <w:col w:w="3600"/>
          </w:cols>
          <w:pgMar w:left="320" w:top="130" w:right="339"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 ABOUT FORWARD-LOOKING STATEMENTS AND WEBSITE REFERENCES</w:t>
      </w:r>
    </w:p>
    <w:p>
      <w:pPr>
        <w:spacing w:after="0" w:line="214" w:lineRule="exact"/>
        <w:rPr>
          <w:sz w:val="20"/>
          <w:szCs w:val="20"/>
          <w:color w:val="auto"/>
        </w:rPr>
      </w:pPr>
    </w:p>
    <w:p>
      <w:pPr>
        <w:ind w:left="120" w:right="200"/>
        <w:spacing w:after="0" w:line="245" w:lineRule="auto"/>
        <w:rPr>
          <w:sz w:val="20"/>
          <w:szCs w:val="20"/>
          <w:color w:val="auto"/>
        </w:rPr>
      </w:pPr>
      <w:r>
        <w:rPr>
          <w:rFonts w:ascii="Arial" w:cs="Arial" w:eastAsia="Arial" w:hAnsi="Arial"/>
          <w:sz w:val="13"/>
          <w:szCs w:val="13"/>
          <w:color w:val="auto"/>
        </w:rPr>
        <w:t>This proxy statement includes estimates, projections and statements relating to our business plans, objectives and expected operating results and statements regarding environmental, social and governance-related plans and goals that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These forward-looking statements generally are identified by the words “believe,” “project,” “expect,” “anticipate,” “estimate,” “intend,” “potential,” “strategy,” “future,” “opportunity,” “commit,” “plan,” “goal,” “may,” “should,” “could,” “will,” “would,” “will be,” “will continue,” “will likely result” and similar expressions. Forward-looking statements are based on current expectations and assumptions that are subject to risks and uncertainties that may cause actual results to differ materially. In evaluating these statements, you should consider various factors, including the risks and uncertainties we describe in the “Risk Factors” sections of our Forms 10-K and 10-Q and other reports we file with the Securities and Exchange Commission (“SEC”).</w:t>
      </w:r>
    </w:p>
    <w:p>
      <w:pPr>
        <w:spacing w:after="0" w:line="187" w:lineRule="exact"/>
        <w:rPr>
          <w:sz w:val="20"/>
          <w:szCs w:val="20"/>
          <w:color w:val="auto"/>
        </w:rPr>
      </w:pPr>
    </w:p>
    <w:p>
      <w:pPr>
        <w:ind w:left="120" w:right="100"/>
        <w:spacing w:after="0" w:line="246" w:lineRule="auto"/>
        <w:rPr>
          <w:sz w:val="20"/>
          <w:szCs w:val="20"/>
          <w:color w:val="auto"/>
        </w:rPr>
      </w:pPr>
      <w:r>
        <w:rPr>
          <w:rFonts w:ascii="Arial" w:cs="Arial" w:eastAsia="Arial" w:hAnsi="Arial"/>
          <w:sz w:val="13"/>
          <w:szCs w:val="13"/>
          <w:color w:val="auto"/>
        </w:rPr>
        <w:t>Additionally, none of the statements, reports, policies or other content on our website, or any other websites or reports referenced or discussed in this proxy statement, are deemed to be part of, or incorporated by reference into, this proxy statement. The inclusion of forward-looking and other statements in this proxy statement or on our website that may address our corporate responsibility initiatives, progress, plans and goals is not an indication that they are necessarily material to investors or required to be disclosed in our filings with the SEC. Such statements may contain estimates, make assumptions based on developing standards that may change and provide aspirational goals and commitments that are not intended to be promises or guarantees. Readers are cautioned not to place undue reliance on forward-looking statements and such other statements, which speak only as of the date they are made. We undertake no obligation to update or revise publicly any forward-looking or such other statements, whether because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right="1500"/>
        <w:spacing w:after="0" w:line="298" w:lineRule="auto"/>
        <w:rPr>
          <w:sz w:val="20"/>
          <w:szCs w:val="20"/>
          <w:color w:val="auto"/>
        </w:rPr>
      </w:pPr>
      <w:r>
        <w:rPr>
          <w:rFonts w:ascii="Arial" w:cs="Arial" w:eastAsia="Arial" w:hAnsi="Arial"/>
          <w:sz w:val="32"/>
          <w:szCs w:val="32"/>
          <w:b w:val="1"/>
          <w:bCs w:val="1"/>
          <w:color w:val="auto"/>
        </w:rPr>
        <w:t>Message from Our Chairman, President and CEO and Our Lead Independent Director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Dear Shareholders,</w:t>
      </w:r>
    </w:p>
    <w:p>
      <w:pPr>
        <w:spacing w:after="0" w:line="218"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2021 was an outstanding year for Comcast. Our financial results were the strongest in our company’s history – generating record high levels of revenue, Adjusted EBITDA, and Free Cash Flow – and we returned significant amounts of capital to shareholders through share repurchases of $4 billion and dividends paid of $4.5 billion.</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At the same time, we continued to innovate and deliver world-class connectivity and entertainment to millions of consumers across the globe. We launched exciting new products – including Sky Glass and XClass TV – leveraging the power of our global technology platform. We brought must-watch content to viewers across our television networks and through our fast-growing streaming service, Peacock. Our Theme Parks had a phenomenal year, adding new attractions and parks and reporting the most profitable fourth quarter on record, despite limited international guest attendance. Meanwhile, we continued to strengthen, evolve, and expand our core connectivity business, which led to significant customer additions in 2021.</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Importantly, in all our work, we remain guided by our core values and an unwavering commitment to our communities. We accelerated our efforts to advance diversity, equity, and inclusion, and made new investments in digital equity programs that will enable us to continue to connect more people to the tools and resources needed to succeed in today’s digital world. We also announced a new environmental goal to be carbon neutral in Scopes 1 and 2 emissions across our global operations by 2035.</w:t>
      </w:r>
    </w:p>
    <w:p>
      <w:pPr>
        <w:spacing w:after="0" w:line="17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None of this would be possible without the remarkable dedication and talent of our nearly 190,000 employees, and the stewardship of our Board of Directors. We’d like to take this opportunity to thank our fellow directors, and especially Nomi Bergman for her invaluable insight and leadership during her tenure. The Board aims to further refresh its membership in the coming years, with a continued focus on diverse candidates.</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As we enter 2022, we do so with great momentum and tremendous gratitude for your continued support of Comcast. We are proud to lead this remarkable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354455" cy="1329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4455" cy="13290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149225</wp:posOffset>
            </wp:positionV>
            <wp:extent cx="1397000" cy="134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134620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Brian L. Roberts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Edward D. Breen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Lead Independent Director</w:t>
      </w:r>
    </w:p>
    <w:p>
      <w:pPr>
        <w:spacing w:after="0" w:line="183" w:lineRule="exact"/>
        <w:rPr>
          <w:sz w:val="20"/>
          <w:szCs w:val="20"/>
          <w:color w:val="auto"/>
        </w:rPr>
      </w:pPr>
    </w:p>
    <w:p>
      <w:pPr>
        <w:sectPr>
          <w:pgSz w:w="11900" w:h="16838" w:orient="portrait"/>
          <w:cols w:equalWidth="0" w:num="2">
            <w:col w:w="4900" w:space="720"/>
            <w:col w:w="5620"/>
          </w:cols>
          <w:pgMar w:left="320" w:top="130" w:right="339" w:bottom="1440" w:gutter="0" w:footer="0" w:header="0"/>
          <w:type w:val="continuous"/>
        </w:sect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of 2022 Annual Meeting of Shareholders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6172200" cy="2665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Online check-in opens: 8:45 a.m. Eastern Time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Meeting begins: 9:00 a.m. Eastern Time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PLACE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Meeting live via the internet: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00A1DF"/>
        </w:rPr>
        <w:t>comcast.onlineshareholdermeeting.com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WHO CAN VOTE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on April 4,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b w:val="1"/>
          <w:bCs w:val="1"/>
          <w:color w:val="auto"/>
        </w:rPr>
        <w:t>Voting Items</w:t>
      </w:r>
      <w:r>
        <w:rPr>
          <w:sz w:val="20"/>
          <w:szCs w:val="20"/>
          <w:color w:val="auto"/>
        </w:rPr>
        <w:tab/>
      </w:r>
      <w:r>
        <w:rPr>
          <w:rFonts w:ascii="Arial" w:cs="Arial" w:eastAsia="Arial" w:hAnsi="Arial"/>
          <w:sz w:val="16"/>
          <w:szCs w:val="16"/>
          <w:b w:val="1"/>
          <w:bCs w:val="1"/>
          <w:color w:val="auto"/>
        </w:rPr>
        <w:t>Board Voting</w:t>
      </w:r>
    </w:p>
    <w:p>
      <w:pPr>
        <w:spacing w:after="0" w:line="9" w:lineRule="exact"/>
        <w:rPr>
          <w:sz w:val="20"/>
          <w:szCs w:val="20"/>
          <w:color w:val="auto"/>
        </w:rPr>
      </w:pPr>
    </w:p>
    <w:p>
      <w:pPr>
        <w:jc w:val="right"/>
        <w:ind w:right="2300"/>
        <w:spacing w:after="0"/>
        <w:rPr>
          <w:sz w:val="20"/>
          <w:szCs w:val="20"/>
          <w:color w:val="auto"/>
        </w:rPr>
      </w:pPr>
      <w:r>
        <w:rPr>
          <w:rFonts w:ascii="Arial" w:cs="Arial" w:eastAsia="Arial" w:hAnsi="Arial"/>
          <w:sz w:val="18"/>
          <w:szCs w:val="18"/>
          <w:b w:val="1"/>
          <w:bCs w:val="1"/>
          <w:color w:val="auto"/>
        </w:rPr>
        <w:t>Recommendation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PROPOSAL 1</w:t>
      </w:r>
    </w:p>
    <w:p>
      <w:pPr>
        <w:spacing w:after="0" w:line="167"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Elect directors</w:t>
      </w:r>
      <w:r>
        <w:rPr>
          <w:sz w:val="20"/>
          <w:szCs w:val="20"/>
          <w:color w:val="auto"/>
        </w:rPr>
        <w:tab/>
      </w:r>
      <w:r>
        <w:rPr>
          <w:rFonts w:ascii="Arial" w:cs="Arial" w:eastAsia="Arial" w:hAnsi="Arial"/>
          <w:sz w:val="16"/>
          <w:szCs w:val="16"/>
          <w:b w:val="1"/>
          <w:bCs w:val="1"/>
          <w:color w:val="00A1DF"/>
        </w:rPr>
        <w:t xml:space="preserve">FOR </w:t>
      </w:r>
      <w:r>
        <w:rPr>
          <w:rFonts w:ascii="Arial" w:cs="Arial" w:eastAsia="Arial" w:hAnsi="Arial"/>
          <w:sz w:val="16"/>
          <w:szCs w:val="16"/>
          <w:color w:val="000000"/>
        </w:rPr>
        <w:t>each nominee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PROPOSAL 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Advisory vote to approve</w:t>
      </w:r>
    </w:p>
    <w:p>
      <w:pPr>
        <w:spacing w:after="0" w:line="21"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executive compensation</w:t>
      </w:r>
      <w:r>
        <w:rPr>
          <w:sz w:val="20"/>
          <w:szCs w:val="20"/>
          <w:color w:val="auto"/>
        </w:rPr>
        <w:tab/>
      </w:r>
      <w:r>
        <w:rPr>
          <w:rFonts w:ascii="Arial" w:cs="Arial" w:eastAsia="Arial" w:hAnsi="Arial"/>
          <w:sz w:val="16"/>
          <w:szCs w:val="16"/>
          <w:b w:val="1"/>
          <w:bCs w:val="1"/>
          <w:color w:val="00A1DF"/>
        </w:rPr>
        <w:t>FOR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PROPOSAL 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Ratify appointment of</w:t>
      </w:r>
    </w:p>
    <w:p>
      <w:pPr>
        <w:spacing w:after="0" w:line="21"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independent auditors</w:t>
      </w:r>
      <w:r>
        <w:rPr>
          <w:sz w:val="20"/>
          <w:szCs w:val="20"/>
          <w:color w:val="auto"/>
        </w:rPr>
        <w:tab/>
      </w:r>
      <w:r>
        <w:rPr>
          <w:rFonts w:ascii="Arial" w:cs="Arial" w:eastAsia="Arial" w:hAnsi="Arial"/>
          <w:sz w:val="16"/>
          <w:szCs w:val="16"/>
          <w:b w:val="1"/>
          <w:bCs w:val="1"/>
          <w:color w:val="00A1DF"/>
        </w:rPr>
        <w:t>FOR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PROPOSALS 4-8</w:t>
      </w:r>
    </w:p>
    <w:p>
      <w:pPr>
        <w:spacing w:after="0" w:line="167"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Vote on shareholder proposals</w:t>
      </w:r>
      <w:r>
        <w:rPr>
          <w:sz w:val="20"/>
          <w:szCs w:val="20"/>
          <w:color w:val="auto"/>
        </w:rPr>
        <w:tab/>
      </w:r>
      <w:r>
        <w:rPr>
          <w:rFonts w:ascii="Arial" w:cs="Arial" w:eastAsia="Arial" w:hAnsi="Arial"/>
          <w:sz w:val="16"/>
          <w:szCs w:val="16"/>
          <w:b w:val="1"/>
          <w:bCs w:val="1"/>
          <w:color w:val="333333"/>
        </w:rPr>
        <w:t>AGAINST</w:t>
      </w:r>
    </w:p>
    <w:p>
      <w:pPr>
        <w:spacing w:after="0" w:line="200" w:lineRule="exact"/>
        <w:rPr>
          <w:sz w:val="20"/>
          <w:szCs w:val="20"/>
          <w:color w:val="auto"/>
        </w:rPr>
      </w:pPr>
    </w:p>
    <w:p>
      <w:pPr>
        <w:sectPr>
          <w:pgSz w:w="11900" w:h="16838" w:orient="portrait"/>
          <w:cols w:equalWidth="0" w:num="2">
            <w:col w:w="3960" w:space="720"/>
            <w:col w:w="6520"/>
          </w:cols>
          <w:pgMar w:left="320" w:top="130" w:right="37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Only shareholders of record on April 4, 2022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17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 Notice of Internet Availability of Proxy Materials is being mailed, and the attached proxy statement is being made available, to our shareholders beginning on or about April 22,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 Please vote your shares promptly. To vote your shares, you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183515</wp:posOffset>
            </wp:positionV>
            <wp:extent cx="36004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 cy="24892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149225</wp:posOffset>
            </wp:positionV>
            <wp:extent cx="179705" cy="316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705" cy="31686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166370</wp:posOffset>
            </wp:positionV>
            <wp:extent cx="32575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2832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Use the internet, as described in the Notice of Internet Availability of Proxy Materials and on your proxy card.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89979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9979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THOMAS J. REID</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Call the toll-free telephone number set forth in the attached proxy statement and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1122045</wp:posOffset>
            </wp:positionV>
            <wp:extent cx="7132320"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Complete, sign and date your proxy card and return your proxy card by mail.</w:t>
      </w:r>
    </w:p>
    <w:p>
      <w:pPr>
        <w:spacing w:after="0" w:line="1927" w:lineRule="exact"/>
        <w:rPr>
          <w:sz w:val="20"/>
          <w:szCs w:val="20"/>
          <w:color w:val="auto"/>
        </w:rPr>
      </w:pPr>
    </w:p>
    <w:p>
      <w:pPr>
        <w:sectPr>
          <w:pgSz w:w="11900" w:h="16838" w:orient="portrait"/>
          <w:cols w:equalWidth="0" w:num="3">
            <w:col w:w="3520" w:space="340"/>
            <w:col w:w="3420" w:space="360"/>
            <w:col w:w="3560"/>
          </w:cols>
          <w:pgMar w:left="320" w:top="130" w:right="379" w:bottom="1440" w:gutter="0" w:footer="0" w:header="0"/>
          <w:type w:val="continuous"/>
        </w:sectPr>
      </w:pP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June 1, 2022: Our proxy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and our Annual Report on Form 10-K for the fiscal year ended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xml:space="preserve">December 31, 2021 are available at </w:t>
      </w:r>
      <w:r>
        <w:rPr>
          <w:rFonts w:ascii="Arial" w:cs="Arial" w:eastAsia="Arial" w:hAnsi="Arial"/>
          <w:sz w:val="16"/>
          <w:szCs w:val="16"/>
          <w:b w:val="1"/>
          <w:bCs w:val="1"/>
          <w:i w:val="1"/>
          <w:iCs w:val="1"/>
          <w:color w:val="00A1DF"/>
        </w:rPr>
        <w:t>www.proxyvote.com</w:t>
      </w:r>
      <w:r>
        <w:rPr>
          <w:rFonts w:ascii="Arial" w:cs="Arial" w:eastAsia="Arial" w:hAnsi="Arial"/>
          <w:sz w:val="16"/>
          <w:szCs w:val="16"/>
          <w:b w:val="1"/>
          <w:bCs w:val="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color w:val="auto"/>
              </w:rPr>
              <w:t>Message from Our Chairman, President and CEO and Our</w:t>
            </w:r>
          </w:p>
        </w:tc>
        <w:tc>
          <w:tcPr>
            <w:tcW w:w="420" w:type="dxa"/>
            <w:vAlign w:val="bottom"/>
          </w:tcPr>
          <w:p>
            <w:pPr>
              <w:spacing w:after="0"/>
              <w:rPr>
                <w:sz w:val="17"/>
                <w:szCs w:val="17"/>
                <w:color w:val="auto"/>
              </w:rPr>
            </w:pPr>
          </w:p>
        </w:tc>
      </w:tr>
      <w:tr>
        <w:trPr>
          <w:trHeight w:val="24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Lead Independent Director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384"/>
        </w:trPr>
        <w:tc>
          <w:tcPr>
            <w:tcW w:w="4980" w:type="dxa"/>
            <w:vAlign w:val="bottom"/>
          </w:tcPr>
          <w:p>
            <w:pPr>
              <w:spacing w:after="0"/>
              <w:rPr>
                <w:sz w:val="20"/>
                <w:szCs w:val="20"/>
                <w:color w:val="auto"/>
              </w:rPr>
            </w:pPr>
            <w:r>
              <w:rPr>
                <w:rFonts w:ascii="Arial" w:cs="Arial" w:eastAsia="Arial" w:hAnsi="Arial"/>
                <w:sz w:val="18"/>
                <w:szCs w:val="18"/>
                <w:color w:val="auto"/>
              </w:rPr>
              <w:t>Notice of 2022 Annual Meeting of Shareholders of Comcast</w:t>
            </w:r>
          </w:p>
        </w:tc>
        <w:tc>
          <w:tcPr>
            <w:tcW w:w="420" w:type="dxa"/>
            <w:vAlign w:val="bottom"/>
          </w:tcPr>
          <w:p>
            <w:pPr>
              <w:spacing w:after="0"/>
              <w:rPr>
                <w:sz w:val="24"/>
                <w:szCs w:val="24"/>
                <w:color w:val="auto"/>
              </w:rPr>
            </w:pPr>
          </w:p>
        </w:tc>
      </w:tr>
      <w:tr>
        <w:trPr>
          <w:trHeight w:val="24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425"/>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About Comcast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Spotlight on Our Corporate Responsibility Initiatives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425"/>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Governance and Board Matters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578"/>
        </w:trPr>
        <w:tc>
          <w:tcPr>
            <w:tcW w:w="498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PROPOSAL 1: Election of Directors</w:t>
            </w:r>
          </w:p>
        </w:tc>
        <w:tc>
          <w:tcPr>
            <w:tcW w:w="420" w:type="dxa"/>
            <w:vAlign w:val="bottom"/>
            <w:tcBorders>
              <w:bottom w:val="single" w:sz="8" w:color="00A1DF"/>
            </w:tcBorders>
          </w:tcPr>
          <w:p>
            <w:pPr>
              <w:spacing w:after="0"/>
              <w:rPr>
                <w:sz w:val="24"/>
                <w:szCs w:val="24"/>
                <w:color w:val="auto"/>
              </w:rPr>
            </w:pPr>
          </w:p>
        </w:tc>
      </w:tr>
      <w:tr>
        <w:trPr>
          <w:trHeight w:val="262"/>
        </w:trPr>
        <w:tc>
          <w:tcPr>
            <w:tcW w:w="4980" w:type="dxa"/>
            <w:vAlign w:val="bottom"/>
          </w:tcPr>
          <w:p>
            <w:pPr>
              <w:spacing w:after="0"/>
              <w:rPr>
                <w:sz w:val="20"/>
                <w:szCs w:val="20"/>
                <w:color w:val="auto"/>
              </w:rPr>
            </w:pPr>
            <w:r>
              <w:rPr>
                <w:rFonts w:ascii="Arial" w:cs="Arial" w:eastAsia="Arial" w:hAnsi="Arial"/>
                <w:sz w:val="16"/>
                <w:szCs w:val="16"/>
                <w:color w:val="auto"/>
              </w:rPr>
              <w:t>Board of Directors Nominees</w:t>
            </w: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7"/>
        </w:trPr>
        <w:tc>
          <w:tcPr>
            <w:tcW w:w="4980" w:type="dxa"/>
            <w:vAlign w:val="bottom"/>
          </w:tcPr>
          <w:p>
            <w:pPr>
              <w:spacing w:after="0"/>
              <w:rPr>
                <w:sz w:val="20"/>
                <w:szCs w:val="20"/>
                <w:color w:val="auto"/>
              </w:rPr>
            </w:pPr>
            <w:r>
              <w:rPr>
                <w:rFonts w:ascii="Arial" w:cs="Arial" w:eastAsia="Arial" w:hAnsi="Arial"/>
                <w:sz w:val="16"/>
                <w:szCs w:val="16"/>
                <w:color w:val="auto"/>
              </w:rPr>
              <w:t>Board Structure and Responsibilities</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4980" w:type="dxa"/>
            <w:vAlign w:val="bottom"/>
          </w:tcPr>
          <w:p>
            <w:pPr>
              <w:spacing w:after="0"/>
              <w:rPr>
                <w:sz w:val="20"/>
                <w:szCs w:val="20"/>
                <w:color w:val="auto"/>
              </w:rPr>
            </w:pPr>
            <w:r>
              <w:rPr>
                <w:rFonts w:ascii="Arial" w:cs="Arial" w:eastAsia="Arial" w:hAnsi="Arial"/>
                <w:sz w:val="16"/>
                <w:szCs w:val="16"/>
                <w:color w:val="auto"/>
              </w:rPr>
              <w:t>Corporate Governance Practices, Policies and Processes</w:t>
            </w: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6"/>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Compensation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384"/>
        </w:trPr>
        <w:tc>
          <w:tcPr>
            <w:tcW w:w="4980" w:type="dxa"/>
            <w:vAlign w:val="bottom"/>
          </w:tcPr>
          <w:p>
            <w:pPr>
              <w:spacing w:after="0"/>
              <w:rPr>
                <w:sz w:val="20"/>
                <w:szCs w:val="20"/>
                <w:color w:val="auto"/>
              </w:rPr>
            </w:pPr>
            <w:r>
              <w:rPr>
                <w:rFonts w:ascii="Arial" w:cs="Arial" w:eastAsia="Arial" w:hAnsi="Arial"/>
                <w:sz w:val="18"/>
                <w:szCs w:val="18"/>
                <w:b w:val="1"/>
                <w:bCs w:val="1"/>
                <w:color w:val="00A1DF"/>
              </w:rPr>
              <w:t>PROPOSAL 2: Advisory Vote to Approve Executive</w:t>
            </w:r>
          </w:p>
        </w:tc>
        <w:tc>
          <w:tcPr>
            <w:tcW w:w="420" w:type="dxa"/>
            <w:vAlign w:val="bottom"/>
          </w:tcPr>
          <w:p>
            <w:pPr>
              <w:spacing w:after="0"/>
              <w:rPr>
                <w:sz w:val="24"/>
                <w:szCs w:val="24"/>
                <w:color w:val="auto"/>
              </w:rPr>
            </w:pPr>
          </w:p>
        </w:tc>
      </w:tr>
      <w:tr>
        <w:trPr>
          <w:trHeight w:val="248"/>
        </w:trPr>
        <w:tc>
          <w:tcPr>
            <w:tcW w:w="498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Compensation</w:t>
            </w:r>
          </w:p>
        </w:tc>
        <w:tc>
          <w:tcPr>
            <w:tcW w:w="420" w:type="dxa"/>
            <w:vAlign w:val="bottom"/>
            <w:tcBorders>
              <w:bottom w:val="single" w:sz="8" w:color="00A1DF"/>
            </w:tcBorders>
          </w:tcPr>
          <w:p>
            <w:pPr>
              <w:spacing w:after="0"/>
              <w:rPr>
                <w:sz w:val="21"/>
                <w:szCs w:val="21"/>
                <w:color w:val="auto"/>
              </w:rPr>
            </w:pPr>
          </w:p>
        </w:tc>
      </w:tr>
      <w:tr>
        <w:trPr>
          <w:trHeight w:val="262"/>
        </w:trPr>
        <w:tc>
          <w:tcPr>
            <w:tcW w:w="4980" w:type="dxa"/>
            <w:vAlign w:val="bottom"/>
          </w:tcPr>
          <w:p>
            <w:pPr>
              <w:spacing w:after="0"/>
              <w:rPr>
                <w:sz w:val="20"/>
                <w:szCs w:val="20"/>
                <w:color w:val="auto"/>
              </w:rPr>
            </w:pPr>
            <w:r>
              <w:rPr>
                <w:rFonts w:ascii="Arial" w:cs="Arial" w:eastAsia="Arial" w:hAnsi="Arial"/>
                <w:sz w:val="16"/>
                <w:szCs w:val="16"/>
                <w:color w:val="auto"/>
              </w:rPr>
              <w:t>Compensation Discussion and Analysis</w:t>
            </w: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4980" w:type="dxa"/>
            <w:vAlign w:val="bottom"/>
          </w:tcPr>
          <w:p>
            <w:pPr>
              <w:spacing w:after="0"/>
              <w:rPr>
                <w:sz w:val="20"/>
                <w:szCs w:val="20"/>
                <w:color w:val="auto"/>
              </w:rPr>
            </w:pPr>
            <w:r>
              <w:rPr>
                <w:rFonts w:ascii="Arial" w:cs="Arial" w:eastAsia="Arial" w:hAnsi="Arial"/>
                <w:sz w:val="16"/>
                <w:szCs w:val="16"/>
                <w:color w:val="auto"/>
              </w:rPr>
              <w:t>Compensation and Human Capital Committee Report</w:t>
            </w: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7"/>
        </w:trPr>
        <w:tc>
          <w:tcPr>
            <w:tcW w:w="4980" w:type="dxa"/>
            <w:vAlign w:val="bottom"/>
          </w:tcPr>
          <w:p>
            <w:pPr>
              <w:spacing w:after="0"/>
              <w:rPr>
                <w:sz w:val="20"/>
                <w:szCs w:val="20"/>
                <w:color w:val="auto"/>
              </w:rPr>
            </w:pPr>
            <w:r>
              <w:rPr>
                <w:rFonts w:ascii="Arial" w:cs="Arial" w:eastAsia="Arial" w:hAnsi="Arial"/>
                <w:sz w:val="16"/>
                <w:szCs w:val="16"/>
                <w:color w:val="auto"/>
              </w:rPr>
              <w:t>Executive Compensation Tables</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6"/>
        </w:trPr>
        <w:tc>
          <w:tcPr>
            <w:tcW w:w="4980" w:type="dxa"/>
            <w:vAlign w:val="bottom"/>
          </w:tcPr>
          <w:p>
            <w:pPr>
              <w:ind w:left="180"/>
              <w:spacing w:after="0"/>
              <w:rPr>
                <w:sz w:val="20"/>
                <w:szCs w:val="20"/>
                <w:color w:val="auto"/>
              </w:rPr>
            </w:pPr>
            <w:r>
              <w:rPr>
                <w:rFonts w:ascii="Arial" w:cs="Arial" w:eastAsia="Arial" w:hAnsi="Arial"/>
                <w:sz w:val="16"/>
                <w:szCs w:val="16"/>
                <w:color w:val="auto"/>
              </w:rPr>
              <w:t>Summary Compensation Table</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7"/>
        </w:trPr>
        <w:tc>
          <w:tcPr>
            <w:tcW w:w="4980" w:type="dxa"/>
            <w:vAlign w:val="bottom"/>
          </w:tcPr>
          <w:p>
            <w:pPr>
              <w:ind w:left="180"/>
              <w:spacing w:after="0"/>
              <w:rPr>
                <w:sz w:val="20"/>
                <w:szCs w:val="20"/>
                <w:color w:val="auto"/>
              </w:rPr>
            </w:pPr>
            <w:r>
              <w:rPr>
                <w:rFonts w:ascii="Arial" w:cs="Arial" w:eastAsia="Arial" w:hAnsi="Arial"/>
                <w:sz w:val="16"/>
                <w:szCs w:val="16"/>
                <w:color w:val="auto"/>
              </w:rPr>
              <w:t>Grants of Plan-Based Awards</w:t>
            </w:r>
          </w:p>
        </w:tc>
        <w:tc>
          <w:tcPr>
            <w:tcW w:w="4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4980" w:type="dxa"/>
            <w:vAlign w:val="bottom"/>
          </w:tcPr>
          <w:p>
            <w:pPr>
              <w:ind w:left="180"/>
              <w:spacing w:after="0"/>
              <w:rPr>
                <w:sz w:val="20"/>
                <w:szCs w:val="20"/>
                <w:color w:val="auto"/>
              </w:rPr>
            </w:pPr>
            <w:r>
              <w:rPr>
                <w:rFonts w:ascii="Arial" w:cs="Arial" w:eastAsia="Arial" w:hAnsi="Arial"/>
                <w:sz w:val="16"/>
                <w:szCs w:val="16"/>
                <w:color w:val="auto"/>
              </w:rPr>
              <w:t>Outstanding Equity Awards at Fiscal Year-End</w:t>
            </w:r>
          </w:p>
        </w:tc>
        <w:tc>
          <w:tcPr>
            <w:tcW w:w="42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-2415540</wp:posOffset>
            </wp:positionV>
            <wp:extent cx="19685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-1232535</wp:posOffset>
            </wp:positionV>
            <wp:extent cx="19685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ind w:left="180"/>
              <w:spacing w:after="0"/>
              <w:rPr>
                <w:sz w:val="20"/>
                <w:szCs w:val="20"/>
                <w:color w:val="auto"/>
              </w:rPr>
            </w:pPr>
            <w:r>
              <w:rPr>
                <w:rFonts w:ascii="Arial" w:cs="Arial" w:eastAsia="Arial" w:hAnsi="Arial"/>
                <w:sz w:val="16"/>
                <w:szCs w:val="16"/>
                <w:color w:val="auto"/>
              </w:rPr>
              <w:t>Options Exercises and Stock Vested</w:t>
            </w: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1"/>
        </w:trPr>
        <w:tc>
          <w:tcPr>
            <w:tcW w:w="4940" w:type="dxa"/>
            <w:vAlign w:val="bottom"/>
          </w:tcPr>
          <w:p>
            <w:pPr>
              <w:ind w:left="180"/>
              <w:spacing w:after="0"/>
              <w:rPr>
                <w:sz w:val="20"/>
                <w:szCs w:val="20"/>
                <w:color w:val="auto"/>
              </w:rPr>
            </w:pPr>
            <w:r>
              <w:rPr>
                <w:rFonts w:ascii="Arial" w:cs="Arial" w:eastAsia="Arial" w:hAnsi="Arial"/>
                <w:sz w:val="16"/>
                <w:szCs w:val="16"/>
                <w:color w:val="auto"/>
              </w:rPr>
              <w:t>Nonqualified Deferred Compensation in and as of Fiscal Year-</w:t>
            </w:r>
          </w:p>
        </w:tc>
        <w:tc>
          <w:tcPr>
            <w:tcW w:w="460" w:type="dxa"/>
            <w:vAlign w:val="bottom"/>
          </w:tcPr>
          <w:p>
            <w:pPr>
              <w:spacing w:after="0"/>
              <w:rPr>
                <w:sz w:val="20"/>
                <w:szCs w:val="20"/>
                <w:color w:val="auto"/>
              </w:rPr>
            </w:pPr>
          </w:p>
        </w:tc>
      </w:tr>
      <w:tr>
        <w:trPr>
          <w:trHeight w:val="215"/>
        </w:trPr>
        <w:tc>
          <w:tcPr>
            <w:tcW w:w="4940" w:type="dxa"/>
            <w:vAlign w:val="bottom"/>
          </w:tcPr>
          <w:p>
            <w:pPr>
              <w:ind w:left="180"/>
              <w:spacing w:after="0"/>
              <w:rPr>
                <w:sz w:val="20"/>
                <w:szCs w:val="20"/>
                <w:color w:val="auto"/>
              </w:rPr>
            </w:pPr>
            <w:r>
              <w:rPr>
                <w:rFonts w:ascii="Arial" w:cs="Arial" w:eastAsia="Arial" w:hAnsi="Arial"/>
                <w:sz w:val="16"/>
                <w:szCs w:val="16"/>
                <w:color w:val="auto"/>
              </w:rPr>
              <w:t>End</w:t>
            </w:r>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6"/>
        </w:trPr>
        <w:tc>
          <w:tcPr>
            <w:tcW w:w="4940" w:type="dxa"/>
            <w:vAlign w:val="bottom"/>
          </w:tcPr>
          <w:p>
            <w:pPr>
              <w:ind w:left="180"/>
              <w:spacing w:after="0"/>
              <w:rPr>
                <w:sz w:val="20"/>
                <w:szCs w:val="20"/>
                <w:color w:val="auto"/>
              </w:rPr>
            </w:pPr>
            <w:r>
              <w:rPr>
                <w:rFonts w:ascii="Arial" w:cs="Arial" w:eastAsia="Arial" w:hAnsi="Arial"/>
                <w:sz w:val="16"/>
                <w:szCs w:val="16"/>
                <w:color w:val="auto"/>
              </w:rPr>
              <w:t>Agreements with Our Named Executive Officers</w:t>
            </w:r>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7"/>
        </w:trPr>
        <w:tc>
          <w:tcPr>
            <w:tcW w:w="4940" w:type="dxa"/>
            <w:vAlign w:val="bottom"/>
          </w:tcPr>
          <w:p>
            <w:pPr>
              <w:ind w:left="180"/>
              <w:spacing w:after="0"/>
              <w:rPr>
                <w:sz w:val="20"/>
                <w:szCs w:val="20"/>
                <w:color w:val="auto"/>
              </w:rPr>
            </w:pPr>
            <w:r>
              <w:rPr>
                <w:rFonts w:ascii="Arial" w:cs="Arial" w:eastAsia="Arial" w:hAnsi="Arial"/>
                <w:sz w:val="16"/>
                <w:szCs w:val="16"/>
                <w:color w:val="auto"/>
              </w:rPr>
              <w:t>Potential Payments upon Termination or Change in Control</w:t>
            </w: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456"/>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Audit Committee Matters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416"/>
        </w:trPr>
        <w:tc>
          <w:tcPr>
            <w:tcW w:w="4940" w:type="dxa"/>
            <w:vAlign w:val="bottom"/>
          </w:tcPr>
          <w:p>
            <w:pPr>
              <w:spacing w:after="0"/>
              <w:rPr>
                <w:sz w:val="20"/>
                <w:szCs w:val="20"/>
                <w:color w:val="auto"/>
              </w:rPr>
            </w:pPr>
            <w:r>
              <w:rPr>
                <w:rFonts w:ascii="Arial" w:cs="Arial" w:eastAsia="Arial" w:hAnsi="Arial"/>
                <w:sz w:val="16"/>
                <w:szCs w:val="16"/>
                <w:b w:val="1"/>
                <w:bCs w:val="1"/>
                <w:color w:val="00A1DF"/>
              </w:rPr>
              <w:t>PROPOSAL 3: Ratification of Appointment of Independent</w:t>
            </w:r>
          </w:p>
        </w:tc>
        <w:tc>
          <w:tcPr>
            <w:tcW w:w="460" w:type="dxa"/>
            <w:vAlign w:val="bottom"/>
          </w:tcPr>
          <w:p>
            <w:pPr>
              <w:spacing w:after="0"/>
              <w:rPr>
                <w:sz w:val="24"/>
                <w:szCs w:val="24"/>
                <w:color w:val="auto"/>
              </w:rPr>
            </w:pPr>
          </w:p>
        </w:tc>
      </w:tr>
      <w:tr>
        <w:trPr>
          <w:trHeight w:val="226"/>
        </w:trPr>
        <w:tc>
          <w:tcPr>
            <w:tcW w:w="4940" w:type="dxa"/>
            <w:vAlign w:val="bottom"/>
            <w:tcBorders>
              <w:bottom w:val="single" w:sz="8" w:color="00A1DF"/>
            </w:tcBorders>
          </w:tcPr>
          <w:p>
            <w:pPr>
              <w:spacing w:after="0"/>
              <w:rPr>
                <w:sz w:val="20"/>
                <w:szCs w:val="20"/>
                <w:color w:val="auto"/>
              </w:rPr>
            </w:pPr>
            <w:r>
              <w:rPr>
                <w:rFonts w:ascii="Arial" w:cs="Arial" w:eastAsia="Arial" w:hAnsi="Arial"/>
                <w:sz w:val="16"/>
                <w:szCs w:val="16"/>
                <w:b w:val="1"/>
                <w:bCs w:val="1"/>
                <w:color w:val="00A1DF"/>
              </w:rPr>
              <w:t>Auditors</w:t>
            </w:r>
          </w:p>
        </w:tc>
        <w:tc>
          <w:tcPr>
            <w:tcW w:w="460" w:type="dxa"/>
            <w:vAlign w:val="bottom"/>
            <w:tcBorders>
              <w:bottom w:val="single" w:sz="8" w:color="00A1DF"/>
            </w:tcBorders>
          </w:tcPr>
          <w:p>
            <w:pPr>
              <w:spacing w:after="0"/>
              <w:rPr>
                <w:sz w:val="19"/>
                <w:szCs w:val="19"/>
                <w:color w:val="auto"/>
              </w:rPr>
            </w:pPr>
          </w:p>
        </w:tc>
      </w:tr>
      <w:tr>
        <w:trPr>
          <w:trHeight w:val="265"/>
        </w:trPr>
        <w:tc>
          <w:tcPr>
            <w:tcW w:w="4940" w:type="dxa"/>
            <w:vAlign w:val="bottom"/>
          </w:tcPr>
          <w:p>
            <w:pPr>
              <w:spacing w:after="0"/>
              <w:rPr>
                <w:sz w:val="20"/>
                <w:szCs w:val="20"/>
                <w:color w:val="auto"/>
              </w:rPr>
            </w:pPr>
            <w:r>
              <w:rPr>
                <w:rFonts w:ascii="Arial" w:cs="Arial" w:eastAsia="Arial" w:hAnsi="Arial"/>
                <w:sz w:val="16"/>
                <w:szCs w:val="16"/>
                <w:color w:val="auto"/>
              </w:rPr>
              <w:t>Report of the Audit Committee</w:t>
            </w:r>
          </w:p>
        </w:tc>
        <w:tc>
          <w:tcPr>
            <w:tcW w:w="4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460"/>
        </w:trPr>
        <w:tc>
          <w:tcPr>
            <w:tcW w:w="494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Shareholder Proposals</w:t>
            </w:r>
          </w:p>
        </w:tc>
        <w:tc>
          <w:tcPr>
            <w:tcW w:w="460" w:type="dxa"/>
            <w:vAlign w:val="bottom"/>
            <w:tcBorders>
              <w:bottom w:val="single" w:sz="8" w:color="00A1DF"/>
            </w:tcBorders>
          </w:tcPr>
          <w:p>
            <w:pPr>
              <w:jc w:val="right"/>
              <w:spacing w:after="0"/>
              <w:rPr>
                <w:sz w:val="20"/>
                <w:szCs w:val="20"/>
                <w:color w:val="auto"/>
              </w:rPr>
            </w:pPr>
            <w:r>
              <w:rPr>
                <w:rFonts w:ascii="Arial" w:cs="Arial" w:eastAsia="Arial" w:hAnsi="Arial"/>
                <w:sz w:val="18"/>
                <w:szCs w:val="18"/>
                <w:b w:val="1"/>
                <w:bCs w:val="1"/>
                <w:color w:val="00A1DF"/>
              </w:rPr>
              <w:t>61</w:t>
            </w:r>
          </w:p>
        </w:tc>
      </w:tr>
      <w:tr>
        <w:trPr>
          <w:trHeight w:val="462"/>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Information about Stock Ownership</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466"/>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Compensation of Directors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466"/>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Related Party Transactions Policy and Certain Transactions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466"/>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425"/>
        </w:trPr>
        <w:tc>
          <w:tcPr>
            <w:tcW w:w="4940" w:type="dxa"/>
            <w:vAlign w:val="bottom"/>
          </w:tcPr>
          <w:p>
            <w:pPr>
              <w:spacing w:after="0"/>
              <w:rPr>
                <w:sz w:val="20"/>
                <w:szCs w:val="20"/>
                <w:color w:val="auto"/>
              </w:rPr>
            </w:pPr>
            <w:r>
              <w:rPr>
                <w:rFonts w:ascii="Arial" w:cs="Arial" w:eastAsia="Arial" w:hAnsi="Arial"/>
                <w:sz w:val="18"/>
                <w:szCs w:val="18"/>
                <w:color w:val="auto"/>
              </w:rPr>
              <w:t>Appendix A: Reconciliations of Non-GAAP Financial</w:t>
            </w:r>
          </w:p>
        </w:tc>
        <w:tc>
          <w:tcPr>
            <w:tcW w:w="460" w:type="dxa"/>
            <w:vAlign w:val="bottom"/>
          </w:tcPr>
          <w:p>
            <w:pPr>
              <w:spacing w:after="0"/>
              <w:rPr>
                <w:sz w:val="24"/>
                <w:szCs w:val="24"/>
                <w:color w:val="auto"/>
              </w:rPr>
            </w:pPr>
          </w:p>
        </w:tc>
      </w:tr>
      <w:tr>
        <w:trPr>
          <w:trHeight w:val="24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Measures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A-1</w:t>
            </w:r>
          </w:p>
        </w:tc>
      </w:tr>
      <w:tr>
        <w:trPr>
          <w:trHeight w:val="466"/>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Appendix B: Nasdaq Board Diversity Matrix</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-2700020</wp:posOffset>
            </wp:positionV>
            <wp:extent cx="19685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141605</wp:posOffset>
            </wp:positionV>
            <wp:extent cx="71532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5400" w:space="440"/>
            <w:col w:w="540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Comcast</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Our Company</w:t>
      </w:r>
    </w:p>
    <w:p>
      <w:pPr>
        <w:spacing w:after="0" w:line="24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Comcast Corporation (“Comcast,” the “Company,” “we,” “our” or “us”) is a global media and technology company that connects people to moments that matter. We are principally focused on connectivity, aggregation and streaming with over 57 million customer relationships across the United States and Europe. We deliver broadband, video and wireless services through our Xfinity, Comcast Business and Sky brands; create, distribute and stream leading entertainment, sports and news through Universal Filmed Entertainment Group, Universal Studio Group, Sky Studios, the NBC and Telemundo broadcast networks, Peacock, NBC News, NBC Sports, Sky News and Sky Sports; and provide memorable experiences at Universal Parks and Resorts in the United States and Asia.</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2021 Performance Overview</w:t>
      </w:r>
    </w:p>
    <w:p>
      <w:pPr>
        <w:spacing w:after="0" w:line="24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Over the past two years, Mr. Roberts and our senior leadership team have successfully led our company through the pandemic as the world continued to navigate ongoing challenges, achieving strong operating and financial results and underscoring the strength and resilience of our business. Our relentless focus on innovation and execution, balanced with financial discipline, enabled us to deliver record-high financial results in 2021, invest for the future and increase our return of capital to shareholders.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During 2021, some of our businesses continued their strong financial and operating performance while others continued to recover from the global pandemic. At Comcast Cable, the significant investments we have made in our technology and network over the years to stay ahead of demand and to maintain speed and reliability continued to differentiate our broadband experience, leading to 1.3 million net new broadband customers in 2021 and bringing total broadband subscribers to 31.9 million at year end.</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While the global pandemic continued to have some negative impacts on NBCUniversal and Sky, our teams led strong recoveries and posted results that surpassed our expectations leading into 2021. At NBCUniversal, our theme parks performed exceptionally well, reopening safely with strong attendance and financial results, while also adding new attractions and opening Universal Beijing Resort. Peacock, our streaming service that launched in mid-2020, showed significant growth in monthly active accounts and revenue relative to 2020. In 2021, programming and production levels normalized at both NBCUniversal and Sky, and we continue to monetize our intellectual property through creative new options for content licensing windows and distribution.</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also worked together across our complementary, high-performing business units to continue to accelerate convergence in media and technology. In 2021, as we sought to expand the reach of our proprietary global technology platform and addressable customer base, we launched Sky Glass in the United Kingdom and XClass TV in the United States. Both of these products are built upon our existing investments across our company in X1, Flex and Sky Q.</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addition to delivering for our shareholders, our Board credits Mr. Roberts and our senior leadership team for their continued support of our other stakeholders, including our employees, customers, suppliers and the communities where we operate. From our continued leadership in addressing the digital divide, to our ongoing efforts and further progress in diversity, equity and inclusion and community impact, to taking further steps to lessen our environmental footprint, our senior leadership team led by example and reinforced our company’s commitment to doing what’s right while underscoring our commitment to act with integrity. See “Spotlight on our Corporate Responsibility Initiatives”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Financial Performance</w:t>
      </w:r>
    </w:p>
    <w:p>
      <w:pPr>
        <w:spacing w:after="0" w:line="23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2021 consolidated operating and financial results were strong, with contributions from across our company, underscoring our business resilience, strategic decision-making and capital allocation priorities, all driven with a view toward growth and creating long-term value. As vaccination rates increased and restrictive government mandates subsided at various points throughout the course of 2021, the exceptional leadership of our management team helped our business operations and financial performance to rebound more quickly than expected as compared to 2020 performance, underscored by our growth across many of our financial metrics.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440" w:type="dxa"/>
            <w:vAlign w:val="bottom"/>
          </w:tcPr>
          <w:p>
            <w:pPr>
              <w:spacing w:after="0"/>
              <w:rPr>
                <w:sz w:val="20"/>
                <w:szCs w:val="20"/>
                <w:color w:val="auto"/>
              </w:rPr>
            </w:pPr>
            <w:r>
              <w:rPr>
                <w:rFonts w:ascii="Arial" w:cs="Arial" w:eastAsia="Arial" w:hAnsi="Arial"/>
                <w:sz w:val="18"/>
                <w:szCs w:val="18"/>
                <w:b w:val="1"/>
                <w:bCs w:val="1"/>
                <w:color w:val="00A1DF"/>
              </w:rPr>
              <w:t>REVENUE</w:t>
            </w:r>
          </w:p>
        </w:tc>
        <w:tc>
          <w:tcPr>
            <w:tcW w:w="4640" w:type="dxa"/>
            <w:vAlign w:val="bottom"/>
          </w:tcPr>
          <w:p>
            <w:pPr>
              <w:ind w:left="1520"/>
              <w:spacing w:after="0"/>
              <w:rPr>
                <w:sz w:val="20"/>
                <w:szCs w:val="20"/>
                <w:color w:val="auto"/>
              </w:rPr>
            </w:pPr>
            <w:r>
              <w:rPr>
                <w:rFonts w:ascii="Arial" w:cs="Arial" w:eastAsia="Arial" w:hAnsi="Arial"/>
                <w:sz w:val="18"/>
                <w:szCs w:val="18"/>
                <w:b w:val="1"/>
                <w:bCs w:val="1"/>
                <w:color w:val="00A1DF"/>
              </w:rPr>
              <w:t>NET INCOME ATTRIBUTABLE</w:t>
            </w:r>
          </w:p>
        </w:tc>
        <w:tc>
          <w:tcPr>
            <w:tcW w:w="2440" w:type="dxa"/>
            <w:vAlign w:val="bottom"/>
          </w:tcPr>
          <w:p>
            <w:pPr>
              <w:ind w:left="560"/>
              <w:spacing w:after="0"/>
              <w:rPr>
                <w:sz w:val="20"/>
                <w:szCs w:val="20"/>
                <w:color w:val="auto"/>
              </w:rPr>
            </w:pPr>
            <w:r>
              <w:rPr>
                <w:rFonts w:ascii="Arial" w:cs="Arial" w:eastAsia="Arial" w:hAnsi="Arial"/>
                <w:sz w:val="18"/>
                <w:szCs w:val="18"/>
                <w:b w:val="1"/>
                <w:bCs w:val="1"/>
                <w:color w:val="00A1DF"/>
                <w:w w:val="96"/>
              </w:rPr>
              <w:t>ADJUSTED EBITDA</w:t>
            </w:r>
            <w:r>
              <w:rPr>
                <w:rFonts w:ascii="Arial" w:cs="Arial" w:eastAsia="Arial" w:hAnsi="Arial"/>
                <w:sz w:val="29"/>
                <w:szCs w:val="29"/>
                <w:b w:val="1"/>
                <w:bCs w:val="1"/>
                <w:color w:val="00A1DF"/>
                <w:w w:val="96"/>
                <w:vertAlign w:val="superscript"/>
              </w:rPr>
              <w:t>(1)</w:t>
            </w:r>
          </w:p>
        </w:tc>
      </w:tr>
      <w:tr>
        <w:trPr>
          <w:trHeight w:val="189"/>
        </w:trPr>
        <w:tc>
          <w:tcPr>
            <w:tcW w:w="2440" w:type="dxa"/>
            <w:vAlign w:val="bottom"/>
          </w:tcPr>
          <w:p>
            <w:pPr>
              <w:spacing w:after="0"/>
              <w:rPr>
                <w:sz w:val="20"/>
                <w:szCs w:val="20"/>
                <w:color w:val="auto"/>
              </w:rPr>
            </w:pPr>
            <w:r>
              <w:rPr>
                <w:rFonts w:ascii="Arial" w:cs="Arial" w:eastAsia="Arial" w:hAnsi="Arial"/>
                <w:sz w:val="16"/>
                <w:szCs w:val="16"/>
                <w:color w:val="808080"/>
              </w:rPr>
              <w:t>($ in billions)</w:t>
            </w:r>
          </w:p>
        </w:tc>
        <w:tc>
          <w:tcPr>
            <w:tcW w:w="4640" w:type="dxa"/>
            <w:vAlign w:val="bottom"/>
          </w:tcPr>
          <w:p>
            <w:pPr>
              <w:ind w:left="1520"/>
              <w:spacing w:after="0" w:line="189" w:lineRule="exact"/>
              <w:rPr>
                <w:sz w:val="20"/>
                <w:szCs w:val="20"/>
                <w:color w:val="auto"/>
              </w:rPr>
            </w:pPr>
            <w:r>
              <w:rPr>
                <w:rFonts w:ascii="Arial" w:cs="Arial" w:eastAsia="Arial" w:hAnsi="Arial"/>
                <w:sz w:val="18"/>
                <w:szCs w:val="18"/>
                <w:b w:val="1"/>
                <w:bCs w:val="1"/>
                <w:color w:val="00A1DF"/>
              </w:rPr>
              <w:t>TO COMCAST</w:t>
            </w:r>
          </w:p>
        </w:tc>
        <w:tc>
          <w:tcPr>
            <w:tcW w:w="2440" w:type="dxa"/>
            <w:vAlign w:val="bottom"/>
          </w:tcPr>
          <w:p>
            <w:pPr>
              <w:ind w:left="560"/>
              <w:spacing w:after="0"/>
              <w:rPr>
                <w:sz w:val="20"/>
                <w:szCs w:val="20"/>
                <w:color w:val="auto"/>
              </w:rPr>
            </w:pPr>
            <w:r>
              <w:rPr>
                <w:rFonts w:ascii="Arial" w:cs="Arial" w:eastAsia="Arial" w:hAnsi="Arial"/>
                <w:sz w:val="16"/>
                <w:szCs w:val="16"/>
                <w:color w:val="808080"/>
              </w:rPr>
              <w:t>($ in billions)</w:t>
            </w:r>
          </w:p>
        </w:tc>
      </w:tr>
      <w:tr>
        <w:trPr>
          <w:trHeight w:val="215"/>
        </w:trPr>
        <w:tc>
          <w:tcPr>
            <w:tcW w:w="2440" w:type="dxa"/>
            <w:vAlign w:val="bottom"/>
          </w:tcPr>
          <w:p>
            <w:pPr>
              <w:spacing w:after="0"/>
              <w:rPr>
                <w:sz w:val="18"/>
                <w:szCs w:val="18"/>
                <w:color w:val="auto"/>
              </w:rPr>
            </w:pPr>
          </w:p>
        </w:tc>
        <w:tc>
          <w:tcPr>
            <w:tcW w:w="4640" w:type="dxa"/>
            <w:vAlign w:val="bottom"/>
          </w:tcPr>
          <w:p>
            <w:pPr>
              <w:ind w:left="1520"/>
              <w:spacing w:after="0"/>
              <w:rPr>
                <w:sz w:val="20"/>
                <w:szCs w:val="20"/>
                <w:color w:val="auto"/>
              </w:rPr>
            </w:pPr>
            <w:r>
              <w:rPr>
                <w:rFonts w:ascii="Arial" w:cs="Arial" w:eastAsia="Arial" w:hAnsi="Arial"/>
                <w:sz w:val="16"/>
                <w:szCs w:val="16"/>
                <w:color w:val="808080"/>
              </w:rPr>
              <w:t>($ in billions)</w:t>
            </w:r>
          </w:p>
        </w:tc>
        <w:tc>
          <w:tcPr>
            <w:tcW w:w="2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6720840" cy="1028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208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180" w:type="dxa"/>
            <w:vAlign w:val="bottom"/>
          </w:tcPr>
          <w:p>
            <w:pPr>
              <w:spacing w:after="0"/>
              <w:rPr>
                <w:sz w:val="20"/>
                <w:szCs w:val="20"/>
                <w:color w:val="auto"/>
              </w:rPr>
            </w:pPr>
            <w:r>
              <w:rPr>
                <w:rFonts w:ascii="Arial" w:cs="Arial" w:eastAsia="Arial" w:hAnsi="Arial"/>
                <w:sz w:val="18"/>
                <w:szCs w:val="18"/>
                <w:b w:val="1"/>
                <w:bCs w:val="1"/>
                <w:color w:val="00A1DF"/>
              </w:rPr>
              <w:t>NET CASH PROVIDED</w:t>
            </w:r>
          </w:p>
        </w:tc>
        <w:tc>
          <w:tcPr>
            <w:tcW w:w="2760" w:type="dxa"/>
            <w:vAlign w:val="bottom"/>
          </w:tcPr>
          <w:p>
            <w:pPr>
              <w:ind w:left="780"/>
              <w:spacing w:after="0"/>
              <w:rPr>
                <w:sz w:val="20"/>
                <w:szCs w:val="20"/>
                <w:color w:val="auto"/>
              </w:rPr>
            </w:pPr>
            <w:r>
              <w:rPr>
                <w:rFonts w:ascii="Arial" w:cs="Arial" w:eastAsia="Arial" w:hAnsi="Arial"/>
                <w:sz w:val="18"/>
                <w:szCs w:val="18"/>
                <w:b w:val="1"/>
                <w:bCs w:val="1"/>
                <w:color w:val="00A1DF"/>
                <w:w w:val="93"/>
              </w:rPr>
              <w:t>FREE CASH FLOW</w:t>
            </w:r>
            <w:r>
              <w:rPr>
                <w:rFonts w:ascii="Arial" w:cs="Arial" w:eastAsia="Arial" w:hAnsi="Arial"/>
                <w:sz w:val="29"/>
                <w:szCs w:val="29"/>
                <w:b w:val="1"/>
                <w:bCs w:val="1"/>
                <w:color w:val="00A1DF"/>
                <w:w w:val="93"/>
                <w:vertAlign w:val="superscript"/>
              </w:rPr>
              <w:t>(1)(2)</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b w:val="1"/>
                <w:bCs w:val="1"/>
                <w:color w:val="00A1DF"/>
              </w:rPr>
              <w:t>BY OPERATING ACTIVITIES</w:t>
            </w:r>
          </w:p>
        </w:tc>
        <w:tc>
          <w:tcPr>
            <w:tcW w:w="2760" w:type="dxa"/>
            <w:vAlign w:val="bottom"/>
          </w:tcPr>
          <w:p>
            <w:pPr>
              <w:ind w:left="780"/>
              <w:spacing w:after="0"/>
              <w:rPr>
                <w:sz w:val="20"/>
                <w:szCs w:val="20"/>
                <w:color w:val="auto"/>
              </w:rPr>
            </w:pPr>
            <w:r>
              <w:rPr>
                <w:rFonts w:ascii="Arial" w:cs="Arial" w:eastAsia="Arial" w:hAnsi="Arial"/>
                <w:sz w:val="16"/>
                <w:szCs w:val="16"/>
                <w:color w:val="808080"/>
              </w:rPr>
              <w:t>($ in billions)</w:t>
            </w: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808080"/>
              </w:rPr>
              <w:t>($ in billions)</w:t>
            </w:r>
          </w:p>
        </w:tc>
        <w:tc>
          <w:tcPr>
            <w:tcW w:w="2760" w:type="dxa"/>
            <w:vAlign w:val="bottom"/>
          </w:tcPr>
          <w:p>
            <w:pPr>
              <w:spacing w:after="0"/>
              <w:rPr>
                <w:sz w:val="18"/>
                <w:szCs w:val="18"/>
                <w:color w:val="auto"/>
              </w:rPr>
            </w:pPr>
          </w:p>
        </w:tc>
      </w:tr>
    </w:tbl>
    <w:p>
      <w:pPr>
        <w:spacing w:after="0" w:line="151" w:lineRule="exact"/>
        <w:rPr>
          <w:sz w:val="20"/>
          <w:szCs w:val="20"/>
          <w:color w:val="auto"/>
        </w:rPr>
      </w:pPr>
    </w:p>
    <w:tbl>
      <w:tblPr>
        <w:tblLayout w:type="fixed"/>
        <w:tblInd w:w="7640" w:type="dxa"/>
        <w:tblCellMar>
          <w:top w:w="0" w:type="dxa"/>
          <w:left w:w="0" w:type="dxa"/>
          <w:bottom w:w="0" w:type="dxa"/>
          <w:right w:w="0" w:type="dxa"/>
        </w:tblCellMar>
      </w:tblPr>
      <w:tr>
        <w:trPr>
          <w:trHeight w:val="192"/>
        </w:trPr>
        <w:tc>
          <w:tcPr>
            <w:tcW w:w="22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Reconciliations of consolidated Adjusted EBITDA to</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net income attributable to Comcast Corporation and</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consolidated Free Cash Flow to net cash provided</w:t>
            </w: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3360" w:type="dxa"/>
            <w:vAlign w:val="bottom"/>
            <w:gridSpan w:val="3"/>
          </w:tcPr>
          <w:p>
            <w:pPr>
              <w:ind w:left="60"/>
              <w:spacing w:after="0" w:line="158" w:lineRule="exact"/>
              <w:rPr>
                <w:sz w:val="20"/>
                <w:szCs w:val="20"/>
                <w:color w:val="auto"/>
              </w:rPr>
            </w:pPr>
            <w:r>
              <w:rPr>
                <w:rFonts w:ascii="Arial" w:cs="Arial" w:eastAsia="Arial" w:hAnsi="Arial"/>
                <w:sz w:val="14"/>
                <w:szCs w:val="14"/>
                <w:color w:val="auto"/>
              </w:rPr>
              <w:t>by operating activities are set forth in Appendix A.</w:t>
            </w:r>
          </w:p>
        </w:tc>
        <w:tc>
          <w:tcPr>
            <w:tcW w:w="0" w:type="dxa"/>
            <w:vAlign w:val="bottom"/>
          </w:tcPr>
          <w:p>
            <w:pPr>
              <w:spacing w:after="0"/>
              <w:rPr>
                <w:sz w:val="1"/>
                <w:szCs w:val="1"/>
                <w:color w:val="auto"/>
              </w:rPr>
            </w:pPr>
          </w:p>
        </w:tc>
      </w:tr>
      <w:tr>
        <w:trPr>
          <w:trHeight w:val="20"/>
        </w:trPr>
        <w:tc>
          <w:tcPr>
            <w:tcW w:w="220" w:type="dxa"/>
            <w:vAlign w:val="bottom"/>
            <w:vMerge w:val="restart"/>
          </w:tcPr>
          <w:p>
            <w:pPr>
              <w:jc w:val="right"/>
              <w:spacing w:after="0"/>
              <w:rPr>
                <w:sz w:val="20"/>
                <w:szCs w:val="20"/>
                <w:color w:val="auto"/>
              </w:rPr>
            </w:pPr>
            <w:r>
              <w:rPr>
                <w:rFonts w:ascii="Arial" w:cs="Arial" w:eastAsia="Arial" w:hAnsi="Arial"/>
                <w:sz w:val="12"/>
                <w:szCs w:val="12"/>
                <w:color w:val="auto"/>
                <w:w w:val="95"/>
              </w:rPr>
              <w:t>(2)</w:t>
            </w: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vMerge w:val="continue"/>
          </w:tcPr>
          <w:p>
            <w:pPr>
              <w:spacing w:after="0"/>
              <w:rPr>
                <w:sz w:val="23"/>
                <w:szCs w:val="23"/>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2021 Free Cash Flow of $17.1 billion includes a</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$1.3 billion benefit related to the tax impact of a</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bond exchange completed in August 2021 and</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roughly $1 billion from returns on investing</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3360" w:type="dxa"/>
            <w:vAlign w:val="bottom"/>
            <w:gridSpan w:val="3"/>
          </w:tcPr>
          <w:p>
            <w:pPr>
              <w:ind w:left="6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4371975" cy="1011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71975" cy="10115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2021 key reported results across our three primary businesses included:</w:t>
      </w:r>
    </w:p>
    <w:p>
      <w:pPr>
        <w:spacing w:after="0" w:line="221" w:lineRule="exact"/>
        <w:rPr>
          <w:sz w:val="20"/>
          <w:szCs w:val="20"/>
          <w:color w:val="auto"/>
        </w:rPr>
      </w:pPr>
    </w:p>
    <w:p>
      <w:pPr>
        <w:ind w:left="260" w:right="420" w:hanging="252"/>
        <w:spacing w:after="0" w:line="286" w:lineRule="auto"/>
        <w:tabs>
          <w:tab w:leader="none" w:pos="260" w:val="left"/>
        </w:tabs>
        <w:numPr>
          <w:ilvl w:val="0"/>
          <w:numId w:val="4"/>
        </w:numPr>
        <w:rPr>
          <w:rFonts w:ascii="Arial" w:cs="Arial" w:eastAsia="Arial" w:hAnsi="Arial"/>
          <w:sz w:val="16"/>
          <w:szCs w:val="16"/>
          <w:color w:val="00A1DF"/>
        </w:rPr>
      </w:pPr>
      <w:r>
        <w:rPr>
          <w:rFonts w:ascii="Arial" w:cs="Arial" w:eastAsia="Arial" w:hAnsi="Arial"/>
          <w:sz w:val="16"/>
          <w:szCs w:val="16"/>
          <w:color w:val="auto"/>
        </w:rPr>
        <w:t>Comcast Cable (whose results are reported in our Cable Communications segment) revenue increased 7.1% to $64.3 billion, and Adjusted EBITDA increased 11.2% to $28.1 billion.</w:t>
      </w:r>
    </w:p>
    <w:p>
      <w:pPr>
        <w:spacing w:after="0" w:line="128" w:lineRule="exact"/>
        <w:rPr>
          <w:rFonts w:ascii="Arial" w:cs="Arial" w:eastAsia="Arial" w:hAnsi="Arial"/>
          <w:sz w:val="16"/>
          <w:szCs w:val="16"/>
          <w:color w:val="00A1DF"/>
        </w:rPr>
      </w:pPr>
    </w:p>
    <w:p>
      <w:pPr>
        <w:ind w:left="260" w:right="280" w:hanging="252"/>
        <w:spacing w:after="0" w:line="266" w:lineRule="auto"/>
        <w:tabs>
          <w:tab w:leader="none" w:pos="260" w:val="left"/>
        </w:tabs>
        <w:numPr>
          <w:ilvl w:val="0"/>
          <w:numId w:val="4"/>
        </w:numPr>
        <w:rPr>
          <w:rFonts w:ascii="Arial" w:cs="Arial" w:eastAsia="Arial" w:hAnsi="Arial"/>
          <w:sz w:val="16"/>
          <w:szCs w:val="16"/>
          <w:color w:val="00A1DF"/>
        </w:rPr>
      </w:pPr>
      <w:r>
        <w:rPr>
          <w:rFonts w:ascii="Arial" w:cs="Arial" w:eastAsia="Arial" w:hAnsi="Arial"/>
          <w:sz w:val="16"/>
          <w:szCs w:val="16"/>
          <w:color w:val="auto"/>
        </w:rPr>
        <w:t>NBCUniversal’s Media, Studios and Theme Parks segment revenue increased 20.3%, 16.2% and 141.2% to $22.8 billion, $9.4 billion and $5.1 billion, respectively, while Adjusted EBITDA was $4.6 billion, $0.9 billion and $1.3 billion, respectively. NBCUniversal results now include the operations of Peacock.</w:t>
      </w:r>
    </w:p>
    <w:p>
      <w:pPr>
        <w:spacing w:after="0" w:line="144" w:lineRule="exact"/>
        <w:rPr>
          <w:rFonts w:ascii="Arial" w:cs="Arial" w:eastAsia="Arial" w:hAnsi="Arial"/>
          <w:sz w:val="16"/>
          <w:szCs w:val="16"/>
          <w:color w:val="00A1DF"/>
        </w:rPr>
      </w:pPr>
    </w:p>
    <w:p>
      <w:pPr>
        <w:ind w:left="260" w:right="140" w:hanging="252"/>
        <w:spacing w:after="0" w:line="286" w:lineRule="auto"/>
        <w:tabs>
          <w:tab w:leader="none" w:pos="260" w:val="left"/>
        </w:tabs>
        <w:numPr>
          <w:ilvl w:val="0"/>
          <w:numId w:val="4"/>
        </w:numPr>
        <w:rPr>
          <w:rFonts w:ascii="Arial" w:cs="Arial" w:eastAsia="Arial" w:hAnsi="Arial"/>
          <w:sz w:val="16"/>
          <w:szCs w:val="16"/>
          <w:color w:val="00A1DF"/>
        </w:rPr>
      </w:pPr>
      <w:r>
        <w:rPr>
          <w:rFonts w:ascii="Arial" w:cs="Arial" w:eastAsia="Arial" w:hAnsi="Arial"/>
          <w:sz w:val="16"/>
          <w:szCs w:val="16"/>
          <w:color w:val="auto"/>
        </w:rPr>
        <w:t xml:space="preserve">Sky revenue increased 9.1% to $20.3 billion, or 3.1% excluding the impact of foreign currency. Sky Adjusted EBITDA increased 20.8% to $2.4 billion, or 10.2% excluding the impact of foreign currency. See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for a reconciliation.</w:t>
      </w:r>
    </w:p>
    <w:p>
      <w:pPr>
        <w:spacing w:after="0" w:line="156"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resumed our share repurchase program in May 2021 after pausing the program in 2019 to accelerate the reduction of indebtedness we incurred in connection with our acquisition of Sky. In addition, we made four cash dividend payments totaling $4.5 billion in 2021 and announced an increase to the planned annual dividend by $0.08 per share, or 8%, to $1.08 per share on an annualized basis for 2022 – the 14th consecutive annual increase.</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Stock Performance</w:t>
      </w:r>
    </w:p>
    <w:p>
      <w:pPr>
        <w:spacing w:after="0" w:line="234"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Our total shareholder return (“TSR”) over the 10-year period ending December 31, 2021 is reflected below, with our performance over the long term outperforming the S&amp;P 500.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COMCAST’S TSR VS. THE S&amp;P 500 SINCE YE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4671695" cy="197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169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20" w:right="40" w:hanging="179"/>
        <w:spacing w:after="0" w:line="263" w:lineRule="auto"/>
        <w:rPr>
          <w:sz w:val="20"/>
          <w:szCs w:val="20"/>
          <w:color w:val="auto"/>
        </w:rPr>
      </w:pPr>
      <w:r>
        <w:rPr>
          <w:rFonts w:ascii="Arial" w:cs="Arial" w:eastAsia="Arial" w:hAnsi="Arial"/>
          <w:sz w:val="14"/>
          <w:szCs w:val="14"/>
          <w:color w:val="auto"/>
        </w:rPr>
        <w:t>* Cumulative total shareholder returns, including dividends reinvested, are from December 31, 2011 through December 31, 2021.</w:t>
      </w:r>
    </w:p>
    <w:p>
      <w:pPr>
        <w:spacing w:after="0" w:line="1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Spotlight on Our Corporate Responsibility Initiatives</w:t>
      </w:r>
    </w:p>
    <w:p>
      <w:pPr>
        <w:spacing w:after="0" w:line="24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At Comcast, our most significant environmental, social and governance (“ESG”) issues are reviewed with our Board of Directors and its committees. Our Audit Committee oversees cybersecurity and significant business continuity risks. Our Compensation and Human Capital Committee reviews programs and strategies with respect to human capital management and employee engagement and oversees succession planning. Our Governance and Corporate Responsibility Committee oversees significant environmental and social issues, risks and trends, including diversity, equity and inclusion (“DE&amp;I”) and harassment and discrimination matters, as well as privacy and political and lobbying activities. For more information about our Board’s oversight of ESG issues, see “Corporate Governance and Board Matters – Board Structure and Responsibilities – Board and Committee Strategy, Risk and ESG Oversight Responsibilities.”</w:t>
      </w:r>
    </w:p>
    <w:p>
      <w:pPr>
        <w:spacing w:after="0" w:line="181"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 xml:space="preserve">We provide reports on various ESG issues and initiatives that are of interest to our stakeholders, including our shareholders, employees, customers, suppliers, and the communities where we operate, on our ESG Reporting website at </w:t>
      </w:r>
      <w:r>
        <w:rPr>
          <w:rFonts w:ascii="Arial" w:cs="Arial" w:eastAsia="Arial" w:hAnsi="Arial"/>
          <w:sz w:val="16"/>
          <w:szCs w:val="16"/>
          <w:i w:val="1"/>
          <w:iCs w:val="1"/>
          <w:color w:val="00A1DF"/>
        </w:rPr>
        <w:t>www.cmcsa.com/esg-reporting</w:t>
      </w:r>
      <w:r>
        <w:rPr>
          <w:rFonts w:ascii="Arial" w:cs="Arial" w:eastAsia="Arial" w:hAnsi="Arial"/>
          <w:sz w:val="16"/>
          <w:szCs w:val="16"/>
          <w:color w:val="auto"/>
        </w:rPr>
        <w:t>, including our Impact Report, EEO-1 Data Report, Sustainability Accounting Standards Board (“SASB”) Report, Task Force on Climate-Related Financial Disclosures (“TCFD”) Report and reporting on our political and trade association activity. None of the statements, reports, policies, resources or other content on our website, or any other websites or reports referenced or discussed in this proxy statement, are deemed to be part of, or incorporated by reference into, this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Digital Equity</w:t>
      </w:r>
    </w:p>
    <w:p>
      <w:pPr>
        <w:spacing w:after="0" w:line="24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a media and technology company, we have a unique opportunity to address digital inequities to help create a more equitable society. Over the last decade, we have connected a cumulative total of more than 10 million low-income Americans to the internet through our Internet Essentials program. At the same time, we have sought to improve access to digital tools and resources, invested in organizations that help people build digital skills, and partnered with cable industry peers, schools, governments, nonprofits, businesses and communities to help bridge the digital divide.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2021, we continued our efforts to extend our broadband services to underserved and unserved Americans by:</w:t>
      </w:r>
    </w:p>
    <w:p>
      <w:pPr>
        <w:spacing w:after="0" w:line="221" w:lineRule="exact"/>
        <w:rPr>
          <w:sz w:val="20"/>
          <w:szCs w:val="20"/>
          <w:color w:val="auto"/>
        </w:rPr>
      </w:pPr>
    </w:p>
    <w:p>
      <w:pPr>
        <w:ind w:left="260" w:right="420" w:hanging="252"/>
        <w:spacing w:after="0" w:line="286" w:lineRule="auto"/>
        <w:tabs>
          <w:tab w:leader="none" w:pos="260" w:val="left"/>
        </w:tabs>
        <w:numPr>
          <w:ilvl w:val="0"/>
          <w:numId w:val="5"/>
        </w:numPr>
        <w:rPr>
          <w:rFonts w:ascii="Arial" w:cs="Arial" w:eastAsia="Arial" w:hAnsi="Arial"/>
          <w:sz w:val="16"/>
          <w:szCs w:val="16"/>
          <w:color w:val="00A1DF"/>
        </w:rPr>
      </w:pPr>
      <w:r>
        <w:rPr>
          <w:rFonts w:ascii="Arial" w:cs="Arial" w:eastAsia="Arial" w:hAnsi="Arial"/>
          <w:sz w:val="16"/>
          <w:szCs w:val="16"/>
          <w:color w:val="auto"/>
        </w:rPr>
        <w:t>Promoting and sponsoring our Internet Essentials program as America’s leading broadband product for low-income families, including by expanding eligibility and providing affordable opportunities for school districts and other organizations to connect students to broadband access at home.</w:t>
      </w:r>
    </w:p>
    <w:p>
      <w:pPr>
        <w:spacing w:after="0" w:line="128" w:lineRule="exact"/>
        <w:rPr>
          <w:rFonts w:ascii="Arial" w:cs="Arial" w:eastAsia="Arial" w:hAnsi="Arial"/>
          <w:sz w:val="16"/>
          <w:szCs w:val="16"/>
          <w:color w:val="00A1DF"/>
        </w:rPr>
      </w:pPr>
    </w:p>
    <w:p>
      <w:pPr>
        <w:ind w:left="260" w:hanging="252"/>
        <w:spacing w:after="0" w:line="256" w:lineRule="auto"/>
        <w:tabs>
          <w:tab w:leader="none" w:pos="260" w:val="left"/>
        </w:tabs>
        <w:numPr>
          <w:ilvl w:val="0"/>
          <w:numId w:val="5"/>
        </w:numPr>
        <w:rPr>
          <w:rFonts w:ascii="Arial" w:cs="Arial" w:eastAsia="Arial" w:hAnsi="Arial"/>
          <w:sz w:val="16"/>
          <w:szCs w:val="16"/>
          <w:color w:val="00A1DF"/>
        </w:rPr>
      </w:pPr>
      <w:r>
        <w:rPr>
          <w:rFonts w:ascii="Arial" w:cs="Arial" w:eastAsia="Arial" w:hAnsi="Arial"/>
          <w:sz w:val="16"/>
          <w:szCs w:val="16"/>
          <w:color w:val="auto"/>
        </w:rPr>
        <w:t>Supporting and participating in the federal government’s broadband benefits programs to provide discounted internet service to those in need, namely the Emergency Broadband Benefit program that launched in May 2021 and its successor, longer-term Affordable Connectivity Program that launched at the end of 2021. Through these programs, which enable qualifying low-income customers to apply a financial subsidy to our broadband services, customers can receive our Internet Essentials service or our new enhanced Internet Essentials Plus service with twice the download speed – up to 100 Mbps — effectively for free.</w:t>
      </w:r>
    </w:p>
    <w:p>
      <w:pPr>
        <w:spacing w:after="0" w:line="152" w:lineRule="exact"/>
        <w:rPr>
          <w:rFonts w:ascii="Arial" w:cs="Arial" w:eastAsia="Arial" w:hAnsi="Arial"/>
          <w:sz w:val="16"/>
          <w:szCs w:val="16"/>
          <w:color w:val="00A1DF"/>
        </w:rPr>
      </w:pPr>
    </w:p>
    <w:p>
      <w:pPr>
        <w:ind w:left="260" w:right="360" w:hanging="252"/>
        <w:spacing w:after="0" w:line="286" w:lineRule="auto"/>
        <w:tabs>
          <w:tab w:leader="none" w:pos="260" w:val="left"/>
        </w:tabs>
        <w:numPr>
          <w:ilvl w:val="0"/>
          <w:numId w:val="5"/>
        </w:numPr>
        <w:rPr>
          <w:rFonts w:ascii="Arial" w:cs="Arial" w:eastAsia="Arial" w:hAnsi="Arial"/>
          <w:sz w:val="16"/>
          <w:szCs w:val="16"/>
          <w:color w:val="00A1DF"/>
        </w:rPr>
      </w:pPr>
      <w:r>
        <w:rPr>
          <w:rFonts w:ascii="Arial" w:cs="Arial" w:eastAsia="Arial" w:hAnsi="Arial"/>
          <w:sz w:val="16"/>
          <w:szCs w:val="16"/>
          <w:color w:val="auto"/>
        </w:rPr>
        <w:t>Participating in federal, state and local programs designed to fund the expansion of broadband to unserved Americans and extending our broadband network to new areas where reliable, high-speed internet services had been unavailable.</w:t>
      </w:r>
    </w:p>
    <w:p>
      <w:pPr>
        <w:spacing w:after="0" w:line="128" w:lineRule="exact"/>
        <w:rPr>
          <w:rFonts w:ascii="Arial" w:cs="Arial" w:eastAsia="Arial" w:hAnsi="Arial"/>
          <w:sz w:val="16"/>
          <w:szCs w:val="16"/>
          <w:color w:val="00A1DF"/>
        </w:rPr>
      </w:pPr>
    </w:p>
    <w:p>
      <w:pPr>
        <w:ind w:left="260" w:right="60" w:hanging="252"/>
        <w:spacing w:after="0" w:line="266" w:lineRule="auto"/>
        <w:tabs>
          <w:tab w:leader="none" w:pos="260" w:val="left"/>
        </w:tabs>
        <w:numPr>
          <w:ilvl w:val="0"/>
          <w:numId w:val="5"/>
        </w:numPr>
        <w:rPr>
          <w:rFonts w:ascii="Arial" w:cs="Arial" w:eastAsia="Arial" w:hAnsi="Arial"/>
          <w:sz w:val="16"/>
          <w:szCs w:val="16"/>
          <w:color w:val="00A1DF"/>
        </w:rPr>
      </w:pPr>
      <w:r>
        <w:rPr>
          <w:rFonts w:ascii="Arial" w:cs="Arial" w:eastAsia="Arial" w:hAnsi="Arial"/>
          <w:sz w:val="16"/>
          <w:szCs w:val="16"/>
          <w:color w:val="auto"/>
        </w:rPr>
        <w:t>Continuing our initiatives established in response to the global pandemic that provided internet access to those without it, including by offering 60 days of free internet service to eligible new customers, making our 1.5 million public Wi-Fi hotspots available for free and creating flexible payment plans that allowed customers and small businesses to retain their services.</w:t>
      </w:r>
    </w:p>
    <w:p>
      <w:pPr>
        <w:spacing w:after="0" w:line="144" w:lineRule="exact"/>
        <w:rPr>
          <w:rFonts w:ascii="Arial" w:cs="Arial" w:eastAsia="Arial" w:hAnsi="Arial"/>
          <w:sz w:val="16"/>
          <w:szCs w:val="16"/>
          <w:color w:val="00A1DF"/>
        </w:rPr>
      </w:pPr>
    </w:p>
    <w:p>
      <w:pPr>
        <w:ind w:left="260" w:right="80" w:hanging="252"/>
        <w:spacing w:after="0" w:line="266" w:lineRule="auto"/>
        <w:tabs>
          <w:tab w:leader="none" w:pos="260" w:val="left"/>
        </w:tabs>
        <w:numPr>
          <w:ilvl w:val="0"/>
          <w:numId w:val="5"/>
        </w:numPr>
        <w:rPr>
          <w:rFonts w:ascii="Arial" w:cs="Arial" w:eastAsia="Arial" w:hAnsi="Arial"/>
          <w:sz w:val="16"/>
          <w:szCs w:val="16"/>
          <w:color w:val="00A1DF"/>
        </w:rPr>
      </w:pPr>
      <w:r>
        <w:rPr>
          <w:rFonts w:ascii="Arial" w:cs="Arial" w:eastAsia="Arial" w:hAnsi="Arial"/>
          <w:sz w:val="16"/>
          <w:szCs w:val="16"/>
          <w:color w:val="auto"/>
        </w:rPr>
        <w:t>Partnering with non-profit organizations and city leaders to create, through the end of 2021, more than 1,000 Lift Zones in community centers nationwide where students in need of internet-equipped spaces for remote learning can connect to the internet to participate in distance learning, with an additional 250 planned by the end of 2022.</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Diversity, Equity &amp; Inclusion</w:t>
      </w:r>
    </w:p>
    <w:p>
      <w:pPr>
        <w:spacing w:after="0" w:line="24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commitment to DE&amp;I is long-standing. We believe that a diverse, equitable and inclusive company helps to foster creativity, innovation and success. We embrace diversity of background, perspective, culture and experience throughout our business, and we use our resources – our people, programming and platforms – to work toward racial equity in areas where we can have a meaningful impact. Our ongoing efforts and continued progress in this regard are reviewed and discussed by our Board and/or its committees, our senior leadership teams and our external DE&amp;I Advisory Council, which is chaired by our Chief Diversity Officer.</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Board of Directors and Workforce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(Workforce statistics based on U.S. full-time employees as of year-end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3522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6331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right="140" w:hanging="252"/>
        <w:spacing w:after="0" w:line="285"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December 31, 2021, 30% of our Board of Directors were women and 50% of our directors were diverse by gender, race or ethnicity. See “Corporate Governance and Board Matters – Board of Directors Nominees – Director Skills, Experience and Diversity” for more information.</w:t>
      </w:r>
    </w:p>
    <w:p>
      <w:pPr>
        <w:spacing w:after="0" w:line="126" w:lineRule="exact"/>
        <w:rPr>
          <w:sz w:val="20"/>
          <w:szCs w:val="20"/>
          <w:color w:val="auto"/>
        </w:rPr>
      </w:pPr>
    </w:p>
    <w:p>
      <w:pPr>
        <w:ind w:left="260" w:right="40" w:hanging="252"/>
        <w:spacing w:after="0" w:line="256" w:lineRule="auto"/>
        <w:tabs>
          <w:tab w:leader="none" w:pos="260" w:val="left"/>
        </w:tabs>
        <w:numPr>
          <w:ilvl w:val="0"/>
          <w:numId w:val="7"/>
        </w:numPr>
        <w:rPr>
          <w:rFonts w:ascii="Arial" w:cs="Arial" w:eastAsia="Arial" w:hAnsi="Arial"/>
          <w:sz w:val="16"/>
          <w:szCs w:val="16"/>
          <w:color w:val="00A1DF"/>
        </w:rPr>
      </w:pPr>
      <w:r>
        <w:rPr>
          <w:rFonts w:ascii="Arial" w:cs="Arial" w:eastAsia="Arial" w:hAnsi="Arial"/>
          <w:sz w:val="16"/>
          <w:szCs w:val="16"/>
          <w:b w:val="1"/>
          <w:bCs w:val="1"/>
          <w:color w:val="00A1DF"/>
        </w:rPr>
        <w:t xml:space="preserve">Diverse Talent Development Efforts: </w:t>
      </w:r>
      <w:r>
        <w:rPr>
          <w:rFonts w:ascii="Arial" w:cs="Arial" w:eastAsia="Arial" w:hAnsi="Arial"/>
          <w:sz w:val="16"/>
          <w:szCs w:val="16"/>
          <w:color w:val="000000"/>
        </w:rPr>
        <w:t>We seek to hire, promote and develop people from a diversity of backgrounds and experiences. To best serve our</w:t>
      </w:r>
      <w:r>
        <w:rPr>
          <w:rFonts w:ascii="Arial" w:cs="Arial" w:eastAsia="Arial" w:hAnsi="Arial"/>
          <w:sz w:val="16"/>
          <w:szCs w:val="16"/>
          <w:b w:val="1"/>
          <w:bCs w:val="1"/>
          <w:color w:val="00A1DF"/>
        </w:rPr>
        <w:t xml:space="preserve"> </w:t>
      </w:r>
      <w:r>
        <w:rPr>
          <w:rFonts w:ascii="Arial" w:cs="Arial" w:eastAsia="Arial" w:hAnsi="Arial"/>
          <w:sz w:val="16"/>
          <w:szCs w:val="16"/>
          <w:color w:val="000000"/>
        </w:rPr>
        <w:t>unique workforce, we offer both tailored programs designed for specific audiences to accelerate the development of prioritized talent, as well as broad-based leadership development programs designed for employees to lead inclusively and with cultural competence. Some of our learning experiences include foundational leadership development programs to help employees embrace their leadership potential, a year-long networking experience for women of color and a coaching and online learnings platform designed for women.</w:t>
      </w:r>
    </w:p>
    <w:p>
      <w:pPr>
        <w:spacing w:after="0" w:line="152" w:lineRule="exact"/>
        <w:rPr>
          <w:rFonts w:ascii="Arial" w:cs="Arial" w:eastAsia="Arial" w:hAnsi="Arial"/>
          <w:sz w:val="16"/>
          <w:szCs w:val="16"/>
          <w:color w:val="00A1DF"/>
        </w:rPr>
      </w:pPr>
    </w:p>
    <w:p>
      <w:pPr>
        <w:ind w:left="260" w:right="80" w:hanging="252"/>
        <w:spacing w:after="0" w:line="253" w:lineRule="auto"/>
        <w:tabs>
          <w:tab w:leader="none" w:pos="260" w:val="left"/>
        </w:tabs>
        <w:numPr>
          <w:ilvl w:val="0"/>
          <w:numId w:val="7"/>
        </w:numPr>
        <w:rPr>
          <w:rFonts w:ascii="Arial" w:cs="Arial" w:eastAsia="Arial" w:hAnsi="Arial"/>
          <w:sz w:val="16"/>
          <w:szCs w:val="16"/>
          <w:color w:val="00A1DF"/>
        </w:rPr>
      </w:pPr>
      <w:r>
        <w:rPr>
          <w:rFonts w:ascii="Arial" w:cs="Arial" w:eastAsia="Arial" w:hAnsi="Arial"/>
          <w:sz w:val="16"/>
          <w:szCs w:val="16"/>
          <w:b w:val="1"/>
          <w:bCs w:val="1"/>
          <w:color w:val="00A1DF"/>
        </w:rPr>
        <w:t xml:space="preserve">DE&amp;I Education and Training: </w:t>
      </w:r>
      <w:r>
        <w:rPr>
          <w:rFonts w:ascii="Arial" w:cs="Arial" w:eastAsia="Arial" w:hAnsi="Arial"/>
          <w:sz w:val="16"/>
          <w:szCs w:val="16"/>
          <w:color w:val="000000"/>
        </w:rPr>
        <w:t>We offer a variety of training programs and initiatives focused on creating a more inclusive workplace culture, including</w:t>
      </w:r>
      <w:r>
        <w:rPr>
          <w:rFonts w:ascii="Arial" w:cs="Arial" w:eastAsia="Arial" w:hAnsi="Arial"/>
          <w:sz w:val="16"/>
          <w:szCs w:val="16"/>
          <w:b w:val="1"/>
          <w:bCs w:val="1"/>
          <w:color w:val="00A1DF"/>
        </w:rPr>
        <w:t xml:space="preserve"> </w:t>
      </w:r>
      <w:r>
        <w:rPr>
          <w:rFonts w:ascii="Arial" w:cs="Arial" w:eastAsia="Arial" w:hAnsi="Arial"/>
          <w:sz w:val="16"/>
          <w:szCs w:val="16"/>
          <w:color w:val="000000"/>
        </w:rPr>
        <w:t>monthly company-wide forums like our DE&amp;I speaker series designed to inform, inspire dialogue and foster employee engagement through a curated experience anchored by external scholars, authors and thought leaders focusing on a variety of DE&amp;I topics. Additionally, we offer an enterprise-wide learning catalog with digital eLearning modules and self-directed curated learning guides, as well as instructor-led virtual workshops covering inclusion topics such as: Interrupting Unconscious Bias, Social Identities/Dimensions of Diversity, Allyship and Neurodiversity, among others. Our various DE&amp;I newsletters and communications cover essential DE&amp;I topics such as inclusive leadership behaviors, updates on training opportunities, employee-driven DE&amp;I events and DE&amp;I data milestones, to name a few.</w:t>
      </w:r>
    </w:p>
    <w:p>
      <w:pPr>
        <w:spacing w:after="0" w:line="1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right="40" w:hanging="252"/>
        <w:spacing w:after="0" w:line="256" w:lineRule="auto"/>
        <w:tabs>
          <w:tab w:leader="none" w:pos="260" w:val="left"/>
        </w:tabs>
        <w:numPr>
          <w:ilvl w:val="0"/>
          <w:numId w:val="8"/>
        </w:numPr>
        <w:rPr>
          <w:rFonts w:ascii="Arial" w:cs="Arial" w:eastAsia="Arial" w:hAnsi="Arial"/>
          <w:sz w:val="16"/>
          <w:szCs w:val="16"/>
          <w:color w:val="00A1DF"/>
        </w:rPr>
      </w:pPr>
      <w:r>
        <w:rPr>
          <w:rFonts w:ascii="Arial" w:cs="Arial" w:eastAsia="Arial" w:hAnsi="Arial"/>
          <w:sz w:val="16"/>
          <w:szCs w:val="16"/>
          <w:b w:val="1"/>
          <w:bCs w:val="1"/>
          <w:color w:val="00A1DF"/>
        </w:rPr>
        <w:t xml:space="preserve">Employee Resource Groups (“ERGs”): </w:t>
      </w:r>
      <w:r>
        <w:rPr>
          <w:rFonts w:ascii="Arial" w:cs="Arial" w:eastAsia="Arial" w:hAnsi="Arial"/>
          <w:sz w:val="16"/>
          <w:szCs w:val="16"/>
          <w:color w:val="000000"/>
        </w:rPr>
        <w:t>We support nine ERGs for Asian Pacific American, Black, People with Disabilities, LGBTQ+, Hispanic/Latino,</w:t>
      </w:r>
      <w:r>
        <w:rPr>
          <w:rFonts w:ascii="Arial" w:cs="Arial" w:eastAsia="Arial" w:hAnsi="Arial"/>
          <w:sz w:val="16"/>
          <w:szCs w:val="16"/>
          <w:b w:val="1"/>
          <w:bCs w:val="1"/>
          <w:color w:val="00A1DF"/>
        </w:rPr>
        <w:t xml:space="preserve"> </w:t>
      </w:r>
      <w:r>
        <w:rPr>
          <w:rFonts w:ascii="Arial" w:cs="Arial" w:eastAsia="Arial" w:hAnsi="Arial"/>
          <w:sz w:val="16"/>
          <w:szCs w:val="16"/>
          <w:color w:val="000000"/>
        </w:rPr>
        <w:t>Veteran, Young Professional, Women and Indigenous employees. Our ERGs have 35,000 members in over 200 chapters, and are voluntary, employee-led organizations dedicated to developing the careers of our employees, contributing to community service and building on an inclusive and collaborative workplace and culture. Each ERG has two executive sponsors, and further support is provided for ERG projects, programs and events from a $500,000 annual fund.</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Supplier Diversity and Small Business Support</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supplier diversity program is designed to promote, increase and improve the participation of diverse businesses within our corporate supply chain — including companies owned by women, people of color, veterans, people with disabilities and LGBTQ+ individuals. We have been a member of the Billion Dollar Roundtable since 2015, which recognizes corporations that achieve spending of at least $1 billion each year with diverse suppliers, and have spent at least $3 billion each year with diverse suppliers during the past 5 years. In 2021, we spent over $4.3 billion with diverse Tier 1 vendors (with direct purchases from approximately 3,250 diverse suppliers) and over $390 million with diverse Tier 2 subcontractors. Through Comcast RISE, a program aimed at small businesses owned by people of color and women, we have also supported more than 6,700 small businesses with over $60 million in grants and in-kind marketing and technology support through 2021.</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2021, we also invested $25 million in the Seibert Williams Shank Clear Vision Impact Fund, a diverse-led and diverse-serving financial institution that provides direct support to local community businesses, and $10 million in the Inclusiv Racial Equity and Resilience Investment Fund, which is aimed at building equity in credit unions led by and/or serving people of color in an effort to help increase lending to people of color-owned businesses, homeowners and consumers by providing financial opportunities to traditionally underserved and underbanked communities.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Diverse Programming and Platforms</w:t>
      </w:r>
    </w:p>
    <w:p>
      <w:pPr>
        <w:spacing w:after="0" w:line="23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strive to have diverse perspectives that resonate with a wide range of audiences in our programming at NBCUniversal and in the content we distribute on our Xfinity platforms. We have created opportunities in front of and behind the camera, including by offering a wide range of programs designed to build a diverse pipeline of talent, including directors, writers, actors, music composers and journalists.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Examples of programs we have developed that seek to build additional opportunities for diverse talent include NBCUniversal’s innovative, multiplatform journalism training and development program for students at Historically Black Colleges and Universities and diverse-serving institutions, as well as a multi-year $3.5 million scholarship fund for underrepresented students. NBCUniversal also created a fellowship program awarding diverse documentary filmmakers grants to support feature-length nonfiction films highlighting social issues and identities, with seven groundbreaking filmmakers named in 2021 for the first inaugural fellowship.</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Through our media platforms, we have worked to amplify diverse voices and cultures, including through a vast ecosystem of diverse content on Xfinity, including curated On Demand destinations, as well as through NBCUniversal’s ‘The More You Know’ series of public service announcements that have kept audiences informed and educated on issues that include a campaign to speak out against systemic racism and speaking up for social justice, equality and equity, to name a few. For more information on our diverse programming and platforms, see pages 66-67 of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Community</w:t>
      </w:r>
    </w:p>
    <w:p>
      <w:pPr>
        <w:spacing w:after="0" w:line="23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Building on our longstanding commitment to DE&amp;I, in 2020 we developed a comprehensive, multi-year plan to allocate $100 million in cash and in-kind support to fight injustice and inequality against any race, ethnicity, gender identity, sexual orientation or ability. We are well on track to fulfill this commitment by the end of 2022. This is on top of the existing commitments Comcast makes to thousands of organizations supporting underrepresented communities nationwide through our social impact programs and the Comcast NBCUniversal Foundation.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Human Capital Management</w:t>
      </w:r>
    </w:p>
    <w:p>
      <w:pPr>
        <w:spacing w:after="0" w:line="24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As a global media and technology company, we have a wide range of employees, including management professionals, technicians, engineers, call center employees, theme park employees and media talent and production employees. Our human capital management policies, programs and initiatives are tailored to the specific employee populations within our businesses and include the following:</w:t>
      </w:r>
    </w:p>
    <w:p>
      <w:pPr>
        <w:spacing w:after="0" w:line="171" w:lineRule="exact"/>
        <w:rPr>
          <w:sz w:val="20"/>
          <w:szCs w:val="20"/>
          <w:color w:val="auto"/>
        </w:rPr>
      </w:pPr>
    </w:p>
    <w:p>
      <w:pPr>
        <w:ind w:left="260" w:right="240" w:hanging="252"/>
        <w:spacing w:after="0" w:line="259" w:lineRule="auto"/>
        <w:tabs>
          <w:tab w:leader="none" w:pos="260" w:val="left"/>
        </w:tabs>
        <w:numPr>
          <w:ilvl w:val="0"/>
          <w:numId w:val="9"/>
        </w:numPr>
        <w:rPr>
          <w:rFonts w:ascii="Arial" w:cs="Arial" w:eastAsia="Arial" w:hAnsi="Arial"/>
          <w:sz w:val="16"/>
          <w:szCs w:val="16"/>
          <w:color w:val="00A1DF"/>
        </w:rPr>
      </w:pPr>
      <w:r>
        <w:rPr>
          <w:rFonts w:ascii="Arial" w:cs="Arial" w:eastAsia="Arial" w:hAnsi="Arial"/>
          <w:sz w:val="16"/>
          <w:szCs w:val="16"/>
          <w:b w:val="1"/>
          <w:bCs w:val="1"/>
          <w:color w:val="00A1DF"/>
        </w:rPr>
        <w:t xml:space="preserve">Employee Engagement: </w:t>
      </w:r>
      <w:r>
        <w:rPr>
          <w:rFonts w:ascii="Arial" w:cs="Arial" w:eastAsia="Arial" w:hAnsi="Arial"/>
          <w:sz w:val="16"/>
          <w:szCs w:val="16"/>
          <w:color w:val="000000"/>
        </w:rPr>
        <w:t>We seek to create an engaged workforce through proactive listening and constructive dialogue, including through employee</w:t>
      </w:r>
      <w:r>
        <w:rPr>
          <w:rFonts w:ascii="Arial" w:cs="Arial" w:eastAsia="Arial" w:hAnsi="Arial"/>
          <w:sz w:val="16"/>
          <w:szCs w:val="16"/>
          <w:b w:val="1"/>
          <w:bCs w:val="1"/>
          <w:color w:val="00A1DF"/>
        </w:rPr>
        <w:t xml:space="preserve"> </w:t>
      </w:r>
      <w:r>
        <w:rPr>
          <w:rFonts w:ascii="Arial" w:cs="Arial" w:eastAsia="Arial" w:hAnsi="Arial"/>
          <w:sz w:val="16"/>
          <w:szCs w:val="16"/>
          <w:color w:val="000000"/>
        </w:rPr>
        <w:t>engagement surveys, the nine ERGs described above and our open reporting environment where employees can speak up without fear of retaliation. Our Board, through its committees, also receives periodic reports on our employee engagement surveys and employee concerns reported through our Comcast NBCUniversal Listens and Sky Listens programs.</w:t>
      </w:r>
    </w:p>
    <w:p>
      <w:pPr>
        <w:spacing w:after="0" w:line="150" w:lineRule="exact"/>
        <w:rPr>
          <w:rFonts w:ascii="Arial" w:cs="Arial" w:eastAsia="Arial" w:hAnsi="Arial"/>
          <w:sz w:val="16"/>
          <w:szCs w:val="16"/>
          <w:color w:val="00A1DF"/>
        </w:rPr>
      </w:pPr>
    </w:p>
    <w:p>
      <w:pPr>
        <w:ind w:left="260" w:right="40" w:hanging="252"/>
        <w:spacing w:after="0" w:line="253" w:lineRule="auto"/>
        <w:tabs>
          <w:tab w:leader="none" w:pos="260" w:val="left"/>
        </w:tabs>
        <w:numPr>
          <w:ilvl w:val="0"/>
          <w:numId w:val="9"/>
        </w:numPr>
        <w:rPr>
          <w:rFonts w:ascii="Arial" w:cs="Arial" w:eastAsia="Arial" w:hAnsi="Arial"/>
          <w:sz w:val="16"/>
          <w:szCs w:val="16"/>
          <w:color w:val="00A1DF"/>
        </w:rPr>
      </w:pPr>
      <w:r>
        <w:rPr>
          <w:rFonts w:ascii="Arial" w:cs="Arial" w:eastAsia="Arial" w:hAnsi="Arial"/>
          <w:sz w:val="16"/>
          <w:szCs w:val="16"/>
          <w:b w:val="1"/>
          <w:bCs w:val="1"/>
          <w:color w:val="00A1DF"/>
        </w:rPr>
        <w:t xml:space="preserve">Talent Development and Succession Planning: </w:t>
      </w:r>
      <w:r>
        <w:rPr>
          <w:rFonts w:ascii="Arial" w:cs="Arial" w:eastAsia="Arial" w:hAnsi="Arial"/>
          <w:sz w:val="16"/>
          <w:szCs w:val="16"/>
          <w:color w:val="000000"/>
        </w:rPr>
        <w:t>We provide a wide variety of opportunities for professional growth for employees with in-classroom</w:t>
      </w:r>
      <w:r>
        <w:rPr>
          <w:rFonts w:ascii="Arial" w:cs="Arial" w:eastAsia="Arial" w:hAnsi="Arial"/>
          <w:sz w:val="16"/>
          <w:szCs w:val="16"/>
          <w:b w:val="1"/>
          <w:bCs w:val="1"/>
          <w:color w:val="00A1DF"/>
        </w:rPr>
        <w:t xml:space="preserve"> </w:t>
      </w:r>
      <w:r>
        <w:rPr>
          <w:rFonts w:ascii="Arial" w:cs="Arial" w:eastAsia="Arial" w:hAnsi="Arial"/>
          <w:sz w:val="16"/>
          <w:szCs w:val="16"/>
          <w:color w:val="000000"/>
        </w:rPr>
        <w:t>and online trainings and on-the-job experience, including as described above in “Diversity, Equity &amp; Inclusion.” We also offer education tuition assistance to full-time employees in the United States. Our Board discusses succession planning for our CEO and the remainder of our senior executive management team. Throughout the year, our senior executive management team and other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 See “Corporate Governance and Board Matters – Corporate Governance Practices, Policies and Processes – Succession Planning” for additional information.</w:t>
      </w:r>
    </w:p>
    <w:p>
      <w:pPr>
        <w:spacing w:after="0" w:line="154" w:lineRule="exact"/>
        <w:rPr>
          <w:rFonts w:ascii="Arial" w:cs="Arial" w:eastAsia="Arial" w:hAnsi="Arial"/>
          <w:sz w:val="16"/>
          <w:szCs w:val="16"/>
          <w:color w:val="00A1DF"/>
        </w:rPr>
      </w:pPr>
    </w:p>
    <w:p>
      <w:pPr>
        <w:ind w:left="260" w:right="60" w:hanging="252"/>
        <w:spacing w:after="0" w:line="254" w:lineRule="auto"/>
        <w:tabs>
          <w:tab w:leader="none" w:pos="260" w:val="left"/>
        </w:tabs>
        <w:numPr>
          <w:ilvl w:val="0"/>
          <w:numId w:val="9"/>
        </w:numPr>
        <w:rPr>
          <w:rFonts w:ascii="Arial" w:cs="Arial" w:eastAsia="Arial" w:hAnsi="Arial"/>
          <w:sz w:val="16"/>
          <w:szCs w:val="16"/>
          <w:color w:val="00A1DF"/>
        </w:rPr>
      </w:pPr>
      <w:r>
        <w:rPr>
          <w:rFonts w:ascii="Arial" w:cs="Arial" w:eastAsia="Arial" w:hAnsi="Arial"/>
          <w:sz w:val="16"/>
          <w:szCs w:val="16"/>
          <w:b w:val="1"/>
          <w:bCs w:val="1"/>
          <w:color w:val="00A1DF"/>
        </w:rPr>
        <w:t xml:space="preserve">Health and Welfare Benefits: </w:t>
      </w:r>
      <w:r>
        <w:rPr>
          <w:rFonts w:ascii="Arial" w:cs="Arial" w:eastAsia="Arial" w:hAnsi="Arial"/>
          <w:sz w:val="16"/>
          <w:szCs w:val="16"/>
          <w:color w:val="000000"/>
        </w:rPr>
        <w:t>We offer a portfolio of services and tools to support our employees’ health and well-being. In 2021, we enhanced benefits</w:t>
      </w:r>
      <w:r>
        <w:rPr>
          <w:rFonts w:ascii="Arial" w:cs="Arial" w:eastAsia="Arial" w:hAnsi="Arial"/>
          <w:sz w:val="16"/>
          <w:szCs w:val="16"/>
          <w:b w:val="1"/>
          <w:bCs w:val="1"/>
          <w:color w:val="00A1DF"/>
        </w:rPr>
        <w:t xml:space="preserve"> </w:t>
      </w:r>
      <w:r>
        <w:rPr>
          <w:rFonts w:ascii="Arial" w:cs="Arial" w:eastAsia="Arial" w:hAnsi="Arial"/>
          <w:sz w:val="16"/>
          <w:szCs w:val="16"/>
          <w:color w:val="000000"/>
        </w:rPr>
        <w:t>related to virtual care, telehealth options and back-up family care resources and support services and launched new behavioral health and counseling tools to support emotional well-being. We provide female and male employees the same paid parental leave options, including for adoption/surrogacy, and provide specialized support teams to help manage the first months of parenthood. In response to the global pandemic, we completed hundreds of thousands of COVID-19 tests, made physician-directed COVID-19 screening, testing, vaccine and treatment available at no out-of-pocket cost to benefit-enrolled employees and their dependents and hosted onsite vaccine clinics.</w:t>
      </w:r>
    </w:p>
    <w:p>
      <w:pPr>
        <w:spacing w:after="0" w:line="154" w:lineRule="exact"/>
        <w:rPr>
          <w:rFonts w:ascii="Arial" w:cs="Arial" w:eastAsia="Arial" w:hAnsi="Arial"/>
          <w:sz w:val="16"/>
          <w:szCs w:val="16"/>
          <w:color w:val="00A1DF"/>
        </w:rPr>
      </w:pPr>
    </w:p>
    <w:p>
      <w:pPr>
        <w:ind w:left="260" w:right="20" w:hanging="252"/>
        <w:spacing w:after="0" w:line="254" w:lineRule="auto"/>
        <w:tabs>
          <w:tab w:leader="none" w:pos="260" w:val="left"/>
        </w:tabs>
        <w:numPr>
          <w:ilvl w:val="0"/>
          <w:numId w:val="9"/>
        </w:numPr>
        <w:rPr>
          <w:rFonts w:ascii="Arial" w:cs="Arial" w:eastAsia="Arial" w:hAnsi="Arial"/>
          <w:sz w:val="16"/>
          <w:szCs w:val="16"/>
          <w:color w:val="00A1DF"/>
        </w:rPr>
      </w:pPr>
      <w:r>
        <w:rPr>
          <w:rFonts w:ascii="Arial" w:cs="Arial" w:eastAsia="Arial" w:hAnsi="Arial"/>
          <w:sz w:val="16"/>
          <w:szCs w:val="16"/>
          <w:b w:val="1"/>
          <w:bCs w:val="1"/>
          <w:color w:val="00A1DF"/>
        </w:rPr>
        <w:t xml:space="preserve">Financial Benefits: </w:t>
      </w:r>
      <w:r>
        <w:rPr>
          <w:rFonts w:ascii="Arial" w:cs="Arial" w:eastAsia="Arial" w:hAnsi="Arial"/>
          <w:sz w:val="16"/>
          <w:szCs w:val="16"/>
          <w:color w:val="000000"/>
        </w:rPr>
        <w:t>We seek to attract and retain employees by providing competitive compensation and benefits packages within the applicable market.</w:t>
      </w:r>
      <w:r>
        <w:rPr>
          <w:rFonts w:ascii="Arial" w:cs="Arial" w:eastAsia="Arial" w:hAnsi="Arial"/>
          <w:sz w:val="16"/>
          <w:szCs w:val="16"/>
          <w:b w:val="1"/>
          <w:bCs w:val="1"/>
          <w:color w:val="00A1DF"/>
        </w:rPr>
        <w:t xml:space="preserve"> </w:t>
      </w:r>
      <w:r>
        <w:rPr>
          <w:rFonts w:ascii="Arial" w:cs="Arial" w:eastAsia="Arial" w:hAnsi="Arial"/>
          <w:sz w:val="16"/>
          <w:szCs w:val="16"/>
          <w:color w:val="000000"/>
        </w:rPr>
        <w:t>Financial benefits that we provide include 401(k) retirement plans in the United States with a company match and other retirement arrangements internationally, employee stock purchase plans in the United States, United Kingdom, Ireland and several other European countries where most of our full-time and part-time employees can purchase our stock at a discount, and financial literacy training and counseling to support employees in making their own financial decisions. We also grant restricted stock units and stock options on an annual basis to a meaningful portion of our employees, with over 18,000 employees receiving equity awards in 2021.</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Environmental Sustainability</w:t>
      </w:r>
    </w:p>
    <w:p>
      <w:pPr>
        <w:spacing w:after="0" w:line="24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2021, we continued to take steps to lessen our environmental footprint and established a goal to become carbon neutral by 2035 for Scope 1 and 2 emissions across our global operations. Our largest source of emissions, representing approximately 75% of emissions, is due to purchased electricity powering our global operations, and as a result, we are focused on renewable energy procurement as we seek to reduce our greenhouse gas (“GHG”) emissions. The remaining emissions come from our owned and operated vehicle fleet and from generators, cooling systems and purchased steam, cooling and heating.</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Because purchased electricity accounts for the majority of our Scope 1 and 2 emissions, we have further developed our renewable energy procurement strategy, signing in 2021 a long-term purchase agreement for renewable electricity to power approximately 12% of our current U.S. electricity use beginning in 2024-2025. To provide transparency and help drive improvement, we report data using the Greenhouse Gas (GHG) Protocol consistent with the Sustainability Accounting Standards Board (SASB) and Task Force on Climate-Related Financial Disclosures (TCFD) frameworks.</w:t>
      </w:r>
    </w:p>
    <w:p>
      <w:pPr>
        <w:spacing w:after="0" w:line="18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Cybersecurity and Privacy</w:t>
      </w:r>
    </w:p>
    <w:p>
      <w:pPr>
        <w:spacing w:after="0" w:line="240"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Protecting the security and integrity of the information and systems under our control and safeguarding the privacy of our customer and employee information has long been a priority at Comcast. In fact, cybersecurity and privacy risks are among the core enterprise risks for Board-level oversight identified through our annual Enterprise Risk Management (“ERM”) assessment.</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cybersecurity strategy, policies and practices are overseen by a Cybersecurity Leadership Council, headed by our Chief Financial Officer and Chief Legal Officer. Other members include the Chief Information Security Officers (“CISOs”), Chief Technology Officers (“CTOs”), Chief Financial Officers and General Counsels of Comcast Cable, NBCUniversal and Sky, along with our head of Internal Audit. Our information security programs cover a comprehensive range of capabilities, including network security, endpoint security, vulnerability management, antivirus and malware protection, encryption and access control. We are committed to data protection, perform annual third-party certifications/audits where appropriate, and engage an independent firm to perform a cyber capability maturity assessment every three years. Our Board, including through our Audit Committee, reviews and discusses our cybersecurity risks, practices and protections with our CISOs and CTOs at least twice per year. In addition, our Audit Committee receives regular updates on our cybersecurity posture throughout the year from our head of Internal Audit as appropriate.</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also have a Privacy Council, which includes our Chief Legal Officer and our Chief Compliance Officer, and the Chief Privacy Officers and General Counsels of Comcast Cable, NBCUniversal and Sky, that reviews and assesses privacy risks throughout our businesses and shares best practices. We respect the privacy rights of individuals and have implemented tailored privacy compliance programs for our businesses. Our Board, through our Governance and Corporate Responsibility Committee, reviews and discusses our privacy program, processes and priorities with our Chief Privacy Officers.</w:t>
      </w:r>
    </w:p>
    <w:p>
      <w:pPr>
        <w:spacing w:after="0" w:line="158"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Political and Trade Association Activities</w:t>
      </w:r>
    </w:p>
    <w:p>
      <w:pPr>
        <w:spacing w:after="0" w:line="24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code of conduct, statement on political and trade association activities, semi-annual political contributions reports and annual tax-exempt organization disclosures provide information about our political, lobbying and trade association activities. Our Governance and Corporate Responsibility Committee is responsible for overseeing our political, lobbying and trade association activities. In 2021, we received the leading “Trendsetter” designation from the CPA Zicklin Index of Corporate Political Disclosure and Accountability for our transparency and accountability in political and trade association disclosure, policy and oversight.</w:t>
      </w:r>
    </w:p>
    <w:p>
      <w:pPr>
        <w:spacing w:after="0" w:line="160"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Integrity</w:t>
      </w:r>
    </w:p>
    <w:p>
      <w:pPr>
        <w:spacing w:after="0" w:line="24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company’s culture is built on integrity and respect, and we believe that all of our employees have a responsibility to promote the highest ethical standards and comply with the law everywhere we operate. As set forth in our code of conduct, our principles of business conduct guide us to act with integrity in everything we do, including a commitment to do what’s right for our employees, customers, audiences, investors and the communities we serve. We are committed to creating an environment where employees feel comfortable asking questions, raising concerns and speaking up without fear of retaliation, and we believe that we have effective and well-communicated channels in place for employees to report concerns.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27875" cy="664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7875" cy="664210"/>
                    </a:xfrm>
                    <a:prstGeom prst="rect">
                      <a:avLst/>
                    </a:prstGeom>
                    <a:noFill/>
                  </pic:spPr>
                </pic:pic>
              </a:graphicData>
            </a:graphic>
          </wp:anchor>
        </w:drawing>
      </w:r>
    </w:p>
    <w:p>
      <w:pPr>
        <w:spacing w:after="0" w:line="385"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00A1DF"/>
        </w:rPr>
        <w:t>Proposal 1:</w:t>
      </w:r>
      <w:r>
        <w:rPr>
          <w:sz w:val="20"/>
          <w:szCs w:val="20"/>
          <w:color w:val="auto"/>
        </w:rPr>
        <w:tab/>
      </w:r>
      <w:r>
        <w:rPr>
          <w:rFonts w:ascii="Arial" w:cs="Arial" w:eastAsia="Arial" w:hAnsi="Arial"/>
          <w:sz w:val="21"/>
          <w:szCs w:val="21"/>
          <w:color w:val="00A1DF"/>
        </w:rPr>
        <w:t>ELECTION OF DIRECTORS</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Our Board unanimously recommends that shareholders vote “</w:t>
      </w:r>
      <w:r>
        <w:rPr>
          <w:rFonts w:ascii="Arial" w:cs="Arial" w:eastAsia="Arial" w:hAnsi="Arial"/>
          <w:sz w:val="16"/>
          <w:szCs w:val="16"/>
          <w:b w:val="1"/>
          <w:bCs w:val="1"/>
          <w:color w:val="00A1DF"/>
        </w:rPr>
        <w:t>FOR</w:t>
      </w:r>
      <w:r>
        <w:rPr>
          <w:rFonts w:ascii="Arial" w:cs="Arial" w:eastAsia="Arial" w:hAnsi="Arial"/>
          <w:sz w:val="16"/>
          <w:szCs w:val="16"/>
          <w:b w:val="1"/>
          <w:bCs w:val="1"/>
          <w:color w:val="auto"/>
        </w:rPr>
        <w:t>” the election of each of the nominees for director.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Board of Directors Nominees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157480</wp:posOffset>
            </wp:positionV>
            <wp:extent cx="6086475" cy="6035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86475" cy="603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hanging="285"/>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 xml:space="preserve">See “—Director Skills, Experience and Diversity” below and Nasdaq Board Diversity Matrix in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for additional information.</w:t>
      </w:r>
    </w:p>
    <w:p>
      <w:pPr>
        <w:spacing w:after="0" w:line="113" w:lineRule="exact"/>
        <w:rPr>
          <w:sz w:val="20"/>
          <w:szCs w:val="20"/>
          <w:color w:val="auto"/>
        </w:rPr>
      </w:pPr>
    </w:p>
    <w:p>
      <w:pPr>
        <w:ind w:left="1260" w:hanging="285"/>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4"/>
          <w:szCs w:val="14"/>
          <w:color w:val="auto"/>
        </w:rPr>
        <w:t>Audit Committee Financial Expert</w:t>
      </w:r>
    </w:p>
    <w:p>
      <w:pPr>
        <w:spacing w:after="0" w:line="3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Director Skills, Experience and Diversity</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also strives to balance the need to have directors with a diversity of skills, backgrounds, experiences, perspectives and viewpoints, areas of expertise and knowledge, while including gender and racial and ethnic representation.</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and each of its committees assess their effectiveness in this regard as part of their annual self-assessment which, among other things, evaluates the overall composition of our Board, including the diversity of skills and backgrounds of our directors. Our Governance and Corporate Responsibility Committee focuses on certain specific director qualifications and skills, including those highlighted below, to select directors that bring to the Board a diversity of experience, qualifications, skills, viewpoints and perspectives to oversee and address the current issues facing our company. Our Governance and Corporate Responsibility Committee considers these qualifications, including with respect to gender and racial and ethnic diversity, as it seeks to identify and evaluate potential new directors. In evaluating current directors for renomination to the Board or reappointment to Board committees, the Committee also assesses the director’s performance, as well as the current challenges and needs of the Board and each committee.</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To eliminate even the appearance of a potential conflict stemming from a directorship of a family member of Ms. Naomi Bergman on the board of Discovery following its merger with WarnerMedia, Ms. Bergman is not a nominee for director at our 2022 annual meeting and her term will end on the date of our annual meeting in June. We are grateful to Ms. Bergman for her service on our Board. The size of the Board will be reduced to nine directors, effective upon the convening of the 2022 annual meeting. Our Governance and Corporate Responsibility Committee recognizes the value of diversity of backgrounds and experiences among its membership and is committed to diversity on our Board as it seeks to identify its next director.</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Governance and Corporate Responsibility Committee also considers each director’s ability to dedicate sufficient time, energy and attention to the fulfillment of his or her duties when it nominates directors each year. In accordance with our corporate governance guidelines, an independent director who is a chief executive officer of a public company may serve on the boards of no more than two other public companies in addition to our Board, while all other independent directors may serve on up to five public company boards in total. The Board also considers directors’ other obligations and commitments, including leadership positions the director may hold on other boards, in assessing directors’ ability to serve on our Board. In renominating directors for election at our 2022 annual meeting, the Committee and Board have determined that each of our directors is currently in compliance with our corporate governance guidelines and has sufficient time, energy and attention to serve on our Board. For example, as part of this determination, the Committee and the Board have considered that Mr. Breen serves as the executive chairman and chief executive officer of DuPont de Nemours, Inc. and serves as a director of International Flavors &amp; Fragrances, Inc., which merged with DuPont’s nutrition and biosciences business in 2021.</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Below are the skills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5718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71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Current/Former CEO/President/Executive Officer</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527"/>
        </w:trPr>
        <w:tc>
          <w:tcPr>
            <w:tcW w:w="4580" w:type="dxa"/>
            <w:vAlign w:val="bottom"/>
          </w:tcPr>
          <w:p>
            <w:pPr>
              <w:spacing w:after="0"/>
              <w:rPr>
                <w:sz w:val="20"/>
                <w:szCs w:val="20"/>
                <w:color w:val="auto"/>
              </w:rPr>
            </w:pPr>
            <w:r>
              <w:rPr>
                <w:rFonts w:ascii="Arial" w:cs="Arial" w:eastAsia="Arial" w:hAnsi="Arial"/>
                <w:sz w:val="16"/>
                <w:szCs w:val="16"/>
                <w:color w:val="auto"/>
              </w:rPr>
              <w:t>Internet/Video/Wireless Industry</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5"/>
        </w:trPr>
        <w:tc>
          <w:tcPr>
            <w:tcW w:w="4580" w:type="dxa"/>
            <w:vAlign w:val="bottom"/>
          </w:tcPr>
          <w:p>
            <w:pPr>
              <w:spacing w:after="0"/>
              <w:rPr>
                <w:sz w:val="20"/>
                <w:szCs w:val="20"/>
                <w:color w:val="auto"/>
              </w:rPr>
            </w:pPr>
            <w:r>
              <w:rPr>
                <w:rFonts w:ascii="Arial" w:cs="Arial" w:eastAsia="Arial" w:hAnsi="Arial"/>
                <w:sz w:val="16"/>
                <w:szCs w:val="16"/>
                <w:color w:val="auto"/>
              </w:rPr>
              <w:t>Media Industry</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4580" w:type="dxa"/>
            <w:vAlign w:val="bottom"/>
          </w:tcPr>
          <w:p>
            <w:pPr>
              <w:spacing w:after="0"/>
              <w:rPr>
                <w:sz w:val="20"/>
                <w:szCs w:val="20"/>
                <w:color w:val="auto"/>
              </w:rPr>
            </w:pPr>
            <w:r>
              <w:rPr>
                <w:rFonts w:ascii="Arial" w:cs="Arial" w:eastAsia="Arial" w:hAnsi="Arial"/>
                <w:sz w:val="16"/>
                <w:szCs w:val="16"/>
                <w:color w:val="auto"/>
              </w:rPr>
              <w:t>Consumer Products/Customer-Oriented</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94"/>
        </w:trPr>
        <w:tc>
          <w:tcPr>
            <w:tcW w:w="4580" w:type="dxa"/>
            <w:vAlign w:val="bottom"/>
          </w:tcPr>
          <w:p>
            <w:pPr>
              <w:spacing w:after="0"/>
              <w:rPr>
                <w:sz w:val="20"/>
                <w:szCs w:val="20"/>
                <w:color w:val="auto"/>
              </w:rPr>
            </w:pPr>
            <w:r>
              <w:rPr>
                <w:rFonts w:ascii="Arial" w:cs="Arial" w:eastAsia="Arial" w:hAnsi="Arial"/>
                <w:sz w:val="16"/>
                <w:szCs w:val="16"/>
                <w:color w:val="auto"/>
              </w:rPr>
              <w:t>Technology</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4580" w:type="dxa"/>
            <w:vAlign w:val="bottom"/>
          </w:tcPr>
          <w:p>
            <w:pPr>
              <w:spacing w:after="0"/>
              <w:rPr>
                <w:sz w:val="20"/>
                <w:szCs w:val="20"/>
                <w:color w:val="auto"/>
              </w:rPr>
            </w:pPr>
            <w:r>
              <w:rPr>
                <w:rFonts w:ascii="Arial" w:cs="Arial" w:eastAsia="Arial" w:hAnsi="Arial"/>
                <w:sz w:val="16"/>
                <w:szCs w:val="16"/>
                <w:color w:val="auto"/>
              </w:rPr>
              <w:t>Financial/Accounting</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4580" w:type="dxa"/>
            <w:vAlign w:val="bottom"/>
          </w:tcPr>
          <w:p>
            <w:pPr>
              <w:spacing w:after="0"/>
              <w:rPr>
                <w:sz w:val="20"/>
                <w:szCs w:val="20"/>
                <w:color w:val="auto"/>
              </w:rPr>
            </w:pPr>
            <w:r>
              <w:rPr>
                <w:rFonts w:ascii="Arial" w:cs="Arial" w:eastAsia="Arial" w:hAnsi="Arial"/>
                <w:sz w:val="16"/>
                <w:szCs w:val="16"/>
                <w:color w:val="auto"/>
              </w:rPr>
              <w:t>Risk Management Oversight</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81"/>
        </w:trPr>
        <w:tc>
          <w:tcPr>
            <w:tcW w:w="4580" w:type="dxa"/>
            <w:vAlign w:val="bottom"/>
          </w:tcPr>
          <w:p>
            <w:pPr>
              <w:spacing w:after="0"/>
              <w:rPr>
                <w:sz w:val="20"/>
                <w:szCs w:val="20"/>
                <w:color w:val="auto"/>
              </w:rPr>
            </w:pPr>
            <w:r>
              <w:rPr>
                <w:rFonts w:ascii="Arial" w:cs="Arial" w:eastAsia="Arial" w:hAnsi="Arial"/>
                <w:sz w:val="16"/>
                <w:szCs w:val="16"/>
                <w:color w:val="auto"/>
              </w:rPr>
              <w:t>International</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34"/>
        </w:trPr>
        <w:tc>
          <w:tcPr>
            <w:tcW w:w="4580" w:type="dxa"/>
            <w:vAlign w:val="bottom"/>
          </w:tcPr>
          <w:p>
            <w:pPr>
              <w:spacing w:after="0"/>
              <w:rPr>
                <w:sz w:val="20"/>
                <w:szCs w:val="20"/>
                <w:color w:val="auto"/>
              </w:rPr>
            </w:pPr>
            <w:r>
              <w:rPr>
                <w:rFonts w:ascii="Arial" w:cs="Arial" w:eastAsia="Arial" w:hAnsi="Arial"/>
                <w:sz w:val="16"/>
                <w:szCs w:val="16"/>
                <w:color w:val="auto"/>
              </w:rPr>
              <w:t>Government Affairs</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21"/>
        </w:trPr>
        <w:tc>
          <w:tcPr>
            <w:tcW w:w="4580" w:type="dxa"/>
            <w:vAlign w:val="bottom"/>
          </w:tcPr>
          <w:p>
            <w:pPr>
              <w:spacing w:after="0"/>
              <w:rPr>
                <w:sz w:val="20"/>
                <w:szCs w:val="20"/>
                <w:color w:val="auto"/>
              </w:rPr>
            </w:pPr>
            <w:r>
              <w:rPr>
                <w:rFonts w:ascii="Arial" w:cs="Arial" w:eastAsia="Arial" w:hAnsi="Arial"/>
                <w:sz w:val="16"/>
                <w:szCs w:val="16"/>
                <w:color w:val="auto"/>
              </w:rPr>
              <w:t>Human Capital Management</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4580" w:type="dxa"/>
            <w:vAlign w:val="bottom"/>
          </w:tcPr>
          <w:p>
            <w:pPr>
              <w:spacing w:after="0"/>
              <w:rPr>
                <w:sz w:val="20"/>
                <w:szCs w:val="20"/>
                <w:color w:val="auto"/>
              </w:rPr>
            </w:pPr>
            <w:r>
              <w:rPr>
                <w:rFonts w:ascii="Arial" w:cs="Arial" w:eastAsia="Arial" w:hAnsi="Arial"/>
                <w:sz w:val="16"/>
                <w:szCs w:val="16"/>
                <w:color w:val="auto"/>
              </w:rPr>
              <w:t>Non-Profit/Educational/Philanthropic</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4580" w:type="dxa"/>
            <w:vAlign w:val="bottom"/>
          </w:tcPr>
          <w:p>
            <w:pPr>
              <w:spacing w:after="0"/>
              <w:rPr>
                <w:sz w:val="20"/>
                <w:szCs w:val="20"/>
                <w:color w:val="auto"/>
              </w:rPr>
            </w:pPr>
            <w:r>
              <w:rPr>
                <w:rFonts w:ascii="Arial" w:cs="Arial" w:eastAsia="Arial" w:hAnsi="Arial"/>
                <w:sz w:val="16"/>
                <w:szCs w:val="16"/>
                <w:color w:val="auto"/>
              </w:rPr>
              <w:t>Gender*</w:t>
            </w:r>
          </w:p>
        </w:tc>
        <w:tc>
          <w:tcPr>
            <w:tcW w:w="1420" w:type="dxa"/>
            <w:vAlign w:val="bottom"/>
          </w:tcPr>
          <w:p>
            <w:pPr>
              <w:ind w:left="1080"/>
              <w:spacing w:after="0"/>
              <w:rPr>
                <w:sz w:val="20"/>
                <w:szCs w:val="20"/>
                <w:color w:val="auto"/>
              </w:rPr>
            </w:pPr>
            <w:r>
              <w:rPr>
                <w:rFonts w:ascii="Arial" w:cs="Arial" w:eastAsia="Arial" w:hAnsi="Arial"/>
                <w:sz w:val="16"/>
                <w:szCs w:val="16"/>
                <w:color w:val="auto"/>
              </w:rPr>
              <w:t>M</w:t>
            </w:r>
          </w:p>
        </w:tc>
        <w:tc>
          <w:tcPr>
            <w:tcW w:w="560" w:type="dxa"/>
            <w:vAlign w:val="bottom"/>
          </w:tcPr>
          <w:p>
            <w:pPr>
              <w:jc w:val="center"/>
              <w:spacing w:after="0"/>
              <w:rPr>
                <w:sz w:val="20"/>
                <w:szCs w:val="20"/>
                <w:color w:val="auto"/>
              </w:rPr>
            </w:pPr>
            <w:r>
              <w:rPr>
                <w:rFonts w:ascii="Arial" w:cs="Arial" w:eastAsia="Arial" w:hAnsi="Arial"/>
                <w:sz w:val="16"/>
                <w:szCs w:val="16"/>
                <w:color w:val="auto"/>
              </w:rPr>
              <w:t>F</w:t>
            </w:r>
          </w:p>
        </w:tc>
        <w:tc>
          <w:tcPr>
            <w:tcW w:w="540" w:type="dxa"/>
            <w:vAlign w:val="bottom"/>
          </w:tcPr>
          <w:p>
            <w:pPr>
              <w:ind w:left="200"/>
              <w:spacing w:after="0"/>
              <w:rPr>
                <w:sz w:val="20"/>
                <w:szCs w:val="20"/>
                <w:color w:val="auto"/>
              </w:rPr>
            </w:pPr>
            <w:r>
              <w:rPr>
                <w:rFonts w:ascii="Arial" w:cs="Arial" w:eastAsia="Arial" w:hAnsi="Arial"/>
                <w:sz w:val="16"/>
                <w:szCs w:val="16"/>
                <w:color w:val="auto"/>
              </w:rPr>
              <w:t>M</w:t>
            </w:r>
          </w:p>
        </w:tc>
        <w:tc>
          <w:tcPr>
            <w:tcW w:w="560" w:type="dxa"/>
            <w:vAlign w:val="bottom"/>
          </w:tcPr>
          <w:p>
            <w:pPr>
              <w:ind w:left="220"/>
              <w:spacing w:after="0"/>
              <w:rPr>
                <w:sz w:val="20"/>
                <w:szCs w:val="20"/>
                <w:color w:val="auto"/>
              </w:rPr>
            </w:pPr>
            <w:r>
              <w:rPr>
                <w:rFonts w:ascii="Arial" w:cs="Arial" w:eastAsia="Arial" w:hAnsi="Arial"/>
                <w:sz w:val="16"/>
                <w:szCs w:val="16"/>
                <w:color w:val="auto"/>
              </w:rPr>
              <w:t>M</w:t>
            </w:r>
          </w:p>
        </w:tc>
        <w:tc>
          <w:tcPr>
            <w:tcW w:w="560" w:type="dxa"/>
            <w:vAlign w:val="bottom"/>
          </w:tcPr>
          <w:p>
            <w:pPr>
              <w:ind w:left="200"/>
              <w:spacing w:after="0"/>
              <w:rPr>
                <w:sz w:val="20"/>
                <w:szCs w:val="20"/>
                <w:color w:val="auto"/>
              </w:rPr>
            </w:pPr>
            <w:r>
              <w:rPr>
                <w:rFonts w:ascii="Arial" w:cs="Arial" w:eastAsia="Arial" w:hAnsi="Arial"/>
                <w:sz w:val="16"/>
                <w:szCs w:val="16"/>
                <w:color w:val="auto"/>
              </w:rPr>
              <w:t>M</w:t>
            </w:r>
          </w:p>
        </w:tc>
        <w:tc>
          <w:tcPr>
            <w:tcW w:w="540" w:type="dxa"/>
            <w:vAlign w:val="bottom"/>
          </w:tcPr>
          <w:p>
            <w:pPr>
              <w:ind w:left="220"/>
              <w:spacing w:after="0"/>
              <w:rPr>
                <w:sz w:val="20"/>
                <w:szCs w:val="20"/>
                <w:color w:val="auto"/>
              </w:rPr>
            </w:pPr>
            <w:r>
              <w:rPr>
                <w:rFonts w:ascii="Arial" w:cs="Arial" w:eastAsia="Arial" w:hAnsi="Arial"/>
                <w:sz w:val="16"/>
                <w:szCs w:val="16"/>
                <w:color w:val="auto"/>
              </w:rPr>
              <w:t>F</w:t>
            </w:r>
          </w:p>
        </w:tc>
        <w:tc>
          <w:tcPr>
            <w:tcW w:w="560" w:type="dxa"/>
            <w:vAlign w:val="bottom"/>
          </w:tcPr>
          <w:p>
            <w:pPr>
              <w:ind w:left="220"/>
              <w:spacing w:after="0"/>
              <w:rPr>
                <w:sz w:val="20"/>
                <w:szCs w:val="20"/>
                <w:color w:val="auto"/>
              </w:rPr>
            </w:pPr>
            <w:r>
              <w:rPr>
                <w:rFonts w:ascii="Arial" w:cs="Arial" w:eastAsia="Arial" w:hAnsi="Arial"/>
                <w:sz w:val="16"/>
                <w:szCs w:val="16"/>
                <w:color w:val="auto"/>
              </w:rPr>
              <w:t>M</w:t>
            </w:r>
          </w:p>
        </w:tc>
        <w:tc>
          <w:tcPr>
            <w:tcW w:w="560" w:type="dxa"/>
            <w:vAlign w:val="bottom"/>
          </w:tcPr>
          <w:p>
            <w:pPr>
              <w:ind w:left="200"/>
              <w:spacing w:after="0"/>
              <w:rPr>
                <w:sz w:val="20"/>
                <w:szCs w:val="20"/>
                <w:color w:val="auto"/>
              </w:rPr>
            </w:pPr>
            <w:r>
              <w:rPr>
                <w:rFonts w:ascii="Arial" w:cs="Arial" w:eastAsia="Arial" w:hAnsi="Arial"/>
                <w:sz w:val="16"/>
                <w:szCs w:val="16"/>
                <w:color w:val="auto"/>
              </w:rPr>
              <w:t>M</w:t>
            </w:r>
          </w:p>
        </w:tc>
        <w:tc>
          <w:tcPr>
            <w:tcW w:w="340" w:type="dxa"/>
            <w:vAlign w:val="bottom"/>
          </w:tcPr>
          <w:p>
            <w:pPr>
              <w:jc w:val="right"/>
              <w:spacing w:after="0"/>
              <w:rPr>
                <w:sz w:val="20"/>
                <w:szCs w:val="20"/>
                <w:color w:val="auto"/>
              </w:rPr>
            </w:pPr>
            <w:r>
              <w:rPr>
                <w:rFonts w:ascii="Arial" w:cs="Arial" w:eastAsia="Arial" w:hAnsi="Arial"/>
                <w:sz w:val="16"/>
                <w:szCs w:val="16"/>
                <w:color w:val="auto"/>
              </w:rPr>
              <w:t>M</w:t>
            </w:r>
          </w:p>
        </w:tc>
      </w:tr>
      <w:tr>
        <w:trPr>
          <w:trHeight w:val="472"/>
        </w:trPr>
        <w:tc>
          <w:tcPr>
            <w:tcW w:w="4580" w:type="dxa"/>
            <w:vAlign w:val="bottom"/>
          </w:tcPr>
          <w:p>
            <w:pPr>
              <w:spacing w:after="0"/>
              <w:rPr>
                <w:sz w:val="20"/>
                <w:szCs w:val="20"/>
                <w:color w:val="auto"/>
              </w:rPr>
            </w:pPr>
            <w:r>
              <w:rPr>
                <w:rFonts w:ascii="Arial" w:cs="Arial" w:eastAsia="Arial" w:hAnsi="Arial"/>
                <w:sz w:val="16"/>
                <w:szCs w:val="16"/>
                <w:color w:val="auto"/>
              </w:rPr>
              <w:t>Race/Ethnicity*</w:t>
            </w:r>
          </w:p>
        </w:tc>
        <w:tc>
          <w:tcPr>
            <w:tcW w:w="1420" w:type="dxa"/>
            <w:vAlign w:val="bottom"/>
          </w:tcPr>
          <w:p>
            <w:pPr>
              <w:ind w:left="1080"/>
              <w:spacing w:after="0"/>
              <w:rPr>
                <w:sz w:val="20"/>
                <w:szCs w:val="20"/>
                <w:color w:val="auto"/>
              </w:rPr>
            </w:pPr>
            <w:r>
              <w:rPr>
                <w:rFonts w:ascii="Arial" w:cs="Arial" w:eastAsia="Arial" w:hAnsi="Arial"/>
                <w:sz w:val="16"/>
                <w:szCs w:val="16"/>
                <w:color w:val="auto"/>
              </w:rPr>
              <w:t>B</w:t>
            </w:r>
          </w:p>
        </w:tc>
        <w:tc>
          <w:tcPr>
            <w:tcW w:w="560" w:type="dxa"/>
            <w:vAlign w:val="bottom"/>
          </w:tcPr>
          <w:p>
            <w:pPr>
              <w:jc w:val="center"/>
              <w:spacing w:after="0"/>
              <w:rPr>
                <w:sz w:val="20"/>
                <w:szCs w:val="20"/>
                <w:color w:val="auto"/>
              </w:rPr>
            </w:pPr>
            <w:r>
              <w:rPr>
                <w:rFonts w:ascii="Arial" w:cs="Arial" w:eastAsia="Arial" w:hAnsi="Arial"/>
                <w:sz w:val="16"/>
                <w:szCs w:val="16"/>
                <w:color w:val="auto"/>
              </w:rPr>
              <w:t>W</w:t>
            </w:r>
          </w:p>
        </w:tc>
        <w:tc>
          <w:tcPr>
            <w:tcW w:w="540" w:type="dxa"/>
            <w:vAlign w:val="bottom"/>
          </w:tcPr>
          <w:p>
            <w:pPr>
              <w:ind w:left="200"/>
              <w:spacing w:after="0"/>
              <w:rPr>
                <w:sz w:val="20"/>
                <w:szCs w:val="20"/>
                <w:color w:val="auto"/>
              </w:rPr>
            </w:pPr>
            <w:r>
              <w:rPr>
                <w:rFonts w:ascii="Arial" w:cs="Arial" w:eastAsia="Arial" w:hAnsi="Arial"/>
                <w:sz w:val="16"/>
                <w:szCs w:val="16"/>
                <w:color w:val="auto"/>
              </w:rPr>
              <w:t>W</w:t>
            </w:r>
          </w:p>
        </w:tc>
        <w:tc>
          <w:tcPr>
            <w:tcW w:w="560" w:type="dxa"/>
            <w:vAlign w:val="bottom"/>
          </w:tcPr>
          <w:p>
            <w:pPr>
              <w:ind w:left="200"/>
              <w:spacing w:after="0"/>
              <w:rPr>
                <w:sz w:val="20"/>
                <w:szCs w:val="20"/>
                <w:color w:val="auto"/>
              </w:rPr>
            </w:pPr>
            <w:r>
              <w:rPr>
                <w:rFonts w:ascii="Arial" w:cs="Arial" w:eastAsia="Arial" w:hAnsi="Arial"/>
                <w:sz w:val="16"/>
                <w:szCs w:val="16"/>
                <w:color w:val="auto"/>
              </w:rPr>
              <w:t>W</w:t>
            </w:r>
          </w:p>
        </w:tc>
        <w:tc>
          <w:tcPr>
            <w:tcW w:w="560" w:type="dxa"/>
            <w:vAlign w:val="bottom"/>
          </w:tcPr>
          <w:p>
            <w:pPr>
              <w:ind w:left="200"/>
              <w:spacing w:after="0"/>
              <w:rPr>
                <w:sz w:val="20"/>
                <w:szCs w:val="20"/>
                <w:color w:val="auto"/>
              </w:rPr>
            </w:pPr>
            <w:r>
              <w:rPr>
                <w:rFonts w:ascii="Arial" w:cs="Arial" w:eastAsia="Arial" w:hAnsi="Arial"/>
                <w:sz w:val="16"/>
                <w:szCs w:val="16"/>
                <w:color w:val="auto"/>
              </w:rPr>
              <w:t>W</w:t>
            </w:r>
          </w:p>
        </w:tc>
        <w:tc>
          <w:tcPr>
            <w:tcW w:w="540" w:type="dxa"/>
            <w:vAlign w:val="bottom"/>
          </w:tcPr>
          <w:p>
            <w:pPr>
              <w:ind w:left="220"/>
              <w:spacing w:after="0"/>
              <w:rPr>
                <w:sz w:val="20"/>
                <w:szCs w:val="20"/>
                <w:color w:val="auto"/>
              </w:rPr>
            </w:pPr>
            <w:r>
              <w:rPr>
                <w:rFonts w:ascii="Arial" w:cs="Arial" w:eastAsia="Arial" w:hAnsi="Arial"/>
                <w:sz w:val="16"/>
                <w:szCs w:val="16"/>
                <w:color w:val="auto"/>
              </w:rPr>
              <w:t>H</w:t>
            </w:r>
          </w:p>
        </w:tc>
        <w:tc>
          <w:tcPr>
            <w:tcW w:w="560" w:type="dxa"/>
            <w:vAlign w:val="bottom"/>
          </w:tcPr>
          <w:p>
            <w:pPr>
              <w:ind w:left="220"/>
              <w:spacing w:after="0"/>
              <w:rPr>
                <w:sz w:val="20"/>
                <w:szCs w:val="20"/>
                <w:color w:val="auto"/>
              </w:rPr>
            </w:pPr>
            <w:r>
              <w:rPr>
                <w:rFonts w:ascii="Arial" w:cs="Arial" w:eastAsia="Arial" w:hAnsi="Arial"/>
                <w:sz w:val="16"/>
                <w:szCs w:val="16"/>
                <w:color w:val="auto"/>
              </w:rPr>
              <w:t>A</w:t>
            </w:r>
          </w:p>
        </w:tc>
        <w:tc>
          <w:tcPr>
            <w:tcW w:w="560" w:type="dxa"/>
            <w:vAlign w:val="bottom"/>
          </w:tcPr>
          <w:p>
            <w:pPr>
              <w:ind w:left="200"/>
              <w:spacing w:after="0"/>
              <w:rPr>
                <w:sz w:val="20"/>
                <w:szCs w:val="20"/>
                <w:color w:val="auto"/>
              </w:rPr>
            </w:pPr>
            <w:r>
              <w:rPr>
                <w:rFonts w:ascii="Arial" w:cs="Arial" w:eastAsia="Arial" w:hAnsi="Arial"/>
                <w:sz w:val="16"/>
                <w:szCs w:val="16"/>
                <w:color w:val="auto"/>
              </w:rPr>
              <w:t>W</w:t>
            </w:r>
          </w:p>
        </w:tc>
        <w:tc>
          <w:tcPr>
            <w:tcW w:w="340" w:type="dxa"/>
            <w:vAlign w:val="bottom"/>
          </w:tcPr>
          <w:p>
            <w:pPr>
              <w:jc w:val="right"/>
              <w:spacing w:after="0"/>
              <w:rPr>
                <w:sz w:val="20"/>
                <w:szCs w:val="20"/>
                <w:color w:val="auto"/>
              </w:rPr>
            </w:pPr>
            <w:r>
              <w:rPr>
                <w:rFonts w:ascii="Arial" w:cs="Arial" w:eastAsia="Arial" w:hAnsi="Arial"/>
                <w:sz w:val="16"/>
                <w:szCs w:val="16"/>
                <w:color w:val="auto"/>
              </w:rPr>
              <w:t>W</w:t>
            </w:r>
          </w:p>
        </w:tc>
      </w:tr>
    </w:tbl>
    <w:p>
      <w:pPr>
        <w:spacing w:after="0" w:line="276" w:lineRule="exact"/>
        <w:rPr>
          <w:sz w:val="20"/>
          <w:szCs w:val="20"/>
          <w:color w:val="auto"/>
        </w:rPr>
      </w:pPr>
    </w:p>
    <w:p>
      <w:pPr>
        <w:ind w:left="220" w:right="4680" w:hanging="212"/>
        <w:spacing w:after="0" w:line="285" w:lineRule="auto"/>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F – Female; M – Male; A – Asian; B – Black or African American; H – Hispanic or Latinx; W – White. See also Nasdaq Board Diversity Matrix in </w:t>
      </w:r>
      <w:r>
        <w:rPr>
          <w:rFonts w:ascii="Arial" w:cs="Arial" w:eastAsia="Arial" w:hAnsi="Arial"/>
          <w:sz w:val="14"/>
          <w:szCs w:val="14"/>
          <w:u w:val="single" w:color="auto"/>
          <w:color w:val="auto"/>
        </w:rPr>
        <w:t>Appendix B</w:t>
      </w:r>
      <w:r>
        <w:rPr>
          <w:rFonts w:ascii="Arial" w:cs="Arial" w:eastAsia="Arial" w:hAnsi="Arial"/>
          <w:sz w:val="14"/>
          <w:szCs w:val="14"/>
          <w:color w:val="auto"/>
        </w:rPr>
        <w:t>.</w:t>
      </w:r>
    </w:p>
    <w:p>
      <w:pPr>
        <w:spacing w:after="0" w:line="158" w:lineRule="exact"/>
        <w:rPr>
          <w:sz w:val="20"/>
          <w:szCs w:val="20"/>
          <w:color w:val="auto"/>
        </w:rPr>
      </w:pPr>
    </w:p>
    <w:p>
      <w:pPr>
        <w:ind w:left="946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248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2486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Kenneth J. Bacon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Partner at RailField Partners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November 2002</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Governance and Corporate Responsibility</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OTHER CURRENT PUBLIC COMPANY DIRECTORSHIPS: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Ally Financial Inc., Arbor Realty Trust, Inc., Welltower Inc.</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FORMER PUBLIC COMPANY DIRECTORSHIPS: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Forest City Realty Trust</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hanging="244"/>
        <w:spacing w:after="0"/>
        <w:tabs>
          <w:tab w:leader="none" w:pos="360"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Partner, RailField Partners, a financial advisory and asset management firm, 2012 – Present</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Executive Vice President of the multifamily mortgage business, Fannie Mae, 2005 – 2012</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Interim Executive Vice President, Housing and Community Development, Fannie Mae, January 2005 – July 2005</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3"/>
        </w:numPr>
        <w:rPr>
          <w:rFonts w:ascii="Arial" w:cs="Arial" w:eastAsia="Arial" w:hAnsi="Arial"/>
          <w:sz w:val="16"/>
          <w:szCs w:val="16"/>
          <w:color w:val="00A1DF"/>
        </w:rPr>
      </w:pPr>
      <w:r>
        <w:rPr>
          <w:rFonts w:ascii="Arial" w:cs="Arial" w:eastAsia="Arial" w:hAnsi="Arial"/>
          <w:sz w:val="16"/>
          <w:szCs w:val="16"/>
          <w:color w:val="auto"/>
        </w:rPr>
        <w:t>Member, National Multifamily Housing Council</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spacing w:after="0" w:line="265" w:lineRule="auto"/>
        <w:rPr>
          <w:sz w:val="20"/>
          <w:szCs w:val="20"/>
          <w:color w:val="auto"/>
        </w:rPr>
      </w:pPr>
      <w:r>
        <w:rPr>
          <w:rFonts w:ascii="Arial" w:cs="Arial" w:eastAsia="Arial" w:hAnsi="Arial"/>
          <w:sz w:val="16"/>
          <w:szCs w:val="16"/>
          <w:color w:val="auto"/>
        </w:rPr>
        <w:t>We believe that Mr. Bacon’s significant experience in senior executive leadership, regulatory and government affairs, risk management and the financial and housing industries renders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3111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1115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Madeline S. Bell</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 of The Children’s Hospital of Philadelphia</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February 2016</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Governance and Corporate Responsibility</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right="560" w:hanging="244"/>
        <w:spacing w:after="0" w:line="246" w:lineRule="auto"/>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President and Chief Executive Officer, The Children’s Hospital of Philadelphia (“CHOP”), a top-ranked children’s health system and research institute with 23,000 employees and over $3.2 billion of annual revenue, 2015 – Present</w:t>
      </w:r>
    </w:p>
    <w:p>
      <w:pPr>
        <w:ind w:left="360" w:hanging="244"/>
        <w:spacing w:after="0"/>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Multiple Leadership Roles, including Chief Operating Officer, CHOP, 1995 – 2015</w:t>
      </w:r>
    </w:p>
    <w:p>
      <w:pPr>
        <w:spacing w:after="0" w:line="5" w:lineRule="exact"/>
        <w:rPr>
          <w:rFonts w:ascii="Arial" w:cs="Arial" w:eastAsia="Arial" w:hAnsi="Arial"/>
          <w:sz w:val="16"/>
          <w:szCs w:val="16"/>
          <w:color w:val="00A1DF"/>
        </w:rPr>
      </w:pPr>
    </w:p>
    <w:p>
      <w:pPr>
        <w:ind w:left="360" w:right="240" w:hanging="244"/>
        <w:spacing w:after="0" w:line="246" w:lineRule="auto"/>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Began career as a pediatric nurse in 1983, moved from a variety of different nursing roles into hospital administration in 1989 and holds a Master of Science in Organizational Dynamics from the University of Pennsylvania</w:t>
      </w:r>
    </w:p>
    <w:p>
      <w:pPr>
        <w:ind w:left="360" w:hanging="244"/>
        <w:spacing w:after="0"/>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Board Chair, Federal Reserve Bank of Philadelphia</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Board Member, Leonard Davis Institute of Health Economics</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Board Member, Solutions for Patient Safety</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Executive Committee Member, Greater Philadelphia Chamber of Commerce and Member, CEO Council for Growth</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00A1DF"/>
        </w:rPr>
        <w:t>QUALIFICATIONS:</w:t>
      </w:r>
    </w:p>
    <w:p>
      <w:pPr>
        <w:spacing w:after="0" w:line="21" w:lineRule="exact"/>
        <w:rPr>
          <w:sz w:val="20"/>
          <w:szCs w:val="20"/>
          <w:color w:val="auto"/>
        </w:rPr>
      </w:pPr>
    </w:p>
    <w:p>
      <w:pPr>
        <w:ind w:left="120" w:right="60"/>
        <w:spacing w:after="0" w:line="265" w:lineRule="auto"/>
        <w:rPr>
          <w:sz w:val="20"/>
          <w:szCs w:val="20"/>
          <w:color w:val="auto"/>
        </w:rPr>
      </w:pPr>
      <w:r>
        <w:rPr>
          <w:rFonts w:ascii="Arial" w:cs="Arial" w:eastAsia="Arial" w:hAnsi="Arial"/>
          <w:sz w:val="16"/>
          <w:szCs w:val="16"/>
          <w:color w:val="auto"/>
        </w:rPr>
        <w:t>We believe that Ms. Bell’s experience and leadership of CHOP, including her oversight of risk management efforts, and her experience in the non-profit community render her qualified to serve as one of our directors.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960"/>
          </w:cols>
          <w:pgMar w:left="320" w:top="130" w:right="6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191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191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Edward D. Breen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LEAD INDEPENDENT DIRECTOR</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 and Executive Chairman of DuPont de Nemours, Inc.</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February 2014</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Compensation and Human Capital</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OTHER CURRENT PUBLIC COMPANY DIRECTORSHIPS:</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DuPont de Nemours, Inc., International Flavors &amp; Fragrances, Inc.</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FORMER PUBLIC COMPANY DIRECTORSHIPS: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Corteva, Inc., DowDuPont Inc.</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right="580" w:hanging="244"/>
        <w:spacing w:after="0" w:line="246" w:lineRule="auto"/>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Chief Executive Officer (since 2020) and Executive Chairman (since 2019), DuPont de Nemours, Inc., a provider of technology-based materials, ingredients and solutions</w:t>
      </w: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Chief Executive Officer and Chairman, DowDuPont and predecessors, 2015 – 2019</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Chief Executive Officer, Tyco International Ltd., 2002 – 2012; Chairman until 2016</w:t>
      </w:r>
    </w:p>
    <w:p>
      <w:pPr>
        <w:spacing w:after="0" w:line="5" w:lineRule="exact"/>
        <w:rPr>
          <w:rFonts w:ascii="Arial" w:cs="Arial" w:eastAsia="Arial" w:hAnsi="Arial"/>
          <w:sz w:val="16"/>
          <w:szCs w:val="16"/>
          <w:color w:val="00A1DF"/>
        </w:rPr>
      </w:pPr>
    </w:p>
    <w:p>
      <w:pPr>
        <w:ind w:left="360" w:right="640" w:hanging="244"/>
        <w:spacing w:after="0" w:line="246" w:lineRule="auto"/>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Previous President and Chief Operating Officer, Motorola, and multiple leadership roles, Motorola’s Networks Sector and Motorola’s Broadband Communications Sector</w:t>
      </w: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Chairman, President and CEO, General Instrument Corporation, 1997 – 2000</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Previously a director of Comcast from 2005 – 2011</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Chair of the Board of Trustees, Grove City College</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Member of the Board of Trustees, Lebanon Valley College</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Member of the Board of Trustees, The Hun School of Princeton</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right="360"/>
        <w:spacing w:after="0" w:line="256" w:lineRule="auto"/>
        <w:rPr>
          <w:sz w:val="20"/>
          <w:szCs w:val="20"/>
          <w:color w:val="auto"/>
        </w:rPr>
      </w:pPr>
      <w:r>
        <w:rPr>
          <w:rFonts w:ascii="Arial" w:cs="Arial" w:eastAsia="Arial" w:hAnsi="Arial"/>
          <w:sz w:val="16"/>
          <w:szCs w:val="16"/>
          <w:color w:val="auto"/>
        </w:rPr>
        <w:t>We believe that Mr. Breen’s extensive experience in the technology, equipment supplier and consumer product sectors, notably as those sectors relate to the internet, video and wireless industries, including his various experiences as a president and chief executive officer and in the oversight of business strategies and risk management efforts, renders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368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36867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Gerald L. Hassell</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Chief Executive Officer of The Bank of New York Mellon</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May 2008</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Compensation and Human Capital</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OTHER CURRENT PUBLIC COMPANY DIRECTORSHIPS: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MetLife, Inc.</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FORMER PUBLIC COMPANY DIRECTORSHIPS: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Bank of New York Mellon</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hanging="244"/>
        <w:spacing w:after="0"/>
        <w:tabs>
          <w:tab w:leader="none" w:pos="360"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Chief Executive Officer and Chairman, The Bank of New York Mellon, a financial services corporation, 2011 – 2017</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President, The Bank of New York Company, Inc. and The Bank of New York, 1998 – 2011</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Member of the Board of Trustees, Duke University</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Member of the Board of Directors, Duke University Health System</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right="420"/>
        <w:spacing w:after="0" w:line="256" w:lineRule="auto"/>
        <w:rPr>
          <w:sz w:val="20"/>
          <w:szCs w:val="20"/>
          <w:color w:val="auto"/>
        </w:rPr>
      </w:pPr>
      <w:r>
        <w:rPr>
          <w:rFonts w:ascii="Arial" w:cs="Arial" w:eastAsia="Arial" w:hAnsi="Arial"/>
          <w:sz w:val="16"/>
          <w:szCs w:val="16"/>
          <w:color w:val="auto"/>
        </w:rPr>
        <w:t>We believe that Mr. Hassell’s significant experience and leadership in the financial industry, including with respect to consumer financial products, as well as his prior experience as a president and chief executive officer and in the oversight of risk management efforts, render him qualified to serve as one of our directors.</w:t>
      </w:r>
    </w:p>
    <w:p>
      <w:pPr>
        <w:spacing w:after="0" w:line="2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2854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854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Jeffrey A. Honickman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 of Pepsi-Cola &amp; National Brand Beverages, Ltd.</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December 2005</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and Governance and Corporate Responsibility</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right="500" w:hanging="244"/>
        <w:spacing w:after="0" w:line="246" w:lineRule="auto"/>
        <w:tabs>
          <w:tab w:leader="none" w:pos="360"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Chief Executive Officer, Pepsi-Cola &amp; National Brand Beverages, Ltd., a bottling and distribution company, which includes among its affiliates Pepsi-Cola Bottling Company of New York, Inc. and Canada Dry bottling companies from New Jersey to Virginia, 1990 – Present</w:t>
      </w:r>
    </w:p>
    <w:p>
      <w:pPr>
        <w:ind w:left="360" w:right="280" w:hanging="244"/>
        <w:spacing w:after="0" w:line="246" w:lineRule="auto"/>
        <w:tabs>
          <w:tab w:leader="none" w:pos="360"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Vice President and Secretary of Antonio Origlio Inc., a beverage distributor based in Philadelphia, Pennsylvania, which does business as Origlio Beverages, 1987 – Present</w:t>
      </w:r>
    </w:p>
    <w:p>
      <w:pPr>
        <w:ind w:left="360" w:hanging="244"/>
        <w:spacing w:after="0"/>
        <w:tabs>
          <w:tab w:leader="none" w:pos="360"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Member of the Board of Directors, American Beverage Association</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Member of Board of Trustees, Barnes Foundation</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Member of President’s Advisory Council, Sidney Kimmel Cancer Center, Jefferson Health</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right="620"/>
        <w:spacing w:after="0" w:line="265" w:lineRule="auto"/>
        <w:rPr>
          <w:sz w:val="20"/>
          <w:szCs w:val="20"/>
          <w:color w:val="auto"/>
        </w:rPr>
      </w:pPr>
      <w:r>
        <w:rPr>
          <w:rFonts w:ascii="Arial" w:cs="Arial" w:eastAsia="Arial" w:hAnsi="Arial"/>
          <w:sz w:val="16"/>
          <w:szCs w:val="16"/>
          <w:color w:val="auto"/>
        </w:rPr>
        <w:t>We believe that Mr. Honickman’s significant experience in the wholesale and consumer products industries, including his experience as a chief executive officer, renders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3282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28295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Maritza G. Montiel</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Deputy Chief Executive Officer and Vice Chairman of Deloitte LLP</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June 2018</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OTHER CURRENT PUBLIC COMPANY DIRECTORSHIPS:</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AptarGroup, Inc., McCormick &amp; Company, Incorporated, Royal Caribbean Group</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hanging="244"/>
        <w:spacing w:after="0"/>
        <w:tabs>
          <w:tab w:leader="none" w:pos="360"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Deputy Chief Executive Officer and Vice Chairman, Deloitte LLP, 2011 – 2014</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Numerous senior management roles at Deloitte, including:</w:t>
      </w:r>
    </w:p>
    <w:p>
      <w:pPr>
        <w:spacing w:after="0" w:line="5" w:lineRule="exact"/>
        <w:rPr>
          <w:rFonts w:ascii="Arial" w:cs="Arial" w:eastAsia="Arial" w:hAnsi="Arial"/>
          <w:sz w:val="16"/>
          <w:szCs w:val="16"/>
          <w:color w:val="00A1DF"/>
        </w:rPr>
      </w:pPr>
    </w:p>
    <w:p>
      <w:pPr>
        <w:ind w:left="600" w:hanging="241"/>
        <w:spacing w:after="0"/>
        <w:tabs>
          <w:tab w:leader="none" w:pos="600" w:val="left"/>
        </w:tabs>
        <w:numPr>
          <w:ilvl w:val="1"/>
          <w:numId w:val="18"/>
        </w:numPr>
        <w:rPr>
          <w:rFonts w:ascii="Arial" w:cs="Arial" w:eastAsia="Arial" w:hAnsi="Arial"/>
          <w:sz w:val="16"/>
          <w:szCs w:val="16"/>
          <w:color w:val="00A1DF"/>
        </w:rPr>
      </w:pPr>
      <w:r>
        <w:rPr>
          <w:rFonts w:ascii="Arial" w:cs="Arial" w:eastAsia="Arial" w:hAnsi="Arial"/>
          <w:sz w:val="16"/>
          <w:szCs w:val="16"/>
          <w:color w:val="auto"/>
        </w:rPr>
        <w:t>Managing Partner (Leadership Development and Succession, Deloitte University), 2009 – 2011</w:t>
      </w:r>
    </w:p>
    <w:p>
      <w:pPr>
        <w:spacing w:after="0" w:line="43" w:lineRule="exact"/>
        <w:rPr>
          <w:rFonts w:ascii="Arial" w:cs="Arial" w:eastAsia="Arial" w:hAnsi="Arial"/>
          <w:sz w:val="16"/>
          <w:szCs w:val="16"/>
          <w:color w:val="00A1DF"/>
        </w:rPr>
      </w:pPr>
    </w:p>
    <w:p>
      <w:pPr>
        <w:ind w:left="600" w:hanging="241"/>
        <w:spacing w:after="0"/>
        <w:tabs>
          <w:tab w:leader="none" w:pos="600" w:val="left"/>
        </w:tabs>
        <w:numPr>
          <w:ilvl w:val="1"/>
          <w:numId w:val="18"/>
        </w:numPr>
        <w:rPr>
          <w:rFonts w:ascii="Arial" w:cs="Arial" w:eastAsia="Arial" w:hAnsi="Arial"/>
          <w:sz w:val="16"/>
          <w:szCs w:val="16"/>
          <w:color w:val="00A1DF"/>
        </w:rPr>
      </w:pPr>
      <w:r>
        <w:rPr>
          <w:rFonts w:ascii="Arial" w:cs="Arial" w:eastAsia="Arial" w:hAnsi="Arial"/>
          <w:sz w:val="16"/>
          <w:szCs w:val="16"/>
          <w:color w:val="auto"/>
        </w:rPr>
        <w:t>Regional Managing Partner, 2001 – 2009</w:t>
      </w:r>
    </w:p>
    <w:p>
      <w:pPr>
        <w:spacing w:after="0" w:line="59" w:lineRule="exact"/>
        <w:rPr>
          <w:rFonts w:ascii="Arial" w:cs="Arial" w:eastAsia="Arial" w:hAnsi="Arial"/>
          <w:sz w:val="16"/>
          <w:szCs w:val="16"/>
          <w:color w:val="00A1DF"/>
        </w:rPr>
      </w:pPr>
    </w:p>
    <w:p>
      <w:pPr>
        <w:ind w:left="360" w:hanging="244"/>
        <w:spacing w:after="0"/>
        <w:tabs>
          <w:tab w:leader="none" w:pos="360"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Advisory Partner for many public company clients where Deloitte was the principal auditor</w:t>
      </w:r>
    </w:p>
    <w:p>
      <w:pPr>
        <w:spacing w:after="0" w:line="21" w:lineRule="exact"/>
        <w:rPr>
          <w:rFonts w:ascii="Arial" w:cs="Arial" w:eastAsia="Arial" w:hAnsi="Arial"/>
          <w:sz w:val="16"/>
          <w:szCs w:val="16"/>
          <w:color w:val="00A1DF"/>
        </w:rPr>
      </w:pPr>
    </w:p>
    <w:p>
      <w:pPr>
        <w:ind w:left="360" w:hanging="244"/>
        <w:spacing w:after="0"/>
        <w:tabs>
          <w:tab w:leader="none" w:pos="360"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Member of Deloitte’s U.S. and Global Board of Directors</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Member of the Board of Trustees, Baptist Health South Florida</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spacing w:after="0" w:line="265" w:lineRule="auto"/>
        <w:rPr>
          <w:sz w:val="20"/>
          <w:szCs w:val="20"/>
          <w:color w:val="auto"/>
        </w:rPr>
      </w:pPr>
      <w:r>
        <w:rPr>
          <w:rFonts w:ascii="Arial" w:cs="Arial" w:eastAsia="Arial" w:hAnsi="Arial"/>
          <w:sz w:val="16"/>
          <w:szCs w:val="16"/>
          <w:color w:val="auto"/>
        </w:rPr>
        <w:t>We believe that Ms. Montiel’s extensive experience and leadership in the accounting profession, including her experience as the former Deputy Chief Executive Officer and Vice Chairman of Deloitte and in the oversight of risk and compliance efforts, render her qualified to serve as one of our directors.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940"/>
          </w:cols>
          <w:pgMar w:left="320" w:top="130" w:right="6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2992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992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Asuka Nakahara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Partner at Triton Atlantic Partners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February 2017</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OTHER CURRENT PUBLIC COMPANY DIRECTORSHIPS: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CBRE Global Real Estate Income Fund</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hanging="244"/>
        <w:spacing w:after="0"/>
        <w:tabs>
          <w:tab w:leader="none" w:pos="360"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Partner, Triton Atlantic Partners, a real estate advisory firm and investment vehicle that he co-founded, 2009 – Present</w:t>
      </w:r>
    </w:p>
    <w:p>
      <w:pPr>
        <w:spacing w:after="0" w:line="5" w:lineRule="exact"/>
        <w:rPr>
          <w:rFonts w:ascii="Arial" w:cs="Arial" w:eastAsia="Arial" w:hAnsi="Arial"/>
          <w:sz w:val="16"/>
          <w:szCs w:val="16"/>
          <w:color w:val="00A1DF"/>
        </w:rPr>
      </w:pPr>
    </w:p>
    <w:p>
      <w:pPr>
        <w:ind w:left="360" w:right="1240" w:hanging="244"/>
        <w:spacing w:after="0" w:line="246" w:lineRule="auto"/>
        <w:tabs>
          <w:tab w:leader="none" w:pos="360"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Associate Director, Zell-Lurie Real Estate Center, and Practice Professor, Real Estate Department, Wharton School of the University of Pennsylvania, 1999 – Present</w:t>
      </w:r>
    </w:p>
    <w:p>
      <w:pPr>
        <w:ind w:left="360" w:right="360" w:hanging="244"/>
        <w:spacing w:after="0" w:line="265" w:lineRule="auto"/>
        <w:tabs>
          <w:tab w:leader="none" w:pos="360"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Trammell Crow Company, various leadership roles including Chief Financial Officer (overseeing finance, capital markets, mergers and acquisitions, marketing, Trammell Crow University, human resources and other new business initiatives), 1980 – 1999</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right="420"/>
        <w:spacing w:after="0" w:line="265" w:lineRule="auto"/>
        <w:rPr>
          <w:sz w:val="20"/>
          <w:szCs w:val="20"/>
          <w:color w:val="auto"/>
        </w:rPr>
      </w:pPr>
      <w:r>
        <w:rPr>
          <w:rFonts w:ascii="Arial" w:cs="Arial" w:eastAsia="Arial" w:hAnsi="Arial"/>
          <w:sz w:val="16"/>
          <w:szCs w:val="16"/>
          <w:color w:val="auto"/>
        </w:rPr>
        <w:t>We believe that Mr. Nakahara’s extensive knowledge of real estate and general advisory matters, including his leadership and academic experiences, as well as his prior experience as a chief financial officer,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2974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9743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David C. Novak</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INDEPENDENT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Founder of David Novak Leadership, Inc.</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December 2016</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Compensation and Human Capital</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right="840" w:hanging="244"/>
        <w:spacing w:after="0" w:line="246" w:lineRule="auto"/>
        <w:tabs>
          <w:tab w:leader="none" w:pos="360"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Founder of David Novak Leadership, Inc., which provides online leadership training to transform managers into confident, capable, engaging leaders, 2020 – Present</w:t>
      </w:r>
    </w:p>
    <w:p>
      <w:pPr>
        <w:ind w:left="360" w:hanging="244"/>
        <w:spacing w:after="0"/>
        <w:tabs>
          <w:tab w:leader="none" w:pos="360"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Executive Chairman of the Board, YUM! Brands, Inc., 2015 – 2016</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Chairman of the Board, YUM! Brands, Inc., 2001 – 2014</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Chief Executive Officer, YUM! Brands, Inc., 2000 – 2014</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Board Member, Lift-a-Life Novak Family Foundation</w:t>
      </w:r>
    </w:p>
    <w:p>
      <w:pPr>
        <w:spacing w:after="0" w:line="5" w:lineRule="exact"/>
        <w:rPr>
          <w:rFonts w:ascii="Arial" w:cs="Arial" w:eastAsia="Arial" w:hAnsi="Arial"/>
          <w:sz w:val="16"/>
          <w:szCs w:val="16"/>
          <w:color w:val="00A1DF"/>
        </w:rPr>
      </w:pPr>
    </w:p>
    <w:p>
      <w:pPr>
        <w:ind w:left="360" w:right="500" w:hanging="244"/>
        <w:spacing w:after="0" w:line="265" w:lineRule="auto"/>
        <w:tabs>
          <w:tab w:leader="none" w:pos="360"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 xml:space="preserve">Author of </w:t>
      </w:r>
      <w:r>
        <w:rPr>
          <w:rFonts w:ascii="Arial" w:cs="Arial" w:eastAsia="Arial" w:hAnsi="Arial"/>
          <w:sz w:val="16"/>
          <w:szCs w:val="16"/>
          <w:i w:val="1"/>
          <w:iCs w:val="1"/>
          <w:color w:val="auto"/>
        </w:rPr>
        <w:t>O GREAT ONE! A little Story About the Awesome Power of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Taking People With You: The Only Way to Achieve Big Things</w:t>
      </w:r>
      <w:r>
        <w:rPr>
          <w:rFonts w:ascii="Arial" w:cs="Arial" w:eastAsia="Arial" w:hAnsi="Arial"/>
          <w:sz w:val="16"/>
          <w:szCs w:val="16"/>
          <w:color w:val="auto"/>
        </w:rPr>
        <w:t xml:space="preserve"> and co-author of </w:t>
      </w:r>
      <w:r>
        <w:rPr>
          <w:rFonts w:ascii="Arial" w:cs="Arial" w:eastAsia="Arial" w:hAnsi="Arial"/>
          <w:sz w:val="16"/>
          <w:szCs w:val="16"/>
          <w:i w:val="1"/>
          <w:iCs w:val="1"/>
          <w:color w:val="auto"/>
        </w:rPr>
        <w:t>Take Charge of You</w:t>
      </w:r>
      <w:r>
        <w:rPr>
          <w:rFonts w:ascii="Arial" w:cs="Arial" w:eastAsia="Arial" w:hAnsi="Arial"/>
          <w:sz w:val="16"/>
          <w:szCs w:val="16"/>
          <w:color w:val="auto"/>
        </w:rPr>
        <w:t>, dedicated to developing leaders at every stage of life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right="940"/>
        <w:spacing w:after="0" w:line="265" w:lineRule="auto"/>
        <w:rPr>
          <w:sz w:val="20"/>
          <w:szCs w:val="20"/>
          <w:color w:val="auto"/>
        </w:rPr>
      </w:pPr>
      <w:r>
        <w:rPr>
          <w:rFonts w:ascii="Arial" w:cs="Arial" w:eastAsia="Arial" w:hAnsi="Arial"/>
          <w:sz w:val="16"/>
          <w:szCs w:val="16"/>
          <w:color w:val="auto"/>
        </w:rPr>
        <w:t>We believe that Mr. Novak’s extensive knowledge of customer service-oriented business practices and talent management, as well as his prior experience as a chief executive officer and chairman, render him qualified to serve as one of our directors.</w:t>
      </w:r>
    </w:p>
    <w:p>
      <w:pPr>
        <w:spacing w:after="0" w:line="2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2957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957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Brian L. Roberts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President and Chief Executive Officer of Comcast</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March 1988</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None</w:t>
      </w: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CAREER HIGHLIGHTS:</w:t>
      </w:r>
    </w:p>
    <w:p>
      <w:pPr>
        <w:spacing w:after="0" w:line="12" w:lineRule="exact"/>
        <w:rPr>
          <w:sz w:val="20"/>
          <w:szCs w:val="20"/>
          <w:color w:val="auto"/>
        </w:rPr>
      </w:pPr>
    </w:p>
    <w:p>
      <w:pPr>
        <w:ind w:left="360" w:hanging="244"/>
        <w:spacing w:after="0"/>
        <w:tabs>
          <w:tab w:leader="none" w:pos="36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Chairman of the Board, Comcast, 2004 – Present</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Chief Executive Officer, Comcast, 2002 – Present</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President, Comcast, 1990 – Present</w:t>
      </w:r>
    </w:p>
    <w:p>
      <w:pPr>
        <w:spacing w:after="0" w:line="5" w:lineRule="exact"/>
        <w:rPr>
          <w:rFonts w:ascii="Arial" w:cs="Arial" w:eastAsia="Arial" w:hAnsi="Arial"/>
          <w:sz w:val="16"/>
          <w:szCs w:val="16"/>
          <w:color w:val="00A1DF"/>
        </w:rPr>
      </w:pPr>
    </w:p>
    <w:p>
      <w:pPr>
        <w:ind w:left="360" w:hanging="244"/>
        <w:spacing w:after="0"/>
        <w:tabs>
          <w:tab w:leader="none" w:pos="360"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Director Emeritus, CableLabs, the cable industry’s research and development consortium</w:t>
      </w:r>
    </w:p>
    <w:p>
      <w:pPr>
        <w:spacing w:after="0" w:line="205"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auto"/>
        </w:rPr>
        <w:t>As of December 31, 2021, Mr. Roberts, through his ownership of our Class B common stock, had sole voting power over 33 1/3% of the combined voting power of our two classes of voting common stock.</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QUALIFICATIONS:</w:t>
      </w:r>
    </w:p>
    <w:p>
      <w:pPr>
        <w:spacing w:after="0" w:line="12" w:lineRule="exact"/>
        <w:rPr>
          <w:sz w:val="20"/>
          <w:szCs w:val="20"/>
          <w:color w:val="auto"/>
        </w:rPr>
      </w:pPr>
    </w:p>
    <w:p>
      <w:pPr>
        <w:ind w:left="120" w:right="400"/>
        <w:spacing w:after="0" w:line="256" w:lineRule="auto"/>
        <w:rPr>
          <w:sz w:val="20"/>
          <w:szCs w:val="20"/>
          <w:color w:val="auto"/>
        </w:rPr>
      </w:pPr>
      <w:r>
        <w:rPr>
          <w:rFonts w:ascii="Arial" w:cs="Arial" w:eastAsia="Arial" w:hAnsi="Arial"/>
          <w:sz w:val="16"/>
          <w:szCs w:val="16"/>
          <w:color w:val="auto"/>
        </w:rPr>
        <w:t>We believe that Mr. Roberts’ extensive experience and leadership in the internet, video, phone, media and entertainment and wireless industries, including as our Chairman, President and Chief Executive Officer and in the oversight of business strategies and risk management efforts, render him qualified to serve as one of our directors.</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auto"/>
        </w:rPr>
        <w:t>Independence Determinations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Our Board has determined that each of our nine nonemployee directors (including Ms. Bergman, who is not a nominee for director at our 2022 annual meeting) is independent in accordance with the director independence definition specified in our corporate governance guidelines, which are posted under “Corporate Governance” in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auto"/>
        </w:rPr>
        <w:t>, and in accordance with applicable Nasdaq rules. In making its independence determinations, our Board considered transactions and relationships between each director or any member of his or her immediate family and us, including those reported under “Related Party Transactions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and organizations at which certain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color w:val="auto"/>
        </w:rPr>
        <w:t>Retirement Age, Director Tenure and Director Emeritus Program</w:t>
      </w:r>
    </w:p>
    <w:p>
      <w:pPr>
        <w:spacing w:after="0" w:line="23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corporate governance guidelines require that our independent directors not stand for re-election to the Board after reaching the age of 72. We believe that our retirement policy and natural turnover achieve the appropriate balance between maintaining longer-term directors with deep institutional knowledge and refreshing the Board with new directors and different areas of expertise and knowledge, while including gender and racial and ethnic representation.</w:t>
      </w:r>
    </w:p>
    <w:p>
      <w:pPr>
        <w:spacing w:after="0" w:line="17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Our Board considers director tenure in connection with its independence determinations, even though neither our corporate governance guidelines nor Nasdaq or SEC rules deem a long-tenured director not independent. Following the annual meeting of shareholders, if all director nominees are elected to serve as our directors, the average tenure of our independent directors will be 10 years.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Board has created a director emeritus program to avail itself of the counsel of retiring directors who have made and can continue to make a unique contribution to the deliberations of the Board.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Sheldon M. Bonovitz was designated as a director emeritus following our 2020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Director Nominations</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color w:val="00A1DF"/>
        </w:rPr>
        <w:t>Identifying and Evaluating Director Nominees</w:t>
      </w:r>
    </w:p>
    <w:p>
      <w:pPr>
        <w:spacing w:after="0" w:line="23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Our Governance and Corporate Responsibility Committee will consider director candidates nominated or recommended by shareholders and will evaluate any such candidates in a similar manner as any other candidates. In identifying and evaluating candidates, whether recommended by the Committee or by shareholders, the Committee will consider an individual’s professional knowledge, business, financial and management expertise, industry knowledge, entrepreneurial background and experience, as well as applicable independence requirements. The Committee also gives significant consideration to the current composition and diversity of our Board, including with respect to the skills set forth above, as well as age, backgrounds, experiences, perspectives, viewpoints and gender and racial and ethnic representation.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00A1DF"/>
        </w:rPr>
        <w:t>Shareholder Nominees</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To submit a nomination for the election of directors, shareholders must provide a written notice in accordance with Section 3.10 of our by-laws. For the election of directors at the 2023 annual meeting of shareholders, if such meeting is called for a date between May 2, 2023 and July 1, 2023, we must receive written notice at the mailing address given on page 82 on or after February 1, 2023 and no later than March 3, 2023. If we call the 2023 annual meeting of shareholders for any other date, we must receive written notice no later than the close of business on the tenth day following the day we mailed notice of, or announced publicly, the date of the meeting, whichever occurs first. In addition to satisfying the deadlines in the advance notice provisions of our by-laws, a shareholder who intends to solicit proxies in support of nominees submitted under these advance notice provisions must provide the notice required under Rule 14a-19 no later than April 2, 2023.</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in accordance with Section 3.11 of our by-laws,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Written notice of proxy access director nominees for the election of directors at the 2023 annual meeting of shareholders, if such meeting is called for a date between May 2, 2023 and July 1, 2023, must be received at the mailing address given on page 82 on or after November 23, 2022 and no later than December 23, 2022. If such meeting is called for any other date, we must receive written notice no later than the close of business on the later of the date that is 180 days prior to such meeting or the tenth day following the date the meeting is first publicly announced or disclosed.</w:t>
      </w:r>
    </w:p>
    <w:p>
      <w:pPr>
        <w:spacing w:after="0" w:line="18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 xml:space="preserve">Shareholders can obtain a copy of our by-laws by writing to Thomas J. Reid, Secretary, Comcast Corporation, at the mailing address given on page 82. A copy of our by-laws is filed with the SEC as an exhibit to our Annual Report on Form 10-K for the year ended December 31, 2021 and is posted on our website under “Corporate Governance” in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00A1DF"/>
        </w:rPr>
        <w:t>.</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Board Structure and Responsibilities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Board Leadership Structure</w:t>
      </w:r>
    </w:p>
    <w:p>
      <w:pPr>
        <w:spacing w:after="0" w:line="23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Board believes that we and our shareholders are best served by maintaining the flexibility for the Board to split or combine the offices of Chairman and Chief Executive Officer based upon a contemporaneous determination of what is in the best interests of our company at a given point in time. To that end, our Board regularly reviews our Board leadership structure.</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Board believes that we and our shareholders are currently best served by having Mr. Roberts serve as both our Chairman and Chief Executive Officer. Mr. Roberts is a strong and effective leader, at both the company and Board levels, who provides critical leadership in carrying out our strategic initiatives and confronting our challenges. Mr. Roberts serves as an effective bridge between the Board and management, facilitating strong collaboration and encouraging open lines of communication with the Board.</w:t>
      </w:r>
    </w:p>
    <w:p>
      <w:pPr>
        <w:spacing w:after="0" w:line="17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independent directors are led by our Lead Independent Director, who ensures a strong, independent and active Board by promoting effective communication and consideration of matters presenting significant risks to the Company through his role in developing the Board’s meeting agendas, advising committee chairs and facilitating communications between independent directors and the Chairman and Chief Executive Officer. Our independent directors provide guidance and oversight of senior management and regularly meet without management as part of Board and committee meetings to review, among</w:t>
      </w:r>
    </w:p>
    <w:p>
      <w:pPr>
        <w:spacing w:after="0" w:line="1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other things, our strategy, performance, management effectiveness and succession planning. As part of our annual Board assessment process, our independent directors also provide input on key business and director educational topics for the following year’s Board and committee meeting agendas.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3086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0861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Edward D. Breen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A1DF"/>
        </w:rPr>
        <w:t>LEAD INDEPENDENT DIRECTOR</w:t>
      </w:r>
    </w:p>
    <w:p>
      <w:pPr>
        <w:spacing w:after="0" w:line="200" w:lineRule="exact"/>
        <w:rPr>
          <w:sz w:val="20"/>
          <w:szCs w:val="20"/>
          <w:color w:val="auto"/>
        </w:rPr>
      </w:pPr>
    </w:p>
    <w:p>
      <w:pPr>
        <w:spacing w:after="0" w:line="228"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In accordance with our corporate governance guidelines, our Board has a strong Lead Independent Director position, currently filled by Mr. Breen. The Lead Independent Director:</w:t>
      </w:r>
    </w:p>
    <w:p>
      <w:pPr>
        <w:sectPr>
          <w:pgSz w:w="11900" w:h="16838" w:orient="portrait"/>
          <w:cols w:equalWidth="0" w:num="1">
            <w:col w:w="11200"/>
          </w:cols>
          <w:pgMar w:left="320" w:top="130" w:right="379" w:bottom="1440" w:gutter="0" w:footer="0" w:header="0"/>
        </w:sectPr>
      </w:pPr>
    </w:p>
    <w:p>
      <w:pPr>
        <w:spacing w:after="0" w:line="156" w:lineRule="exact"/>
        <w:rPr>
          <w:sz w:val="20"/>
          <w:szCs w:val="20"/>
          <w:color w:val="auto"/>
        </w:rPr>
      </w:pPr>
    </w:p>
    <w:p>
      <w:pPr>
        <w:ind w:left="360" w:hanging="244"/>
        <w:spacing w:after="0"/>
        <w:tabs>
          <w:tab w:leader="none" w:pos="360"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Chairs meetings of the Board at which the Chairman is not present.</w:t>
      </w:r>
    </w:p>
    <w:p>
      <w:pPr>
        <w:spacing w:after="0" w:line="167" w:lineRule="exact"/>
        <w:rPr>
          <w:rFonts w:ascii="Arial" w:cs="Arial" w:eastAsia="Arial" w:hAnsi="Arial"/>
          <w:sz w:val="16"/>
          <w:szCs w:val="16"/>
          <w:color w:val="00A1DF"/>
        </w:rPr>
      </w:pPr>
    </w:p>
    <w:p>
      <w:pPr>
        <w:ind w:left="360" w:hanging="244"/>
        <w:spacing w:after="0" w:line="259" w:lineRule="auto"/>
        <w:tabs>
          <w:tab w:leader="none" w:pos="360"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Facilitates communication between the Chairman and the independent directors and encourages director participation by fostering an environment of open dialogue and constructive feedback among independent directors.</w:t>
      </w:r>
    </w:p>
    <w:p>
      <w:pPr>
        <w:spacing w:after="0" w:line="123" w:lineRule="exact"/>
        <w:rPr>
          <w:rFonts w:ascii="Arial" w:cs="Arial" w:eastAsia="Arial" w:hAnsi="Arial"/>
          <w:sz w:val="16"/>
          <w:szCs w:val="16"/>
          <w:color w:val="00A1DF"/>
        </w:rPr>
      </w:pPr>
    </w:p>
    <w:p>
      <w:pPr>
        <w:ind w:left="360" w:right="20" w:hanging="244"/>
        <w:spacing w:after="0" w:line="259" w:lineRule="auto"/>
        <w:tabs>
          <w:tab w:leader="none" w:pos="360"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Communicates periodically as necessary between Board meetings and executive sessions with our independent directors, following discussions with management and otherwise on topics of importance to our independent directors.</w:t>
      </w:r>
    </w:p>
    <w:p>
      <w:pPr>
        <w:spacing w:after="0" w:line="123" w:lineRule="exact"/>
        <w:rPr>
          <w:rFonts w:ascii="Arial" w:cs="Arial" w:eastAsia="Arial" w:hAnsi="Arial"/>
          <w:sz w:val="16"/>
          <w:szCs w:val="16"/>
          <w:color w:val="00A1DF"/>
        </w:rPr>
      </w:pPr>
    </w:p>
    <w:p>
      <w:pPr>
        <w:ind w:left="360" w:right="20" w:hanging="244"/>
        <w:spacing w:after="0" w:line="266" w:lineRule="auto"/>
        <w:tabs>
          <w:tab w:leader="none" w:pos="360"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Consults with our independent directors concerning the need for an executive session in connection with each regularly scheduled Board meeting.</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41" w:right="580" w:hanging="241"/>
        <w:spacing w:after="0" w:line="286" w:lineRule="auto"/>
        <w:tabs>
          <w:tab w:leader="none" w:pos="241"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Is authorized to schedule meetings of the independent directors, including executive sessions of the independent directors.</w:t>
      </w:r>
    </w:p>
    <w:p>
      <w:pPr>
        <w:spacing w:after="0" w:line="101" w:lineRule="exact"/>
        <w:rPr>
          <w:rFonts w:ascii="Arial" w:cs="Arial" w:eastAsia="Arial" w:hAnsi="Arial"/>
          <w:sz w:val="16"/>
          <w:szCs w:val="16"/>
          <w:color w:val="00A1DF"/>
        </w:rPr>
      </w:pPr>
    </w:p>
    <w:p>
      <w:pPr>
        <w:ind w:left="241" w:right="800" w:hanging="241"/>
        <w:spacing w:after="0" w:line="286" w:lineRule="auto"/>
        <w:tabs>
          <w:tab w:leader="none" w:pos="241"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Consults, reviews and has the opportunity to provide input on meeting agendas and meeting schedules for the Board.</w:t>
      </w:r>
    </w:p>
    <w:p>
      <w:pPr>
        <w:spacing w:after="0" w:line="101" w:lineRule="exact"/>
        <w:rPr>
          <w:rFonts w:ascii="Arial" w:cs="Arial" w:eastAsia="Arial" w:hAnsi="Arial"/>
          <w:sz w:val="16"/>
          <w:szCs w:val="16"/>
          <w:color w:val="00A1DF"/>
        </w:rPr>
      </w:pPr>
    </w:p>
    <w:p>
      <w:pPr>
        <w:ind w:left="241" w:right="440" w:hanging="241"/>
        <w:spacing w:after="0" w:line="266" w:lineRule="auto"/>
        <w:tabs>
          <w:tab w:leader="none" w:pos="241"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With the Compensation and Human Capital Committee, organizes the annual Board evaluation of the performance of our Chief Executive Officer and senior management.</w:t>
      </w:r>
    </w:p>
    <w:p>
      <w:pPr>
        <w:spacing w:after="0" w:line="117" w:lineRule="exact"/>
        <w:rPr>
          <w:rFonts w:ascii="Arial" w:cs="Arial" w:eastAsia="Arial" w:hAnsi="Arial"/>
          <w:sz w:val="16"/>
          <w:szCs w:val="16"/>
          <w:color w:val="00A1DF"/>
        </w:rPr>
      </w:pPr>
    </w:p>
    <w:p>
      <w:pPr>
        <w:ind w:left="241" w:right="280" w:hanging="241"/>
        <w:spacing w:after="0" w:line="266" w:lineRule="auto"/>
        <w:tabs>
          <w:tab w:leader="none" w:pos="241"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With the Governance and Corporate Responsibility Committee, reviews and approves the process for the annual self-assessment of our Board and its committees.</w:t>
      </w:r>
    </w:p>
    <w:p>
      <w:pPr>
        <w:spacing w:after="0" w:line="117" w:lineRule="exact"/>
        <w:rPr>
          <w:rFonts w:ascii="Arial" w:cs="Arial" w:eastAsia="Arial" w:hAnsi="Arial"/>
          <w:sz w:val="16"/>
          <w:szCs w:val="16"/>
          <w:color w:val="00A1DF"/>
        </w:rPr>
      </w:pPr>
    </w:p>
    <w:p>
      <w:pPr>
        <w:ind w:left="241" w:right="400" w:hanging="241"/>
        <w:spacing w:after="0" w:line="286" w:lineRule="auto"/>
        <w:tabs>
          <w:tab w:leader="none" w:pos="241"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Represents independent directors in communications with external constituencies, as appropriate.</w:t>
      </w:r>
    </w:p>
    <w:p>
      <w:pPr>
        <w:spacing w:after="0" w:line="200" w:lineRule="exact"/>
        <w:rPr>
          <w:sz w:val="20"/>
          <w:szCs w:val="20"/>
          <w:color w:val="auto"/>
        </w:rPr>
      </w:pPr>
    </w:p>
    <w:p>
      <w:pPr>
        <w:sectPr>
          <w:pgSz w:w="11900" w:h="16838" w:orient="portrait"/>
          <w:cols w:equalWidth="0" w:num="2">
            <w:col w:w="5320" w:space="459"/>
            <w:col w:w="5421"/>
          </w:cols>
          <w:pgMar w:left="320" w:top="130" w:right="379" w:bottom="1440" w:gutter="0" w:footer="0" w:header="0"/>
          <w:type w:val="continuous"/>
        </w:sectPr>
      </w:pP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role of Lead Independent Director is filled by an independent director recommended by the Governance and Corporate Responsibility Committee, which is composed entirely of independent directors, and appointed by the Board annually.</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addition to the Lead Independent Director position, our Board believes that Board independence and oversight of management are effectively maintained through the Board’s composition, where 89% of our director nominees are independent, and through our Audit, Compensation and Human Capital and Governance and Corporate Responsibility Committees, which are composed entirely of independent directors. Moreover, having one individual perform the roles of Chairman and Chief Executive Officer is not restricted or prohibited by current laws or regulations, and all of our directors, including our Chairman, are bound by fiduciary obligations under law to act in a manner that they believe to be in the best interests of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Board Meetings and Attendance</w:t>
      </w:r>
    </w:p>
    <w:p>
      <w:pPr>
        <w:spacing w:after="0" w:line="23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Our Board and various committees of the Board meet throughout the year. During 2021, there were five meetings of our Board and a total of 21 committee meetings. Each director attended more than 75% of the aggregate number of Board meetings and the number of meetings held by all of the committees on which he or she served.</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We require our directors to participate in the annual meeting of shareholders, barring unusual circumstances. Each director then in office participated in the 2021 annual meeting of shareholders.</w:t>
      </w:r>
    </w:p>
    <w:p>
      <w:pPr>
        <w:spacing w:after="0" w:line="156"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Our independent directors have the opportunity to meet separately in executive session following each regularly scheduled Board and committee meeting and, under our corporate governance guidelines, are required to meet in executive session at least two times each year. In 2021, executive sessions were held at each regularly scheduled Board meeting, and most regularly scheduled committee meetings.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Committees of Our Board</w:t>
      </w:r>
    </w:p>
    <w:p>
      <w:pPr>
        <w:spacing w:after="0" w:line="23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Board has three standing committees: Audit, Compensation and Human Capital, and Governance and Corporate Responsibility. All of these committees are composed entirely of independent directors under applicable Nasdaq and SEC requirements.</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Board makes committee and committee chair assignments annually at its meeting immediately preceding the annual meeting of shareholders, although further changes may be made from time to time as deemed appropriate by the Board.</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Each committee has a Board-approved charter, which is reviewed annually by the respective committee, with the Governance and Corporate Responsibility Committee annually reviewing all charters and our corporate governance guidelines. Each committee has the authority to retain independent advisors to assist it in carrying out its responsibilities. Committee charters are posted under “Corporate Governance” in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14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1DF"/>
        </w:rPr>
        <w:t>Audit Committee</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A1DF"/>
        </w:rPr>
        <w:t>Members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Jeffrey A. Honickman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Naomi G. Bergman*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Maritza G. Montiel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Asuka Nakahara</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A1DF"/>
        </w:rPr>
        <w:t xml:space="preserve">Meetings in 2021: </w:t>
      </w:r>
      <w:r>
        <w:rPr>
          <w:rFonts w:ascii="Arial" w:cs="Arial" w:eastAsia="Arial" w:hAnsi="Arial"/>
          <w:sz w:val="16"/>
          <w:szCs w:val="16"/>
          <w:b w:val="1"/>
          <w:bCs w:val="1"/>
          <w:color w:val="000000"/>
        </w:rPr>
        <w:t>10</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KEY RESPONSIBILITIES</w:t>
      </w:r>
    </w:p>
    <w:p>
      <w:pPr>
        <w:spacing w:after="0" w:line="12" w:lineRule="exact"/>
        <w:rPr>
          <w:sz w:val="20"/>
          <w:szCs w:val="20"/>
          <w:color w:val="auto"/>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Reviews the quality and integrity of our financial statements.</w:t>
      </w:r>
    </w:p>
    <w:p>
      <w:pPr>
        <w:spacing w:after="0" w:line="97" w:lineRule="exact"/>
        <w:rPr>
          <w:rFonts w:ascii="Arial" w:cs="Arial" w:eastAsia="Arial" w:hAnsi="Arial"/>
          <w:sz w:val="16"/>
          <w:szCs w:val="16"/>
          <w:color w:val="00A1DF"/>
        </w:rPr>
      </w:pPr>
    </w:p>
    <w:p>
      <w:pPr>
        <w:ind w:left="360" w:right="440" w:hanging="244"/>
        <w:spacing w:after="0" w:line="286" w:lineRule="auto"/>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Reviews the financial statements and “Management’s Discussion and Analysis of Financial Condition and Results of Operations” in our Forms 10-Q and 10-K and our quarterly earnings press releases.</w:t>
      </w:r>
    </w:p>
    <w:p>
      <w:pPr>
        <w:spacing w:after="0" w:line="47"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Monitors our internal control over financial reporting and disclosure controls and procedures.</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Reviews the performance and responsibilities of our internal audit function and activities.</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Appoints and evaluates the qualification, performance and independence of our independent auditors.</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Reviews financial risk assessment and management, cybersecurity and significant business continuity risks.</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Reviews process with respect to our ERM assessment.</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Reviews risks facing our company as disclosed in “Risk Factors” in our Form 10-K.</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Reports its discussions to the full Board for consideration and action when appropriate.</w:t>
      </w:r>
    </w:p>
    <w:p>
      <w:pPr>
        <w:spacing w:after="0" w:line="221"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Each member of our Audit Committee is financially literate for audit committee purposes, and our Board has concluded that Jeffrey A. Honickman and Maritza G. Montiel qualify as audit committee financial experts.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Audit Committee Report is included on page 59.</w:t>
      </w:r>
    </w:p>
    <w:p>
      <w:pPr>
        <w:spacing w:after="0" w:line="11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Ms. Bergman is not a nominee for director at our 2022 annual meeting.</w:t>
      </w: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891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8919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1DF"/>
        </w:rPr>
        <w:t>Compensation and Human Capital Committee</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A1DF"/>
        </w:rPr>
        <w:t>Members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Edward D. Breen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Gerald L. Hassell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David C. Novak</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A1DF"/>
        </w:rPr>
        <w:t xml:space="preserve">Meetings in 2021: </w:t>
      </w:r>
      <w:r>
        <w:rPr>
          <w:rFonts w:ascii="Arial" w:cs="Arial" w:eastAsia="Arial" w:hAnsi="Arial"/>
          <w:sz w:val="16"/>
          <w:szCs w:val="16"/>
          <w:b w:val="1"/>
          <w:bCs w:val="1"/>
          <w:color w:val="000000"/>
        </w:rPr>
        <w:t>6</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KEY RESPONSIBILITIES</w:t>
      </w:r>
    </w:p>
    <w:p>
      <w:pPr>
        <w:spacing w:after="0" w:line="12" w:lineRule="exact"/>
        <w:rPr>
          <w:sz w:val="20"/>
          <w:szCs w:val="20"/>
          <w:color w:val="auto"/>
        </w:rPr>
      </w:pPr>
    </w:p>
    <w:p>
      <w:pPr>
        <w:ind w:left="360" w:hanging="244"/>
        <w:spacing w:after="0"/>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Oversees and sets compensation for our senior executives.</w:t>
      </w:r>
    </w:p>
    <w:p>
      <w:pPr>
        <w:spacing w:after="0" w:line="97" w:lineRule="exact"/>
        <w:rPr>
          <w:rFonts w:ascii="Arial" w:cs="Arial" w:eastAsia="Arial" w:hAnsi="Arial"/>
          <w:sz w:val="16"/>
          <w:szCs w:val="16"/>
          <w:color w:val="00A1DF"/>
        </w:rPr>
      </w:pPr>
    </w:p>
    <w:p>
      <w:pPr>
        <w:ind w:left="360" w:right="500" w:hanging="244"/>
        <w:spacing w:after="0" w:line="286" w:lineRule="auto"/>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Performs an annual review of our compensation philosophy, executive compensation programs and the performance of senior executives, including our named executive officers (“NEOs”).</w:t>
      </w:r>
    </w:p>
    <w:p>
      <w:pPr>
        <w:spacing w:after="0" w:line="47" w:lineRule="exact"/>
        <w:rPr>
          <w:rFonts w:ascii="Arial" w:cs="Arial" w:eastAsia="Arial" w:hAnsi="Arial"/>
          <w:sz w:val="16"/>
          <w:szCs w:val="16"/>
          <w:color w:val="00A1DF"/>
        </w:rPr>
      </w:pPr>
    </w:p>
    <w:p>
      <w:pPr>
        <w:ind w:left="360" w:hanging="244"/>
        <w:spacing w:after="0"/>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Evaluates annually whether there are any risks associated with our executive compensation program.</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Oversees succession planning for senior management.</w:t>
      </w:r>
    </w:p>
    <w:p>
      <w:pPr>
        <w:spacing w:after="0" w:line="113" w:lineRule="exact"/>
        <w:rPr>
          <w:rFonts w:ascii="Arial" w:cs="Arial" w:eastAsia="Arial" w:hAnsi="Arial"/>
          <w:sz w:val="16"/>
          <w:szCs w:val="16"/>
          <w:color w:val="00A1DF"/>
        </w:rPr>
      </w:pPr>
    </w:p>
    <w:p>
      <w:pPr>
        <w:ind w:left="360" w:right="460" w:hanging="244"/>
        <w:spacing w:after="0" w:line="286" w:lineRule="auto"/>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Reviews compensation and benefit plans and policies generally, including with respect to compensation of our senior executives and other employees.</w:t>
      </w:r>
    </w:p>
    <w:p>
      <w:pPr>
        <w:spacing w:after="0" w:line="47" w:lineRule="exact"/>
        <w:rPr>
          <w:rFonts w:ascii="Arial" w:cs="Arial" w:eastAsia="Arial" w:hAnsi="Arial"/>
          <w:sz w:val="16"/>
          <w:szCs w:val="16"/>
          <w:color w:val="00A1DF"/>
        </w:rPr>
      </w:pPr>
    </w:p>
    <w:p>
      <w:pPr>
        <w:ind w:left="360" w:right="380" w:hanging="244"/>
        <w:spacing w:after="0" w:line="286" w:lineRule="auto"/>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Reviews programs and strategies with respect to human capital management, including with respect to talent recruitment, development and retention, employee engagement and workforce composition.</w:t>
      </w:r>
    </w:p>
    <w:p>
      <w:pPr>
        <w:spacing w:after="0" w:line="47" w:lineRule="exact"/>
        <w:rPr>
          <w:rFonts w:ascii="Arial" w:cs="Arial" w:eastAsia="Arial" w:hAnsi="Arial"/>
          <w:sz w:val="16"/>
          <w:szCs w:val="16"/>
          <w:color w:val="00A1DF"/>
        </w:rPr>
      </w:pPr>
    </w:p>
    <w:p>
      <w:pPr>
        <w:ind w:left="360" w:hanging="244"/>
        <w:spacing w:after="0"/>
        <w:tabs>
          <w:tab w:leader="none" w:pos="36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Reports its discussions to the full Board for consideration and action when appropriate.</w:t>
      </w:r>
    </w:p>
    <w:p>
      <w:pPr>
        <w:spacing w:after="0" w:line="221"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Each member of our Compensation and Human Capital Committee qualifies as a “non-employee director” under Rule 16b-3 under the Securities Exchange Act of 1934.</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Compensation and Human Capital Committee Report is included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1375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1DF"/>
        </w:rPr>
        <w:t>Governance and Corporate Responsibility Committee</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A1DF"/>
        </w:rPr>
        <w:t>Members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Kenneth J. Bacon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Madeline S. Bell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Jeffrey A. Honickman</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A1DF"/>
        </w:rPr>
        <w:t xml:space="preserve">Meetings in 2021: </w:t>
      </w:r>
      <w:r>
        <w:rPr>
          <w:rFonts w:ascii="Arial" w:cs="Arial" w:eastAsia="Arial" w:hAnsi="Arial"/>
          <w:sz w:val="16"/>
          <w:szCs w:val="16"/>
          <w:b w:val="1"/>
          <w:bCs w:val="1"/>
          <w:color w:val="000000"/>
        </w:rPr>
        <w:t>5</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4"/>
          <w:szCs w:val="14"/>
          <w:color w:val="00A1DF"/>
        </w:rPr>
        <w:t>KEY RESPONSIBILITIES</w:t>
      </w:r>
    </w:p>
    <w:p>
      <w:pPr>
        <w:spacing w:after="0" w:line="12" w:lineRule="exact"/>
        <w:rPr>
          <w:sz w:val="20"/>
          <w:szCs w:val="20"/>
          <w:color w:val="auto"/>
        </w:rPr>
      </w:pPr>
    </w:p>
    <w:p>
      <w:pPr>
        <w:ind w:left="360" w:hanging="244"/>
        <w:spacing w:after="0"/>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Provides general oversight of corporate governance.</w:t>
      </w:r>
    </w:p>
    <w:p>
      <w:pPr>
        <w:spacing w:after="0" w:line="97" w:lineRule="exact"/>
        <w:rPr>
          <w:rFonts w:ascii="Arial" w:cs="Arial" w:eastAsia="Arial" w:hAnsi="Arial"/>
          <w:sz w:val="16"/>
          <w:szCs w:val="16"/>
          <w:color w:val="00A1DF"/>
        </w:rPr>
      </w:pPr>
    </w:p>
    <w:p>
      <w:pPr>
        <w:ind w:left="360" w:hanging="244"/>
        <w:spacing w:after="0"/>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Oversees culture of compliance and ethical business conduct, including compliance program.</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Reviews significant legal and regulatory compliance risks, such as privacy.</w:t>
      </w:r>
    </w:p>
    <w:p>
      <w:pPr>
        <w:spacing w:after="0" w:line="113" w:lineRule="exact"/>
        <w:rPr>
          <w:rFonts w:ascii="Arial" w:cs="Arial" w:eastAsia="Arial" w:hAnsi="Arial"/>
          <w:sz w:val="16"/>
          <w:szCs w:val="16"/>
          <w:color w:val="00A1DF"/>
        </w:rPr>
      </w:pPr>
    </w:p>
    <w:p>
      <w:pPr>
        <w:ind w:left="360" w:hanging="244"/>
        <w:spacing w:after="0"/>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Oversees, monitors and receives reports on workplace harassment and discrimination matters.</w:t>
      </w:r>
    </w:p>
    <w:p>
      <w:pPr>
        <w:spacing w:after="0" w:line="113" w:lineRule="exact"/>
        <w:rPr>
          <w:rFonts w:ascii="Arial" w:cs="Arial" w:eastAsia="Arial" w:hAnsi="Arial"/>
          <w:sz w:val="16"/>
          <w:szCs w:val="16"/>
          <w:color w:val="00A1DF"/>
        </w:rPr>
      </w:pPr>
    </w:p>
    <w:p>
      <w:pPr>
        <w:ind w:left="360" w:right="200" w:hanging="244"/>
        <w:spacing w:after="0" w:line="286" w:lineRule="auto"/>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Reviews and assesses our corporate social responsibility report and significant environmental and social issues, risks and trends, including by receiving periodic reports on DE&amp;I initiatives and matters.</w:t>
      </w:r>
    </w:p>
    <w:p>
      <w:pPr>
        <w:spacing w:after="0" w:line="47" w:lineRule="exact"/>
        <w:rPr>
          <w:rFonts w:ascii="Arial" w:cs="Arial" w:eastAsia="Arial" w:hAnsi="Arial"/>
          <w:sz w:val="16"/>
          <w:szCs w:val="16"/>
          <w:color w:val="00A1DF"/>
        </w:rPr>
      </w:pPr>
    </w:p>
    <w:p>
      <w:pPr>
        <w:ind w:left="360" w:hanging="244"/>
        <w:spacing w:after="0" w:line="286" w:lineRule="auto"/>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Oversees our approach to political and lobbying activities, including by receiving periodic reports on our political contributions, lobbying and trade association activities.</w:t>
      </w:r>
    </w:p>
    <w:p>
      <w:pPr>
        <w:spacing w:after="0" w:line="47" w:lineRule="exact"/>
        <w:rPr>
          <w:rFonts w:ascii="Arial" w:cs="Arial" w:eastAsia="Arial" w:hAnsi="Arial"/>
          <w:sz w:val="16"/>
          <w:szCs w:val="16"/>
          <w:color w:val="00A1DF"/>
        </w:rPr>
      </w:pPr>
    </w:p>
    <w:p>
      <w:pPr>
        <w:ind w:left="360" w:hanging="244"/>
        <w:spacing w:after="0"/>
        <w:tabs>
          <w:tab w:leader="none" w:pos="360" w:val="left"/>
        </w:tabs>
        <w:numPr>
          <w:ilvl w:val="0"/>
          <w:numId w:val="27"/>
        </w:numPr>
        <w:rPr>
          <w:rFonts w:ascii="Arial" w:cs="Arial" w:eastAsia="Arial" w:hAnsi="Arial"/>
          <w:sz w:val="16"/>
          <w:szCs w:val="16"/>
          <w:color w:val="00A1DF"/>
        </w:rPr>
      </w:pPr>
      <w:r>
        <w:rPr>
          <w:rFonts w:ascii="Arial" w:cs="Arial" w:eastAsia="Arial" w:hAnsi="Arial"/>
          <w:sz w:val="16"/>
          <w:szCs w:val="16"/>
          <w:color w:val="auto"/>
        </w:rPr>
        <w:t>Reports its discussions to the full Board for consideration and action when appropriate.</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720"/>
          </w:cols>
          <w:pgMar w:left="320" w:top="130" w:right="85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ind w:right="140"/>
        <w:spacing w:after="0" w:line="285" w:lineRule="auto"/>
        <w:rPr>
          <w:sz w:val="20"/>
          <w:szCs w:val="20"/>
          <w:color w:val="auto"/>
        </w:rPr>
      </w:pPr>
      <w:r>
        <w:rPr>
          <w:rFonts w:ascii="Arial" w:cs="Arial" w:eastAsia="Arial" w:hAnsi="Arial"/>
          <w:sz w:val="25"/>
          <w:szCs w:val="25"/>
          <w:color w:val="auto"/>
        </w:rPr>
        <w:t>Board and Committee Strategy, Risk and Environmental, Social and Governance (“ESG”) Oversight Responsibilities</w:t>
      </w:r>
    </w:p>
    <w:p>
      <w:pPr>
        <w:spacing w:after="0" w:line="13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Board and its committees provide guidance to and oversight of management with respect to our business strategy throughout the year. Various elements of strategy are discussed at every Board meeting, and our management is charged with executing the business strategy and updating the Board on progress and execution throughout the year.</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While active risk management is primarily the responsibility of our management, our Board understands the significant risks facing our company, including those related to relevant ESG issues, and exercises, as a whole and through its committees, an appropriate degree of risk oversight. Our management, with involvement and input from our Board, performs a companywide enterprise risk management (“ERM”) assessment to identify key risks and to manage and mitigate the significant strategic, operational and legal risk areas for our company. Our executive management team has the overall responsibility for, and oversight of, this process, and an ERM steering committee composed of legal, financial and business executives manages the process, with one or more senior business executives then monitoring and managing each of the identified risks. Regular business presentations and discussions throughout the year at the Board or its committees highlight significant relevant risks and exposures, including those listed below as core enterprise risks identified through our ERM process.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Board and its committees exercise their respective roles in strategy, risk oversight and oversight of significant ESG matters in a variety of ways, as set forth below. Certain matters may be addressed by both the Board and its committees. Our Board oversees the core enterprise risks identified through our ERM process for Board-level oversight (either as a whole or as delegated to its committees), and each Board committee addresses the risks that fall within its area of responsibility. Each committee also reports its discussions to the full Board for consideration and action when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951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FFFFFF"/>
        </w:rPr>
        <w:t>Board of Directors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A1DF"/>
        </w:rPr>
        <w:t>Oversight of Core Enterprise Risks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256"/>
        </w:trPr>
        <w:tc>
          <w:tcPr>
            <w:tcW w:w="1400" w:type="dxa"/>
            <w:vAlign w:val="bottom"/>
            <w:tcBorders>
              <w:right w:val="single" w:sz="8" w:color="939598"/>
            </w:tcBorders>
          </w:tcPr>
          <w:p>
            <w:pPr>
              <w:jc w:val="center"/>
              <w:ind w:right="479"/>
              <w:spacing w:after="0"/>
              <w:rPr>
                <w:sz w:val="20"/>
                <w:szCs w:val="20"/>
                <w:color w:val="auto"/>
              </w:rPr>
            </w:pPr>
            <w:r>
              <w:rPr>
                <w:rFonts w:ascii="Arial" w:cs="Arial" w:eastAsia="Arial" w:hAnsi="Arial"/>
                <w:sz w:val="16"/>
                <w:szCs w:val="16"/>
                <w:color w:val="auto"/>
                <w:w w:val="99"/>
              </w:rPr>
              <w:t>Competitive</w:t>
            </w:r>
          </w:p>
        </w:tc>
        <w:tc>
          <w:tcPr>
            <w:tcW w:w="180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rPr>
              <w:t>Reputational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Succession</w:t>
            </w:r>
          </w:p>
        </w:tc>
        <w:tc>
          <w:tcPr>
            <w:tcW w:w="192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rPr>
              <w:t>Capital</w:t>
            </w:r>
          </w:p>
        </w:tc>
        <w:tc>
          <w:tcPr>
            <w:tcW w:w="178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rPr>
              <w:t>Cybersecurity &amp;</w:t>
            </w:r>
          </w:p>
        </w:tc>
        <w:tc>
          <w:tcPr>
            <w:tcW w:w="1320" w:type="dxa"/>
            <w:vAlign w:val="bottom"/>
          </w:tcPr>
          <w:p>
            <w:pPr>
              <w:jc w:val="center"/>
              <w:ind w:left="459"/>
              <w:spacing w:after="0"/>
              <w:rPr>
                <w:sz w:val="20"/>
                <w:szCs w:val="20"/>
                <w:color w:val="auto"/>
              </w:rPr>
            </w:pPr>
            <w:r>
              <w:rPr>
                <w:rFonts w:ascii="Arial" w:cs="Arial" w:eastAsia="Arial" w:hAnsi="Arial"/>
                <w:sz w:val="16"/>
                <w:szCs w:val="16"/>
                <w:color w:val="auto"/>
                <w:w w:val="99"/>
              </w:rPr>
              <w:t>Legal &amp;</w:t>
            </w:r>
          </w:p>
        </w:tc>
      </w:tr>
      <w:tr>
        <w:trPr>
          <w:trHeight w:val="215"/>
        </w:trPr>
        <w:tc>
          <w:tcPr>
            <w:tcW w:w="1400" w:type="dxa"/>
            <w:vAlign w:val="bottom"/>
            <w:tcBorders>
              <w:right w:val="single" w:sz="8" w:color="939598"/>
            </w:tcBorders>
          </w:tcPr>
          <w:p>
            <w:pPr>
              <w:jc w:val="center"/>
              <w:ind w:right="479"/>
              <w:spacing w:after="0"/>
              <w:rPr>
                <w:sz w:val="20"/>
                <w:szCs w:val="20"/>
                <w:color w:val="auto"/>
              </w:rPr>
            </w:pPr>
            <w:r>
              <w:rPr>
                <w:rFonts w:ascii="Arial" w:cs="Arial" w:eastAsia="Arial" w:hAnsi="Arial"/>
                <w:sz w:val="16"/>
                <w:szCs w:val="16"/>
                <w:color w:val="auto"/>
              </w:rPr>
              <w:t>Risks</w:t>
            </w:r>
          </w:p>
        </w:tc>
        <w:tc>
          <w:tcPr>
            <w:tcW w:w="180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rPr>
              <w:t>Risks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Planning</w:t>
            </w:r>
          </w:p>
        </w:tc>
        <w:tc>
          <w:tcPr>
            <w:tcW w:w="192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rPr>
              <w:t>Allocation</w:t>
            </w:r>
          </w:p>
        </w:tc>
        <w:tc>
          <w:tcPr>
            <w:tcW w:w="178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rPr>
              <w:t>Privacy</w:t>
            </w:r>
          </w:p>
        </w:tc>
        <w:tc>
          <w:tcPr>
            <w:tcW w:w="1320" w:type="dxa"/>
            <w:vAlign w:val="bottom"/>
          </w:tcPr>
          <w:p>
            <w:pPr>
              <w:jc w:val="center"/>
              <w:ind w:left="459"/>
              <w:spacing w:after="0"/>
              <w:rPr>
                <w:sz w:val="20"/>
                <w:szCs w:val="20"/>
                <w:color w:val="auto"/>
              </w:rPr>
            </w:pPr>
            <w:r>
              <w:rPr>
                <w:rFonts w:ascii="Arial" w:cs="Arial" w:eastAsia="Arial" w:hAnsi="Arial"/>
                <w:sz w:val="16"/>
                <w:szCs w:val="16"/>
                <w:color w:val="auto"/>
              </w:rPr>
              <w:t>Regulatory</w:t>
            </w:r>
          </w:p>
        </w:tc>
      </w:tr>
      <w:tr>
        <w:trPr>
          <w:trHeight w:val="70"/>
        </w:trPr>
        <w:tc>
          <w:tcPr>
            <w:tcW w:w="1400" w:type="dxa"/>
            <w:vAlign w:val="bottom"/>
            <w:tcBorders>
              <w:right w:val="single" w:sz="8" w:color="939598"/>
            </w:tcBorders>
          </w:tcPr>
          <w:p>
            <w:pPr>
              <w:spacing w:after="0"/>
              <w:rPr>
                <w:sz w:val="6"/>
                <w:szCs w:val="6"/>
                <w:color w:val="auto"/>
              </w:rPr>
            </w:pPr>
          </w:p>
        </w:tc>
        <w:tc>
          <w:tcPr>
            <w:tcW w:w="1800" w:type="dxa"/>
            <w:vAlign w:val="bottom"/>
            <w:tcBorders>
              <w:right w:val="single" w:sz="8" w:color="939598"/>
            </w:tcBorders>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920" w:type="dxa"/>
            <w:vAlign w:val="bottom"/>
            <w:tcBorders>
              <w:right w:val="single" w:sz="8" w:color="939598"/>
            </w:tcBorders>
          </w:tcPr>
          <w:p>
            <w:pPr>
              <w:spacing w:after="0"/>
              <w:rPr>
                <w:sz w:val="6"/>
                <w:szCs w:val="6"/>
                <w:color w:val="auto"/>
              </w:rPr>
            </w:pPr>
          </w:p>
        </w:tc>
        <w:tc>
          <w:tcPr>
            <w:tcW w:w="1780" w:type="dxa"/>
            <w:vAlign w:val="bottom"/>
            <w:tcBorders>
              <w:right w:val="single" w:sz="8" w:color="939598"/>
            </w:tcBorders>
          </w:tcPr>
          <w:p>
            <w:pPr>
              <w:spacing w:after="0"/>
              <w:rPr>
                <w:sz w:val="6"/>
                <w:szCs w:val="6"/>
                <w:color w:val="auto"/>
              </w:rPr>
            </w:pPr>
          </w:p>
        </w:tc>
        <w:tc>
          <w:tcPr>
            <w:tcW w:w="13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0575" cy="2769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276923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00A1DF"/>
        </w:rPr>
        <w:t>Audit</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00A1DF"/>
        </w:rPr>
        <w:t>Committee</w:t>
      </w:r>
    </w:p>
    <w:p>
      <w:pPr>
        <w:spacing w:after="0" w:line="212"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Oversight of ERM assessment process, as well as:</w:t>
      </w:r>
    </w:p>
    <w:p>
      <w:pPr>
        <w:spacing w:after="0" w:line="102" w:lineRule="exact"/>
        <w:rPr>
          <w:sz w:val="20"/>
          <w:szCs w:val="20"/>
          <w:color w:val="auto"/>
        </w:rPr>
      </w:pPr>
    </w:p>
    <w:p>
      <w:pPr>
        <w:ind w:left="420" w:hanging="268"/>
        <w:spacing w:after="0"/>
        <w:tabs>
          <w:tab w:leader="none" w:pos="420" w:val="left"/>
        </w:tabs>
        <w:numPr>
          <w:ilvl w:val="0"/>
          <w:numId w:val="28"/>
        </w:numPr>
        <w:rPr>
          <w:rFonts w:ascii="Arial" w:cs="Arial" w:eastAsia="Arial" w:hAnsi="Arial"/>
          <w:sz w:val="16"/>
          <w:szCs w:val="16"/>
          <w:color w:val="00A1DF"/>
        </w:rPr>
      </w:pPr>
      <w:r>
        <w:rPr>
          <w:rFonts w:ascii="Arial" w:cs="Arial" w:eastAsia="Arial" w:hAnsi="Arial"/>
          <w:sz w:val="16"/>
          <w:szCs w:val="16"/>
          <w:color w:val="auto"/>
        </w:rPr>
        <w:t>Financial reporting and accounting matters</w:t>
      </w:r>
    </w:p>
    <w:p>
      <w:pPr>
        <w:spacing w:after="0" w:line="180" w:lineRule="exact"/>
        <w:rPr>
          <w:rFonts w:ascii="Arial" w:cs="Arial" w:eastAsia="Arial" w:hAnsi="Arial"/>
          <w:sz w:val="16"/>
          <w:szCs w:val="16"/>
          <w:color w:val="00A1DF"/>
        </w:rPr>
      </w:pPr>
    </w:p>
    <w:p>
      <w:pPr>
        <w:ind w:left="420" w:hanging="268"/>
        <w:spacing w:after="0"/>
        <w:tabs>
          <w:tab w:leader="none" w:pos="420" w:val="left"/>
        </w:tabs>
        <w:numPr>
          <w:ilvl w:val="0"/>
          <w:numId w:val="28"/>
        </w:numPr>
        <w:rPr>
          <w:rFonts w:ascii="Arial" w:cs="Arial" w:eastAsia="Arial" w:hAnsi="Arial"/>
          <w:sz w:val="16"/>
          <w:szCs w:val="16"/>
          <w:color w:val="00A1DF"/>
        </w:rPr>
      </w:pPr>
      <w:r>
        <w:rPr>
          <w:rFonts w:ascii="Arial" w:cs="Arial" w:eastAsia="Arial" w:hAnsi="Arial"/>
          <w:sz w:val="16"/>
          <w:szCs w:val="16"/>
          <w:color w:val="auto"/>
        </w:rPr>
        <w:t>Internal controls</w:t>
      </w:r>
    </w:p>
    <w:p>
      <w:pPr>
        <w:spacing w:after="0" w:line="180" w:lineRule="exact"/>
        <w:rPr>
          <w:rFonts w:ascii="Arial" w:cs="Arial" w:eastAsia="Arial" w:hAnsi="Arial"/>
          <w:sz w:val="16"/>
          <w:szCs w:val="16"/>
          <w:color w:val="00A1DF"/>
        </w:rPr>
      </w:pPr>
    </w:p>
    <w:p>
      <w:pPr>
        <w:ind w:left="420" w:hanging="268"/>
        <w:spacing w:after="0"/>
        <w:tabs>
          <w:tab w:leader="none" w:pos="420" w:val="left"/>
        </w:tabs>
        <w:numPr>
          <w:ilvl w:val="0"/>
          <w:numId w:val="28"/>
        </w:numPr>
        <w:rPr>
          <w:rFonts w:ascii="Arial" w:cs="Arial" w:eastAsia="Arial" w:hAnsi="Arial"/>
          <w:sz w:val="16"/>
          <w:szCs w:val="16"/>
          <w:color w:val="00A1DF"/>
        </w:rPr>
      </w:pPr>
      <w:r>
        <w:rPr>
          <w:rFonts w:ascii="Arial" w:cs="Arial" w:eastAsia="Arial" w:hAnsi="Arial"/>
          <w:sz w:val="16"/>
          <w:szCs w:val="16"/>
          <w:color w:val="auto"/>
        </w:rPr>
        <w:t>Financial risks</w:t>
      </w:r>
    </w:p>
    <w:p>
      <w:pPr>
        <w:spacing w:after="0" w:line="167" w:lineRule="exact"/>
        <w:rPr>
          <w:rFonts w:ascii="Arial" w:cs="Arial" w:eastAsia="Arial" w:hAnsi="Arial"/>
          <w:sz w:val="16"/>
          <w:szCs w:val="16"/>
          <w:color w:val="00A1DF"/>
        </w:rPr>
      </w:pPr>
    </w:p>
    <w:p>
      <w:pPr>
        <w:ind w:left="420" w:hanging="268"/>
        <w:spacing w:after="0"/>
        <w:tabs>
          <w:tab w:leader="none" w:pos="420" w:val="left"/>
        </w:tabs>
        <w:numPr>
          <w:ilvl w:val="0"/>
          <w:numId w:val="28"/>
        </w:numPr>
        <w:rPr>
          <w:rFonts w:ascii="Arial" w:cs="Arial" w:eastAsia="Arial" w:hAnsi="Arial"/>
          <w:sz w:val="16"/>
          <w:szCs w:val="16"/>
          <w:color w:val="00A1DF"/>
        </w:rPr>
      </w:pPr>
      <w:r>
        <w:rPr>
          <w:rFonts w:ascii="Arial" w:cs="Arial" w:eastAsia="Arial" w:hAnsi="Arial"/>
          <w:sz w:val="16"/>
          <w:szCs w:val="16"/>
          <w:color w:val="auto"/>
        </w:rPr>
        <w:t>Cybersecurity and business continuity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259"/>
        <w:spacing w:after="0"/>
        <w:rPr>
          <w:sz w:val="20"/>
          <w:szCs w:val="20"/>
          <w:color w:val="auto"/>
        </w:rPr>
      </w:pPr>
      <w:r>
        <w:rPr>
          <w:rFonts w:ascii="Arial" w:cs="Arial" w:eastAsia="Arial" w:hAnsi="Arial"/>
          <w:sz w:val="18"/>
          <w:szCs w:val="18"/>
          <w:color w:val="00A1DF"/>
        </w:rPr>
        <w:t>Compensation &amp; Human</w:t>
      </w:r>
    </w:p>
    <w:p>
      <w:pPr>
        <w:spacing w:after="0" w:line="14" w:lineRule="exact"/>
        <w:rPr>
          <w:sz w:val="20"/>
          <w:szCs w:val="20"/>
          <w:color w:val="auto"/>
        </w:rPr>
      </w:pPr>
    </w:p>
    <w:p>
      <w:pPr>
        <w:jc w:val="center"/>
        <w:ind w:left="-259"/>
        <w:spacing w:after="0"/>
        <w:rPr>
          <w:sz w:val="20"/>
          <w:szCs w:val="20"/>
          <w:color w:val="auto"/>
        </w:rPr>
      </w:pPr>
      <w:r>
        <w:rPr>
          <w:rFonts w:ascii="Arial" w:cs="Arial" w:eastAsia="Arial" w:hAnsi="Arial"/>
          <w:sz w:val="18"/>
          <w:szCs w:val="18"/>
          <w:color w:val="00A1DF"/>
        </w:rPr>
        <w:t>Capital Committee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Oversight of:</w:t>
      </w:r>
    </w:p>
    <w:p>
      <w:pPr>
        <w:spacing w:after="0" w:line="167" w:lineRule="exact"/>
        <w:rPr>
          <w:sz w:val="20"/>
          <w:szCs w:val="20"/>
          <w:color w:val="auto"/>
        </w:rPr>
      </w:pPr>
    </w:p>
    <w:p>
      <w:pPr>
        <w:ind w:left="280" w:hanging="274"/>
        <w:spacing w:after="0"/>
        <w:tabs>
          <w:tab w:leader="none" w:pos="28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Executive compensation program</w:t>
      </w:r>
    </w:p>
    <w:p>
      <w:pPr>
        <w:spacing w:after="0" w:line="180" w:lineRule="exact"/>
        <w:rPr>
          <w:rFonts w:ascii="Arial" w:cs="Arial" w:eastAsia="Arial" w:hAnsi="Arial"/>
          <w:sz w:val="16"/>
          <w:szCs w:val="16"/>
          <w:color w:val="00A1DF"/>
        </w:rPr>
      </w:pPr>
    </w:p>
    <w:p>
      <w:pPr>
        <w:ind w:left="280" w:hanging="274"/>
        <w:spacing w:after="0"/>
        <w:tabs>
          <w:tab w:leader="none" w:pos="28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Nonemployee director compensation</w:t>
      </w:r>
    </w:p>
    <w:p>
      <w:pPr>
        <w:spacing w:after="0" w:line="180" w:lineRule="exact"/>
        <w:rPr>
          <w:rFonts w:ascii="Arial" w:cs="Arial" w:eastAsia="Arial" w:hAnsi="Arial"/>
          <w:sz w:val="16"/>
          <w:szCs w:val="16"/>
          <w:color w:val="00A1DF"/>
        </w:rPr>
      </w:pPr>
    </w:p>
    <w:p>
      <w:pPr>
        <w:ind w:left="280" w:hanging="274"/>
        <w:spacing w:after="0" w:line="259" w:lineRule="auto"/>
        <w:tabs>
          <w:tab w:leader="none" w:pos="288"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Human capital management, including talent recruitment, development and retention, employee engagement and workforce composition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00A1DF"/>
        </w:rPr>
        <w:t>Governance &amp; Corporate</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8"/>
          <w:szCs w:val="18"/>
          <w:color w:val="00A1DF"/>
        </w:rPr>
        <w:t>Responsibility Committee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Oversight of:</w:t>
      </w:r>
    </w:p>
    <w:p>
      <w:pPr>
        <w:spacing w:after="0" w:line="167" w:lineRule="exact"/>
        <w:rPr>
          <w:sz w:val="20"/>
          <w:szCs w:val="20"/>
          <w:color w:val="auto"/>
        </w:rPr>
      </w:pPr>
    </w:p>
    <w:p>
      <w:pPr>
        <w:ind w:left="280" w:hanging="275"/>
        <w:spacing w:after="0"/>
        <w:tabs>
          <w:tab w:leader="none" w:pos="280" w:val="left"/>
        </w:tabs>
        <w:numPr>
          <w:ilvl w:val="0"/>
          <w:numId w:val="30"/>
        </w:numPr>
        <w:rPr>
          <w:rFonts w:ascii="Arial" w:cs="Arial" w:eastAsia="Arial" w:hAnsi="Arial"/>
          <w:sz w:val="16"/>
          <w:szCs w:val="16"/>
          <w:color w:val="00A1DF"/>
        </w:rPr>
      </w:pPr>
      <w:r>
        <w:rPr>
          <w:rFonts w:ascii="Arial" w:cs="Arial" w:eastAsia="Arial" w:hAnsi="Arial"/>
          <w:sz w:val="16"/>
          <w:szCs w:val="16"/>
          <w:color w:val="auto"/>
        </w:rPr>
        <w:t>Corporate governance and compliance</w:t>
      </w:r>
    </w:p>
    <w:p>
      <w:pPr>
        <w:spacing w:after="0" w:line="180" w:lineRule="exact"/>
        <w:rPr>
          <w:rFonts w:ascii="Arial" w:cs="Arial" w:eastAsia="Arial" w:hAnsi="Arial"/>
          <w:sz w:val="16"/>
          <w:szCs w:val="16"/>
          <w:color w:val="00A1DF"/>
        </w:rPr>
      </w:pPr>
    </w:p>
    <w:p>
      <w:pPr>
        <w:ind w:left="280" w:right="480" w:hanging="275"/>
        <w:spacing w:after="0" w:line="286" w:lineRule="auto"/>
        <w:tabs>
          <w:tab w:leader="none" w:pos="288" w:val="left"/>
        </w:tabs>
        <w:numPr>
          <w:ilvl w:val="0"/>
          <w:numId w:val="30"/>
        </w:numPr>
        <w:rPr>
          <w:rFonts w:ascii="Arial" w:cs="Arial" w:eastAsia="Arial" w:hAnsi="Arial"/>
          <w:sz w:val="16"/>
          <w:szCs w:val="16"/>
          <w:color w:val="00A1DF"/>
        </w:rPr>
      </w:pPr>
      <w:r>
        <w:rPr>
          <w:rFonts w:ascii="Arial" w:cs="Arial" w:eastAsia="Arial" w:hAnsi="Arial"/>
          <w:sz w:val="16"/>
          <w:szCs w:val="16"/>
          <w:color w:val="auto"/>
        </w:rPr>
        <w:t>Legal and regulatory matters, including privacy</w:t>
      </w:r>
    </w:p>
    <w:p>
      <w:pPr>
        <w:spacing w:after="0" w:line="115" w:lineRule="exact"/>
        <w:rPr>
          <w:rFonts w:ascii="Arial" w:cs="Arial" w:eastAsia="Arial" w:hAnsi="Arial"/>
          <w:sz w:val="16"/>
          <w:szCs w:val="16"/>
          <w:color w:val="00A1DF"/>
        </w:rPr>
      </w:pPr>
    </w:p>
    <w:p>
      <w:pPr>
        <w:ind w:left="280" w:hanging="275"/>
        <w:spacing w:after="0"/>
        <w:tabs>
          <w:tab w:leader="none" w:pos="280" w:val="left"/>
        </w:tabs>
        <w:numPr>
          <w:ilvl w:val="0"/>
          <w:numId w:val="30"/>
        </w:numPr>
        <w:rPr>
          <w:rFonts w:ascii="Arial" w:cs="Arial" w:eastAsia="Arial" w:hAnsi="Arial"/>
          <w:sz w:val="16"/>
          <w:szCs w:val="16"/>
          <w:color w:val="00A1DF"/>
        </w:rPr>
      </w:pPr>
      <w:r>
        <w:rPr>
          <w:rFonts w:ascii="Arial" w:cs="Arial" w:eastAsia="Arial" w:hAnsi="Arial"/>
          <w:sz w:val="16"/>
          <w:szCs w:val="16"/>
          <w:color w:val="auto"/>
        </w:rPr>
        <w:t>Harassment and discrimination matters</w:t>
      </w:r>
    </w:p>
    <w:p>
      <w:pPr>
        <w:spacing w:after="0" w:line="167" w:lineRule="exact"/>
        <w:rPr>
          <w:rFonts w:ascii="Arial" w:cs="Arial" w:eastAsia="Arial" w:hAnsi="Arial"/>
          <w:sz w:val="16"/>
          <w:szCs w:val="16"/>
          <w:color w:val="00A1DF"/>
        </w:rPr>
      </w:pPr>
    </w:p>
    <w:p>
      <w:pPr>
        <w:ind w:left="280" w:hanging="275"/>
        <w:spacing w:after="0"/>
        <w:tabs>
          <w:tab w:leader="none" w:pos="280" w:val="left"/>
        </w:tabs>
        <w:numPr>
          <w:ilvl w:val="0"/>
          <w:numId w:val="30"/>
        </w:numPr>
        <w:rPr>
          <w:rFonts w:ascii="Arial" w:cs="Arial" w:eastAsia="Arial" w:hAnsi="Arial"/>
          <w:sz w:val="16"/>
          <w:szCs w:val="16"/>
          <w:color w:val="00A1DF"/>
        </w:rPr>
      </w:pPr>
      <w:r>
        <w:rPr>
          <w:rFonts w:ascii="Arial" w:cs="Arial" w:eastAsia="Arial" w:hAnsi="Arial"/>
          <w:sz w:val="16"/>
          <w:szCs w:val="16"/>
          <w:color w:val="auto"/>
        </w:rPr>
        <w:t>DE&amp;I matters</w:t>
      </w:r>
    </w:p>
    <w:p>
      <w:pPr>
        <w:spacing w:after="0" w:line="180" w:lineRule="exact"/>
        <w:rPr>
          <w:rFonts w:ascii="Arial" w:cs="Arial" w:eastAsia="Arial" w:hAnsi="Arial"/>
          <w:sz w:val="16"/>
          <w:szCs w:val="16"/>
          <w:color w:val="00A1DF"/>
        </w:rPr>
      </w:pPr>
    </w:p>
    <w:p>
      <w:pPr>
        <w:ind w:left="280" w:hanging="275"/>
        <w:spacing w:after="0"/>
        <w:tabs>
          <w:tab w:leader="none" w:pos="280" w:val="left"/>
        </w:tabs>
        <w:numPr>
          <w:ilvl w:val="0"/>
          <w:numId w:val="30"/>
        </w:numPr>
        <w:rPr>
          <w:rFonts w:ascii="Arial" w:cs="Arial" w:eastAsia="Arial" w:hAnsi="Arial"/>
          <w:sz w:val="16"/>
          <w:szCs w:val="16"/>
          <w:color w:val="00A1DF"/>
        </w:rPr>
      </w:pPr>
      <w:r>
        <w:rPr>
          <w:rFonts w:ascii="Arial" w:cs="Arial" w:eastAsia="Arial" w:hAnsi="Arial"/>
          <w:sz w:val="16"/>
          <w:szCs w:val="16"/>
          <w:color w:val="auto"/>
        </w:rPr>
        <w:t>Political and lobbying activities</w:t>
      </w:r>
    </w:p>
    <w:p>
      <w:pPr>
        <w:spacing w:after="0" w:line="180" w:lineRule="exact"/>
        <w:rPr>
          <w:rFonts w:ascii="Arial" w:cs="Arial" w:eastAsia="Arial" w:hAnsi="Arial"/>
          <w:sz w:val="16"/>
          <w:szCs w:val="16"/>
          <w:color w:val="00A1DF"/>
        </w:rPr>
      </w:pPr>
    </w:p>
    <w:p>
      <w:pPr>
        <w:ind w:left="280" w:right="340" w:hanging="275"/>
        <w:spacing w:after="0" w:line="266" w:lineRule="auto"/>
        <w:tabs>
          <w:tab w:leader="none" w:pos="288" w:val="left"/>
        </w:tabs>
        <w:numPr>
          <w:ilvl w:val="0"/>
          <w:numId w:val="30"/>
        </w:numPr>
        <w:rPr>
          <w:rFonts w:ascii="Arial" w:cs="Arial" w:eastAsia="Arial" w:hAnsi="Arial"/>
          <w:sz w:val="16"/>
          <w:szCs w:val="16"/>
          <w:color w:val="00A1DF"/>
        </w:rPr>
      </w:pPr>
      <w:r>
        <w:rPr>
          <w:rFonts w:ascii="Arial" w:cs="Arial" w:eastAsia="Arial" w:hAnsi="Arial"/>
          <w:sz w:val="16"/>
          <w:szCs w:val="16"/>
          <w:color w:val="auto"/>
        </w:rPr>
        <w:t>Annual corporate responsibility reporting, which includes significant environmental and social issues, risks and trends</w:t>
      </w:r>
    </w:p>
    <w:p>
      <w:pPr>
        <w:spacing w:after="0" w:line="200" w:lineRule="exact"/>
        <w:rPr>
          <w:sz w:val="20"/>
          <w:szCs w:val="20"/>
          <w:color w:val="auto"/>
        </w:rPr>
      </w:pPr>
    </w:p>
    <w:p>
      <w:pPr>
        <w:sectPr>
          <w:pgSz w:w="11900" w:h="16838" w:orient="portrait"/>
          <w:cols w:equalWidth="0" w:num="3">
            <w:col w:w="3540" w:space="440"/>
            <w:col w:w="3040" w:space="660"/>
            <w:col w:w="3560"/>
          </w:cols>
          <w:pgMar w:left="320" w:top="130" w:right="339" w:bottom="1440" w:gutter="0" w:footer="0" w:header="0"/>
          <w:type w:val="continuous"/>
        </w:sectPr>
      </w:pPr>
    </w:p>
    <w:p>
      <w:pPr>
        <w:spacing w:after="0" w:line="57" w:lineRule="exact"/>
        <w:rPr>
          <w:sz w:val="20"/>
          <w:szCs w:val="20"/>
          <w:color w:val="auto"/>
        </w:rPr>
      </w:pPr>
    </w:p>
    <w:p>
      <w:pPr>
        <w:ind w:left="946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Corporate Governance Practices, Policies and Processes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Highlights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more detail elsewhere in this proxy statement, below are highlights of our corporate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983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983230"/>
                    </a:xfrm>
                    <a:prstGeom prst="rect">
                      <a:avLst/>
                    </a:prstGeom>
                    <a:noFill/>
                  </pic:spPr>
                </pic:pic>
              </a:graphicData>
            </a:graphic>
          </wp:anchor>
        </w:drawing>
      </w:r>
    </w:p>
    <w:p>
      <w:pPr>
        <w:sectPr>
          <w:pgSz w:w="11900" w:h="16838" w:orient="portrait"/>
          <w:cols w:equalWidth="0" w:num="1">
            <w:col w:w="11000"/>
          </w:cols>
          <w:pgMar w:left="320" w:top="130" w:right="579" w:bottom="1440" w:gutter="0" w:footer="0" w:header="0"/>
        </w:sect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color w:val="00A1DF"/>
        </w:rPr>
        <w:t>Board Independence/Composition</w:t>
      </w:r>
    </w:p>
    <w:p>
      <w:pPr>
        <w:spacing w:after="0" w:line="178" w:lineRule="exact"/>
        <w:rPr>
          <w:sz w:val="20"/>
          <w:szCs w:val="20"/>
          <w:color w:val="auto"/>
        </w:rPr>
      </w:pPr>
    </w:p>
    <w:p>
      <w:pPr>
        <w:ind w:left="400" w:right="740" w:hanging="181"/>
        <w:spacing w:after="0" w:line="286" w:lineRule="auto"/>
        <w:tabs>
          <w:tab w:leader="none" w:pos="408"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Strong Lead Independent Director, with Defined Role and Responsibilities</w:t>
      </w:r>
    </w:p>
    <w:p>
      <w:pPr>
        <w:spacing w:after="0" w:line="101" w:lineRule="exact"/>
        <w:rPr>
          <w:rFonts w:ascii="Arial" w:cs="Arial" w:eastAsia="Arial" w:hAnsi="Arial"/>
          <w:sz w:val="16"/>
          <w:szCs w:val="16"/>
          <w:color w:val="00A1DF"/>
        </w:rPr>
      </w:pPr>
    </w:p>
    <w:p>
      <w:pPr>
        <w:ind w:left="400" w:hanging="181"/>
        <w:spacing w:after="0"/>
        <w:tabs>
          <w:tab w:leader="none" w:pos="40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89% of Director Nominees are Independent</w:t>
      </w:r>
    </w:p>
    <w:p>
      <w:pPr>
        <w:spacing w:after="0" w:line="167" w:lineRule="exact"/>
        <w:rPr>
          <w:rFonts w:ascii="Arial" w:cs="Arial" w:eastAsia="Arial" w:hAnsi="Arial"/>
          <w:sz w:val="16"/>
          <w:szCs w:val="16"/>
          <w:color w:val="00A1DF"/>
        </w:rPr>
      </w:pPr>
    </w:p>
    <w:p>
      <w:pPr>
        <w:ind w:left="400" w:hanging="181"/>
        <w:spacing w:after="0" w:line="286" w:lineRule="auto"/>
        <w:tabs>
          <w:tab w:leader="none" w:pos="408"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Director Tenure Considered in Annual Board Director Independence Determinations</w:t>
      </w:r>
    </w:p>
    <w:p>
      <w:pPr>
        <w:spacing w:after="0" w:line="101" w:lineRule="exact"/>
        <w:rPr>
          <w:rFonts w:ascii="Arial" w:cs="Arial" w:eastAsia="Arial" w:hAnsi="Arial"/>
          <w:sz w:val="16"/>
          <w:szCs w:val="16"/>
          <w:color w:val="00A1DF"/>
        </w:rPr>
      </w:pPr>
    </w:p>
    <w:p>
      <w:pPr>
        <w:ind w:left="400" w:hanging="181"/>
        <w:spacing w:after="0"/>
        <w:tabs>
          <w:tab w:leader="none" w:pos="40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All Members of Board Committees are Independent</w:t>
      </w:r>
    </w:p>
    <w:p>
      <w:pPr>
        <w:spacing w:after="0" w:line="167" w:lineRule="exact"/>
        <w:rPr>
          <w:rFonts w:ascii="Arial" w:cs="Arial" w:eastAsia="Arial" w:hAnsi="Arial"/>
          <w:sz w:val="16"/>
          <w:szCs w:val="16"/>
          <w:color w:val="00A1DF"/>
        </w:rPr>
      </w:pPr>
    </w:p>
    <w:p>
      <w:pPr>
        <w:ind w:left="400" w:right="80" w:hanging="181"/>
        <w:spacing w:after="0" w:line="286" w:lineRule="auto"/>
        <w:tabs>
          <w:tab w:leader="none" w:pos="408"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Opportunity for Executive Sessions at Every Board and Committee Meeting</w:t>
      </w:r>
    </w:p>
    <w:p>
      <w:pPr>
        <w:spacing w:after="0" w:line="101" w:lineRule="exact"/>
        <w:rPr>
          <w:rFonts w:ascii="Arial" w:cs="Arial" w:eastAsia="Arial" w:hAnsi="Arial"/>
          <w:sz w:val="16"/>
          <w:szCs w:val="16"/>
          <w:color w:val="00A1DF"/>
        </w:rPr>
      </w:pPr>
    </w:p>
    <w:p>
      <w:pPr>
        <w:ind w:left="400" w:hanging="181"/>
        <w:spacing w:after="0"/>
        <w:tabs>
          <w:tab w:leader="none" w:pos="40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44% of Director Nominees are Diverse by Gender or Race</w:t>
      </w:r>
    </w:p>
    <w:p>
      <w:pPr>
        <w:spacing w:after="0" w:line="167" w:lineRule="exact"/>
        <w:rPr>
          <w:rFonts w:ascii="Arial" w:cs="Arial" w:eastAsia="Arial" w:hAnsi="Arial"/>
          <w:sz w:val="16"/>
          <w:szCs w:val="16"/>
          <w:color w:val="00A1DF"/>
        </w:rPr>
      </w:pPr>
    </w:p>
    <w:p>
      <w:pPr>
        <w:ind w:left="580" w:hanging="181"/>
        <w:spacing w:after="0"/>
        <w:tabs>
          <w:tab w:leader="none" w:pos="580" w:val="left"/>
        </w:tabs>
        <w:numPr>
          <w:ilvl w:val="1"/>
          <w:numId w:val="31"/>
        </w:numPr>
        <w:rPr>
          <w:rFonts w:ascii="Arial" w:cs="Arial" w:eastAsia="Arial" w:hAnsi="Arial"/>
          <w:sz w:val="16"/>
          <w:szCs w:val="16"/>
          <w:color w:val="00A1DF"/>
        </w:rPr>
      </w:pPr>
      <w:r>
        <w:rPr>
          <w:rFonts w:ascii="Arial" w:cs="Arial" w:eastAsia="Arial" w:hAnsi="Arial"/>
          <w:sz w:val="16"/>
          <w:szCs w:val="16"/>
          <w:color w:val="auto"/>
        </w:rPr>
        <w:t>33% Racial/Ethnic Diversity</w:t>
      </w:r>
    </w:p>
    <w:p>
      <w:pPr>
        <w:spacing w:after="0" w:line="167" w:lineRule="exact"/>
        <w:rPr>
          <w:rFonts w:ascii="Arial" w:cs="Arial" w:eastAsia="Arial" w:hAnsi="Arial"/>
          <w:sz w:val="16"/>
          <w:szCs w:val="16"/>
          <w:color w:val="00A1DF"/>
        </w:rPr>
      </w:pPr>
    </w:p>
    <w:p>
      <w:pPr>
        <w:ind w:left="580" w:hanging="181"/>
        <w:spacing w:after="0"/>
        <w:tabs>
          <w:tab w:leader="none" w:pos="580" w:val="left"/>
        </w:tabs>
        <w:numPr>
          <w:ilvl w:val="1"/>
          <w:numId w:val="31"/>
        </w:numPr>
        <w:rPr>
          <w:rFonts w:ascii="Arial" w:cs="Arial" w:eastAsia="Arial" w:hAnsi="Arial"/>
          <w:sz w:val="16"/>
          <w:szCs w:val="16"/>
          <w:color w:val="00A1DF"/>
        </w:rPr>
      </w:pPr>
      <w:r>
        <w:rPr>
          <w:rFonts w:ascii="Arial" w:cs="Arial" w:eastAsia="Arial" w:hAnsi="Arial"/>
          <w:sz w:val="16"/>
          <w:szCs w:val="16"/>
          <w:color w:val="auto"/>
        </w:rPr>
        <w:t>22% Female</w:t>
      </w:r>
    </w:p>
    <w:p>
      <w:pPr>
        <w:spacing w:after="0" w:line="167" w:lineRule="exact"/>
        <w:rPr>
          <w:rFonts w:ascii="Arial" w:cs="Arial" w:eastAsia="Arial" w:hAnsi="Arial"/>
          <w:sz w:val="16"/>
          <w:szCs w:val="16"/>
          <w:color w:val="00A1DF"/>
        </w:rPr>
      </w:pPr>
    </w:p>
    <w:p>
      <w:pPr>
        <w:ind w:left="400" w:right="360" w:hanging="181"/>
        <w:spacing w:after="0" w:line="286" w:lineRule="auto"/>
        <w:tabs>
          <w:tab w:leader="none" w:pos="408"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Compensation and Human Capital Committee Directly Retains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3505835" cy="18688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05835" cy="1868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5"/>
        <w:spacing w:after="0"/>
        <w:rPr>
          <w:sz w:val="20"/>
          <w:szCs w:val="20"/>
          <w:color w:val="auto"/>
        </w:rPr>
      </w:pPr>
      <w:r>
        <w:rPr>
          <w:rFonts w:ascii="Arial" w:cs="Arial" w:eastAsia="Arial" w:hAnsi="Arial"/>
          <w:sz w:val="22"/>
          <w:szCs w:val="22"/>
          <w:color w:val="00A1DF"/>
        </w:rPr>
        <w:t>Corporate Governance</w:t>
      </w:r>
    </w:p>
    <w:p>
      <w:pPr>
        <w:spacing w:after="0" w:line="178" w:lineRule="exact"/>
        <w:rPr>
          <w:sz w:val="20"/>
          <w:szCs w:val="20"/>
          <w:color w:val="auto"/>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3 New Independent Directors within Past 6 Years</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Average Tenure of Independent Directors is 10 Years</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Mandatory Independent Director Retirement at 72</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Director “Overboarding” Policy</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Annual Board Assessment Process</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Robust Shareholder Engagement Program</w:t>
      </w:r>
    </w:p>
    <w:p>
      <w:pPr>
        <w:spacing w:after="0" w:line="167" w:lineRule="exact"/>
        <w:rPr>
          <w:rFonts w:ascii="Arial" w:cs="Arial" w:eastAsia="Arial" w:hAnsi="Arial"/>
          <w:sz w:val="16"/>
          <w:szCs w:val="16"/>
          <w:color w:val="00A1DF"/>
        </w:rPr>
      </w:pPr>
    </w:p>
    <w:p>
      <w:pPr>
        <w:ind w:left="365" w:right="180" w:hanging="185"/>
        <w:spacing w:after="0" w:line="286" w:lineRule="auto"/>
        <w:tabs>
          <w:tab w:leader="none" w:pos="372" w:val="left"/>
        </w:tabs>
        <w:numPr>
          <w:ilvl w:val="1"/>
          <w:numId w:val="32"/>
        </w:numPr>
        <w:rPr>
          <w:rFonts w:ascii="Arial" w:cs="Arial" w:eastAsia="Arial" w:hAnsi="Arial"/>
          <w:sz w:val="16"/>
          <w:szCs w:val="16"/>
          <w:color w:val="00A1DF"/>
        </w:rPr>
      </w:pPr>
      <w:r>
        <w:rPr>
          <w:rFonts w:ascii="Arial" w:cs="Arial" w:eastAsia="Arial" w:hAnsi="Arial"/>
          <w:sz w:val="16"/>
          <w:szCs w:val="16"/>
          <w:color w:val="auto"/>
        </w:rPr>
        <w:t>Met with over 40 investors owning over 50% of Class A common stock on Governance, Compensation and other ESG matters</w:t>
      </w:r>
    </w:p>
    <w:p>
      <w:pPr>
        <w:spacing w:after="0" w:line="101"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Annual Director Elections</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Proxy Access By-Law</w:t>
      </w:r>
    </w:p>
    <w:p>
      <w:pPr>
        <w:spacing w:after="0" w:line="167" w:lineRule="exact"/>
        <w:rPr>
          <w:rFonts w:ascii="Arial" w:cs="Arial" w:eastAsia="Arial" w:hAnsi="Arial"/>
          <w:sz w:val="16"/>
          <w:szCs w:val="16"/>
          <w:color w:val="00A1DF"/>
        </w:rPr>
      </w:pPr>
    </w:p>
    <w:p>
      <w:pPr>
        <w:ind w:left="185" w:hanging="185"/>
        <w:spacing w:after="0"/>
        <w:tabs>
          <w:tab w:leader="none" w:pos="185"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Recoupment (“Clawback”) Policy for Executive Compensation</w:t>
      </w:r>
    </w:p>
    <w:p>
      <w:pPr>
        <w:spacing w:after="0" w:line="167" w:lineRule="exact"/>
        <w:rPr>
          <w:rFonts w:ascii="Arial" w:cs="Arial" w:eastAsia="Arial" w:hAnsi="Arial"/>
          <w:sz w:val="16"/>
          <w:szCs w:val="16"/>
          <w:color w:val="00A1DF"/>
        </w:rPr>
      </w:pPr>
    </w:p>
    <w:p>
      <w:pPr>
        <w:ind w:left="185" w:right="20" w:hanging="185"/>
        <w:spacing w:after="0" w:line="286" w:lineRule="auto"/>
        <w:tabs>
          <w:tab w:leader="none" w:pos="192" w:val="left"/>
        </w:tabs>
        <w:numPr>
          <w:ilvl w:val="0"/>
          <w:numId w:val="32"/>
        </w:numPr>
        <w:rPr>
          <w:rFonts w:ascii="Arial" w:cs="Arial" w:eastAsia="Arial" w:hAnsi="Arial"/>
          <w:sz w:val="16"/>
          <w:szCs w:val="16"/>
          <w:color w:val="00A1DF"/>
        </w:rPr>
      </w:pPr>
      <w:r>
        <w:rPr>
          <w:rFonts w:ascii="Arial" w:cs="Arial" w:eastAsia="Arial" w:hAnsi="Arial"/>
          <w:sz w:val="16"/>
          <w:szCs w:val="16"/>
          <w:color w:val="auto"/>
        </w:rPr>
        <w:t>No Automatic Acceleration of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90805</wp:posOffset>
            </wp:positionV>
            <wp:extent cx="3488690" cy="18688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88690" cy="1868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575"/>
            <w:col w:w="5165"/>
          </w:cols>
          <w:pgMar w:left="320" w:top="130" w:right="579" w:bottom="1440" w:gutter="0" w:footer="0" w:header="0"/>
          <w:type w:val="continuous"/>
        </w:sectPr>
      </w:pP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00A1DF"/>
        </w:rPr>
        <w:t>Board Performance</w:t>
      </w:r>
    </w:p>
    <w:p>
      <w:pPr>
        <w:spacing w:after="0" w:line="178" w:lineRule="exact"/>
        <w:rPr>
          <w:sz w:val="20"/>
          <w:szCs w:val="20"/>
          <w:color w:val="auto"/>
        </w:rPr>
      </w:pPr>
    </w:p>
    <w:p>
      <w:pPr>
        <w:ind w:left="400" w:hanging="181"/>
        <w:spacing w:after="0"/>
        <w:tabs>
          <w:tab w:leader="none" w:pos="400"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Annual Board and Committee Evaluations</w:t>
      </w:r>
    </w:p>
    <w:p>
      <w:pPr>
        <w:spacing w:after="0" w:line="167" w:lineRule="exact"/>
        <w:rPr>
          <w:rFonts w:ascii="Arial" w:cs="Arial" w:eastAsia="Arial" w:hAnsi="Arial"/>
          <w:sz w:val="16"/>
          <w:szCs w:val="16"/>
          <w:color w:val="00A1DF"/>
        </w:rPr>
      </w:pPr>
    </w:p>
    <w:p>
      <w:pPr>
        <w:ind w:left="400" w:right="80" w:hanging="181"/>
        <w:spacing w:after="0" w:line="286" w:lineRule="auto"/>
        <w:tabs>
          <w:tab w:leader="none" w:pos="408"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Board/Committee Oversight of Strategy, Significant Company Risks and ESG Matters</w:t>
      </w:r>
    </w:p>
    <w:p>
      <w:pPr>
        <w:spacing w:after="0" w:line="101" w:lineRule="exact"/>
        <w:rPr>
          <w:rFonts w:ascii="Arial" w:cs="Arial" w:eastAsia="Arial" w:hAnsi="Arial"/>
          <w:sz w:val="16"/>
          <w:szCs w:val="16"/>
          <w:color w:val="00A1DF"/>
        </w:rPr>
      </w:pPr>
    </w:p>
    <w:p>
      <w:pPr>
        <w:ind w:left="400" w:right="120" w:hanging="181"/>
        <w:spacing w:after="0" w:line="286" w:lineRule="auto"/>
        <w:tabs>
          <w:tab w:leader="none" w:pos="408"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Annual Board and Compensation and Human Capital Committee Discussion of Succession Planning for CEO and Senior Executives</w:t>
      </w:r>
    </w:p>
    <w:p>
      <w:pPr>
        <w:spacing w:after="0" w:line="101" w:lineRule="exact"/>
        <w:rPr>
          <w:rFonts w:ascii="Arial" w:cs="Arial" w:eastAsia="Arial" w:hAnsi="Arial"/>
          <w:sz w:val="16"/>
          <w:szCs w:val="16"/>
          <w:color w:val="00A1DF"/>
        </w:rPr>
      </w:pPr>
    </w:p>
    <w:p>
      <w:pPr>
        <w:ind w:left="400" w:hanging="181"/>
        <w:spacing w:after="0" w:line="286" w:lineRule="auto"/>
        <w:tabs>
          <w:tab w:leader="none" w:pos="408" w:val="left"/>
        </w:tabs>
        <w:numPr>
          <w:ilvl w:val="0"/>
          <w:numId w:val="33"/>
        </w:numPr>
        <w:rPr>
          <w:rFonts w:ascii="Arial" w:cs="Arial" w:eastAsia="Arial" w:hAnsi="Arial"/>
          <w:sz w:val="16"/>
          <w:szCs w:val="16"/>
          <w:color w:val="00A1DF"/>
        </w:rPr>
      </w:pPr>
      <w:r>
        <w:rPr>
          <w:rFonts w:ascii="Arial" w:cs="Arial" w:eastAsia="Arial" w:hAnsi="Arial"/>
          <w:sz w:val="16"/>
          <w:szCs w:val="16"/>
          <w:color w:val="auto"/>
        </w:rPr>
        <w:t>Director Education on Key Company Topics and Issues, Including as Requested by Independent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5"/>
        <w:spacing w:after="0"/>
        <w:rPr>
          <w:sz w:val="20"/>
          <w:szCs w:val="20"/>
          <w:color w:val="auto"/>
        </w:rPr>
      </w:pPr>
      <w:r>
        <w:rPr>
          <w:rFonts w:ascii="Arial" w:cs="Arial" w:eastAsia="Arial" w:hAnsi="Arial"/>
          <w:sz w:val="22"/>
          <w:szCs w:val="22"/>
          <w:color w:val="00A1DF"/>
        </w:rPr>
        <w:t>Stock Ownership Requirements</w:t>
      </w:r>
    </w:p>
    <w:p>
      <w:pPr>
        <w:spacing w:after="0" w:line="178" w:lineRule="exact"/>
        <w:rPr>
          <w:sz w:val="20"/>
          <w:szCs w:val="20"/>
          <w:color w:val="auto"/>
        </w:rPr>
      </w:pPr>
    </w:p>
    <w:p>
      <w:pPr>
        <w:ind w:left="185" w:hanging="185"/>
        <w:spacing w:after="0" w:line="286" w:lineRule="auto"/>
        <w:tabs>
          <w:tab w:leader="none" w:pos="192"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NEOs and Nonemployee Directors Subject to and in Compliance with Robust Stock Ownership Requirements</w:t>
      </w:r>
    </w:p>
    <w:p>
      <w:pPr>
        <w:spacing w:after="0" w:line="101" w:lineRule="exact"/>
        <w:rPr>
          <w:rFonts w:ascii="Arial" w:cs="Arial" w:eastAsia="Arial" w:hAnsi="Arial"/>
          <w:sz w:val="16"/>
          <w:szCs w:val="16"/>
          <w:color w:val="00A1DF"/>
        </w:rPr>
      </w:pPr>
    </w:p>
    <w:p>
      <w:pPr>
        <w:ind w:left="365" w:hanging="185"/>
        <w:spacing w:after="0"/>
        <w:tabs>
          <w:tab w:leader="none" w:pos="365" w:val="left"/>
        </w:tabs>
        <w:numPr>
          <w:ilvl w:val="1"/>
          <w:numId w:val="34"/>
        </w:numPr>
        <w:rPr>
          <w:rFonts w:ascii="Arial" w:cs="Arial" w:eastAsia="Arial" w:hAnsi="Arial"/>
          <w:sz w:val="16"/>
          <w:szCs w:val="16"/>
          <w:color w:val="00A1DF"/>
        </w:rPr>
      </w:pPr>
      <w:r>
        <w:rPr>
          <w:rFonts w:ascii="Arial" w:cs="Arial" w:eastAsia="Arial" w:hAnsi="Arial"/>
          <w:sz w:val="16"/>
          <w:szCs w:val="16"/>
          <w:color w:val="auto"/>
        </w:rPr>
        <w:t>CEO = 10x Salary</w:t>
      </w:r>
    </w:p>
    <w:p>
      <w:pPr>
        <w:spacing w:after="0" w:line="167" w:lineRule="exact"/>
        <w:rPr>
          <w:rFonts w:ascii="Arial" w:cs="Arial" w:eastAsia="Arial" w:hAnsi="Arial"/>
          <w:sz w:val="16"/>
          <w:szCs w:val="16"/>
          <w:color w:val="00A1DF"/>
        </w:rPr>
      </w:pPr>
    </w:p>
    <w:p>
      <w:pPr>
        <w:ind w:left="365" w:hanging="185"/>
        <w:spacing w:after="0"/>
        <w:tabs>
          <w:tab w:leader="none" w:pos="365" w:val="left"/>
        </w:tabs>
        <w:numPr>
          <w:ilvl w:val="1"/>
          <w:numId w:val="34"/>
        </w:numPr>
        <w:rPr>
          <w:rFonts w:ascii="Arial" w:cs="Arial" w:eastAsia="Arial" w:hAnsi="Arial"/>
          <w:sz w:val="16"/>
          <w:szCs w:val="16"/>
          <w:color w:val="00A1DF"/>
        </w:rPr>
      </w:pPr>
      <w:r>
        <w:rPr>
          <w:rFonts w:ascii="Arial" w:cs="Arial" w:eastAsia="Arial" w:hAnsi="Arial"/>
          <w:sz w:val="16"/>
          <w:szCs w:val="16"/>
          <w:color w:val="auto"/>
        </w:rPr>
        <w:t>Other NEOs = 3x Salary</w:t>
      </w:r>
    </w:p>
    <w:p>
      <w:pPr>
        <w:spacing w:after="0" w:line="167" w:lineRule="exact"/>
        <w:rPr>
          <w:rFonts w:ascii="Arial" w:cs="Arial" w:eastAsia="Arial" w:hAnsi="Arial"/>
          <w:sz w:val="16"/>
          <w:szCs w:val="16"/>
          <w:color w:val="00A1DF"/>
        </w:rPr>
      </w:pPr>
    </w:p>
    <w:p>
      <w:pPr>
        <w:ind w:left="365" w:hanging="185"/>
        <w:spacing w:after="0"/>
        <w:tabs>
          <w:tab w:leader="none" w:pos="365" w:val="left"/>
        </w:tabs>
        <w:numPr>
          <w:ilvl w:val="1"/>
          <w:numId w:val="34"/>
        </w:numPr>
        <w:rPr>
          <w:rFonts w:ascii="Arial" w:cs="Arial" w:eastAsia="Arial" w:hAnsi="Arial"/>
          <w:sz w:val="16"/>
          <w:szCs w:val="16"/>
          <w:color w:val="00A1DF"/>
        </w:rPr>
      </w:pPr>
      <w:r>
        <w:rPr>
          <w:rFonts w:ascii="Arial" w:cs="Arial" w:eastAsia="Arial" w:hAnsi="Arial"/>
          <w:sz w:val="16"/>
          <w:szCs w:val="16"/>
          <w:color w:val="auto"/>
        </w:rPr>
        <w:t>Nonemployee Directors = 5x Annual Cash Retainer</w:t>
      </w:r>
    </w:p>
    <w:p>
      <w:pPr>
        <w:spacing w:after="0" w:line="167" w:lineRule="exact"/>
        <w:rPr>
          <w:rFonts w:ascii="Arial" w:cs="Arial" w:eastAsia="Arial" w:hAnsi="Arial"/>
          <w:sz w:val="16"/>
          <w:szCs w:val="16"/>
          <w:color w:val="00A1DF"/>
        </w:rPr>
      </w:pPr>
    </w:p>
    <w:p>
      <w:pPr>
        <w:ind w:left="185" w:right="220" w:hanging="185"/>
        <w:spacing w:after="0" w:line="286" w:lineRule="auto"/>
        <w:tabs>
          <w:tab w:leader="none" w:pos="192"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No Dividend Equivalents Paid on Unearned Restricted Stock Units (“RSUs”) or on Any Stock Options</w:t>
      </w:r>
    </w:p>
    <w:p>
      <w:pPr>
        <w:spacing w:after="0" w:line="101" w:lineRule="exact"/>
        <w:rPr>
          <w:rFonts w:ascii="Arial" w:cs="Arial" w:eastAsia="Arial" w:hAnsi="Arial"/>
          <w:sz w:val="16"/>
          <w:szCs w:val="16"/>
          <w:color w:val="00A1DF"/>
        </w:rPr>
      </w:pPr>
    </w:p>
    <w:p>
      <w:pPr>
        <w:ind w:left="185" w:hanging="185"/>
        <w:spacing w:after="0"/>
        <w:tabs>
          <w:tab w:leader="none" w:pos="185" w:val="left"/>
        </w:tabs>
        <w:numPr>
          <w:ilvl w:val="0"/>
          <w:numId w:val="34"/>
        </w:numPr>
        <w:rPr>
          <w:rFonts w:ascii="Arial" w:cs="Arial" w:eastAsia="Arial" w:hAnsi="Arial"/>
          <w:sz w:val="16"/>
          <w:szCs w:val="16"/>
          <w:color w:val="00A1DF"/>
        </w:rPr>
      </w:pPr>
      <w:r>
        <w:rPr>
          <w:rFonts w:ascii="Arial" w:cs="Arial" w:eastAsia="Arial" w:hAnsi="Arial"/>
          <w:sz w:val="16"/>
          <w:szCs w:val="16"/>
          <w:color w:val="auto"/>
        </w:rPr>
        <w:t>Prohibition on Hedging and Pledging Comcast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292735</wp:posOffset>
            </wp:positionV>
            <wp:extent cx="71532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5320" w:space="515"/>
            <w:col w:w="5165"/>
          </w:cols>
          <w:pgMar w:left="320" w:top="130" w:right="5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Succession Planning</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Ensuring that we have the appropriate senior management talent to successfully pursue our strategies is one of the Board’s primary responsibilities. To this end, the Board discusses succession planning for our CEO and the remainder of our senior executive management team in private sessions at most of its regularly scheduled meetings. To help fulfill the Board’s responsibility, our Compensation and Human Capital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Compensation and Human Capital Committee ensures that we have appropriate succession planning for the remainder of our senior executive management team, including our NEOs. Each year, our Board and Compensation and Human Capital Committee formally discuss succession planning for our senior executive management team and their respective direct reports.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Board and Committee Evaluations</w:t>
      </w:r>
    </w:p>
    <w:p>
      <w:pPr>
        <w:spacing w:after="0" w:line="23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Every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both quantitative-based responses and general comments. The Governance and Corporate Responsibility Committee reviews and approves the process and the questionnaires to be used, with outside counsel also reviewing the questionnaires. The results of the assessments are compiled anonymously and are reviewed and discussed with the Board and the Governance and Corporate Responsibility Committee (as it relates to both the Board and all committees), each committee (as it relates to such committee) and, as appropriate, any individual director. In addition to the formal evaluation process, directors provide feedback on the Board’s and its committees’ performance on an ongoing basis. The Governance and Corporate Responsibility Committee develops action plans for items that may require follow-up, and it also coordinates recommendations for key business and director educational topics for the following year’s Board and committee meeting agendas.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Guidelines and Code of Conduct</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Our Board has adopted corporate governance guidelines that address items such as the standards, qualifications and responsibilities of our directors and director candidates and corporate governance policies and standards applicable to us in general. We also have a code of conduct that applies to all of our employees, including our executive officers, and our directors. Both the guidelines and the code of conduct applicable to our executive officers and directors are posted under “Corporate Governance” in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auto"/>
        </w:rPr>
        <w:t>. We will disclose under “Corporate Governance” in the Investors section of our website any amendments to, or any waivers under, the code of conduct that are required to be disclosed by the rules of the SEC or Nasdaq.</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Shareholder Engagement</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an active, broad-based and year-round investor relations outreach program to solicit input and to communicate with shareholders on a variety of topics. In addition to our regular investor relations program that reviews our business and strategy with buy-side investors and securities analysts, we engage with investors on various corporate governance, compensation and other environmental and social (“E&amp;S”) topics. This dialogue provides an opportunity to discuss governance matters generally, including our directors’ skills and tenure, Board oversight roles and responsibilities, E&amp;S initiatives and executive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of our investor relations outreach program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4846955</wp:posOffset>
            </wp:positionV>
            <wp:extent cx="7132320" cy="386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Over past year, met with over 40 investors owning over 50% of Class A common stock on governance, compensation and E&amp;S matters.</w:t>
      </w:r>
    </w:p>
    <w:p>
      <w:pPr>
        <w:spacing w:after="0" w:line="27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on page 82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27875" cy="257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7875" cy="2575560"/>
                    </a:xfrm>
                    <a:prstGeom prst="rect">
                      <a:avLst/>
                    </a:prstGeom>
                    <a:noFill/>
                  </pic:spPr>
                </pic:pic>
              </a:graphicData>
            </a:graphic>
          </wp:anchor>
        </w:drawing>
      </w:r>
    </w:p>
    <w:p>
      <w:pPr>
        <w:spacing w:after="0" w:line="372"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2"/>
          <w:szCs w:val="22"/>
          <w:color w:val="00A1DF"/>
        </w:rPr>
        <w:t>Proposal 2:</w:t>
      </w:r>
      <w:r>
        <w:rPr>
          <w:sz w:val="20"/>
          <w:szCs w:val="20"/>
          <w:color w:val="auto"/>
        </w:rPr>
        <w:tab/>
      </w:r>
      <w:r>
        <w:rPr>
          <w:rFonts w:ascii="Arial" w:cs="Arial" w:eastAsia="Arial" w:hAnsi="Arial"/>
          <w:sz w:val="21"/>
          <w:szCs w:val="21"/>
          <w:color w:val="00A1DF"/>
        </w:rPr>
        <w:t>ADVISORY VOTE TO APPROVE EXECUTIVE COMPENSATION</w:t>
      </w:r>
    </w:p>
    <w:p>
      <w:pPr>
        <w:spacing w:after="0" w:line="178" w:lineRule="exact"/>
        <w:rPr>
          <w:sz w:val="20"/>
          <w:szCs w:val="20"/>
          <w:color w:val="auto"/>
        </w:rPr>
      </w:pPr>
    </w:p>
    <w:p>
      <w:pPr>
        <w:ind w:left="140" w:right="100"/>
        <w:spacing w:after="0" w:line="266" w:lineRule="auto"/>
        <w:rPr>
          <w:sz w:val="20"/>
          <w:szCs w:val="20"/>
          <w:color w:val="auto"/>
        </w:rPr>
      </w:pPr>
      <w:r>
        <w:rPr>
          <w:rFonts w:ascii="Arial" w:cs="Arial" w:eastAsia="Arial" w:hAnsi="Arial"/>
          <w:sz w:val="16"/>
          <w:szCs w:val="16"/>
          <w:color w:val="auto"/>
        </w:rPr>
        <w:t>The following proposal gives our shareholders the opportunity to cast a non-binding, advisory vote to approve the compensation of our NEOs. This vote is not intended to address any specific item of compensation, but rather the overall compensation of our NEOs and our compensation philosophy, policies and practices, as disclosed below.</w:t>
      </w:r>
    </w:p>
    <w:p>
      <w:pPr>
        <w:spacing w:after="0" w:line="117" w:lineRule="exact"/>
        <w:rPr>
          <w:sz w:val="20"/>
          <w:szCs w:val="20"/>
          <w:color w:val="auto"/>
        </w:rPr>
      </w:pPr>
    </w:p>
    <w:p>
      <w:pPr>
        <w:jc w:val="both"/>
        <w:ind w:left="140" w:right="160"/>
        <w:spacing w:after="0" w:line="266" w:lineRule="auto"/>
        <w:rPr>
          <w:sz w:val="20"/>
          <w:szCs w:val="20"/>
          <w:color w:val="auto"/>
        </w:rPr>
      </w:pPr>
      <w:r>
        <w:rPr>
          <w:rFonts w:ascii="Arial" w:cs="Arial" w:eastAsia="Arial" w:hAnsi="Arial"/>
          <w:sz w:val="16"/>
          <w:szCs w:val="16"/>
          <w:color w:val="auto"/>
        </w:rPr>
        <w:t>We encourage shareholders to review detailed information on our executive compensation program and the 2021 compensation of our NEOs as set forth in “Executive Compensation — Compensation Discussion and Analysis,” starting below. Shareholders are being asked to vote “FOR” the adoption of the following resolution:</w:t>
      </w:r>
    </w:p>
    <w:p>
      <w:pPr>
        <w:spacing w:after="0" w:line="117" w:lineRule="exact"/>
        <w:rPr>
          <w:sz w:val="20"/>
          <w:szCs w:val="20"/>
          <w:color w:val="auto"/>
        </w:rPr>
      </w:pPr>
    </w:p>
    <w:p>
      <w:pPr>
        <w:jc w:val="both"/>
        <w:ind w:left="140" w:right="160"/>
        <w:spacing w:after="0" w:line="296" w:lineRule="auto"/>
        <w:rPr>
          <w:sz w:val="20"/>
          <w:szCs w:val="20"/>
          <w:color w:val="auto"/>
        </w:rPr>
      </w:pPr>
      <w:r>
        <w:rPr>
          <w:rFonts w:ascii="Arial" w:cs="Arial" w:eastAsia="Arial" w:hAnsi="Arial"/>
          <w:sz w:val="16"/>
          <w:szCs w:val="16"/>
          <w:b w:val="1"/>
          <w:bCs w:val="1"/>
          <w:color w:val="auto"/>
        </w:rPr>
        <w:t>“RESOLVED, that the compensation paid to Comcast Corporation’s named executive officers, as disclosed pursuant to Item 402 of Regulation S-K, including the Compensation Discussion and Analysis, compensation tables and narrative discussion, is hereby APPROVED.”</w:t>
      </w:r>
    </w:p>
    <w:p>
      <w:pPr>
        <w:spacing w:after="0" w:line="86" w:lineRule="exact"/>
        <w:rPr>
          <w:sz w:val="20"/>
          <w:szCs w:val="20"/>
          <w:color w:val="auto"/>
        </w:rPr>
      </w:pPr>
    </w:p>
    <w:p>
      <w:pPr>
        <w:ind w:left="140" w:right="300"/>
        <w:spacing w:after="0" w:line="259" w:lineRule="auto"/>
        <w:rPr>
          <w:sz w:val="20"/>
          <w:szCs w:val="20"/>
          <w:color w:val="auto"/>
        </w:rPr>
      </w:pPr>
      <w:r>
        <w:rPr>
          <w:rFonts w:ascii="Arial" w:cs="Arial" w:eastAsia="Arial" w:hAnsi="Arial"/>
          <w:sz w:val="16"/>
          <w:szCs w:val="16"/>
          <w:color w:val="auto"/>
        </w:rPr>
        <w:t>While we intend to carefully consider the voting results of this proposal, this vote is advisory in nature, and, therefore, is not binding on us or our Board. Our Board and Compensation and Human Capital Committee value the opinions of all of our shareholders and will consider the outcome of this vote when making future compensation decisions for our NEOs. We currently conduct advisory votes to approve the compensation paid to our NEOs on an annual basis.</w:t>
      </w:r>
    </w:p>
    <w:p>
      <w:pPr>
        <w:spacing w:after="0" w:line="90" w:lineRule="exact"/>
        <w:rPr>
          <w:sz w:val="20"/>
          <w:szCs w:val="20"/>
          <w:color w:val="auto"/>
        </w:rPr>
      </w:pPr>
    </w:p>
    <w:p>
      <w:pPr>
        <w:ind w:left="80"/>
        <w:spacing w:after="0"/>
        <w:rPr>
          <w:sz w:val="20"/>
          <w:szCs w:val="20"/>
          <w:color w:val="auto"/>
        </w:rPr>
      </w:pPr>
      <w:r>
        <w:rPr>
          <w:sz w:val="1"/>
          <w:szCs w:val="1"/>
          <w:color w:val="auto"/>
        </w:rPr>
        <w:drawing>
          <wp:inline distT="0" distB="0" distL="0" distR="0">
            <wp:extent cx="342900" cy="24003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Our Board unanimously recommends that shareholders vote “</w:t>
      </w:r>
      <w:r>
        <w:rPr>
          <w:rFonts w:ascii="Arial" w:cs="Arial" w:eastAsia="Arial" w:hAnsi="Arial"/>
          <w:sz w:val="16"/>
          <w:szCs w:val="16"/>
          <w:b w:val="1"/>
          <w:bCs w:val="1"/>
          <w:color w:val="00A1DF"/>
        </w:rPr>
        <w:t>FOR</w:t>
      </w:r>
      <w:r>
        <w:rPr>
          <w:rFonts w:ascii="Arial" w:cs="Arial" w:eastAsia="Arial" w:hAnsi="Arial"/>
          <w:sz w:val="16"/>
          <w:szCs w:val="16"/>
          <w:b w:val="1"/>
          <w:bCs w:val="1"/>
          <w:color w:val="auto"/>
        </w:rPr>
        <w:t>” approval of the compensation of our named executive officers.</w:t>
      </w:r>
    </w:p>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Compensation Discussion and Analysis</w:t>
      </w:r>
    </w:p>
    <w:p>
      <w:pPr>
        <w:spacing w:after="0" w:line="24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This discussion and analysis describes our executive compensation philosophy, process, plans and practices and gives the context for understanding and evaluating more specific compensation information in the tables and related disclosures that follow.</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auto"/>
        </w:rPr>
        <w:t>Executive Overview</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color w:val="00A1DF"/>
        </w:rPr>
        <w:t>Overall Performance</w:t>
      </w:r>
    </w:p>
    <w:p>
      <w:pPr>
        <w:spacing w:after="0" w:line="23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Mr. Roberts and our senior leadership team have successfully led our company over the past two years as the world continued to navigate ongoing challenges from the pandemic, achieving strong operating and financial results and underscoring the strength and resilience of our business. In the face of unique and ongoing challenges posed by the pandemic, we pivoted quickly, executed well and came together globally to support employees, customers, guests and communities.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relentless focus on innovation and execution, balanced with financial discipline, enabled us in 2021 to deliver strong performance across our businesses and invest for the future, while increasing our return of capital to shareholders. As described above in “About Comcast—2021 Performance Overview,” our 2021 consolidated operating and financial results were strong, with contributions from across our company, underscoring our business resilience, strategic decision-making and capital allocation priorities, all driven with a view toward growth and creating long-term value. The strength of our company’s balance sheet both supported our business priorities and investments and enabled us to return more capital to shareholders sooner than anticipated as our debt leverage ratios returned to target levels following the Sky acquisition over three years ago.</w:t>
      </w:r>
    </w:p>
    <w:p>
      <w:pPr>
        <w:spacing w:after="0" w:line="12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Comcast Cable continued its strong financial and operating performance in 2021. The significant investments we have made in our technology and network over the years to stay ahead of demand and to maintain speed and reliability continued to differentiate our broadband experience, leading to 1.3 million net new broadband customers in 2021 and bringing total broadband subscribers to 31.9 million at year end.</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impact of the global pandemic continued to have some negative impacts on NBCUniversal and Sky, yet their leadership teams led strong recoveries, posting results that surpassed our expectations leading into 2021. At NBCUniversal, our theme parks performed exceptionally well, reopening safely with strong attendance and financial results, while also adding new attractions and opening Universal Beijing Resort. Peacock, our streaming service that launched in mid-2020, showed significant growth in monthly active accounts and revenue relative to 2020. In 2021, programming and production levels normalized at both NBCUniversal and Sky, and we continue to monetize our intellectual property through creative new options for content licensing windows and distribution.</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Mr. Roberts and our senior leadership team executed exceptionally well, working together across our complementary, high-performing business units to continue to accelerate convergence in media and technology. In 2021, as we sought to expand the reach of our proprietary global technology platform and addressable customer base, we launched Sky Glass in the United Kingdom and XClass TV in the United States. Both of these products are built upon our existing investments across our company in X1, Flex and Sky Q.</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Board credits our NEOs for their successful leadership in 2021 – they not only delivered for our shareholders, but also continued to support our stakeholders, including our employees, customers, suppliers and the communities where we operate. From our dedication to bridging the digital divide by providing more people with the tools and resources they need to succeed in a digital society, to our ongoing efforts and continued progress in DE&amp;I and community impact, to taking further steps to lessen our environmental footprint by setting a goal to be carbon neutral by 2035 for Scope 1 and 2 emissions across our global operations, our senior leadership team continued to lead by example and reinforce our company’s commitment to doing what’s right while underscoring our commitment to act with integrity. See “Spotlight on our Corporate Responsibility Initiatives”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2021 Compensation Overview</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making compensation decisions for 2021, the Compensation and Human Capital Committee considered, among other things, the exceptional leadership and performance of our NEOs in successfully managing our company for the long-term. The Compensation and Human Capital Committee also sought to ensure that the compensation program for our NEOs aligns compensation with shareholders’ interests and our long-term strategic goals, delivers pay for performance and reflects shareholder input and prevailing market pay practices.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Below is a brief overview of key executive compensation decisions that were made in respect of 2021 compensation, all of which are discussed in additional detail under “Our Approach to Compensation” and “Compensation Decisions” below. Many of these decisions reflect the significant changes to our executive compensation program design and structure as described in more detail immediately below in “Shareholder Feedback on Executive Compensation and Compensation-Related Changes.”</w:t>
      </w:r>
    </w:p>
    <w:p>
      <w:pPr>
        <w:spacing w:after="0" w:line="124" w:lineRule="exact"/>
        <w:rPr>
          <w:sz w:val="20"/>
          <w:szCs w:val="20"/>
          <w:color w:val="auto"/>
        </w:rPr>
      </w:pPr>
    </w:p>
    <w:p>
      <w:pPr>
        <w:ind w:left="260" w:right="140" w:hanging="252"/>
        <w:spacing w:after="0" w:line="286" w:lineRule="auto"/>
        <w:tabs>
          <w:tab w:leader="none" w:pos="260"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Dana Strong was appointed the CEO of Sky and became an NEO for the first time in 2021. Ms. Strong previously was President of Consumer Services for Comcast Cable’s residential businesses in the United States.</w:t>
      </w:r>
    </w:p>
    <w:p>
      <w:pPr>
        <w:spacing w:after="0" w:line="128" w:lineRule="exact"/>
        <w:rPr>
          <w:rFonts w:ascii="Arial" w:cs="Arial" w:eastAsia="Arial" w:hAnsi="Arial"/>
          <w:sz w:val="16"/>
          <w:szCs w:val="16"/>
          <w:color w:val="00A1DF"/>
        </w:rPr>
      </w:pPr>
    </w:p>
    <w:p>
      <w:pPr>
        <w:ind w:left="260" w:right="260" w:hanging="252"/>
        <w:spacing w:after="0" w:line="286" w:lineRule="auto"/>
        <w:tabs>
          <w:tab w:leader="none" w:pos="260"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The Compensation and Human Capital Committee did not increase the base salaries of our NEOs, other than those of Mr. Watson and Ms. Strong. In November 2021, the Committee and Mr. Roberts agreed to reduce his annual base salary to $2.5 million.</w:t>
      </w:r>
    </w:p>
    <w:p>
      <w:pPr>
        <w:spacing w:after="0" w:line="128" w:lineRule="exact"/>
        <w:rPr>
          <w:rFonts w:ascii="Arial" w:cs="Arial" w:eastAsia="Arial" w:hAnsi="Arial"/>
          <w:sz w:val="16"/>
          <w:szCs w:val="16"/>
          <w:color w:val="00A1DF"/>
        </w:rPr>
      </w:pPr>
    </w:p>
    <w:p>
      <w:pPr>
        <w:ind w:left="260" w:hanging="252"/>
        <w:spacing w:after="0"/>
        <w:tabs>
          <w:tab w:leader="none" w:pos="260"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Annual cash bonus payouts reflected the strong performance of our company in 2021, paying out at ranges between 125% and 133%.</w:t>
      </w:r>
    </w:p>
    <w:p>
      <w:pPr>
        <w:spacing w:after="0" w:line="194" w:lineRule="exact"/>
        <w:rPr>
          <w:rFonts w:ascii="Arial" w:cs="Arial" w:eastAsia="Arial" w:hAnsi="Arial"/>
          <w:sz w:val="16"/>
          <w:szCs w:val="16"/>
          <w:color w:val="00A1DF"/>
        </w:rPr>
      </w:pPr>
    </w:p>
    <w:p>
      <w:pPr>
        <w:ind w:left="260" w:right="440" w:hanging="252"/>
        <w:spacing w:after="0" w:line="266" w:lineRule="auto"/>
        <w:tabs>
          <w:tab w:leader="none" w:pos="260"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Performance-based restricted stock units (“PSUs”) granted in 2021 have a cumulative three-year performance period and are earned based on the achievement of financial goals that emphasize capital efficiency, sustained earnings growth and creation of shareholder value relative to market performance.</w:t>
      </w:r>
    </w:p>
    <w:p>
      <w:pPr>
        <w:spacing w:after="0" w:line="144" w:lineRule="exact"/>
        <w:rPr>
          <w:rFonts w:ascii="Arial" w:cs="Arial" w:eastAsia="Arial" w:hAnsi="Arial"/>
          <w:sz w:val="16"/>
          <w:szCs w:val="16"/>
          <w:color w:val="00A1DF"/>
        </w:rPr>
      </w:pPr>
    </w:p>
    <w:p>
      <w:pPr>
        <w:ind w:left="260" w:hanging="252"/>
        <w:spacing w:after="0"/>
        <w:tabs>
          <w:tab w:leader="none" w:pos="260" w:val="left"/>
        </w:tabs>
        <w:numPr>
          <w:ilvl w:val="0"/>
          <w:numId w:val="35"/>
        </w:numPr>
        <w:rPr>
          <w:rFonts w:ascii="Arial" w:cs="Arial" w:eastAsia="Arial" w:hAnsi="Arial"/>
          <w:sz w:val="16"/>
          <w:szCs w:val="16"/>
          <w:color w:val="00A1DF"/>
        </w:rPr>
      </w:pPr>
      <w:r>
        <w:rPr>
          <w:rFonts w:ascii="Arial" w:cs="Arial" w:eastAsia="Arial" w:hAnsi="Arial"/>
          <w:sz w:val="16"/>
          <w:szCs w:val="16"/>
          <w:color w:val="auto"/>
        </w:rPr>
        <w:t>Eliminated above-market interest earnings on deferred compensation for NEOs and directors.</w:t>
      </w:r>
    </w:p>
    <w:p>
      <w:pPr>
        <w:spacing w:after="0" w:line="16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As a result of these changes, the vast majority of our NEOs’ compensation is performance-based, strongly aligning the NEOs’ compensation with our shareholders’ interests.</w:t>
      </w:r>
    </w:p>
    <w:p>
      <w:pPr>
        <w:sectPr>
          <w:pgSz w:w="11900" w:h="16838" w:orient="portrait"/>
          <w:cols w:equalWidth="0" w:num="1">
            <w:col w:w="11200"/>
          </w:cols>
          <w:pgMar w:left="320" w:top="130" w:right="37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00A1DF"/>
        </w:rPr>
        <w:t>2021 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571750" cy="129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0" cy="129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00A1DF"/>
        </w:rPr>
        <w:t>2021 AVERAGE NEO COMPENSATION MIX</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(EXCLUDING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571750" cy="12687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0" cy="1268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4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Shareholder Feedback on Executive Compensation and Compensation-Related Changes</w:t>
      </w:r>
    </w:p>
    <w:p>
      <w:pPr>
        <w:spacing w:after="0" w:line="23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Compensation and Human Capital Committee carefully considered the results of our 2021 annual meeting, where our shareholders approved the 2020 compensation of our NEOs on an advisory basis by 88% of the votes cast. It discussed our executive compensation program and our voting results with Korn Ferry, its independent compensation consultant.</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Compensation and Human Capital Committee also considered feedback on our compensation program received from shareholders through our corporate governance roadshows, as well as feedback from two proxy advisory firms, and has taken significant steps over the past two years to address this feedback. (See “Shareholder Engagement” on page 28 for additional details on our shareholder engagement program.)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69"/>
        </w:trPr>
        <w:tc>
          <w:tcPr>
            <w:tcW w:w="120" w:type="dxa"/>
            <w:vAlign w:val="bottom"/>
            <w:tcBorders>
              <w:bottom w:val="single" w:sz="8" w:color="EAF2FA"/>
            </w:tcBorders>
            <w:shd w:val="clear" w:color="auto" w:fill="EAF2FA"/>
          </w:tcPr>
          <w:p>
            <w:pPr>
              <w:spacing w:after="0"/>
              <w:rPr>
                <w:sz w:val="24"/>
                <w:szCs w:val="24"/>
                <w:color w:val="auto"/>
              </w:rPr>
            </w:pPr>
          </w:p>
        </w:tc>
        <w:tc>
          <w:tcPr>
            <w:tcW w:w="3160" w:type="dxa"/>
            <w:vAlign w:val="bottom"/>
            <w:tcBorders>
              <w:bottom w:val="single" w:sz="8" w:color="EAF2FA"/>
            </w:tcBorders>
            <w:gridSpan w:val="4"/>
            <w:shd w:val="clear" w:color="auto" w:fill="EAF2FA"/>
          </w:tcPr>
          <w:p>
            <w:pPr>
              <w:ind w:left="100"/>
              <w:spacing w:after="0"/>
              <w:rPr>
                <w:sz w:val="20"/>
                <w:szCs w:val="20"/>
                <w:color w:val="auto"/>
              </w:rPr>
            </w:pPr>
            <w:r>
              <w:rPr>
                <w:rFonts w:ascii="Arial" w:cs="Arial" w:eastAsia="Arial" w:hAnsi="Arial"/>
                <w:sz w:val="18"/>
                <w:szCs w:val="18"/>
                <w:b w:val="1"/>
                <w:bCs w:val="1"/>
                <w:color w:val="00A1DF"/>
              </w:rPr>
              <w:t>WHAT WE HAVE HEARD</w:t>
            </w:r>
          </w:p>
        </w:tc>
        <w:tc>
          <w:tcPr>
            <w:tcW w:w="7960" w:type="dxa"/>
            <w:vAlign w:val="bottom"/>
            <w:tcBorders>
              <w:bottom w:val="single" w:sz="8" w:color="EAF2FA"/>
            </w:tcBorders>
            <w:shd w:val="clear" w:color="auto" w:fill="EAF2FA"/>
          </w:tcPr>
          <w:p>
            <w:pPr>
              <w:ind w:left="2940"/>
              <w:spacing w:after="0"/>
              <w:rPr>
                <w:sz w:val="20"/>
                <w:szCs w:val="20"/>
                <w:color w:val="auto"/>
              </w:rPr>
            </w:pPr>
            <w:r>
              <w:rPr>
                <w:rFonts w:ascii="Arial" w:cs="Arial" w:eastAsia="Arial" w:hAnsi="Arial"/>
                <w:sz w:val="18"/>
                <w:szCs w:val="18"/>
                <w:b w:val="1"/>
                <w:bCs w:val="1"/>
                <w:color w:val="00A1DF"/>
              </w:rPr>
              <w:t>WHAT WE HAVE DONE</w:t>
            </w:r>
          </w:p>
        </w:tc>
        <w:tc>
          <w:tcPr>
            <w:tcW w:w="0" w:type="dxa"/>
            <w:vAlign w:val="bottom"/>
          </w:tcPr>
          <w:p>
            <w:pPr>
              <w:spacing w:after="0"/>
              <w:rPr>
                <w:sz w:val="1"/>
                <w:szCs w:val="1"/>
                <w:color w:val="auto"/>
              </w:rPr>
            </w:pPr>
          </w:p>
        </w:tc>
      </w:tr>
      <w:tr>
        <w:trPr>
          <w:trHeight w:val="383"/>
        </w:trPr>
        <w:tc>
          <w:tcPr>
            <w:tcW w:w="120" w:type="dxa"/>
            <w:vAlign w:val="bottom"/>
            <w:tcBorders>
              <w:top w:val="single" w:sz="8" w:color="auto"/>
              <w:bottom w:val="single" w:sz="8" w:color="D6EBF8"/>
            </w:tcBorders>
            <w:shd w:val="clear" w:color="auto" w:fill="D6EBF8"/>
          </w:tcPr>
          <w:p>
            <w:pPr>
              <w:spacing w:after="0"/>
              <w:rPr>
                <w:sz w:val="24"/>
                <w:szCs w:val="24"/>
                <w:color w:val="auto"/>
              </w:rPr>
            </w:pPr>
          </w:p>
        </w:tc>
        <w:tc>
          <w:tcPr>
            <w:tcW w:w="11120" w:type="dxa"/>
            <w:vAlign w:val="bottom"/>
            <w:tcBorders>
              <w:top w:val="single" w:sz="8" w:color="auto"/>
              <w:bottom w:val="single" w:sz="8" w:color="D6EBF8"/>
            </w:tcBorders>
            <w:gridSpan w:val="5"/>
            <w:shd w:val="clear" w:color="auto" w:fill="D6EBF8"/>
          </w:tcPr>
          <w:p>
            <w:pPr>
              <w:ind w:left="100"/>
              <w:spacing w:after="0"/>
              <w:rPr>
                <w:sz w:val="20"/>
                <w:szCs w:val="20"/>
                <w:color w:val="auto"/>
              </w:rPr>
            </w:pPr>
            <w:r>
              <w:rPr>
                <w:rFonts w:ascii="Arial" w:cs="Arial" w:eastAsia="Arial" w:hAnsi="Arial"/>
                <w:sz w:val="14"/>
                <w:szCs w:val="14"/>
                <w:b w:val="1"/>
                <w:bCs w:val="1"/>
                <w:color w:val="auto"/>
              </w:rPr>
              <w:t>LONG-TERM INCENTIVE COMPENSATION DESIGN</w:t>
            </w:r>
          </w:p>
        </w:tc>
        <w:tc>
          <w:tcPr>
            <w:tcW w:w="0" w:type="dxa"/>
            <w:vAlign w:val="bottom"/>
          </w:tcPr>
          <w:p>
            <w:pPr>
              <w:spacing w:after="0"/>
              <w:rPr>
                <w:sz w:val="1"/>
                <w:szCs w:val="1"/>
                <w:color w:val="auto"/>
              </w:rPr>
            </w:pPr>
          </w:p>
        </w:tc>
      </w:tr>
      <w:tr>
        <w:trPr>
          <w:trHeight w:val="242"/>
        </w:trPr>
        <w:tc>
          <w:tcPr>
            <w:tcW w:w="120" w:type="dxa"/>
            <w:vAlign w:val="bottom"/>
            <w:tcBorders>
              <w:top w:val="single" w:sz="8" w:color="auto"/>
            </w:tcBorders>
          </w:tcPr>
          <w:p>
            <w:pPr>
              <w:spacing w:after="0"/>
              <w:rPr>
                <w:sz w:val="21"/>
                <w:szCs w:val="21"/>
                <w:color w:val="auto"/>
              </w:rPr>
            </w:pPr>
          </w:p>
        </w:tc>
        <w:tc>
          <w:tcPr>
            <w:tcW w:w="2960" w:type="dxa"/>
            <w:vAlign w:val="bottom"/>
            <w:tcBorders>
              <w:top w:val="single" w:sz="8" w:color="auto"/>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having a multi-year</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shd w:val="clear" w:color="auto" w:fill="EAF2FA"/>
          </w:tcPr>
          <w:p>
            <w:pPr>
              <w:spacing w:after="0"/>
              <w:rPr>
                <w:sz w:val="21"/>
                <w:szCs w:val="21"/>
                <w:color w:val="auto"/>
              </w:rPr>
            </w:pPr>
          </w:p>
        </w:tc>
        <w:tc>
          <w:tcPr>
            <w:tcW w:w="7960" w:type="dxa"/>
            <w:vAlign w:val="bottom"/>
            <w:tcBorders>
              <w:top w:val="single" w:sz="8" w:color="auto"/>
            </w:tcBorders>
            <w:shd w:val="clear" w:color="auto" w:fill="EAF2FA"/>
          </w:tcPr>
          <w:p>
            <w:pPr>
              <w:spacing w:after="0"/>
              <w:rPr>
                <w:sz w:val="20"/>
                <w:szCs w:val="20"/>
                <w:color w:val="auto"/>
              </w:rPr>
            </w:pPr>
            <w:r>
              <w:rPr>
                <w:rFonts w:ascii="Arial" w:cs="Arial" w:eastAsia="Arial" w:hAnsi="Arial"/>
                <w:sz w:val="16"/>
                <w:szCs w:val="16"/>
                <w:color w:val="auto"/>
              </w:rPr>
              <w:t>PSUs granted in 2021 have a 3-year cumulative performance period, with performance goals determined at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performance period for PSUs</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the beginning of the 3-year period and measured at the end of the three-year period; previously PSUs had</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Borders>
              <w:right w:val="single" w:sz="8" w:color="939598"/>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shd w:val="clear" w:color="auto" w:fill="EAF2FA"/>
          </w:tcPr>
          <w:p>
            <w:pPr>
              <w:spacing w:after="0"/>
              <w:rPr>
                <w:sz w:val="18"/>
                <w:szCs w:val="18"/>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five individual 1-year performance periods</w:t>
            </w: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right w:val="single" w:sz="8" w:color="939598"/>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EAF2FA"/>
            </w:tcBorders>
            <w:shd w:val="clear" w:color="auto" w:fill="EAF2FA"/>
          </w:tcPr>
          <w:p>
            <w:pPr>
              <w:spacing w:after="0"/>
              <w:rPr>
                <w:sz w:val="6"/>
                <w:szCs w:val="6"/>
                <w:color w:val="auto"/>
              </w:rPr>
            </w:pPr>
          </w:p>
        </w:tc>
        <w:tc>
          <w:tcPr>
            <w:tcW w:w="7960" w:type="dxa"/>
            <w:vAlign w:val="bottom"/>
            <w:tcBorders>
              <w:bottom w:val="single" w:sz="8" w:color="auto"/>
            </w:tcBorders>
            <w:shd w:val="clear" w:color="auto" w:fill="EAF2FA"/>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20" w:type="dxa"/>
            <w:vAlign w:val="bottom"/>
          </w:tcPr>
          <w:p>
            <w:pPr>
              <w:spacing w:after="0"/>
              <w:rPr>
                <w:sz w:val="21"/>
                <w:szCs w:val="21"/>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using a relative</w:t>
            </w:r>
          </w:p>
        </w:tc>
        <w:tc>
          <w:tcPr>
            <w:tcW w:w="80" w:type="dxa"/>
            <w:vAlign w:val="bottom"/>
          </w:tcPr>
          <w:p>
            <w:pPr>
              <w:spacing w:after="0"/>
              <w:rPr>
                <w:sz w:val="21"/>
                <w:szCs w:val="21"/>
                <w:color w:val="auto"/>
              </w:rPr>
            </w:pPr>
          </w:p>
        </w:tc>
        <w:tc>
          <w:tcPr>
            <w:tcW w:w="120" w:type="dxa"/>
            <w:vAlign w:val="bottom"/>
            <w:shd w:val="clear" w:color="auto" w:fill="EAF2FA"/>
          </w:tcPr>
          <w:p>
            <w:pPr>
              <w:spacing w:after="0"/>
              <w:rPr>
                <w:sz w:val="21"/>
                <w:szCs w:val="21"/>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PSUs granted in 2021 have two relative performance metrics relating to Adjusted Earnings Per Share (“EPS”)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performance metric</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growth and TSR and include an absolute return on adjusted invested capital (“ROIC”) performance metric;</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960" w:type="dxa"/>
            <w:vAlign w:val="bottom"/>
            <w:tcBorders>
              <w:right w:val="single" w:sz="8" w:color="939598"/>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Consider incenting NEOs with a</w:t>
            </w:r>
          </w:p>
        </w:tc>
        <w:tc>
          <w:tcPr>
            <w:tcW w:w="80" w:type="dxa"/>
            <w:vAlign w:val="bottom"/>
          </w:tcPr>
          <w:p>
            <w:pPr>
              <w:spacing w:after="0"/>
              <w:rPr>
                <w:sz w:val="18"/>
                <w:szCs w:val="18"/>
                <w:color w:val="auto"/>
              </w:rPr>
            </w:pPr>
          </w:p>
        </w:tc>
        <w:tc>
          <w:tcPr>
            <w:tcW w:w="120" w:type="dxa"/>
            <w:vAlign w:val="bottom"/>
            <w:shd w:val="clear" w:color="auto" w:fill="EAF2FA"/>
          </w:tcPr>
          <w:p>
            <w:pPr>
              <w:spacing w:after="0"/>
              <w:rPr>
                <w:sz w:val="18"/>
                <w:szCs w:val="18"/>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none of these metrics are used in our annual cash bonus program</w:t>
            </w: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2960" w:type="dxa"/>
            <w:vAlign w:val="bottom"/>
            <w:tcBorders>
              <w:right w:val="single" w:sz="8" w:color="939598"/>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shd w:val="clear" w:color="auto" w:fill="EAF2FA"/>
          </w:tcPr>
          <w:p>
            <w:pPr>
              <w:spacing w:after="0"/>
              <w:rPr>
                <w:sz w:val="11"/>
                <w:szCs w:val="11"/>
                <w:color w:val="auto"/>
              </w:rPr>
            </w:pPr>
          </w:p>
        </w:tc>
        <w:tc>
          <w:tcPr>
            <w:tcW w:w="7960" w:type="dxa"/>
            <w:vAlign w:val="bottom"/>
            <w:shd w:val="clear" w:color="auto" w:fill="EAF2FA"/>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capital allocation performance</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Specifically:</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metric</w:t>
            </w:r>
          </w:p>
        </w:tc>
        <w:tc>
          <w:tcPr>
            <w:tcW w:w="80" w:type="dxa"/>
            <w:vAlign w:val="bottom"/>
          </w:tcPr>
          <w:p>
            <w:pPr>
              <w:spacing w:after="0"/>
              <w:rPr>
                <w:sz w:val="19"/>
                <w:szCs w:val="19"/>
                <w:color w:val="auto"/>
              </w:rPr>
            </w:pPr>
          </w:p>
        </w:tc>
        <w:tc>
          <w:tcPr>
            <w:tcW w:w="120" w:type="dxa"/>
            <w:vAlign w:val="bottom"/>
            <w:shd w:val="clear" w:color="auto" w:fill="EAF2FA"/>
          </w:tcPr>
          <w:p>
            <w:pPr>
              <w:spacing w:after="0"/>
              <w:rPr>
                <w:sz w:val="19"/>
                <w:szCs w:val="19"/>
                <w:color w:val="auto"/>
              </w:rPr>
            </w:pPr>
          </w:p>
        </w:tc>
        <w:tc>
          <w:tcPr>
            <w:tcW w:w="7960" w:type="dxa"/>
            <w:vAlign w:val="bottom"/>
            <w:vMerge w:val="restart"/>
            <w:shd w:val="clear" w:color="auto" w:fill="EAF2FA"/>
          </w:tcPr>
          <w:p>
            <w:pPr>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PSUs earned based on achievement of two primary performance metrics, each weighted 50%:</w:t>
            </w: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2960" w:type="dxa"/>
            <w:vAlign w:val="bottom"/>
            <w:tcBorders>
              <w:right w:val="single" w:sz="8" w:color="939598"/>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Consider a PSU performance</w:t>
            </w:r>
          </w:p>
        </w:tc>
        <w:tc>
          <w:tcPr>
            <w:tcW w:w="80" w:type="dxa"/>
            <w:vAlign w:val="bottom"/>
          </w:tcPr>
          <w:p>
            <w:pPr>
              <w:spacing w:after="0"/>
              <w:rPr>
                <w:sz w:val="13"/>
                <w:szCs w:val="13"/>
                <w:color w:val="auto"/>
              </w:rPr>
            </w:pPr>
          </w:p>
        </w:tc>
        <w:tc>
          <w:tcPr>
            <w:tcW w:w="120" w:type="dxa"/>
            <w:vAlign w:val="bottom"/>
            <w:shd w:val="clear" w:color="auto" w:fill="EAF2FA"/>
          </w:tcPr>
          <w:p>
            <w:pPr>
              <w:spacing w:after="0"/>
              <w:rPr>
                <w:sz w:val="13"/>
                <w:szCs w:val="13"/>
                <w:color w:val="auto"/>
              </w:rPr>
            </w:pPr>
          </w:p>
        </w:tc>
        <w:tc>
          <w:tcPr>
            <w:tcW w:w="7960" w:type="dxa"/>
            <w:vAlign w:val="bottom"/>
            <w:vMerge w:val="continue"/>
            <w:shd w:val="clear" w:color="auto" w:fill="EAF2FA"/>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2960" w:type="dxa"/>
            <w:vAlign w:val="bottom"/>
            <w:tcBorders>
              <w:right w:val="single" w:sz="8" w:color="939598"/>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shd w:val="clear" w:color="auto" w:fill="EAF2FA"/>
          </w:tcPr>
          <w:p>
            <w:pPr>
              <w:spacing w:after="0"/>
              <w:rPr>
                <w:sz w:val="14"/>
                <w:szCs w:val="14"/>
                <w:color w:val="auto"/>
              </w:rPr>
            </w:pPr>
          </w:p>
        </w:tc>
        <w:tc>
          <w:tcPr>
            <w:tcW w:w="7960" w:type="dxa"/>
            <w:vAlign w:val="bottom"/>
            <w:vMerge w:val="restart"/>
            <w:shd w:val="clear" w:color="auto" w:fill="EAF2FA"/>
          </w:tcPr>
          <w:p>
            <w:pPr>
              <w:ind w:left="26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an absolute ROIC metric (calculated for each year during the three-year period and averaged to yield</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2960" w:type="dxa"/>
            <w:vAlign w:val="bottom"/>
            <w:tcBorders>
              <w:right w:val="single" w:sz="8" w:color="939598"/>
            </w:tcBorders>
            <w:gridSpan w:val="2"/>
          </w:tcPr>
          <w:p>
            <w:pPr>
              <w:ind w:left="100"/>
              <w:spacing w:after="0" w:line="163" w:lineRule="exact"/>
              <w:rPr>
                <w:sz w:val="20"/>
                <w:szCs w:val="20"/>
                <w:color w:val="auto"/>
              </w:rPr>
            </w:pPr>
            <w:r>
              <w:rPr>
                <w:rFonts w:ascii="Arial" w:cs="Arial" w:eastAsia="Arial" w:hAnsi="Arial"/>
                <w:sz w:val="16"/>
                <w:szCs w:val="16"/>
                <w:b w:val="1"/>
                <w:bCs w:val="1"/>
                <w:color w:val="auto"/>
              </w:rPr>
              <w:t>metric not also used in the annual</w:t>
            </w:r>
          </w:p>
        </w:tc>
        <w:tc>
          <w:tcPr>
            <w:tcW w:w="80" w:type="dxa"/>
            <w:vAlign w:val="bottom"/>
          </w:tcPr>
          <w:p>
            <w:pPr>
              <w:spacing w:after="0"/>
              <w:rPr>
                <w:sz w:val="14"/>
                <w:szCs w:val="14"/>
                <w:color w:val="auto"/>
              </w:rPr>
            </w:pPr>
          </w:p>
        </w:tc>
        <w:tc>
          <w:tcPr>
            <w:tcW w:w="120" w:type="dxa"/>
            <w:vAlign w:val="bottom"/>
            <w:shd w:val="clear" w:color="auto" w:fill="EAF2FA"/>
          </w:tcPr>
          <w:p>
            <w:pPr>
              <w:spacing w:after="0"/>
              <w:rPr>
                <w:sz w:val="14"/>
                <w:szCs w:val="14"/>
                <w:color w:val="auto"/>
              </w:rPr>
            </w:pPr>
          </w:p>
        </w:tc>
        <w:tc>
          <w:tcPr>
            <w:tcW w:w="7960" w:type="dxa"/>
            <w:vAlign w:val="bottom"/>
            <w:vMerge w:val="continue"/>
            <w:shd w:val="clear" w:color="auto" w:fill="EAF2FA"/>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20" w:type="dxa"/>
            <w:vAlign w:val="bottom"/>
          </w:tcPr>
          <w:p>
            <w:pPr>
              <w:spacing w:after="0"/>
              <w:rPr>
                <w:sz w:val="21"/>
                <w:szCs w:val="21"/>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cash bonus program</w:t>
            </w:r>
          </w:p>
        </w:tc>
        <w:tc>
          <w:tcPr>
            <w:tcW w:w="80" w:type="dxa"/>
            <w:vAlign w:val="bottom"/>
          </w:tcPr>
          <w:p>
            <w:pPr>
              <w:spacing w:after="0"/>
              <w:rPr>
                <w:sz w:val="21"/>
                <w:szCs w:val="21"/>
                <w:color w:val="auto"/>
              </w:rPr>
            </w:pPr>
          </w:p>
        </w:tc>
        <w:tc>
          <w:tcPr>
            <w:tcW w:w="120" w:type="dxa"/>
            <w:vAlign w:val="bottom"/>
            <w:shd w:val="clear" w:color="auto" w:fill="EAF2FA"/>
          </w:tcPr>
          <w:p>
            <w:pPr>
              <w:spacing w:after="0"/>
              <w:rPr>
                <w:sz w:val="21"/>
                <w:szCs w:val="21"/>
                <w:color w:val="auto"/>
              </w:rPr>
            </w:pPr>
          </w:p>
        </w:tc>
        <w:tc>
          <w:tcPr>
            <w:tcW w:w="7960" w:type="dxa"/>
            <w:vAlign w:val="bottom"/>
            <w:shd w:val="clear" w:color="auto" w:fill="EAF2FA"/>
          </w:tcPr>
          <w:p>
            <w:pPr>
              <w:ind w:left="540"/>
              <w:spacing w:after="0"/>
              <w:rPr>
                <w:sz w:val="20"/>
                <w:szCs w:val="20"/>
                <w:color w:val="auto"/>
              </w:rPr>
            </w:pPr>
            <w:r>
              <w:rPr>
                <w:rFonts w:ascii="Arial" w:cs="Arial" w:eastAsia="Arial" w:hAnsi="Arial"/>
                <w:sz w:val="16"/>
                <w:szCs w:val="16"/>
                <w:color w:val="auto"/>
              </w:rPr>
              <w:t>an average ROIC for the cumulative three-year period); and</w:t>
            </w: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Borders>
              <w:right w:val="single" w:sz="8" w:color="939598"/>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shd w:val="clear" w:color="auto" w:fill="EAF2FA"/>
          </w:tcPr>
          <w:p>
            <w:pPr>
              <w:spacing w:after="0"/>
              <w:rPr>
                <w:sz w:val="24"/>
                <w:szCs w:val="24"/>
                <w:color w:val="auto"/>
              </w:rPr>
            </w:pPr>
          </w:p>
        </w:tc>
        <w:tc>
          <w:tcPr>
            <w:tcW w:w="7960" w:type="dxa"/>
            <w:vAlign w:val="bottom"/>
            <w:shd w:val="clear" w:color="auto" w:fill="EAF2FA"/>
          </w:tcPr>
          <w:p>
            <w:pPr>
              <w:ind w:left="26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relative Adjusted EPS growth to the S&amp;P 100 over the three-year period</w:t>
            </w:r>
          </w:p>
        </w:tc>
        <w:tc>
          <w:tcPr>
            <w:tcW w:w="0" w:type="dxa"/>
            <w:vAlign w:val="bottom"/>
          </w:tcPr>
          <w:p>
            <w:pPr>
              <w:spacing w:after="0"/>
              <w:rPr>
                <w:sz w:val="1"/>
                <w:szCs w:val="1"/>
                <w:color w:val="auto"/>
              </w:rPr>
            </w:pPr>
          </w:p>
        </w:tc>
      </w:tr>
      <w:tr>
        <w:trPr>
          <w:trHeight w:val="327"/>
        </w:trPr>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Borders>
              <w:right w:val="single" w:sz="8" w:color="939598"/>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shd w:val="clear" w:color="auto" w:fill="EAF2FA"/>
          </w:tcPr>
          <w:p>
            <w:pPr>
              <w:spacing w:after="0"/>
              <w:rPr>
                <w:sz w:val="24"/>
                <w:szCs w:val="24"/>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Attainment of primary performance metrics is subject to a relative TSR modifier, interpolated for</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Borders>
              <w:right w:val="single" w:sz="8" w:color="939598"/>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EAF2FA"/>
          </w:tcPr>
          <w:p>
            <w:pPr>
              <w:spacing w:after="0"/>
              <w:rPr>
                <w:sz w:val="19"/>
                <w:szCs w:val="19"/>
                <w:color w:val="auto"/>
              </w:rPr>
            </w:pPr>
          </w:p>
        </w:tc>
        <w:tc>
          <w:tcPr>
            <w:tcW w:w="7960" w:type="dxa"/>
            <w:vAlign w:val="bottom"/>
            <w:shd w:val="clear" w:color="auto" w:fill="EAF2FA"/>
          </w:tcPr>
          <w:p>
            <w:pPr>
              <w:ind w:left="260"/>
              <w:spacing w:after="0" w:line="228" w:lineRule="exact"/>
              <w:rPr>
                <w:sz w:val="20"/>
                <w:szCs w:val="20"/>
                <w:color w:val="auto"/>
              </w:rPr>
            </w:pPr>
            <w:r>
              <w:rPr>
                <w:rFonts w:ascii="Arial" w:cs="Arial" w:eastAsia="Arial" w:hAnsi="Arial"/>
                <w:sz w:val="16"/>
                <w:szCs w:val="16"/>
                <w:color w:val="auto"/>
              </w:rPr>
              <w:t>performance between the bottom and top quartiles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with no positive modifier</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Borders>
              <w:right w:val="single" w:sz="8" w:color="939598"/>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shd w:val="clear" w:color="auto" w:fill="EAF2FA"/>
          </w:tcPr>
          <w:p>
            <w:pPr>
              <w:spacing w:after="0"/>
              <w:rPr>
                <w:sz w:val="18"/>
                <w:szCs w:val="18"/>
                <w:color w:val="auto"/>
              </w:rPr>
            </w:pPr>
          </w:p>
        </w:tc>
        <w:tc>
          <w:tcPr>
            <w:tcW w:w="7960" w:type="dxa"/>
            <w:vAlign w:val="bottom"/>
            <w:shd w:val="clear" w:color="auto" w:fill="EAF2FA"/>
          </w:tcPr>
          <w:p>
            <w:pPr>
              <w:ind w:left="260"/>
              <w:spacing w:after="0"/>
              <w:rPr>
                <w:sz w:val="20"/>
                <w:szCs w:val="20"/>
                <w:color w:val="auto"/>
              </w:rPr>
            </w:pPr>
            <w:r>
              <w:rPr>
                <w:rFonts w:ascii="Arial" w:cs="Arial" w:eastAsia="Arial" w:hAnsi="Arial"/>
                <w:sz w:val="16"/>
                <w:szCs w:val="16"/>
                <w:color w:val="auto"/>
              </w:rPr>
              <w:t>applied if TSR is negative over the performance period</w:t>
            </w: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939598"/>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F2FA"/>
          </w:tcPr>
          <w:p>
            <w:pPr>
              <w:spacing w:after="0"/>
              <w:rPr>
                <w:sz w:val="6"/>
                <w:szCs w:val="6"/>
                <w:color w:val="auto"/>
              </w:rPr>
            </w:pPr>
          </w:p>
        </w:tc>
        <w:tc>
          <w:tcPr>
            <w:tcW w:w="7960" w:type="dxa"/>
            <w:vAlign w:val="bottom"/>
            <w:tcBorders>
              <w:bottom w:val="single" w:sz="8" w:color="auto"/>
            </w:tcBorders>
            <w:shd w:val="clear" w:color="auto" w:fill="EAF2FA"/>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120" w:type="dxa"/>
            <w:vAlign w:val="bottom"/>
            <w:tcBorders>
              <w:bottom w:val="single" w:sz="8" w:color="D6EBF8"/>
            </w:tcBorders>
            <w:shd w:val="clear" w:color="auto" w:fill="D6EBF8"/>
          </w:tcPr>
          <w:p>
            <w:pPr>
              <w:spacing w:after="0"/>
              <w:rPr>
                <w:sz w:val="24"/>
                <w:szCs w:val="24"/>
                <w:color w:val="auto"/>
              </w:rPr>
            </w:pPr>
          </w:p>
        </w:tc>
        <w:tc>
          <w:tcPr>
            <w:tcW w:w="3160" w:type="dxa"/>
            <w:vAlign w:val="bottom"/>
            <w:tcBorders>
              <w:bottom w:val="single" w:sz="8" w:color="D6EBF8"/>
            </w:tcBorders>
            <w:gridSpan w:val="4"/>
            <w:shd w:val="clear" w:color="auto" w:fill="D6EBF8"/>
          </w:tcPr>
          <w:p>
            <w:pPr>
              <w:ind w:left="100"/>
              <w:spacing w:after="0"/>
              <w:rPr>
                <w:sz w:val="20"/>
                <w:szCs w:val="20"/>
                <w:color w:val="auto"/>
              </w:rPr>
            </w:pPr>
            <w:r>
              <w:rPr>
                <w:rFonts w:ascii="Arial" w:cs="Arial" w:eastAsia="Arial" w:hAnsi="Arial"/>
                <w:sz w:val="14"/>
                <w:szCs w:val="14"/>
                <w:b w:val="1"/>
                <w:bCs w:val="1"/>
                <w:color w:val="auto"/>
              </w:rPr>
              <w:t>ANNUAL CASH BONUS</w:t>
            </w:r>
          </w:p>
        </w:tc>
        <w:tc>
          <w:tcPr>
            <w:tcW w:w="7960" w:type="dxa"/>
            <w:vAlign w:val="bottom"/>
            <w:tcBorders>
              <w:bottom w:val="single" w:sz="8" w:color="D6EBF8"/>
            </w:tcBorders>
            <w:shd w:val="clear" w:color="auto" w:fill="D6EBF8"/>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20" w:type="dxa"/>
            <w:vAlign w:val="bottom"/>
            <w:tcBorders>
              <w:top w:val="single" w:sz="8" w:color="auto"/>
            </w:tcBorders>
          </w:tcPr>
          <w:p>
            <w:pPr>
              <w:spacing w:after="0"/>
              <w:rPr>
                <w:sz w:val="21"/>
                <w:szCs w:val="21"/>
                <w:color w:val="auto"/>
              </w:rPr>
            </w:pPr>
          </w:p>
        </w:tc>
        <w:tc>
          <w:tcPr>
            <w:tcW w:w="2960" w:type="dxa"/>
            <w:vAlign w:val="bottom"/>
            <w:tcBorders>
              <w:top w:val="single" w:sz="8" w:color="auto"/>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aligning relative</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shd w:val="clear" w:color="auto" w:fill="EAF2FA"/>
          </w:tcPr>
          <w:p>
            <w:pPr>
              <w:spacing w:after="0"/>
              <w:rPr>
                <w:sz w:val="21"/>
                <w:szCs w:val="21"/>
                <w:color w:val="auto"/>
              </w:rPr>
            </w:pPr>
          </w:p>
        </w:tc>
        <w:tc>
          <w:tcPr>
            <w:tcW w:w="7960" w:type="dxa"/>
            <w:vAlign w:val="bottom"/>
            <w:tcBorders>
              <w:top w:val="single" w:sz="8" w:color="auto"/>
            </w:tcBorders>
            <w:shd w:val="clear" w:color="auto" w:fill="EAF2FA"/>
          </w:tcPr>
          <w:p>
            <w:pPr>
              <w:spacing w:after="0"/>
              <w:rPr>
                <w:sz w:val="20"/>
                <w:szCs w:val="20"/>
                <w:color w:val="auto"/>
              </w:rPr>
            </w:pPr>
            <w:r>
              <w:rPr>
                <w:rFonts w:ascii="Arial" w:cs="Arial" w:eastAsia="Arial" w:hAnsi="Arial"/>
                <w:sz w:val="16"/>
                <w:szCs w:val="16"/>
                <w:color w:val="auto"/>
              </w:rPr>
              <w:t>Quantitative financial metrics increased to 70% in 2021 (from 50% in 2020) of the target bonus to closer align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weighting of quantitative financial</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with market practice; revenue, Adjusted EBITDA and Free Cash Flow remain the metrics used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performance metrics closer to</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market</w:t>
            </w:r>
          </w:p>
        </w:tc>
        <w:tc>
          <w:tcPr>
            <w:tcW w:w="80" w:type="dxa"/>
            <w:vAlign w:val="bottom"/>
          </w:tcPr>
          <w:p>
            <w:pPr>
              <w:spacing w:after="0"/>
              <w:rPr>
                <w:sz w:val="19"/>
                <w:szCs w:val="19"/>
                <w:color w:val="auto"/>
              </w:rPr>
            </w:pPr>
          </w:p>
        </w:tc>
        <w:tc>
          <w:tcPr>
            <w:tcW w:w="120" w:type="dxa"/>
            <w:vAlign w:val="bottom"/>
            <w:shd w:val="clear" w:color="auto" w:fill="EAF2FA"/>
          </w:tcPr>
          <w:p>
            <w:pPr>
              <w:spacing w:after="0"/>
              <w:rPr>
                <w:sz w:val="19"/>
                <w:szCs w:val="19"/>
                <w:color w:val="auto"/>
              </w:rPr>
            </w:pPr>
          </w:p>
        </w:tc>
        <w:tc>
          <w:tcPr>
            <w:tcW w:w="7960" w:type="dxa"/>
            <w:vAlign w:val="bottom"/>
            <w:shd w:val="clear" w:color="auto" w:fill="EAF2FA"/>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120" w:type="dxa"/>
            <w:vAlign w:val="bottom"/>
            <w:tcBorders>
              <w:right w:val="single" w:sz="8" w:color="939598"/>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EAF2FA"/>
            </w:tcBorders>
            <w:shd w:val="clear" w:color="auto" w:fill="EAF2FA"/>
          </w:tcPr>
          <w:p>
            <w:pPr>
              <w:spacing w:after="0"/>
              <w:rPr>
                <w:sz w:val="5"/>
                <w:szCs w:val="5"/>
                <w:color w:val="auto"/>
              </w:rPr>
            </w:pPr>
          </w:p>
        </w:tc>
        <w:tc>
          <w:tcPr>
            <w:tcW w:w="7960" w:type="dxa"/>
            <w:vAlign w:val="bottom"/>
            <w:tcBorders>
              <w:bottom w:val="single" w:sz="8" w:color="auto"/>
            </w:tcBorders>
            <w:shd w:val="clear" w:color="auto" w:fill="EAF2FA"/>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20" w:type="dxa"/>
            <w:vAlign w:val="bottom"/>
          </w:tcPr>
          <w:p>
            <w:pPr>
              <w:spacing w:after="0"/>
              <w:rPr>
                <w:sz w:val="21"/>
                <w:szCs w:val="21"/>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improving the</w:t>
            </w:r>
          </w:p>
        </w:tc>
        <w:tc>
          <w:tcPr>
            <w:tcW w:w="80" w:type="dxa"/>
            <w:vAlign w:val="bottom"/>
          </w:tcPr>
          <w:p>
            <w:pPr>
              <w:spacing w:after="0"/>
              <w:rPr>
                <w:sz w:val="21"/>
                <w:szCs w:val="21"/>
                <w:color w:val="auto"/>
              </w:rPr>
            </w:pPr>
          </w:p>
        </w:tc>
        <w:tc>
          <w:tcPr>
            <w:tcW w:w="120" w:type="dxa"/>
            <w:vAlign w:val="bottom"/>
            <w:shd w:val="clear" w:color="auto" w:fill="EAF2FA"/>
          </w:tcPr>
          <w:p>
            <w:pPr>
              <w:spacing w:after="0"/>
              <w:rPr>
                <w:sz w:val="21"/>
                <w:szCs w:val="21"/>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15% of the target bonus in 2021 is based on strategic operating performance goals such as customer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transparency and objectivity of</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experience, product churn, Peacock user growth, Flex rollout, Xfinity Mobile performance and organizational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non-financial performance</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collaboration</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metrics</w:t>
            </w:r>
          </w:p>
        </w:tc>
        <w:tc>
          <w:tcPr>
            <w:tcW w:w="80" w:type="dxa"/>
            <w:vAlign w:val="bottom"/>
          </w:tcPr>
          <w:p>
            <w:pPr>
              <w:spacing w:after="0"/>
              <w:rPr>
                <w:sz w:val="19"/>
                <w:szCs w:val="19"/>
                <w:color w:val="auto"/>
              </w:rPr>
            </w:pPr>
          </w:p>
        </w:tc>
        <w:tc>
          <w:tcPr>
            <w:tcW w:w="120" w:type="dxa"/>
            <w:vAlign w:val="bottom"/>
            <w:shd w:val="clear" w:color="auto" w:fill="EAF2FA"/>
          </w:tcPr>
          <w:p>
            <w:pPr>
              <w:spacing w:after="0"/>
              <w:rPr>
                <w:sz w:val="19"/>
                <w:szCs w:val="19"/>
                <w:color w:val="auto"/>
              </w:rPr>
            </w:pPr>
          </w:p>
        </w:tc>
        <w:tc>
          <w:tcPr>
            <w:tcW w:w="7960" w:type="dxa"/>
            <w:vAlign w:val="bottom"/>
            <w:vMerge w:val="restart"/>
            <w:shd w:val="clear" w:color="auto" w:fill="EAF2FA"/>
          </w:tcPr>
          <w:p>
            <w:pPr>
              <w:spacing w:after="0"/>
              <w:rPr>
                <w:sz w:val="20"/>
                <w:szCs w:val="20"/>
                <w:color w:val="auto"/>
              </w:rPr>
            </w:pPr>
            <w:r>
              <w:rPr>
                <w:rFonts w:ascii="Arial" w:cs="Arial" w:eastAsia="Arial" w:hAnsi="Arial"/>
                <w:sz w:val="16"/>
                <w:szCs w:val="16"/>
                <w:color w:val="auto"/>
              </w:rPr>
              <w:t>15% of the target bonus in 2021 is based on a qualitative assessment of our progress on stakeholder and</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Borders>
              <w:right w:val="single" w:sz="8" w:color="939598"/>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shd w:val="clear" w:color="auto" w:fill="EAF2FA"/>
          </w:tcPr>
          <w:p>
            <w:pPr>
              <w:spacing w:after="0"/>
              <w:rPr>
                <w:sz w:val="15"/>
                <w:szCs w:val="15"/>
                <w:color w:val="auto"/>
              </w:rPr>
            </w:pPr>
          </w:p>
        </w:tc>
        <w:tc>
          <w:tcPr>
            <w:tcW w:w="7960" w:type="dxa"/>
            <w:vAlign w:val="bottom"/>
            <w:vMerge w:val="continue"/>
            <w:shd w:val="clear" w:color="auto" w:fill="EAF2FA"/>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Borders>
              <w:right w:val="single" w:sz="8" w:color="939598"/>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sustainability initiatives such as continued leadership in addressing the “digital divide,” further progress on our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Borders>
              <w:right w:val="single" w:sz="8" w:color="939598"/>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DE&amp;I and environmental sustainability initiatives, and further enhancing our strong culture of integrity and</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Borders>
              <w:right w:val="single" w:sz="8" w:color="939598"/>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shd w:val="clear" w:color="auto" w:fill="EAF2FA"/>
          </w:tcPr>
          <w:p>
            <w:pPr>
              <w:spacing w:after="0"/>
              <w:rPr>
                <w:sz w:val="18"/>
                <w:szCs w:val="18"/>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respect</w:t>
            </w: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939598"/>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shd w:val="clear" w:color="auto" w:fill="EAF2FA"/>
          </w:tcPr>
          <w:p>
            <w:pPr>
              <w:spacing w:after="0"/>
              <w:rPr>
                <w:sz w:val="6"/>
                <w:szCs w:val="6"/>
                <w:color w:val="auto"/>
              </w:rPr>
            </w:pPr>
          </w:p>
        </w:tc>
        <w:tc>
          <w:tcPr>
            <w:tcW w:w="7960" w:type="dxa"/>
            <w:vAlign w:val="bottom"/>
            <w:tcBorders>
              <w:bottom w:val="single" w:sz="8" w:color="auto"/>
            </w:tcBorders>
            <w:shd w:val="clear" w:color="auto" w:fill="EAF2FA"/>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120" w:type="dxa"/>
            <w:vAlign w:val="bottom"/>
            <w:tcBorders>
              <w:bottom w:val="single" w:sz="8" w:color="D6EBF8"/>
            </w:tcBorders>
            <w:shd w:val="clear" w:color="auto" w:fill="D6EBF8"/>
          </w:tcPr>
          <w:p>
            <w:pPr>
              <w:spacing w:after="0"/>
              <w:rPr>
                <w:sz w:val="24"/>
                <w:szCs w:val="24"/>
                <w:color w:val="auto"/>
              </w:rPr>
            </w:pPr>
          </w:p>
        </w:tc>
        <w:tc>
          <w:tcPr>
            <w:tcW w:w="3160" w:type="dxa"/>
            <w:vAlign w:val="bottom"/>
            <w:tcBorders>
              <w:bottom w:val="single" w:sz="8" w:color="D6EBF8"/>
            </w:tcBorders>
            <w:gridSpan w:val="4"/>
            <w:shd w:val="clear" w:color="auto" w:fill="D6EBF8"/>
          </w:tcPr>
          <w:p>
            <w:pPr>
              <w:ind w:left="100"/>
              <w:spacing w:after="0"/>
              <w:rPr>
                <w:sz w:val="20"/>
                <w:szCs w:val="20"/>
                <w:color w:val="auto"/>
              </w:rPr>
            </w:pPr>
            <w:r>
              <w:rPr>
                <w:rFonts w:ascii="Arial" w:cs="Arial" w:eastAsia="Arial" w:hAnsi="Arial"/>
                <w:sz w:val="14"/>
                <w:szCs w:val="14"/>
                <w:b w:val="1"/>
                <w:bCs w:val="1"/>
                <w:color w:val="auto"/>
              </w:rPr>
              <w:t>DEFERRED COMPENSATION</w:t>
            </w:r>
          </w:p>
        </w:tc>
        <w:tc>
          <w:tcPr>
            <w:tcW w:w="7960" w:type="dxa"/>
            <w:vAlign w:val="bottom"/>
            <w:tcBorders>
              <w:bottom w:val="single" w:sz="8" w:color="D6EBF8"/>
            </w:tcBorders>
            <w:shd w:val="clear" w:color="auto" w:fill="D6EBF8"/>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20" w:type="dxa"/>
            <w:vAlign w:val="bottom"/>
            <w:tcBorders>
              <w:top w:val="single" w:sz="8" w:color="auto"/>
            </w:tcBorders>
          </w:tcPr>
          <w:p>
            <w:pPr>
              <w:spacing w:after="0"/>
              <w:rPr>
                <w:sz w:val="21"/>
                <w:szCs w:val="21"/>
                <w:color w:val="auto"/>
              </w:rPr>
            </w:pPr>
          </w:p>
        </w:tc>
        <w:tc>
          <w:tcPr>
            <w:tcW w:w="2960" w:type="dxa"/>
            <w:vAlign w:val="bottom"/>
            <w:tcBorders>
              <w:top w:val="single" w:sz="8" w:color="auto"/>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Concerns relating to “above-</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shd w:val="clear" w:color="auto" w:fill="EAF2FA"/>
          </w:tcPr>
          <w:p>
            <w:pPr>
              <w:spacing w:after="0"/>
              <w:rPr>
                <w:sz w:val="21"/>
                <w:szCs w:val="21"/>
                <w:color w:val="auto"/>
              </w:rPr>
            </w:pPr>
          </w:p>
        </w:tc>
        <w:tc>
          <w:tcPr>
            <w:tcW w:w="7960" w:type="dxa"/>
            <w:vAlign w:val="bottom"/>
            <w:tcBorders>
              <w:top w:val="single" w:sz="8" w:color="auto"/>
            </w:tcBorders>
            <w:shd w:val="clear" w:color="auto" w:fill="EAF2FA"/>
          </w:tcPr>
          <w:p>
            <w:pPr>
              <w:spacing w:after="0"/>
              <w:rPr>
                <w:sz w:val="20"/>
                <w:szCs w:val="20"/>
                <w:color w:val="auto"/>
              </w:rPr>
            </w:pPr>
            <w:r>
              <w:rPr>
                <w:rFonts w:ascii="Arial" w:cs="Arial" w:eastAsia="Arial" w:hAnsi="Arial"/>
                <w:sz w:val="16"/>
                <w:szCs w:val="16"/>
                <w:color w:val="auto"/>
              </w:rPr>
              <w:t>Eliminated all above-market interest earnings for NEOs (effective as of March 2021) and directors (effective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market” interest in deferred</w:t>
            </w:r>
          </w:p>
        </w:tc>
        <w:tc>
          <w:tcPr>
            <w:tcW w:w="80" w:type="dxa"/>
            <w:vAlign w:val="bottom"/>
          </w:tcPr>
          <w:p>
            <w:pPr>
              <w:spacing w:after="0"/>
              <w:rPr>
                <w:sz w:val="16"/>
                <w:szCs w:val="16"/>
                <w:color w:val="auto"/>
              </w:rPr>
            </w:pPr>
          </w:p>
        </w:tc>
        <w:tc>
          <w:tcPr>
            <w:tcW w:w="120" w:type="dxa"/>
            <w:vAlign w:val="bottom"/>
            <w:shd w:val="clear" w:color="auto" w:fill="EAF2FA"/>
          </w:tcPr>
          <w:p>
            <w:pPr>
              <w:spacing w:after="0"/>
              <w:rPr>
                <w:sz w:val="16"/>
                <w:szCs w:val="16"/>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as August 2020) such that they now may only invest deferred compensation in third-party mutual or exchange</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96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compensation program</w:t>
            </w:r>
          </w:p>
        </w:tc>
        <w:tc>
          <w:tcPr>
            <w:tcW w:w="80" w:type="dxa"/>
            <w:vAlign w:val="bottom"/>
          </w:tcPr>
          <w:p>
            <w:pPr>
              <w:spacing w:after="0"/>
              <w:rPr>
                <w:sz w:val="19"/>
                <w:szCs w:val="19"/>
                <w:color w:val="auto"/>
              </w:rPr>
            </w:pPr>
          </w:p>
        </w:tc>
        <w:tc>
          <w:tcPr>
            <w:tcW w:w="120" w:type="dxa"/>
            <w:vAlign w:val="bottom"/>
            <w:shd w:val="clear" w:color="auto" w:fill="EAF2FA"/>
          </w:tcPr>
          <w:p>
            <w:pPr>
              <w:spacing w:after="0"/>
              <w:rPr>
                <w:sz w:val="19"/>
                <w:szCs w:val="19"/>
                <w:color w:val="auto"/>
              </w:rPr>
            </w:pPr>
          </w:p>
        </w:tc>
        <w:tc>
          <w:tcPr>
            <w:tcW w:w="7960" w:type="dxa"/>
            <w:vAlign w:val="bottom"/>
            <w:shd w:val="clear" w:color="auto" w:fill="EAF2FA"/>
          </w:tcPr>
          <w:p>
            <w:pPr>
              <w:spacing w:after="0"/>
              <w:rPr>
                <w:sz w:val="20"/>
                <w:szCs w:val="20"/>
                <w:color w:val="auto"/>
              </w:rPr>
            </w:pPr>
            <w:r>
              <w:rPr>
                <w:rFonts w:ascii="Arial" w:cs="Arial" w:eastAsia="Arial" w:hAnsi="Arial"/>
                <w:sz w:val="16"/>
                <w:szCs w:val="16"/>
                <w:color w:val="auto"/>
              </w:rPr>
              <w:t>funds or a Comcast stock fund</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Borders>
              <w:right w:val="single" w:sz="8" w:color="939598"/>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EAF2FA"/>
          </w:tcPr>
          <w:p>
            <w:pPr>
              <w:spacing w:after="0"/>
              <w:rPr>
                <w:sz w:val="5"/>
                <w:szCs w:val="5"/>
                <w:color w:val="auto"/>
              </w:rPr>
            </w:pPr>
          </w:p>
        </w:tc>
        <w:tc>
          <w:tcPr>
            <w:tcW w:w="7960" w:type="dxa"/>
            <w:vAlign w:val="bottom"/>
            <w:shd w:val="clear" w:color="auto" w:fill="EAF2FA"/>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20" w:type="dxa"/>
            <w:vAlign w:val="bottom"/>
            <w:tcBorders>
              <w:right w:val="single" w:sz="8" w:color="939598"/>
            </w:tcBorders>
          </w:tcPr>
          <w:p>
            <w:pPr>
              <w:spacing w:after="0"/>
              <w:rPr>
                <w:sz w:val="4"/>
                <w:szCs w:val="4"/>
                <w:color w:val="auto"/>
              </w:rPr>
            </w:pPr>
          </w:p>
        </w:tc>
        <w:tc>
          <w:tcPr>
            <w:tcW w:w="80" w:type="dxa"/>
            <w:vAlign w:val="bottom"/>
            <w:tcBorders>
              <w:bottom w:val="single" w:sz="8" w:color="939598"/>
            </w:tcBorders>
          </w:tcPr>
          <w:p>
            <w:pPr>
              <w:spacing w:after="0"/>
              <w:rPr>
                <w:sz w:val="4"/>
                <w:szCs w:val="4"/>
                <w:color w:val="auto"/>
              </w:rPr>
            </w:pPr>
          </w:p>
        </w:tc>
        <w:tc>
          <w:tcPr>
            <w:tcW w:w="120" w:type="dxa"/>
            <w:vAlign w:val="bottom"/>
            <w:tcBorders>
              <w:bottom w:val="single" w:sz="8" w:color="939598"/>
            </w:tcBorders>
          </w:tcPr>
          <w:p>
            <w:pPr>
              <w:spacing w:after="0"/>
              <w:rPr>
                <w:sz w:val="4"/>
                <w:szCs w:val="4"/>
                <w:color w:val="auto"/>
              </w:rPr>
            </w:pPr>
          </w:p>
        </w:tc>
        <w:tc>
          <w:tcPr>
            <w:tcW w:w="796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Compensation and Human Capital Committee considered our executive compensation program holistically as it evaluated how to further enhance our program design while ensuring that the resulting structure will attract, retain and motivate our senior executives and align them with shareholders over the long term. With this view in mind, it determined that, in addition to the changes described above, the vesting terms of our PSUs and options should be reduced to align with broader market practice, with PSUs cliff-vesting at the end of 3 years (as opposed to over 5 years) and options vesting over 5 years (as opposed to over 9.5 years), and that the potential payout of PSUs should be increased to up to 250% (from 125%) of target to reward senior executives for outperformance against rigorous goals.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Compensation and Human Capital Committee and management team are committed to continued engagement with shareholders to understand their viewpoints and to discuss and demonstrate the important connection between our compensation program, on the one hand, and our business strategy, goals and financial and operating performance, on the other hand. Our Compensation and Human Capital Committee, with the assistance of Korn Ferry, continues to evaluate our compensation program design. The Compensation and Human Capital Committee believes that its policies and decisions are consistent with our compensation philosophy and objectives and align the interests of our NEOs with our long-term goals and the interests of our shareholders without incenting inappropriate risk taking.</w:t>
      </w:r>
    </w:p>
    <w:p>
      <w:pPr>
        <w:sectPr>
          <w:pgSz w:w="11900" w:h="16838" w:orient="portrait"/>
          <w:cols w:equalWidth="0" w:num="1">
            <w:col w:w="11240"/>
          </w:cols>
          <w:pgMar w:left="320" w:top="130"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Executive Compensation Best Practices</w:t>
      </w:r>
    </w:p>
    <w:p>
      <w:pPr>
        <w:spacing w:after="0" w:line="338" w:lineRule="exact"/>
        <w:rPr>
          <w:sz w:val="20"/>
          <w:szCs w:val="20"/>
          <w:color w:val="auto"/>
        </w:rPr>
      </w:pPr>
    </w:p>
    <w:p>
      <w:pPr>
        <w:spacing w:after="0"/>
        <w:rPr>
          <w:sz w:val="20"/>
          <w:szCs w:val="20"/>
          <w:color w:val="auto"/>
        </w:rPr>
      </w:pPr>
      <w:r>
        <w:rPr>
          <w:rFonts w:ascii="Arial" w:cs="Arial" w:eastAsia="Arial" w:hAnsi="Arial"/>
          <w:sz w:val="23"/>
          <w:szCs w:val="23"/>
          <w:color w:val="00A1DF"/>
        </w:rPr>
        <w:t>What We Do</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Employ rigorous PSU performance conditions.</w:t>
      </w:r>
    </w:p>
    <w:p>
      <w:pPr>
        <w:spacing w:after="0" w:line="167" w:lineRule="exact"/>
        <w:rPr>
          <w:sz w:val="20"/>
          <w:szCs w:val="20"/>
          <w:color w:val="auto"/>
        </w:rPr>
      </w:pPr>
    </w:p>
    <w:p>
      <w:pPr>
        <w:ind w:left="360" w:right="600"/>
        <w:spacing w:after="0" w:line="266" w:lineRule="auto"/>
        <w:rPr>
          <w:sz w:val="20"/>
          <w:szCs w:val="20"/>
          <w:color w:val="auto"/>
        </w:rPr>
      </w:pPr>
      <w:r>
        <w:rPr>
          <w:rFonts w:ascii="Arial" w:cs="Arial" w:eastAsia="Arial" w:hAnsi="Arial"/>
          <w:sz w:val="16"/>
          <w:szCs w:val="16"/>
          <w:color w:val="auto"/>
        </w:rPr>
        <w:t>Maintain robust stock ownership guidelines. A person not in compliance cannot sell or otherwise dispose of stock until the applicable ownership requirement is met.</w:t>
      </w:r>
    </w:p>
    <w:p>
      <w:pPr>
        <w:spacing w:after="0" w:line="117" w:lineRule="exact"/>
        <w:rPr>
          <w:sz w:val="20"/>
          <w:szCs w:val="20"/>
          <w:color w:val="auto"/>
        </w:rPr>
      </w:pPr>
    </w:p>
    <w:p>
      <w:pPr>
        <w:ind w:left="720" w:hanging="370"/>
        <w:spacing w:after="0"/>
        <w:tabs>
          <w:tab w:leader="none" w:pos="720"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CEO = 10x base salary</w:t>
      </w:r>
    </w:p>
    <w:p>
      <w:pPr>
        <w:spacing w:after="0" w:line="167" w:lineRule="exact"/>
        <w:rPr>
          <w:rFonts w:ascii="Arial" w:cs="Arial" w:eastAsia="Arial" w:hAnsi="Arial"/>
          <w:sz w:val="16"/>
          <w:szCs w:val="16"/>
          <w:color w:val="00A1DF"/>
        </w:rPr>
      </w:pPr>
    </w:p>
    <w:p>
      <w:pPr>
        <w:ind w:left="720" w:hanging="370"/>
        <w:spacing w:after="0"/>
        <w:tabs>
          <w:tab w:leader="none" w:pos="720"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NEOs = 3x base salary</w:t>
      </w:r>
    </w:p>
    <w:p>
      <w:pPr>
        <w:spacing w:after="0" w:line="167" w:lineRule="exact"/>
        <w:rPr>
          <w:rFonts w:ascii="Arial" w:cs="Arial" w:eastAsia="Arial" w:hAnsi="Arial"/>
          <w:sz w:val="16"/>
          <w:szCs w:val="16"/>
          <w:color w:val="00A1DF"/>
        </w:rPr>
      </w:pPr>
    </w:p>
    <w:p>
      <w:pPr>
        <w:ind w:left="720" w:hanging="370"/>
        <w:spacing w:after="0"/>
        <w:tabs>
          <w:tab w:leader="none" w:pos="720" w:val="left"/>
        </w:tabs>
        <w:numPr>
          <w:ilvl w:val="0"/>
          <w:numId w:val="36"/>
        </w:numPr>
        <w:rPr>
          <w:rFonts w:ascii="Arial" w:cs="Arial" w:eastAsia="Arial" w:hAnsi="Arial"/>
          <w:sz w:val="16"/>
          <w:szCs w:val="16"/>
          <w:color w:val="00A1DF"/>
        </w:rPr>
      </w:pPr>
      <w:r>
        <w:rPr>
          <w:rFonts w:ascii="Arial" w:cs="Arial" w:eastAsia="Arial" w:hAnsi="Arial"/>
          <w:sz w:val="16"/>
          <w:szCs w:val="16"/>
          <w:color w:val="auto"/>
        </w:rPr>
        <w:t>Nonemployee directors = 5x annual cash retainer</w:t>
      </w:r>
    </w:p>
    <w:p>
      <w:pPr>
        <w:spacing w:after="0" w:line="167" w:lineRule="exact"/>
        <w:rPr>
          <w:sz w:val="20"/>
          <w:szCs w:val="20"/>
          <w:color w:val="auto"/>
        </w:rPr>
      </w:pPr>
    </w:p>
    <w:p>
      <w:pPr>
        <w:ind w:left="360" w:right="200"/>
        <w:spacing w:after="0" w:line="259" w:lineRule="auto"/>
        <w:rPr>
          <w:sz w:val="20"/>
          <w:szCs w:val="20"/>
          <w:color w:val="auto"/>
        </w:rPr>
      </w:pPr>
      <w:r>
        <w:rPr>
          <w:rFonts w:ascii="Arial" w:cs="Arial" w:eastAsia="Arial" w:hAnsi="Arial"/>
          <w:sz w:val="16"/>
          <w:szCs w:val="16"/>
          <w:color w:val="auto"/>
        </w:rPr>
        <w:t>Prohibit our executive officers and directors from (i) pledging Comcast stock as collateral or holding it in margin accounts and (ii) using any strategies or products to hedge against potential changes in the value of our stock.</w:t>
      </w:r>
    </w:p>
    <w:p>
      <w:pPr>
        <w:spacing w:after="0" w:line="124" w:lineRule="exact"/>
        <w:rPr>
          <w:sz w:val="20"/>
          <w:szCs w:val="20"/>
          <w:color w:val="auto"/>
        </w:rPr>
      </w:pPr>
    </w:p>
    <w:p>
      <w:pPr>
        <w:ind w:left="360" w:right="180"/>
        <w:spacing w:after="0" w:line="286" w:lineRule="auto"/>
        <w:rPr>
          <w:sz w:val="20"/>
          <w:szCs w:val="20"/>
          <w:color w:val="auto"/>
        </w:rPr>
      </w:pPr>
      <w:r>
        <w:rPr>
          <w:rFonts w:ascii="Arial" w:cs="Arial" w:eastAsia="Arial" w:hAnsi="Arial"/>
          <w:sz w:val="16"/>
          <w:szCs w:val="16"/>
          <w:color w:val="auto"/>
        </w:rPr>
        <w:t>Have an incentive compensation recoupment (or “clawback”) policy applicable to our executive officers.</w:t>
      </w:r>
    </w:p>
    <w:p>
      <w:pPr>
        <w:spacing w:after="0" w:line="102" w:lineRule="exact"/>
        <w:rPr>
          <w:sz w:val="20"/>
          <w:szCs w:val="20"/>
          <w:color w:val="auto"/>
        </w:rPr>
      </w:pPr>
    </w:p>
    <w:p>
      <w:pPr>
        <w:ind w:left="360" w:right="460"/>
        <w:spacing w:after="0" w:line="286" w:lineRule="auto"/>
        <w:rPr>
          <w:sz w:val="20"/>
          <w:szCs w:val="20"/>
          <w:color w:val="auto"/>
        </w:rPr>
      </w:pPr>
      <w:r>
        <w:rPr>
          <w:rFonts w:ascii="Arial" w:cs="Arial" w:eastAsia="Arial" w:hAnsi="Arial"/>
          <w:sz w:val="16"/>
          <w:szCs w:val="16"/>
          <w:color w:val="auto"/>
        </w:rPr>
        <w:t>Compensation and Human Capital Committee directly engages Korn Ferry as its own independent compensation consultant.</w:t>
      </w:r>
    </w:p>
    <w:p>
      <w:pPr>
        <w:spacing w:after="0" w:line="102" w:lineRule="exact"/>
        <w:rPr>
          <w:sz w:val="20"/>
          <w:szCs w:val="20"/>
          <w:color w:val="auto"/>
        </w:rPr>
      </w:pPr>
    </w:p>
    <w:p>
      <w:pPr>
        <w:jc w:val="both"/>
        <w:ind w:left="360" w:right="280"/>
        <w:spacing w:after="0" w:line="266" w:lineRule="auto"/>
        <w:rPr>
          <w:sz w:val="20"/>
          <w:szCs w:val="20"/>
          <w:color w:val="auto"/>
        </w:rPr>
      </w:pPr>
      <w:r>
        <w:rPr>
          <w:rFonts w:ascii="Arial" w:cs="Arial" w:eastAsia="Arial" w:hAnsi="Arial"/>
          <w:sz w:val="16"/>
          <w:szCs w:val="16"/>
          <w:color w:val="auto"/>
        </w:rPr>
        <w:t>Use net-settled options, which results in fewer shares issued and less dilution to our shareholders than stock options exercised with a cash payment.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color w:val="00A1D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-473075</wp:posOffset>
            </wp:positionV>
            <wp:extent cx="7140575" cy="3291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3291840"/>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Do not permit the repricing of options of any kind.</w:t>
      </w:r>
    </w:p>
    <w:p>
      <w:pPr>
        <w:spacing w:after="0" w:line="181" w:lineRule="exact"/>
        <w:rPr>
          <w:sz w:val="20"/>
          <w:szCs w:val="20"/>
          <w:color w:val="auto"/>
        </w:rPr>
      </w:pPr>
    </w:p>
    <w:p>
      <w:pPr>
        <w:ind w:left="340" w:right="900"/>
        <w:spacing w:after="0" w:line="286" w:lineRule="auto"/>
        <w:rPr>
          <w:sz w:val="20"/>
          <w:szCs w:val="20"/>
          <w:color w:val="auto"/>
        </w:rPr>
      </w:pPr>
      <w:r>
        <w:rPr>
          <w:rFonts w:ascii="Arial" w:cs="Arial" w:eastAsia="Arial" w:hAnsi="Arial"/>
          <w:sz w:val="16"/>
          <w:szCs w:val="16"/>
          <w:color w:val="auto"/>
        </w:rPr>
        <w:t>Do not maintain any defined benefit pension plans or supplemental executive retirement plans for our NEOs.</w:t>
      </w:r>
    </w:p>
    <w:p>
      <w:pPr>
        <w:spacing w:after="0" w:line="115" w:lineRule="exact"/>
        <w:rPr>
          <w:sz w:val="20"/>
          <w:szCs w:val="20"/>
          <w:color w:val="auto"/>
        </w:rPr>
      </w:pPr>
    </w:p>
    <w:p>
      <w:pPr>
        <w:ind w:left="340" w:right="160"/>
        <w:spacing w:after="0" w:line="256" w:lineRule="auto"/>
        <w:rPr>
          <w:sz w:val="20"/>
          <w:szCs w:val="20"/>
          <w:color w:val="auto"/>
        </w:rPr>
      </w:pPr>
      <w:r>
        <w:rPr>
          <w:rFonts w:ascii="Arial" w:cs="Arial" w:eastAsia="Arial" w:hAnsi="Arial"/>
          <w:sz w:val="16"/>
          <w:szCs w:val="16"/>
          <w:color w:val="auto"/>
        </w:rPr>
        <w:t>None of our equity plans has automatic (“single-trigger”) accelerated vesting provisions in connection with a change in control. Mr. Roberts’ employment agreement has a “double-trigger” change in control provision. No other NEO has any change in control provisions in his or her employment agreement.</w:t>
      </w:r>
    </w:p>
    <w:p>
      <w:pPr>
        <w:spacing w:after="0" w:line="139"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Do not pay dividends or dividend equivalents in respect of any unearned PSUs or RSUs or on any stock options.</w:t>
      </w:r>
    </w:p>
    <w:p>
      <w:pPr>
        <w:spacing w:after="0" w:line="115" w:lineRule="exact"/>
        <w:rPr>
          <w:sz w:val="20"/>
          <w:szCs w:val="20"/>
          <w:color w:val="auto"/>
        </w:rPr>
      </w:pPr>
    </w:p>
    <w:p>
      <w:pPr>
        <w:jc w:val="both"/>
        <w:ind w:left="340" w:right="480"/>
        <w:spacing w:after="0" w:line="266" w:lineRule="auto"/>
        <w:rPr>
          <w:sz w:val="20"/>
          <w:szCs w:val="20"/>
          <w:color w:val="auto"/>
        </w:rPr>
      </w:pPr>
      <w:r>
        <w:rPr>
          <w:rFonts w:ascii="Arial" w:cs="Arial" w:eastAsia="Arial" w:hAnsi="Arial"/>
          <w:sz w:val="16"/>
          <w:szCs w:val="16"/>
          <w:color w:val="auto"/>
        </w:rPr>
        <w:t>Do not provide premium payments or reimbursements, or tax payments, to our NEOs under any life or any other insurance policies.</w:t>
      </w:r>
    </w:p>
    <w:p>
      <w:pPr>
        <w:spacing w:after="0" w:line="131" w:lineRule="exact"/>
        <w:rPr>
          <w:sz w:val="20"/>
          <w:szCs w:val="20"/>
          <w:color w:val="auto"/>
        </w:rPr>
      </w:pPr>
    </w:p>
    <w:p>
      <w:pPr>
        <w:ind w:left="340" w:right="620"/>
        <w:spacing w:after="0" w:line="286" w:lineRule="auto"/>
        <w:rPr>
          <w:sz w:val="20"/>
          <w:szCs w:val="20"/>
          <w:color w:val="auto"/>
        </w:rPr>
      </w:pPr>
      <w:r>
        <w:rPr>
          <w:rFonts w:ascii="Arial" w:cs="Arial" w:eastAsia="Arial" w:hAnsi="Arial"/>
          <w:sz w:val="16"/>
          <w:szCs w:val="16"/>
          <w:color w:val="auto"/>
        </w:rPr>
        <w:t>Do not provide for any excise or other tax gross-ups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534035</wp:posOffset>
            </wp:positionV>
            <wp:extent cx="71532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5340" w:space="720"/>
            <w:col w:w="5180"/>
          </w:cols>
          <w:pgMar w:left="320" w:top="13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auto"/>
        </w:rPr>
        <w:t>Our Approach to Compensation</w:t>
      </w:r>
    </w:p>
    <w:p>
      <w:pPr>
        <w:spacing w:after="0" w:line="261" w:lineRule="exact"/>
        <w:rPr>
          <w:sz w:val="20"/>
          <w:szCs w:val="20"/>
          <w:color w:val="auto"/>
        </w:rPr>
      </w:pPr>
    </w:p>
    <w:p>
      <w:pPr>
        <w:jc w:val="both"/>
        <w:ind w:right="300"/>
        <w:spacing w:after="0" w:line="256" w:lineRule="auto"/>
        <w:rPr>
          <w:sz w:val="20"/>
          <w:szCs w:val="20"/>
          <w:color w:val="auto"/>
        </w:rPr>
      </w:pPr>
      <w:r>
        <w:rPr>
          <w:rFonts w:ascii="Arial" w:cs="Arial" w:eastAsia="Arial" w:hAnsi="Arial"/>
          <w:sz w:val="16"/>
          <w:szCs w:val="16"/>
          <w:color w:val="auto"/>
        </w:rPr>
        <w:t>In designing our compensation program, we evaluate both our business objectives and the need to attract and retain uniquely talented and experienced individuals who think strategically for the long term and perform for our highly competitive businesses, particularly in light of the challenging and evolving competitive, technological and regulatory environments in which we operate. We employ a variety of elements that further our shareholders’ interests by securing our executives’ services in an exceedingly competitive talent market and aligning the long-term interests of our executives to create shareholder value.</w:t>
      </w:r>
    </w:p>
    <w:p>
      <w:pPr>
        <w:spacing w:after="0" w:line="126"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To motivate and retain our executives, we provide pay opportunity levels that are highly competitive.</w:t>
      </w:r>
    </w:p>
    <w:p>
      <w:pPr>
        <w:spacing w:after="0" w:line="194" w:lineRule="exact"/>
        <w:rPr>
          <w:rFonts w:ascii="Arial" w:cs="Arial" w:eastAsia="Arial" w:hAnsi="Arial"/>
          <w:sz w:val="16"/>
          <w:szCs w:val="16"/>
          <w:color w:val="00A1DF"/>
        </w:rPr>
      </w:pPr>
    </w:p>
    <w:p>
      <w:pPr>
        <w:ind w:left="260" w:right="220" w:hanging="252"/>
        <w:spacing w:after="0" w:line="266" w:lineRule="auto"/>
        <w:tabs>
          <w:tab w:leader="none" w:pos="260"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Our compensation program is designed to achieve an appropriate balance of elements to reward our NEOs for their performance and create long-term shareholder value. In addition to fixed compensation, we provide short-term and long-term performance-based compensation that includes company-specific performance goals, as well as relative performance goals that measure our shareholder value creation relative to market performance.</w:t>
      </w:r>
    </w:p>
    <w:p>
      <w:pPr>
        <w:spacing w:after="0" w:line="144" w:lineRule="exact"/>
        <w:rPr>
          <w:rFonts w:ascii="Arial" w:cs="Arial" w:eastAsia="Arial" w:hAnsi="Arial"/>
          <w:sz w:val="16"/>
          <w:szCs w:val="16"/>
          <w:color w:val="00A1DF"/>
        </w:rPr>
      </w:pPr>
    </w:p>
    <w:p>
      <w:pPr>
        <w:ind w:left="260" w:right="140" w:hanging="252"/>
        <w:spacing w:after="0" w:line="259" w:lineRule="auto"/>
        <w:tabs>
          <w:tab w:leader="none" w:pos="260"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Our short-term annual bonus program includes quantitative financial performance goals that are based, in part, on enterprise-wide and business unit consolidated budgets that are prepared annually and take into consideration the cyclicality of working capital in our business, capital spending plans for the upcoming year, target product rollout numbers and other relevant factors. We balance out our annual bonus program by also incenting attainment of strategic operating performance goals and key stakeholder and sustainability initiatives.</w:t>
      </w:r>
    </w:p>
    <w:p>
      <w:pPr>
        <w:spacing w:after="0" w:line="150" w:lineRule="exact"/>
        <w:rPr>
          <w:rFonts w:ascii="Arial" w:cs="Arial" w:eastAsia="Arial" w:hAnsi="Arial"/>
          <w:sz w:val="16"/>
          <w:szCs w:val="16"/>
          <w:color w:val="00A1DF"/>
        </w:rPr>
      </w:pPr>
    </w:p>
    <w:p>
      <w:pPr>
        <w:ind w:left="260" w:right="60" w:hanging="252"/>
        <w:spacing w:after="0" w:line="259" w:lineRule="auto"/>
        <w:tabs>
          <w:tab w:leader="none" w:pos="260"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Our annual long-term incentive program is composed of grants of PSUs and stock options. PSUs awarded in 2021 have meaningful performance conditions for vesting measured over a three-year period based on two relative performance metrics relating to Adjusted EPS growth and TSR as well as an absolute ROIC performance metric, all of which balance internal goals and relative market performance. Stock options are inherently performance-based in that our stock price must appreciate for the options to deliver any value.</w:t>
      </w:r>
    </w:p>
    <w:p>
      <w:pPr>
        <w:spacing w:after="0" w:line="150" w:lineRule="exact"/>
        <w:rPr>
          <w:rFonts w:ascii="Arial" w:cs="Arial" w:eastAsia="Arial" w:hAnsi="Arial"/>
          <w:sz w:val="16"/>
          <w:szCs w:val="16"/>
          <w:color w:val="00A1DF"/>
        </w:rPr>
      </w:pPr>
    </w:p>
    <w:p>
      <w:pPr>
        <w:ind w:left="260" w:right="200" w:hanging="252"/>
        <w:spacing w:after="0" w:line="259" w:lineRule="auto"/>
        <w:tabs>
          <w:tab w:leader="none" w:pos="260" w:val="left"/>
        </w:tabs>
        <w:numPr>
          <w:ilvl w:val="0"/>
          <w:numId w:val="37"/>
        </w:numPr>
        <w:rPr>
          <w:rFonts w:ascii="Arial" w:cs="Arial" w:eastAsia="Arial" w:hAnsi="Arial"/>
          <w:sz w:val="16"/>
          <w:szCs w:val="16"/>
          <w:color w:val="00A1DF"/>
        </w:rPr>
      </w:pPr>
      <w:r>
        <w:rPr>
          <w:rFonts w:ascii="Arial" w:cs="Arial" w:eastAsia="Arial" w:hAnsi="Arial"/>
          <w:sz w:val="16"/>
          <w:szCs w:val="16"/>
          <w:color w:val="auto"/>
        </w:rPr>
        <w:t>The primary financial quantitative metrics used in our 2021 incentive compensation programs generally reflect those used internally to measure our performance and externally to report to investors. Many of these measures are tied to cash generation, capital efficiency and generating sustained profitable growth over time, as well as measure our growth and increase in shareholder value relative to market peers. As a result, the financial metrics used in our 2021 executive compensation program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Arial" w:cs="Arial" w:eastAsia="Arial" w:hAnsi="Arial"/>
                <w:sz w:val="16"/>
                <w:szCs w:val="16"/>
                <w:b w:val="1"/>
                <w:bCs w:val="1"/>
                <w:color w:val="98CEEF"/>
              </w:rPr>
              <w:t>Annual Cash</w:t>
            </w:r>
          </w:p>
        </w:tc>
        <w:tc>
          <w:tcPr>
            <w:tcW w:w="2340" w:type="dxa"/>
            <w:vAlign w:val="bottom"/>
          </w:tcPr>
          <w:p>
            <w:pPr>
              <w:spacing w:after="0"/>
              <w:rPr>
                <w:sz w:val="20"/>
                <w:szCs w:val="20"/>
                <w:color w:val="auto"/>
              </w:rPr>
            </w:pPr>
            <w:r>
              <w:rPr>
                <w:rFonts w:ascii="Arial" w:cs="Arial" w:eastAsia="Arial" w:hAnsi="Arial"/>
                <w:sz w:val="16"/>
                <w:szCs w:val="16"/>
                <w:color w:val="auto"/>
              </w:rPr>
              <w:t>Revenue</w:t>
            </w:r>
          </w:p>
        </w:tc>
        <w:tc>
          <w:tcPr>
            <w:tcW w:w="7220" w:type="dxa"/>
            <w:vAlign w:val="bottom"/>
          </w:tcPr>
          <w:p>
            <w:pPr>
              <w:ind w:left="140"/>
              <w:spacing w:after="0"/>
              <w:rPr>
                <w:sz w:val="20"/>
                <w:szCs w:val="20"/>
                <w:color w:val="auto"/>
              </w:rPr>
            </w:pPr>
            <w:r>
              <w:rPr>
                <w:rFonts w:ascii="Arial" w:cs="Arial" w:eastAsia="Arial" w:hAnsi="Arial"/>
                <w:sz w:val="16"/>
                <w:szCs w:val="16"/>
                <w:color w:val="auto"/>
              </w:rPr>
              <w:t>Serves as the top line component to cash generation</w:t>
            </w:r>
          </w:p>
        </w:tc>
        <w:tc>
          <w:tcPr>
            <w:tcW w:w="0" w:type="dxa"/>
            <w:vAlign w:val="bottom"/>
          </w:tcPr>
          <w:p>
            <w:pPr>
              <w:spacing w:after="0"/>
              <w:rPr>
                <w:sz w:val="1"/>
                <w:szCs w:val="1"/>
                <w:color w:val="auto"/>
              </w:rPr>
            </w:pPr>
          </w:p>
        </w:tc>
      </w:tr>
      <w:tr>
        <w:trPr>
          <w:trHeight w:val="41"/>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98CEEF"/>
              </w:rPr>
              <w:t>Bonus</w:t>
            </w:r>
          </w:p>
        </w:tc>
        <w:tc>
          <w:tcPr>
            <w:tcW w:w="234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680" w:type="dxa"/>
            <w:vAlign w:val="bottom"/>
            <w:vMerge w:val="continue"/>
          </w:tcPr>
          <w:p>
            <w:pPr>
              <w:spacing w:after="0"/>
              <w:rPr>
                <w:sz w:val="16"/>
                <w:szCs w:val="16"/>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Adjusted EBITDA</w:t>
            </w:r>
          </w:p>
        </w:tc>
        <w:tc>
          <w:tcPr>
            <w:tcW w:w="7220" w:type="dxa"/>
            <w:vAlign w:val="bottom"/>
          </w:tcPr>
          <w:p>
            <w:pPr>
              <w:ind w:left="140"/>
              <w:spacing w:after="0"/>
              <w:rPr>
                <w:sz w:val="20"/>
                <w:szCs w:val="20"/>
                <w:color w:val="auto"/>
              </w:rPr>
            </w:pPr>
            <w:r>
              <w:rPr>
                <w:rFonts w:ascii="Arial" w:cs="Arial" w:eastAsia="Arial" w:hAnsi="Arial"/>
                <w:sz w:val="16"/>
                <w:szCs w:val="16"/>
                <w:color w:val="auto"/>
              </w:rPr>
              <w:t>Reflects the operational performance of our businesses, taking into account the costs of operating</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these businesses</w:t>
            </w: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Free Cash Flow</w:t>
            </w:r>
          </w:p>
        </w:tc>
        <w:tc>
          <w:tcPr>
            <w:tcW w:w="7220" w:type="dxa"/>
            <w:vAlign w:val="bottom"/>
          </w:tcPr>
          <w:p>
            <w:pPr>
              <w:ind w:left="140"/>
              <w:spacing w:after="0"/>
              <w:rPr>
                <w:sz w:val="20"/>
                <w:szCs w:val="20"/>
                <w:color w:val="auto"/>
              </w:rPr>
            </w:pPr>
            <w:r>
              <w:rPr>
                <w:rFonts w:ascii="Arial" w:cs="Arial" w:eastAsia="Arial" w:hAnsi="Arial"/>
                <w:sz w:val="16"/>
                <w:szCs w:val="16"/>
                <w:color w:val="auto"/>
              </w:rPr>
              <w:t>Measures, among other things, cash remaining after capital investments that allows us to repay</w:t>
            </w:r>
          </w:p>
        </w:tc>
        <w:tc>
          <w:tcPr>
            <w:tcW w:w="0" w:type="dxa"/>
            <w:vAlign w:val="bottom"/>
          </w:tcPr>
          <w:p>
            <w:pPr>
              <w:spacing w:after="0"/>
              <w:rPr>
                <w:sz w:val="1"/>
                <w:szCs w:val="1"/>
                <w:color w:val="auto"/>
              </w:rPr>
            </w:pPr>
          </w:p>
        </w:tc>
      </w:tr>
      <w:tr>
        <w:trPr>
          <w:trHeight w:val="224"/>
        </w:trPr>
        <w:tc>
          <w:tcPr>
            <w:tcW w:w="16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indebtedness, make strategic investments and return capital to shareholders</w:t>
            </w:r>
          </w:p>
        </w:tc>
        <w:tc>
          <w:tcPr>
            <w:tcW w:w="0" w:type="dxa"/>
            <w:vAlign w:val="bottom"/>
          </w:tcPr>
          <w:p>
            <w:pPr>
              <w:spacing w:after="0"/>
              <w:rPr>
                <w:sz w:val="1"/>
                <w:szCs w:val="1"/>
                <w:color w:val="auto"/>
              </w:rPr>
            </w:pPr>
          </w:p>
        </w:tc>
      </w:tr>
      <w:tr>
        <w:trPr>
          <w:trHeight w:val="202"/>
        </w:trPr>
        <w:tc>
          <w:tcPr>
            <w:tcW w:w="1680" w:type="dxa"/>
            <w:vAlign w:val="bottom"/>
          </w:tcPr>
          <w:p>
            <w:pPr>
              <w:spacing w:after="0"/>
              <w:rPr>
                <w:sz w:val="20"/>
                <w:szCs w:val="20"/>
                <w:color w:val="auto"/>
              </w:rPr>
            </w:pPr>
            <w:r>
              <w:rPr>
                <w:rFonts w:ascii="Arial" w:cs="Arial" w:eastAsia="Arial" w:hAnsi="Arial"/>
                <w:sz w:val="16"/>
                <w:szCs w:val="16"/>
                <w:b w:val="1"/>
                <w:bCs w:val="1"/>
                <w:color w:val="00A1DF"/>
              </w:rPr>
              <w:t>Long-Term</w:t>
            </w:r>
          </w:p>
        </w:tc>
        <w:tc>
          <w:tcPr>
            <w:tcW w:w="2340" w:type="dxa"/>
            <w:vAlign w:val="bottom"/>
          </w:tcPr>
          <w:p>
            <w:pPr>
              <w:spacing w:after="0"/>
              <w:rPr>
                <w:sz w:val="20"/>
                <w:szCs w:val="20"/>
                <w:color w:val="auto"/>
              </w:rPr>
            </w:pPr>
            <w:r>
              <w:rPr>
                <w:rFonts w:ascii="Arial" w:cs="Arial" w:eastAsia="Arial" w:hAnsi="Arial"/>
                <w:sz w:val="16"/>
                <w:szCs w:val="16"/>
                <w:color w:val="auto"/>
              </w:rPr>
              <w:t>Average ROIC</w:t>
            </w:r>
          </w:p>
        </w:tc>
        <w:tc>
          <w:tcPr>
            <w:tcW w:w="7220" w:type="dxa"/>
            <w:vAlign w:val="bottom"/>
          </w:tcPr>
          <w:p>
            <w:pPr>
              <w:ind w:left="140"/>
              <w:spacing w:after="0"/>
              <w:rPr>
                <w:sz w:val="20"/>
                <w:szCs w:val="20"/>
                <w:color w:val="auto"/>
              </w:rPr>
            </w:pPr>
            <w:r>
              <w:rPr>
                <w:rFonts w:ascii="Arial" w:cs="Arial" w:eastAsia="Arial" w:hAnsi="Arial"/>
                <w:sz w:val="16"/>
                <w:szCs w:val="16"/>
                <w:color w:val="auto"/>
              </w:rPr>
              <w:t>Measures how well capital (equity and debt) is used to generate earnings over a three-year period</w:t>
            </w:r>
          </w:p>
        </w:tc>
        <w:tc>
          <w:tcPr>
            <w:tcW w:w="0" w:type="dxa"/>
            <w:vAlign w:val="bottom"/>
          </w:tcPr>
          <w:p>
            <w:pPr>
              <w:spacing w:after="0"/>
              <w:rPr>
                <w:sz w:val="1"/>
                <w:szCs w:val="1"/>
                <w:color w:val="auto"/>
              </w:rPr>
            </w:pPr>
          </w:p>
        </w:tc>
      </w:tr>
      <w:tr>
        <w:trPr>
          <w:trHeight w:val="41"/>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00A1DF"/>
              </w:rPr>
              <w:t>Incentive</w:t>
            </w:r>
          </w:p>
        </w:tc>
        <w:tc>
          <w:tcPr>
            <w:tcW w:w="234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680" w:type="dxa"/>
            <w:vAlign w:val="bottom"/>
            <w:vMerge w:val="continue"/>
          </w:tcPr>
          <w:p>
            <w:pPr>
              <w:spacing w:after="0"/>
              <w:rPr>
                <w:sz w:val="11"/>
                <w:szCs w:val="11"/>
                <w:color w:val="auto"/>
              </w:rPr>
            </w:pPr>
          </w:p>
        </w:tc>
        <w:tc>
          <w:tcPr>
            <w:tcW w:w="2340" w:type="dxa"/>
            <w:vAlign w:val="bottom"/>
            <w:vMerge w:val="restart"/>
          </w:tcPr>
          <w:p>
            <w:pPr>
              <w:spacing w:after="0"/>
              <w:rPr>
                <w:sz w:val="20"/>
                <w:szCs w:val="20"/>
                <w:color w:val="auto"/>
              </w:rPr>
            </w:pPr>
            <w:r>
              <w:rPr>
                <w:rFonts w:ascii="Arial" w:cs="Arial" w:eastAsia="Arial" w:hAnsi="Arial"/>
                <w:sz w:val="16"/>
                <w:szCs w:val="16"/>
                <w:color w:val="auto"/>
              </w:rPr>
              <w:t>Relative Adjusted EPS Growth</w:t>
            </w:r>
          </w:p>
        </w:tc>
        <w:tc>
          <w:tcPr>
            <w:tcW w:w="7220" w:type="dxa"/>
            <w:vAlign w:val="bottom"/>
            <w:vMerge w:val="restart"/>
          </w:tcPr>
          <w:p>
            <w:pPr>
              <w:ind w:left="140"/>
              <w:spacing w:after="0"/>
              <w:rPr>
                <w:sz w:val="20"/>
                <w:szCs w:val="20"/>
                <w:color w:val="auto"/>
              </w:rPr>
            </w:pPr>
            <w:r>
              <w:rPr>
                <w:rFonts w:ascii="Arial" w:cs="Arial" w:eastAsia="Arial" w:hAnsi="Arial"/>
                <w:sz w:val="16"/>
                <w:szCs w:val="16"/>
                <w:color w:val="auto"/>
              </w:rPr>
              <w:t>Measures earnings performance compared to equally sized peers over a three-year period</w:t>
            </w:r>
          </w:p>
        </w:tc>
        <w:tc>
          <w:tcPr>
            <w:tcW w:w="0" w:type="dxa"/>
            <w:vAlign w:val="bottom"/>
          </w:tcPr>
          <w:p>
            <w:pPr>
              <w:spacing w:after="0"/>
              <w:rPr>
                <w:sz w:val="1"/>
                <w:szCs w:val="1"/>
                <w:color w:val="auto"/>
              </w:rPr>
            </w:pPr>
          </w:p>
        </w:tc>
      </w:tr>
      <w:tr>
        <w:trPr>
          <w:trHeight w:val="107"/>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00A1DF"/>
              </w:rPr>
              <w:t>Program</w:t>
            </w:r>
          </w:p>
        </w:tc>
        <w:tc>
          <w:tcPr>
            <w:tcW w:w="2340" w:type="dxa"/>
            <w:vAlign w:val="bottom"/>
            <w:tcBorders>
              <w:bottom w:val="single" w:sz="8" w:color="auto"/>
            </w:tcBorders>
            <w:vMerge w:val="continue"/>
          </w:tcPr>
          <w:p>
            <w:pPr>
              <w:spacing w:after="0"/>
              <w:rPr>
                <w:sz w:val="8"/>
                <w:szCs w:val="8"/>
                <w:color w:val="auto"/>
              </w:rPr>
            </w:pPr>
          </w:p>
        </w:tc>
        <w:tc>
          <w:tcPr>
            <w:tcW w:w="7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2340" w:type="dxa"/>
            <w:vAlign w:val="bottom"/>
            <w:vMerge w:val="restart"/>
          </w:tcPr>
          <w:p>
            <w:pPr>
              <w:spacing w:after="0"/>
              <w:rPr>
                <w:sz w:val="20"/>
                <w:szCs w:val="20"/>
                <w:color w:val="auto"/>
              </w:rPr>
            </w:pPr>
            <w:r>
              <w:rPr>
                <w:rFonts w:ascii="Arial" w:cs="Arial" w:eastAsia="Arial" w:hAnsi="Arial"/>
                <w:sz w:val="16"/>
                <w:szCs w:val="16"/>
                <w:color w:val="auto"/>
              </w:rPr>
              <w:t>Relative TSR</w:t>
            </w:r>
          </w:p>
        </w:tc>
        <w:tc>
          <w:tcPr>
            <w:tcW w:w="7220" w:type="dxa"/>
            <w:vAlign w:val="bottom"/>
            <w:vMerge w:val="restart"/>
          </w:tcPr>
          <w:p>
            <w:pPr>
              <w:ind w:left="140"/>
              <w:spacing w:after="0"/>
              <w:rPr>
                <w:sz w:val="20"/>
                <w:szCs w:val="20"/>
                <w:color w:val="auto"/>
              </w:rPr>
            </w:pPr>
            <w:r>
              <w:rPr>
                <w:rFonts w:ascii="Arial" w:cs="Arial" w:eastAsia="Arial" w:hAnsi="Arial"/>
                <w:sz w:val="16"/>
                <w:szCs w:val="16"/>
                <w:color w:val="auto"/>
              </w:rPr>
              <w:t>Measures total company achievement of shareholder returns compared to equally sized peers</w:t>
            </w:r>
          </w:p>
        </w:tc>
        <w:tc>
          <w:tcPr>
            <w:tcW w:w="0" w:type="dxa"/>
            <w:vAlign w:val="bottom"/>
          </w:tcPr>
          <w:p>
            <w:pPr>
              <w:spacing w:after="0"/>
              <w:rPr>
                <w:sz w:val="1"/>
                <w:szCs w:val="1"/>
                <w:color w:val="auto"/>
              </w:rPr>
            </w:pPr>
          </w:p>
        </w:tc>
      </w:tr>
      <w:tr>
        <w:trPr>
          <w:trHeight w:val="101"/>
        </w:trPr>
        <w:tc>
          <w:tcPr>
            <w:tcW w:w="16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7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over a three-year period</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Taken together, the interplay of these elements provided a pay program that is strongly aligned with shareholder interests and long-term value creation, retains a high-quality executive team and compensates the executive team when it does the right things to help our businesses succeed. We believe that the significant changes we made to our compensation program for 2021, as discussed above in “Shareholder Feedback on Executive Compensation and Compensation-Related Changes” and below in “Design and Structure of Executive Compensation — Equity-Based Incentive Compensation” further enhance the performance-based nature of our executive compensation program.</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Design and Structure of Executive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color w:val="00A1DF"/>
        </w:rPr>
        <w:t>Elements of Compensation Program</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view the executive compensation program on a “portfolio” basis to achieve an appropriate balance of compensation elements to motivate and reward our NEOs for their performance and create long-term shareholder value. The following chart illustrates our view of the significant aspects of the portfolio used for 2021. (See “Shareholder Feedback on Executive Compensation and Compensation-Related Changes” above and “Equity-Based Incentive Compensation” below for more information about enhancements we made to our compensation program design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5434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5434965"/>
                    </a:xfrm>
                    <a:prstGeom prst="rect">
                      <a:avLst/>
                    </a:prstGeom>
                    <a:noFill/>
                  </pic:spPr>
                </pic:pic>
              </a:graphicData>
            </a:graphic>
          </wp:anchor>
        </w:drawing>
      </w:r>
    </w:p>
    <w:p>
      <w:pPr>
        <w:spacing w:after="0" w:line="136" w:lineRule="exact"/>
        <w:rPr>
          <w:sz w:val="20"/>
          <w:szCs w:val="20"/>
          <w:color w:val="auto"/>
        </w:rPr>
      </w:pPr>
    </w:p>
    <w:p>
      <w:pPr>
        <w:spacing w:after="0"/>
        <w:tabs>
          <w:tab w:leader="none" w:pos="2460" w:val="left"/>
          <w:tab w:leader="none" w:pos="6940" w:val="left"/>
        </w:tabs>
        <w:rPr>
          <w:sz w:val="20"/>
          <w:szCs w:val="20"/>
          <w:color w:val="auto"/>
        </w:rPr>
      </w:pPr>
      <w:r>
        <w:rPr>
          <w:rFonts w:ascii="Arial" w:cs="Arial" w:eastAsia="Arial" w:hAnsi="Arial"/>
          <w:sz w:val="14"/>
          <w:szCs w:val="14"/>
          <w:b w:val="1"/>
          <w:bCs w:val="1"/>
          <w:color w:val="auto"/>
        </w:rPr>
        <w:t>TYPE ELEMENT</w:t>
      </w:r>
      <w:r>
        <w:rPr>
          <w:sz w:val="20"/>
          <w:szCs w:val="20"/>
          <w:color w:val="auto"/>
        </w:rPr>
        <w:tab/>
      </w:r>
      <w:r>
        <w:rPr>
          <w:rFonts w:ascii="Arial" w:cs="Arial" w:eastAsia="Arial" w:hAnsi="Arial"/>
          <w:sz w:val="14"/>
          <w:szCs w:val="14"/>
          <w:b w:val="1"/>
          <w:bCs w:val="1"/>
          <w:color w:val="auto"/>
        </w:rPr>
        <w:t>WHY WE USED IT</w:t>
      </w:r>
      <w:r>
        <w:rPr>
          <w:sz w:val="20"/>
          <w:szCs w:val="20"/>
          <w:color w:val="auto"/>
        </w:rPr>
        <w:tab/>
      </w:r>
      <w:r>
        <w:rPr>
          <w:rFonts w:ascii="Arial" w:cs="Arial" w:eastAsia="Arial" w:hAnsi="Arial"/>
          <w:sz w:val="14"/>
          <w:szCs w:val="14"/>
          <w:b w:val="1"/>
          <w:bCs w:val="1"/>
          <w:color w:val="auto"/>
        </w:rPr>
        <w:t>COMPENSATION HIGHLIGHTS</w:t>
      </w:r>
    </w:p>
    <w:p>
      <w:pPr>
        <w:sectPr>
          <w:pgSz w:w="11900" w:h="16838" w:orient="portrait"/>
          <w:cols w:equalWidth="0" w:num="1">
            <w:col w:w="11220"/>
          </w:cols>
          <w:pgMar w:left="320" w:top="130" w:right="359" w:bottom="1440" w:gutter="0" w:footer="0" w:header="0"/>
        </w:sectPr>
      </w:pPr>
    </w:p>
    <w:p>
      <w:pPr>
        <w:spacing w:after="0" w:line="77" w:lineRule="exact"/>
        <w:rPr>
          <w:sz w:val="20"/>
          <w:szCs w:val="20"/>
          <w:color w:val="auto"/>
        </w:rPr>
      </w:pPr>
    </w:p>
    <w:p>
      <w:pPr>
        <w:ind w:left="480"/>
        <w:spacing w:after="0"/>
        <w:tabs>
          <w:tab w:leader="none" w:pos="246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6"/>
          <w:szCs w:val="16"/>
          <w:color w:val="00A1DF"/>
        </w:rPr>
        <w:t xml:space="preserve">● </w:t>
      </w:r>
      <w:r>
        <w:rPr>
          <w:rFonts w:ascii="Arial" w:cs="Arial" w:eastAsia="Arial" w:hAnsi="Arial"/>
          <w:sz w:val="16"/>
          <w:szCs w:val="16"/>
          <w:color w:val="000000"/>
        </w:rPr>
        <w:t>Necessary to attract and retain our NEOs.</w:t>
      </w:r>
    </w:p>
    <w:p>
      <w:pPr>
        <w:spacing w:after="0" w:line="59" w:lineRule="exact"/>
        <w:rPr>
          <w:sz w:val="20"/>
          <w:szCs w:val="20"/>
          <w:color w:val="auto"/>
        </w:rPr>
      </w:pPr>
    </w:p>
    <w:p>
      <w:pPr>
        <w:ind w:left="2660" w:hanging="186"/>
        <w:spacing w:after="0"/>
        <w:tabs>
          <w:tab w:leader="none" w:pos="2660"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Serves as a baseline measure of an NEO’s value.</w:t>
      </w:r>
    </w:p>
    <w:p>
      <w:pPr>
        <w:spacing w:after="0" w:line="59" w:lineRule="exact"/>
        <w:rPr>
          <w:rFonts w:ascii="Arial" w:cs="Arial" w:eastAsia="Arial" w:hAnsi="Arial"/>
          <w:sz w:val="16"/>
          <w:szCs w:val="16"/>
          <w:color w:val="00A1DF"/>
        </w:rPr>
      </w:pPr>
    </w:p>
    <w:p>
      <w:pPr>
        <w:ind w:left="2660" w:hanging="186"/>
        <w:spacing w:after="0" w:line="286" w:lineRule="auto"/>
        <w:tabs>
          <w:tab w:leader="none" w:pos="2668"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Guaranteed compensation in exchange for investing in a career with us.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84" w:right="420" w:hanging="184"/>
        <w:spacing w:after="0" w:line="266" w:lineRule="auto"/>
        <w:tabs>
          <w:tab w:leader="none" w:pos="192"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Salary level is based on individual performance, position within the organization and any increase in duties and responsibilities.</w:t>
      </w:r>
    </w:p>
    <w:p>
      <w:pPr>
        <w:spacing w:after="0" w:line="468" w:lineRule="exact"/>
        <w:rPr>
          <w:sz w:val="20"/>
          <w:szCs w:val="20"/>
          <w:color w:val="auto"/>
        </w:rPr>
      </w:pPr>
    </w:p>
    <w:p>
      <w:pPr>
        <w:sectPr>
          <w:pgSz w:w="11900" w:h="16838" w:orient="portrait"/>
          <w:cols w:equalWidth="0" w:num="2">
            <w:col w:w="6720" w:space="236"/>
            <w:col w:w="4264"/>
          </w:cols>
          <w:pgMar w:left="320" w:top="130" w:right="359" w:bottom="1440" w:gutter="0" w:footer="0" w:header="0"/>
          <w:type w:val="continuous"/>
        </w:sectPr>
      </w:pPr>
    </w:p>
    <w:p>
      <w:pPr>
        <w:ind w:left="2480" w:right="180" w:hanging="2177"/>
        <w:spacing w:after="0" w:line="266" w:lineRule="auto"/>
        <w:tabs>
          <w:tab w:leader="none" w:pos="2460" w:val="left"/>
        </w:tabs>
        <w:rPr>
          <w:sz w:val="20"/>
          <w:szCs w:val="20"/>
          <w:color w:val="auto"/>
        </w:rPr>
      </w:pPr>
      <w:r>
        <w:rPr>
          <w:rFonts w:ascii="Arial" w:cs="Arial" w:eastAsia="Arial" w:hAnsi="Arial"/>
          <w:sz w:val="16"/>
          <w:szCs w:val="16"/>
          <w:b w:val="1"/>
          <w:bCs w:val="1"/>
          <w:color w:val="98CEEF"/>
        </w:rPr>
        <w:t>Annual Cash Bonus</w:t>
      </w:r>
      <w:r>
        <w:rPr>
          <w:sz w:val="20"/>
          <w:szCs w:val="20"/>
          <w:color w:val="auto"/>
        </w:rPr>
        <w:tab/>
      </w:r>
      <w:r>
        <w:rPr>
          <w:rFonts w:ascii="Arial" w:cs="Arial" w:eastAsia="Arial" w:hAnsi="Arial"/>
          <w:sz w:val="16"/>
          <w:szCs w:val="16"/>
          <w:color w:val="00A1DF"/>
        </w:rPr>
        <w:t xml:space="preserve">● </w:t>
      </w:r>
      <w:r>
        <w:rPr>
          <w:rFonts w:ascii="Arial" w:cs="Arial" w:eastAsia="Arial" w:hAnsi="Arial"/>
          <w:sz w:val="16"/>
          <w:szCs w:val="16"/>
          <w:color w:val="000000"/>
        </w:rPr>
        <w:t>Provides a competitive annual cash bonus opportunity</w:t>
      </w:r>
      <w:r>
        <w:rPr>
          <w:rFonts w:ascii="Arial" w:cs="Arial" w:eastAsia="Arial" w:hAnsi="Arial"/>
          <w:sz w:val="16"/>
          <w:szCs w:val="16"/>
          <w:color w:val="00A1DF"/>
        </w:rPr>
        <w:t xml:space="preserve"> </w:t>
      </w:r>
      <w:r>
        <w:rPr>
          <w:rFonts w:ascii="Arial" w:cs="Arial" w:eastAsia="Arial" w:hAnsi="Arial"/>
          <w:sz w:val="16"/>
          <w:szCs w:val="16"/>
          <w:color w:val="000000"/>
        </w:rPr>
        <w:t>and completes our competitive total annual cash compensation package.</w:t>
      </w:r>
    </w:p>
    <w:p>
      <w:pPr>
        <w:spacing w:after="0" w:line="9" w:lineRule="exact"/>
        <w:rPr>
          <w:sz w:val="20"/>
          <w:szCs w:val="20"/>
          <w:color w:val="auto"/>
        </w:rPr>
      </w:pPr>
    </w:p>
    <w:p>
      <w:pPr>
        <w:ind w:left="2660" w:hanging="186"/>
        <w:spacing w:after="0" w:line="266" w:lineRule="auto"/>
        <w:tabs>
          <w:tab w:leader="none" w:pos="2665"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Target bonus is based on the Compensation and Human Capital Committee’s assessment of the optimal mix of base salary and annual cash bonus compensation.</w:t>
      </w:r>
    </w:p>
    <w:p>
      <w:pPr>
        <w:spacing w:after="0" w:line="9" w:lineRule="exact"/>
        <w:rPr>
          <w:rFonts w:ascii="Arial" w:cs="Arial" w:eastAsia="Arial" w:hAnsi="Arial"/>
          <w:sz w:val="16"/>
          <w:szCs w:val="16"/>
          <w:color w:val="00A1DF"/>
        </w:rPr>
      </w:pPr>
    </w:p>
    <w:p>
      <w:pPr>
        <w:ind w:left="2660" w:right="60" w:hanging="186"/>
        <w:spacing w:after="0" w:line="266" w:lineRule="auto"/>
        <w:tabs>
          <w:tab w:leader="none" w:pos="2668"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Supports our objective that NEOs must balance achieving satisfactory or better current year (short-term) results with long-term value creation.</w:t>
      </w:r>
    </w:p>
    <w:p>
      <w:pPr>
        <w:spacing w:after="0" w:line="20" w:lineRule="exact"/>
        <w:rPr>
          <w:sz w:val="20"/>
          <w:szCs w:val="20"/>
          <w:color w:val="auto"/>
        </w:rPr>
      </w:pPr>
      <w:r>
        <w:rPr>
          <w:sz w:val="20"/>
          <w:szCs w:val="20"/>
          <w:color w:val="auto"/>
        </w:rPr>
        <w:br w:type="column"/>
      </w:r>
    </w:p>
    <w:p>
      <w:pPr>
        <w:ind w:left="184" w:right="100" w:hanging="184"/>
        <w:spacing w:after="0" w:line="266" w:lineRule="auto"/>
        <w:tabs>
          <w:tab w:leader="none" w:pos="192"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Based on objective quantitative financial performance metrics and quantitative and qualitative goals relating to key operating performance goals.</w:t>
      </w:r>
    </w:p>
    <w:p>
      <w:pPr>
        <w:spacing w:after="0" w:line="9" w:lineRule="exact"/>
        <w:rPr>
          <w:rFonts w:ascii="Arial" w:cs="Arial" w:eastAsia="Arial" w:hAnsi="Arial"/>
          <w:sz w:val="16"/>
          <w:szCs w:val="16"/>
          <w:color w:val="00A1DF"/>
        </w:rPr>
      </w:pPr>
    </w:p>
    <w:p>
      <w:pPr>
        <w:ind w:left="184" w:right="120" w:hanging="184"/>
        <w:spacing w:after="0" w:line="254" w:lineRule="auto"/>
        <w:tabs>
          <w:tab w:leader="none" w:pos="192"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Includes a qualitative portion based on stakeholder and sustainability initiatives such as continued leadership in addressing the “digital divide,” further progress on our DE&amp;I and environmental sustainability initiatives, and further enhancing our strong culture of integrity and respect.</w:t>
      </w:r>
    </w:p>
    <w:p>
      <w:pPr>
        <w:spacing w:after="0" w:line="264" w:lineRule="exact"/>
        <w:rPr>
          <w:sz w:val="20"/>
          <w:szCs w:val="20"/>
          <w:color w:val="auto"/>
        </w:rPr>
      </w:pPr>
    </w:p>
    <w:p>
      <w:pPr>
        <w:sectPr>
          <w:pgSz w:w="11900" w:h="16838" w:orient="portrait"/>
          <w:cols w:equalWidth="0" w:num="2">
            <w:col w:w="6720" w:space="236"/>
            <w:col w:w="4264"/>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480" w:hanging="2177"/>
        <w:spacing w:after="0" w:line="259" w:lineRule="auto"/>
        <w:tabs>
          <w:tab w:leader="none" w:pos="2460" w:val="left"/>
        </w:tabs>
        <w:rPr>
          <w:sz w:val="20"/>
          <w:szCs w:val="20"/>
          <w:color w:val="auto"/>
        </w:rPr>
      </w:pPr>
      <w:r>
        <w:rPr>
          <w:rFonts w:ascii="Arial" w:cs="Arial" w:eastAsia="Arial" w:hAnsi="Arial"/>
          <w:sz w:val="16"/>
          <w:szCs w:val="16"/>
          <w:b w:val="1"/>
          <w:bCs w:val="1"/>
          <w:color w:val="00A1DF"/>
        </w:rPr>
        <w:t>Annual PSU Grants</w:t>
      </w:r>
      <w:r>
        <w:rPr>
          <w:sz w:val="20"/>
          <w:szCs w:val="20"/>
          <w:color w:val="auto"/>
        </w:rPr>
        <w:tab/>
      </w:r>
      <w:r>
        <w:rPr>
          <w:rFonts w:ascii="Arial" w:cs="Arial" w:eastAsia="Arial" w:hAnsi="Arial"/>
          <w:sz w:val="16"/>
          <w:szCs w:val="16"/>
          <w:color w:val="00A1DF"/>
        </w:rPr>
        <w:t xml:space="preserve">● </w:t>
      </w:r>
      <w:r>
        <w:rPr>
          <w:rFonts w:ascii="Arial" w:cs="Arial" w:eastAsia="Arial" w:hAnsi="Arial"/>
          <w:sz w:val="16"/>
          <w:szCs w:val="16"/>
          <w:color w:val="000000"/>
        </w:rPr>
        <w:t>Fosters a long-term commitment, motivates executives to</w:t>
      </w:r>
      <w:r>
        <w:rPr>
          <w:rFonts w:ascii="Arial" w:cs="Arial" w:eastAsia="Arial" w:hAnsi="Arial"/>
          <w:sz w:val="16"/>
          <w:szCs w:val="16"/>
          <w:color w:val="00A1DF"/>
        </w:rPr>
        <w:t xml:space="preserve"> </w:t>
      </w:r>
      <w:r>
        <w:rPr>
          <w:rFonts w:ascii="Arial" w:cs="Arial" w:eastAsia="Arial" w:hAnsi="Arial"/>
          <w:sz w:val="16"/>
          <w:szCs w:val="16"/>
          <w:color w:val="000000"/>
        </w:rPr>
        <w:t>improve the long-term market performance of our stock and focuses them on the long-term creation of shareholder value.</w:t>
      </w:r>
    </w:p>
    <w:p>
      <w:pPr>
        <w:spacing w:after="0" w:line="16" w:lineRule="exact"/>
        <w:rPr>
          <w:sz w:val="20"/>
          <w:szCs w:val="20"/>
          <w:color w:val="auto"/>
        </w:rPr>
      </w:pPr>
    </w:p>
    <w:p>
      <w:pPr>
        <w:ind w:left="2660" w:right="380" w:hanging="186"/>
        <w:spacing w:after="0" w:line="281" w:lineRule="auto"/>
        <w:tabs>
          <w:tab w:leader="none" w:pos="2668"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Links the NEOs’ decision-making with the long-term outcomes of those decisions.</w:t>
      </w:r>
    </w:p>
    <w:p>
      <w:pPr>
        <w:spacing w:after="0" w:line="1" w:lineRule="exact"/>
        <w:rPr>
          <w:rFonts w:ascii="Arial" w:cs="Arial" w:eastAsia="Arial" w:hAnsi="Arial"/>
          <w:sz w:val="16"/>
          <w:szCs w:val="16"/>
          <w:color w:val="00A1DF"/>
        </w:rPr>
      </w:pPr>
    </w:p>
    <w:p>
      <w:pPr>
        <w:ind w:left="2660" w:right="540" w:hanging="186"/>
        <w:spacing w:after="0" w:line="286" w:lineRule="auto"/>
        <w:tabs>
          <w:tab w:leader="none" w:pos="2668"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Creates a meaningful retention tool and ties value ultimately realized to longer-term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4" w:hanging="184"/>
        <w:spacing w:after="0"/>
        <w:tabs>
          <w:tab w:leader="none" w:pos="184"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Cliff vest after three years.</w:t>
      </w:r>
    </w:p>
    <w:p>
      <w:pPr>
        <w:spacing w:after="0" w:line="59" w:lineRule="exact"/>
        <w:rPr>
          <w:rFonts w:ascii="Arial" w:cs="Arial" w:eastAsia="Arial" w:hAnsi="Arial"/>
          <w:sz w:val="16"/>
          <w:szCs w:val="16"/>
          <w:color w:val="00A1DF"/>
        </w:rPr>
      </w:pPr>
    </w:p>
    <w:p>
      <w:pPr>
        <w:jc w:val="both"/>
        <w:ind w:left="184" w:right="360" w:hanging="184"/>
        <w:spacing w:after="0" w:line="266" w:lineRule="auto"/>
        <w:tabs>
          <w:tab w:leader="none" w:pos="192"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Vesting is dependent upon achievement of absolute and relative performance metrics established at the beginning of the three-year period.</w:t>
      </w:r>
    </w:p>
    <w:p>
      <w:pPr>
        <w:spacing w:after="0" w:line="9" w:lineRule="exact"/>
        <w:rPr>
          <w:rFonts w:ascii="Arial" w:cs="Arial" w:eastAsia="Arial" w:hAnsi="Arial"/>
          <w:sz w:val="16"/>
          <w:szCs w:val="16"/>
          <w:color w:val="00A1DF"/>
        </w:rPr>
      </w:pPr>
    </w:p>
    <w:p>
      <w:pPr>
        <w:ind w:left="184" w:right="500" w:hanging="184"/>
        <w:spacing w:after="0" w:line="286" w:lineRule="auto"/>
        <w:tabs>
          <w:tab w:leader="none" w:pos="192"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Ultimate value of shares acquired upon vesting depends on attainment of metrics and stock price.</w:t>
      </w:r>
    </w:p>
    <w:p>
      <w:pPr>
        <w:spacing w:after="0" w:line="577" w:lineRule="exact"/>
        <w:rPr>
          <w:sz w:val="20"/>
          <w:szCs w:val="20"/>
          <w:color w:val="auto"/>
        </w:rPr>
      </w:pPr>
    </w:p>
    <w:p>
      <w:pPr>
        <w:sectPr>
          <w:pgSz w:w="11900" w:h="16838" w:orient="portrait"/>
          <w:cols w:equalWidth="0" w:num="2">
            <w:col w:w="6760" w:space="196"/>
            <w:col w:w="4264"/>
          </w:cols>
          <w:pgMar w:left="320" w:top="130" w:right="359" w:bottom="1440" w:gutter="0" w:footer="0" w:header="0"/>
          <w:type w:val="continuous"/>
        </w:sectPr>
      </w:pPr>
    </w:p>
    <w:p>
      <w:pPr>
        <w:spacing w:after="0" w:line="118" w:lineRule="exact"/>
        <w:rPr>
          <w:sz w:val="20"/>
          <w:szCs w:val="20"/>
          <w:color w:val="auto"/>
        </w:rPr>
      </w:pPr>
    </w:p>
    <w:p>
      <w:pPr>
        <w:ind w:left="480"/>
        <w:spacing w:after="0"/>
        <w:tabs>
          <w:tab w:leader="none" w:pos="2460" w:val="left"/>
        </w:tabs>
        <w:rPr>
          <w:sz w:val="20"/>
          <w:szCs w:val="20"/>
          <w:color w:val="auto"/>
        </w:rPr>
      </w:pPr>
      <w:r>
        <w:rPr>
          <w:rFonts w:ascii="Arial" w:cs="Arial" w:eastAsia="Arial" w:hAnsi="Arial"/>
          <w:sz w:val="16"/>
          <w:szCs w:val="16"/>
          <w:b w:val="1"/>
          <w:bCs w:val="1"/>
          <w:color w:val="00A1DF"/>
        </w:rPr>
        <w:t>Annual Stock Option</w:t>
      </w:r>
      <w:r>
        <w:rPr>
          <w:sz w:val="20"/>
          <w:szCs w:val="20"/>
          <w:color w:val="auto"/>
        </w:rPr>
        <w:tab/>
      </w:r>
      <w:r>
        <w:rPr>
          <w:rFonts w:ascii="Arial" w:cs="Arial" w:eastAsia="Arial" w:hAnsi="Arial"/>
          <w:sz w:val="16"/>
          <w:szCs w:val="16"/>
          <w:color w:val="00A1DF"/>
        </w:rPr>
        <w:t xml:space="preserve">● </w:t>
      </w:r>
      <w:r>
        <w:rPr>
          <w:rFonts w:ascii="Arial" w:cs="Arial" w:eastAsia="Arial" w:hAnsi="Arial"/>
          <w:sz w:val="16"/>
          <w:szCs w:val="16"/>
          <w:color w:val="000000"/>
        </w:rPr>
        <w:t>Fosters a long-term commitment, motivates executives to</w:t>
      </w:r>
    </w:p>
    <w:p>
      <w:pPr>
        <w:spacing w:after="0" w:line="21" w:lineRule="exact"/>
        <w:rPr>
          <w:sz w:val="20"/>
          <w:szCs w:val="20"/>
          <w:color w:val="auto"/>
        </w:rPr>
      </w:pPr>
    </w:p>
    <w:p>
      <w:pPr>
        <w:ind w:left="2660" w:right="160" w:hanging="2179"/>
        <w:spacing w:after="0" w:line="256" w:lineRule="auto"/>
        <w:tabs>
          <w:tab w:leader="none" w:pos="2640" w:val="left"/>
        </w:tabs>
        <w:rPr>
          <w:sz w:val="20"/>
          <w:szCs w:val="20"/>
          <w:color w:val="auto"/>
        </w:rPr>
      </w:pPr>
      <w:r>
        <w:rPr>
          <w:rFonts w:ascii="Arial" w:cs="Arial" w:eastAsia="Arial" w:hAnsi="Arial"/>
          <w:sz w:val="16"/>
          <w:szCs w:val="16"/>
          <w:b w:val="1"/>
          <w:bCs w:val="1"/>
          <w:color w:val="00A1DF"/>
        </w:rPr>
        <w:t>Grants</w:t>
      </w:r>
      <w:r>
        <w:rPr>
          <w:sz w:val="20"/>
          <w:szCs w:val="20"/>
          <w:color w:val="auto"/>
        </w:rPr>
        <w:tab/>
      </w:r>
      <w:r>
        <w:rPr>
          <w:rFonts w:ascii="Arial" w:cs="Arial" w:eastAsia="Arial" w:hAnsi="Arial"/>
          <w:sz w:val="16"/>
          <w:szCs w:val="16"/>
          <w:color w:val="auto"/>
        </w:rPr>
        <w:t>improve the long-term market performance of our stock and focuses them on the long-term creation of shareholder value.</w:t>
      </w:r>
    </w:p>
    <w:p>
      <w:pPr>
        <w:spacing w:after="0" w:line="16" w:lineRule="exact"/>
        <w:rPr>
          <w:sz w:val="20"/>
          <w:szCs w:val="20"/>
          <w:color w:val="auto"/>
        </w:rPr>
      </w:pPr>
    </w:p>
    <w:p>
      <w:pPr>
        <w:ind w:left="2660" w:right="380" w:hanging="186"/>
        <w:spacing w:after="0" w:line="281" w:lineRule="auto"/>
        <w:tabs>
          <w:tab w:leader="none" w:pos="2668"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Links the NEOs’ decision-making with the long-term outcomes of those decisions.</w:t>
      </w:r>
    </w:p>
    <w:p>
      <w:pPr>
        <w:spacing w:after="0" w:line="1" w:lineRule="exact"/>
        <w:rPr>
          <w:rFonts w:ascii="Arial" w:cs="Arial" w:eastAsia="Arial" w:hAnsi="Arial"/>
          <w:sz w:val="16"/>
          <w:szCs w:val="16"/>
          <w:color w:val="00A1DF"/>
        </w:rPr>
      </w:pPr>
    </w:p>
    <w:p>
      <w:pPr>
        <w:ind w:left="2660" w:right="320" w:hanging="186"/>
        <w:spacing w:after="0" w:line="266" w:lineRule="auto"/>
        <w:tabs>
          <w:tab w:leader="none" w:pos="2668"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Relatively long vesting period creates a significant retention tool and ties value ultimately realized to our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220345</wp:posOffset>
            </wp:positionV>
            <wp:extent cx="6892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84" w:hanging="184"/>
        <w:spacing w:after="0"/>
        <w:tabs>
          <w:tab w:leader="none" w:pos="184"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Vest over a five-year period.</w:t>
      </w:r>
    </w:p>
    <w:p>
      <w:pPr>
        <w:spacing w:after="0" w:line="59" w:lineRule="exact"/>
        <w:rPr>
          <w:rFonts w:ascii="Arial" w:cs="Arial" w:eastAsia="Arial" w:hAnsi="Arial"/>
          <w:sz w:val="16"/>
          <w:szCs w:val="16"/>
          <w:color w:val="00A1DF"/>
        </w:rPr>
      </w:pPr>
    </w:p>
    <w:p>
      <w:pPr>
        <w:ind w:left="184" w:right="160" w:hanging="184"/>
        <w:spacing w:after="0" w:line="281" w:lineRule="auto"/>
        <w:tabs>
          <w:tab w:leader="none" w:pos="192"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Stock price must appreciate for stock options to deliver value.</w:t>
      </w:r>
    </w:p>
    <w:p>
      <w:pPr>
        <w:spacing w:after="0" w:line="1" w:lineRule="exact"/>
        <w:rPr>
          <w:rFonts w:ascii="Arial" w:cs="Arial" w:eastAsia="Arial" w:hAnsi="Arial"/>
          <w:sz w:val="16"/>
          <w:szCs w:val="16"/>
          <w:color w:val="00A1DF"/>
        </w:rPr>
      </w:pPr>
    </w:p>
    <w:p>
      <w:pPr>
        <w:ind w:left="184" w:right="80" w:hanging="184"/>
        <w:spacing w:after="0" w:line="286" w:lineRule="auto"/>
        <w:tabs>
          <w:tab w:leader="none" w:pos="192"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Options are net settled, resulting in fewer shares issued upon exercise.</w:t>
      </w:r>
    </w:p>
    <w:p>
      <w:pPr>
        <w:spacing w:after="0" w:line="940" w:lineRule="exact"/>
        <w:rPr>
          <w:sz w:val="20"/>
          <w:szCs w:val="20"/>
          <w:color w:val="auto"/>
        </w:rPr>
      </w:pPr>
    </w:p>
    <w:p>
      <w:pPr>
        <w:sectPr>
          <w:pgSz w:w="11900" w:h="16838" w:orient="portrait"/>
          <w:cols w:equalWidth="0" w:num="2">
            <w:col w:w="6760" w:space="196"/>
            <w:col w:w="4264"/>
          </w:cols>
          <w:pgMar w:left="320" w:top="130" w:right="35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00A1DF"/>
        </w:rPr>
        <w:t>Compensation Decisions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Base Salary</w:t>
      </w:r>
    </w:p>
    <w:p>
      <w:pPr>
        <w:spacing w:after="0" w:line="21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2021, the Compensation and Human Capital Committee did not increase the base salaries of our NEOs, other than those of Mr. Watson and Ms. Strong. The Compensation and Human Capital Committee increased Mr. Watson’s base salary after considering his exceptional leadership as CEO of Comcast Cable and Ms. Strong’s base salary as a result of her appointment as CEO of Sky.</w:t>
      </w:r>
    </w:p>
    <w:p>
      <w:pPr>
        <w:spacing w:after="0" w:line="17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November 2021, the Compensation and Human Capital Committee and Mr. Roberts agreed to reduce his annual base salary to $2.5 million, which will further lower the proportion of his fixed versus variable compensation, and to use this reduced salary for purposes of calculating his annual cash bonus as if the reduction had been in effect since the beginning of 2021.</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Annual Cash Bonus</w:t>
      </w:r>
    </w:p>
    <w:p>
      <w:pPr>
        <w:spacing w:after="0" w:line="2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short-term incentive program includes meaningful performance-based elements tied to financial goals, as well as incentives for attainment of operational goals tied to key strategic initiatives and progress toward key stakeholder and sustainability initiatives.</w:t>
      </w:r>
    </w:p>
    <w:p>
      <w:pPr>
        <w:spacing w:after="0" w:line="156"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The target bonus opportunity in 2021 was 300% of salary for each NEO.</w:t>
      </w:r>
    </w:p>
    <w:p>
      <w:pPr>
        <w:spacing w:after="0" w:line="167" w:lineRule="exact"/>
        <w:rPr>
          <w:rFonts w:ascii="Arial" w:cs="Arial" w:eastAsia="Arial" w:hAnsi="Arial"/>
          <w:sz w:val="16"/>
          <w:szCs w:val="16"/>
          <w:color w:val="00A1DF"/>
        </w:rPr>
      </w:pPr>
    </w:p>
    <w:p>
      <w:pPr>
        <w:ind w:left="260" w:right="460" w:hanging="252"/>
        <w:spacing w:after="0" w:line="266" w:lineRule="auto"/>
        <w:tabs>
          <w:tab w:leader="none" w:pos="26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Below are the target weightings for each element of the annual cash bonus plan for our NEOs in 2021. The maximum bonus achievable was 185%, based on a maximum weight of 140% for all of the financial metrics and of 22.5% for each of the operating performance and stakeholder and sustainability-related goals.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600" w:type="dxa"/>
            <w:vAlign w:val="bottom"/>
            <w:tcBorders>
              <w:left w:val="single" w:sz="8" w:color="00A1DF"/>
              <w:right w:val="single" w:sz="8" w:color="00A1DF"/>
            </w:tcBorders>
            <w:shd w:val="clear" w:color="auto" w:fill="00A1DF"/>
          </w:tcPr>
          <w:p>
            <w:pPr>
              <w:spacing w:after="0"/>
              <w:rPr>
                <w:sz w:val="17"/>
                <w:szCs w:val="17"/>
                <w:color w:val="auto"/>
              </w:rPr>
            </w:pPr>
          </w:p>
        </w:tc>
        <w:tc>
          <w:tcPr>
            <w:tcW w:w="560" w:type="dxa"/>
            <w:vAlign w:val="bottom"/>
            <w:tcBorders>
              <w:right w:val="single" w:sz="8" w:color="00A1DF"/>
            </w:tcBorders>
            <w:shd w:val="clear" w:color="auto" w:fill="00A1DF"/>
          </w:tcPr>
          <w:p>
            <w:pPr>
              <w:spacing w:after="0"/>
              <w:rPr>
                <w:sz w:val="17"/>
                <w:szCs w:val="17"/>
                <w:color w:val="auto"/>
              </w:rPr>
            </w:pPr>
          </w:p>
        </w:tc>
        <w:tc>
          <w:tcPr>
            <w:tcW w:w="1600" w:type="dxa"/>
            <w:vAlign w:val="bottom"/>
            <w:tcBorders>
              <w:right w:val="single" w:sz="8" w:color="00A1DF"/>
            </w:tcBorders>
            <w:gridSpan w:val="4"/>
            <w:vMerge w:val="restart"/>
            <w:shd w:val="clear" w:color="auto" w:fill="00A1DF"/>
          </w:tcPr>
          <w:p>
            <w:pPr>
              <w:jc w:val="center"/>
              <w:ind w:right="40"/>
              <w:spacing w:after="0"/>
              <w:rPr>
                <w:sz w:val="20"/>
                <w:szCs w:val="20"/>
                <w:color w:val="auto"/>
              </w:rPr>
            </w:pPr>
            <w:r>
              <w:rPr>
                <w:rFonts w:ascii="Arial" w:cs="Arial" w:eastAsia="Arial" w:hAnsi="Arial"/>
                <w:sz w:val="16"/>
                <w:szCs w:val="16"/>
                <w:b w:val="1"/>
                <w:bCs w:val="1"/>
                <w:color w:val="FFFFFF"/>
              </w:rPr>
              <w:t>Financial (70%)*</w:t>
            </w:r>
          </w:p>
        </w:tc>
        <w:tc>
          <w:tcPr>
            <w:tcW w:w="560" w:type="dxa"/>
            <w:vAlign w:val="bottom"/>
            <w:tcBorders>
              <w:right w:val="single" w:sz="8" w:color="00A1DF"/>
            </w:tcBorders>
            <w:shd w:val="clear" w:color="auto" w:fill="00A1DF"/>
          </w:tcPr>
          <w:p>
            <w:pPr>
              <w:spacing w:after="0"/>
              <w:rPr>
                <w:sz w:val="17"/>
                <w:szCs w:val="17"/>
                <w:color w:val="auto"/>
              </w:rPr>
            </w:pPr>
          </w:p>
        </w:tc>
        <w:tc>
          <w:tcPr>
            <w:tcW w:w="540" w:type="dxa"/>
            <w:vAlign w:val="bottom"/>
            <w:shd w:val="clear" w:color="auto" w:fill="00A1DF"/>
          </w:tcPr>
          <w:p>
            <w:pPr>
              <w:spacing w:after="0"/>
              <w:rPr>
                <w:sz w:val="17"/>
                <w:szCs w:val="17"/>
                <w:color w:val="auto"/>
              </w:rPr>
            </w:pPr>
          </w:p>
        </w:tc>
        <w:tc>
          <w:tcPr>
            <w:tcW w:w="240" w:type="dxa"/>
            <w:vAlign w:val="bottom"/>
            <w:tcBorders>
              <w:right w:val="single" w:sz="8" w:color="68B8E5"/>
            </w:tcBorders>
          </w:tcPr>
          <w:p>
            <w:pPr>
              <w:spacing w:after="0"/>
              <w:rPr>
                <w:sz w:val="17"/>
                <w:szCs w:val="17"/>
                <w:color w:val="auto"/>
              </w:rPr>
            </w:pPr>
          </w:p>
        </w:tc>
        <w:tc>
          <w:tcPr>
            <w:tcW w:w="3340" w:type="dxa"/>
            <w:vAlign w:val="bottom"/>
            <w:gridSpan w:val="2"/>
            <w:vMerge w:val="restart"/>
            <w:shd w:val="clear" w:color="auto" w:fill="68B8E5"/>
          </w:tcPr>
          <w:p>
            <w:pPr>
              <w:jc w:val="center"/>
              <w:ind w:right="20"/>
              <w:spacing w:after="0"/>
              <w:rPr>
                <w:sz w:val="20"/>
                <w:szCs w:val="20"/>
                <w:color w:val="auto"/>
              </w:rPr>
            </w:pPr>
            <w:r>
              <w:rPr>
                <w:rFonts w:ascii="Arial" w:cs="Arial" w:eastAsia="Arial" w:hAnsi="Arial"/>
                <w:sz w:val="16"/>
                <w:szCs w:val="16"/>
                <w:b w:val="1"/>
                <w:bCs w:val="1"/>
                <w:color w:val="FFFFFF"/>
              </w:rPr>
              <w:t>Operating Performance (15%)</w:t>
            </w:r>
          </w:p>
        </w:tc>
        <w:tc>
          <w:tcPr>
            <w:tcW w:w="220" w:type="dxa"/>
            <w:vAlign w:val="bottom"/>
            <w:tcBorders>
              <w:right w:val="single" w:sz="8" w:color="96CBED"/>
            </w:tcBorders>
          </w:tcPr>
          <w:p>
            <w:pPr>
              <w:spacing w:after="0"/>
              <w:rPr>
                <w:sz w:val="17"/>
                <w:szCs w:val="17"/>
                <w:color w:val="auto"/>
              </w:rPr>
            </w:pPr>
          </w:p>
        </w:tc>
        <w:tc>
          <w:tcPr>
            <w:tcW w:w="3580" w:type="dxa"/>
            <w:vAlign w:val="bottom"/>
            <w:gridSpan w:val="2"/>
            <w:shd w:val="clear" w:color="auto" w:fill="96CBED"/>
          </w:tcPr>
          <w:p>
            <w:pPr>
              <w:jc w:val="center"/>
              <w:spacing w:after="0"/>
              <w:rPr>
                <w:sz w:val="20"/>
                <w:szCs w:val="20"/>
                <w:color w:val="auto"/>
              </w:rPr>
            </w:pPr>
            <w:r>
              <w:rPr>
                <w:rFonts w:ascii="Arial" w:cs="Arial" w:eastAsia="Arial" w:hAnsi="Arial"/>
                <w:sz w:val="16"/>
                <w:szCs w:val="16"/>
                <w:b w:val="1"/>
                <w:bCs w:val="1"/>
                <w:color w:val="FFFFFF"/>
              </w:rPr>
              <w:t>Stakeholder &amp; Sustainability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00A1DF"/>
              <w:right w:val="single" w:sz="8" w:color="00A1DF"/>
            </w:tcBorders>
            <w:shd w:val="clear" w:color="auto" w:fill="00A1DF"/>
          </w:tcPr>
          <w:p>
            <w:pPr>
              <w:spacing w:after="0"/>
              <w:rPr>
                <w:sz w:val="11"/>
                <w:szCs w:val="11"/>
                <w:color w:val="auto"/>
              </w:rPr>
            </w:pPr>
          </w:p>
        </w:tc>
        <w:tc>
          <w:tcPr>
            <w:tcW w:w="560" w:type="dxa"/>
            <w:vAlign w:val="bottom"/>
            <w:tcBorders>
              <w:right w:val="single" w:sz="8" w:color="00A1DF"/>
            </w:tcBorders>
            <w:shd w:val="clear" w:color="auto" w:fill="00A1DF"/>
          </w:tcPr>
          <w:p>
            <w:pPr>
              <w:spacing w:after="0"/>
              <w:rPr>
                <w:sz w:val="11"/>
                <w:szCs w:val="11"/>
                <w:color w:val="auto"/>
              </w:rPr>
            </w:pPr>
          </w:p>
        </w:tc>
        <w:tc>
          <w:tcPr>
            <w:tcW w:w="1600" w:type="dxa"/>
            <w:vAlign w:val="bottom"/>
            <w:tcBorders>
              <w:right w:val="single" w:sz="8" w:color="00A1DF"/>
            </w:tcBorders>
            <w:gridSpan w:val="4"/>
            <w:vMerge w:val="continue"/>
            <w:shd w:val="clear" w:color="auto" w:fill="00A1DF"/>
          </w:tcPr>
          <w:p>
            <w:pPr>
              <w:spacing w:after="0"/>
              <w:rPr>
                <w:sz w:val="11"/>
                <w:szCs w:val="11"/>
                <w:color w:val="auto"/>
              </w:rPr>
            </w:pPr>
          </w:p>
        </w:tc>
        <w:tc>
          <w:tcPr>
            <w:tcW w:w="560" w:type="dxa"/>
            <w:vAlign w:val="bottom"/>
            <w:tcBorders>
              <w:right w:val="single" w:sz="8" w:color="00A1DF"/>
            </w:tcBorders>
            <w:shd w:val="clear" w:color="auto" w:fill="00A1DF"/>
          </w:tcPr>
          <w:p>
            <w:pPr>
              <w:spacing w:after="0"/>
              <w:rPr>
                <w:sz w:val="11"/>
                <w:szCs w:val="11"/>
                <w:color w:val="auto"/>
              </w:rPr>
            </w:pPr>
          </w:p>
        </w:tc>
        <w:tc>
          <w:tcPr>
            <w:tcW w:w="540" w:type="dxa"/>
            <w:vAlign w:val="bottom"/>
            <w:shd w:val="clear" w:color="auto" w:fill="00A1DF"/>
          </w:tcPr>
          <w:p>
            <w:pPr>
              <w:spacing w:after="0"/>
              <w:rPr>
                <w:sz w:val="11"/>
                <w:szCs w:val="11"/>
                <w:color w:val="auto"/>
              </w:rPr>
            </w:pPr>
          </w:p>
        </w:tc>
        <w:tc>
          <w:tcPr>
            <w:tcW w:w="240" w:type="dxa"/>
            <w:vAlign w:val="bottom"/>
            <w:tcBorders>
              <w:right w:val="single" w:sz="8" w:color="68B8E5"/>
            </w:tcBorders>
          </w:tcPr>
          <w:p>
            <w:pPr>
              <w:spacing w:after="0"/>
              <w:rPr>
                <w:sz w:val="11"/>
                <w:szCs w:val="11"/>
                <w:color w:val="auto"/>
              </w:rPr>
            </w:pPr>
          </w:p>
        </w:tc>
        <w:tc>
          <w:tcPr>
            <w:tcW w:w="3340" w:type="dxa"/>
            <w:vAlign w:val="bottom"/>
            <w:gridSpan w:val="2"/>
            <w:vMerge w:val="continue"/>
            <w:shd w:val="clear" w:color="auto" w:fill="68B8E5"/>
          </w:tcPr>
          <w:p>
            <w:pPr>
              <w:spacing w:after="0"/>
              <w:rPr>
                <w:sz w:val="11"/>
                <w:szCs w:val="11"/>
                <w:color w:val="auto"/>
              </w:rPr>
            </w:pPr>
          </w:p>
        </w:tc>
        <w:tc>
          <w:tcPr>
            <w:tcW w:w="220" w:type="dxa"/>
            <w:vAlign w:val="bottom"/>
            <w:tcBorders>
              <w:right w:val="single" w:sz="8" w:color="96CBED"/>
            </w:tcBorders>
          </w:tcPr>
          <w:p>
            <w:pPr>
              <w:spacing w:after="0"/>
              <w:rPr>
                <w:sz w:val="11"/>
                <w:szCs w:val="11"/>
                <w:color w:val="auto"/>
              </w:rPr>
            </w:pPr>
          </w:p>
        </w:tc>
        <w:tc>
          <w:tcPr>
            <w:tcW w:w="3580" w:type="dxa"/>
            <w:vAlign w:val="bottom"/>
            <w:gridSpan w:val="2"/>
            <w:vMerge w:val="restart"/>
            <w:shd w:val="clear" w:color="auto" w:fill="96CBED"/>
          </w:tcPr>
          <w:p>
            <w:pPr>
              <w:jc w:val="center"/>
              <w:spacing w:after="0"/>
              <w:rPr>
                <w:sz w:val="20"/>
                <w:szCs w:val="20"/>
                <w:color w:val="auto"/>
              </w:rPr>
            </w:pPr>
            <w:r>
              <w:rPr>
                <w:rFonts w:ascii="Arial" w:cs="Arial" w:eastAsia="Arial" w:hAnsi="Arial"/>
                <w:sz w:val="16"/>
                <w:szCs w:val="16"/>
                <w:b w:val="1"/>
                <w:bCs w:val="1"/>
                <w:color w:val="FFFFFF"/>
              </w:rPr>
              <w:t>Initiatives (15%)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00A1DF"/>
              <w:right w:val="single" w:sz="8" w:color="00A1DF"/>
            </w:tcBorders>
            <w:shd w:val="clear" w:color="auto" w:fill="00A1DF"/>
          </w:tcPr>
          <w:p>
            <w:pPr>
              <w:spacing w:after="0"/>
              <w:rPr>
                <w:sz w:val="8"/>
                <w:szCs w:val="8"/>
                <w:color w:val="auto"/>
              </w:rPr>
            </w:pPr>
          </w:p>
        </w:tc>
        <w:tc>
          <w:tcPr>
            <w:tcW w:w="560" w:type="dxa"/>
            <w:vAlign w:val="bottom"/>
            <w:tcBorders>
              <w:right w:val="single" w:sz="8" w:color="00A1DF"/>
            </w:tcBorders>
            <w:shd w:val="clear" w:color="auto" w:fill="00A1DF"/>
          </w:tcPr>
          <w:p>
            <w:pPr>
              <w:spacing w:after="0"/>
              <w:rPr>
                <w:sz w:val="8"/>
                <w:szCs w:val="8"/>
                <w:color w:val="auto"/>
              </w:rPr>
            </w:pPr>
          </w:p>
        </w:tc>
        <w:tc>
          <w:tcPr>
            <w:tcW w:w="240" w:type="dxa"/>
            <w:vAlign w:val="bottom"/>
            <w:tcBorders>
              <w:right w:val="single" w:sz="8" w:color="00A1DF"/>
            </w:tcBorders>
            <w:shd w:val="clear" w:color="auto" w:fill="00A1DF"/>
          </w:tcPr>
          <w:p>
            <w:pPr>
              <w:spacing w:after="0"/>
              <w:rPr>
                <w:sz w:val="8"/>
                <w:szCs w:val="8"/>
                <w:color w:val="auto"/>
              </w:rPr>
            </w:pPr>
          </w:p>
        </w:tc>
        <w:tc>
          <w:tcPr>
            <w:tcW w:w="560" w:type="dxa"/>
            <w:vAlign w:val="bottom"/>
            <w:tcBorders>
              <w:right w:val="single" w:sz="8" w:color="00A1DF"/>
            </w:tcBorders>
            <w:shd w:val="clear" w:color="auto" w:fill="00A1DF"/>
          </w:tcPr>
          <w:p>
            <w:pPr>
              <w:spacing w:after="0"/>
              <w:rPr>
                <w:sz w:val="8"/>
                <w:szCs w:val="8"/>
                <w:color w:val="auto"/>
              </w:rPr>
            </w:pPr>
          </w:p>
        </w:tc>
        <w:tc>
          <w:tcPr>
            <w:tcW w:w="560" w:type="dxa"/>
            <w:vAlign w:val="bottom"/>
            <w:tcBorders>
              <w:right w:val="single" w:sz="8" w:color="00A1DF"/>
            </w:tcBorders>
            <w:shd w:val="clear" w:color="auto" w:fill="00A1DF"/>
          </w:tcPr>
          <w:p>
            <w:pPr>
              <w:spacing w:after="0"/>
              <w:rPr>
                <w:sz w:val="8"/>
                <w:szCs w:val="8"/>
                <w:color w:val="auto"/>
              </w:rPr>
            </w:pPr>
          </w:p>
        </w:tc>
        <w:tc>
          <w:tcPr>
            <w:tcW w:w="240" w:type="dxa"/>
            <w:vAlign w:val="bottom"/>
            <w:tcBorders>
              <w:right w:val="single" w:sz="8" w:color="00A1DF"/>
            </w:tcBorders>
            <w:shd w:val="clear" w:color="auto" w:fill="00A1DF"/>
          </w:tcPr>
          <w:p>
            <w:pPr>
              <w:spacing w:after="0"/>
              <w:rPr>
                <w:sz w:val="8"/>
                <w:szCs w:val="8"/>
                <w:color w:val="auto"/>
              </w:rPr>
            </w:pPr>
          </w:p>
        </w:tc>
        <w:tc>
          <w:tcPr>
            <w:tcW w:w="560" w:type="dxa"/>
            <w:vAlign w:val="bottom"/>
            <w:tcBorders>
              <w:right w:val="single" w:sz="8" w:color="00A1DF"/>
            </w:tcBorders>
            <w:shd w:val="clear" w:color="auto" w:fill="00A1DF"/>
          </w:tcPr>
          <w:p>
            <w:pPr>
              <w:spacing w:after="0"/>
              <w:rPr>
                <w:sz w:val="8"/>
                <w:szCs w:val="8"/>
                <w:color w:val="auto"/>
              </w:rPr>
            </w:pPr>
          </w:p>
        </w:tc>
        <w:tc>
          <w:tcPr>
            <w:tcW w:w="540" w:type="dxa"/>
            <w:vAlign w:val="bottom"/>
            <w:shd w:val="clear" w:color="auto" w:fill="00A1DF"/>
          </w:tcPr>
          <w:p>
            <w:pPr>
              <w:spacing w:after="0"/>
              <w:rPr>
                <w:sz w:val="8"/>
                <w:szCs w:val="8"/>
                <w:color w:val="auto"/>
              </w:rPr>
            </w:pPr>
          </w:p>
        </w:tc>
        <w:tc>
          <w:tcPr>
            <w:tcW w:w="240" w:type="dxa"/>
            <w:vAlign w:val="bottom"/>
            <w:tcBorders>
              <w:right w:val="single" w:sz="8" w:color="68B8E5"/>
            </w:tcBorders>
          </w:tcPr>
          <w:p>
            <w:pPr>
              <w:spacing w:after="0"/>
              <w:rPr>
                <w:sz w:val="8"/>
                <w:szCs w:val="8"/>
                <w:color w:val="auto"/>
              </w:rPr>
            </w:pPr>
          </w:p>
        </w:tc>
        <w:tc>
          <w:tcPr>
            <w:tcW w:w="1680" w:type="dxa"/>
            <w:vAlign w:val="bottom"/>
            <w:tcBorders>
              <w:right w:val="single" w:sz="8" w:color="68B8E5"/>
            </w:tcBorders>
            <w:shd w:val="clear" w:color="auto" w:fill="68B8E5"/>
          </w:tcPr>
          <w:p>
            <w:pPr>
              <w:spacing w:after="0"/>
              <w:rPr>
                <w:sz w:val="8"/>
                <w:szCs w:val="8"/>
                <w:color w:val="auto"/>
              </w:rPr>
            </w:pPr>
          </w:p>
        </w:tc>
        <w:tc>
          <w:tcPr>
            <w:tcW w:w="1660" w:type="dxa"/>
            <w:vAlign w:val="bottom"/>
            <w:shd w:val="clear" w:color="auto" w:fill="68B8E5"/>
          </w:tcPr>
          <w:p>
            <w:pPr>
              <w:spacing w:after="0"/>
              <w:rPr>
                <w:sz w:val="8"/>
                <w:szCs w:val="8"/>
                <w:color w:val="auto"/>
              </w:rPr>
            </w:pPr>
          </w:p>
        </w:tc>
        <w:tc>
          <w:tcPr>
            <w:tcW w:w="220" w:type="dxa"/>
            <w:vAlign w:val="bottom"/>
            <w:tcBorders>
              <w:right w:val="single" w:sz="8" w:color="96CBED"/>
            </w:tcBorders>
          </w:tcPr>
          <w:p>
            <w:pPr>
              <w:spacing w:after="0"/>
              <w:rPr>
                <w:sz w:val="8"/>
                <w:szCs w:val="8"/>
                <w:color w:val="auto"/>
              </w:rPr>
            </w:pPr>
          </w:p>
        </w:tc>
        <w:tc>
          <w:tcPr>
            <w:tcW w:w="3580" w:type="dxa"/>
            <w:vAlign w:val="bottom"/>
            <w:gridSpan w:val="2"/>
            <w:vMerge w:val="continue"/>
            <w:shd w:val="clear" w:color="auto" w:fill="96CB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A1DF"/>
              <w:right w:val="single" w:sz="8" w:color="auto"/>
            </w:tcBorders>
          </w:tcPr>
          <w:p>
            <w:pPr>
              <w:spacing w:after="0"/>
              <w:rPr>
                <w:sz w:val="17"/>
                <w:szCs w:val="17"/>
                <w:color w:val="auto"/>
              </w:rPr>
            </w:pPr>
          </w:p>
        </w:tc>
        <w:tc>
          <w:tcPr>
            <w:tcW w:w="560" w:type="dxa"/>
            <w:vAlign w:val="bottom"/>
            <w:tcBorders>
              <w:bottom w:val="single" w:sz="8" w:color="00A1DF"/>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00A1DF"/>
              <w:right w:val="single" w:sz="8" w:color="auto"/>
            </w:tcBorders>
          </w:tcPr>
          <w:p>
            <w:pPr>
              <w:spacing w:after="0"/>
              <w:rPr>
                <w:sz w:val="17"/>
                <w:szCs w:val="17"/>
                <w:color w:val="auto"/>
              </w:rPr>
            </w:pPr>
          </w:p>
        </w:tc>
        <w:tc>
          <w:tcPr>
            <w:tcW w:w="560" w:type="dxa"/>
            <w:vAlign w:val="bottom"/>
            <w:tcBorders>
              <w:bottom w:val="single" w:sz="8" w:color="00A1DF"/>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00A1DF"/>
              <w:right w:val="single" w:sz="8" w:color="auto"/>
            </w:tcBorders>
          </w:tcPr>
          <w:p>
            <w:pPr>
              <w:spacing w:after="0"/>
              <w:rPr>
                <w:sz w:val="17"/>
                <w:szCs w:val="17"/>
                <w:color w:val="auto"/>
              </w:rPr>
            </w:pPr>
          </w:p>
        </w:tc>
        <w:tc>
          <w:tcPr>
            <w:tcW w:w="540" w:type="dxa"/>
            <w:vAlign w:val="bottom"/>
            <w:tcBorders>
              <w:bottom w:val="single" w:sz="8" w:color="00A1DF"/>
            </w:tcBorders>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bottom w:val="single" w:sz="8" w:color="68B8E5"/>
              <w:right w:val="single" w:sz="8" w:color="auto"/>
            </w:tcBorders>
          </w:tcPr>
          <w:p>
            <w:pPr>
              <w:spacing w:after="0"/>
              <w:rPr>
                <w:sz w:val="17"/>
                <w:szCs w:val="17"/>
                <w:color w:val="auto"/>
              </w:rPr>
            </w:pPr>
          </w:p>
        </w:tc>
        <w:tc>
          <w:tcPr>
            <w:tcW w:w="1660" w:type="dxa"/>
            <w:vAlign w:val="bottom"/>
            <w:tcBorders>
              <w:bottom w:val="single" w:sz="8" w:color="68B8E5"/>
            </w:tcBorders>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96CBED"/>
              <w:right w:val="single" w:sz="8" w:color="auto"/>
            </w:tcBorders>
          </w:tcPr>
          <w:p>
            <w:pPr>
              <w:spacing w:after="0"/>
              <w:rPr>
                <w:sz w:val="17"/>
                <w:szCs w:val="17"/>
                <w:color w:val="auto"/>
              </w:rPr>
            </w:pPr>
          </w:p>
        </w:tc>
        <w:tc>
          <w:tcPr>
            <w:tcW w:w="1780" w:type="dxa"/>
            <w:vAlign w:val="bottom"/>
            <w:tcBorders>
              <w:bottom w:val="single" w:sz="8" w:color="96CBED"/>
            </w:tcBorders>
          </w:tcPr>
          <w:p>
            <w:pPr>
              <w:spacing w:after="0"/>
              <w:rPr>
                <w:sz w:val="17"/>
                <w:szCs w:val="17"/>
                <w:color w:val="auto"/>
              </w:rPr>
            </w:pPr>
          </w:p>
        </w:tc>
        <w:tc>
          <w:tcPr>
            <w:tcW w:w="20" w:type="dxa"/>
            <w:vAlign w:val="bottom"/>
            <w:tcBorders>
              <w:bottom w:val="single" w:sz="8" w:color="96CBED"/>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60" w:type="dxa"/>
            <w:vAlign w:val="bottom"/>
            <w:tcBorders>
              <w:left w:val="single" w:sz="8" w:color="00A1DF"/>
              <w:right w:val="single" w:sz="8" w:color="00A1DF"/>
            </w:tcBorders>
            <w:gridSpan w:val="2"/>
          </w:tcPr>
          <w:p>
            <w:pPr>
              <w:jc w:val="center"/>
              <w:spacing w:after="0"/>
              <w:rPr>
                <w:sz w:val="20"/>
                <w:szCs w:val="20"/>
                <w:color w:val="auto"/>
              </w:rPr>
            </w:pPr>
            <w:r>
              <w:rPr>
                <w:rFonts w:ascii="Arial" w:cs="Arial" w:eastAsia="Arial" w:hAnsi="Arial"/>
                <w:sz w:val="14"/>
                <w:szCs w:val="14"/>
                <w:b w:val="1"/>
                <w:bCs w:val="1"/>
                <w:color w:val="auto"/>
              </w:rPr>
              <w:t>Adjusted</w:t>
            </w:r>
          </w:p>
        </w:tc>
        <w:tc>
          <w:tcPr>
            <w:tcW w:w="240" w:type="dxa"/>
            <w:vAlign w:val="bottom"/>
            <w:tcBorders>
              <w:right w:val="single" w:sz="8" w:color="00A1DF"/>
            </w:tcBorders>
          </w:tcPr>
          <w:p>
            <w:pPr>
              <w:spacing w:after="0"/>
              <w:rPr>
                <w:sz w:val="15"/>
                <w:szCs w:val="15"/>
                <w:color w:val="auto"/>
              </w:rPr>
            </w:pPr>
          </w:p>
        </w:tc>
        <w:tc>
          <w:tcPr>
            <w:tcW w:w="1120" w:type="dxa"/>
            <w:vAlign w:val="bottom"/>
            <w:tcBorders>
              <w:right w:val="single" w:sz="8" w:color="00A1DF"/>
            </w:tcBorders>
            <w:gridSpan w:val="2"/>
          </w:tcPr>
          <w:p>
            <w:pPr>
              <w:jc w:val="center"/>
              <w:ind w:right="20"/>
              <w:spacing w:after="0"/>
              <w:rPr>
                <w:sz w:val="20"/>
                <w:szCs w:val="20"/>
                <w:color w:val="auto"/>
              </w:rPr>
            </w:pPr>
            <w:r>
              <w:rPr>
                <w:rFonts w:ascii="Arial" w:cs="Arial" w:eastAsia="Arial" w:hAnsi="Arial"/>
                <w:sz w:val="14"/>
                <w:szCs w:val="14"/>
                <w:b w:val="1"/>
                <w:bCs w:val="1"/>
                <w:color w:val="auto"/>
              </w:rPr>
              <w:t>Free</w:t>
            </w:r>
          </w:p>
        </w:tc>
        <w:tc>
          <w:tcPr>
            <w:tcW w:w="240" w:type="dxa"/>
            <w:vAlign w:val="bottom"/>
            <w:tcBorders>
              <w:right w:val="single" w:sz="8" w:color="00A1DF"/>
            </w:tcBorders>
          </w:tcPr>
          <w:p>
            <w:pPr>
              <w:spacing w:after="0"/>
              <w:rPr>
                <w:sz w:val="15"/>
                <w:szCs w:val="15"/>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Revenue</w:t>
            </w:r>
          </w:p>
        </w:tc>
        <w:tc>
          <w:tcPr>
            <w:tcW w:w="240" w:type="dxa"/>
            <w:vAlign w:val="bottom"/>
            <w:tcBorders>
              <w:left w:val="single" w:sz="8" w:color="00A1DF"/>
              <w:right w:val="single" w:sz="8" w:color="68B8E5"/>
            </w:tcBorders>
          </w:tcPr>
          <w:p>
            <w:pPr>
              <w:spacing w:after="0"/>
              <w:rPr>
                <w:sz w:val="15"/>
                <w:szCs w:val="15"/>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Customer Experience, Product Churn, Peacock</w:t>
            </w:r>
          </w:p>
        </w:tc>
        <w:tc>
          <w:tcPr>
            <w:tcW w:w="220" w:type="dxa"/>
            <w:vAlign w:val="bottom"/>
            <w:tcBorders>
              <w:left w:val="single" w:sz="8" w:color="68B8E5"/>
              <w:right w:val="single" w:sz="8" w:color="96CBED"/>
            </w:tcBorders>
          </w:tcPr>
          <w:p>
            <w:pPr>
              <w:spacing w:after="0"/>
              <w:rPr>
                <w:sz w:val="15"/>
                <w:szCs w:val="15"/>
                <w:color w:val="auto"/>
              </w:rPr>
            </w:pPr>
          </w:p>
        </w:tc>
        <w:tc>
          <w:tcPr>
            <w:tcW w:w="3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Bridging the Digital Divide, Diversity, Equity and</w:t>
            </w:r>
          </w:p>
        </w:tc>
        <w:tc>
          <w:tcPr>
            <w:tcW w:w="20" w:type="dxa"/>
            <w:vAlign w:val="bottom"/>
            <w:shd w:val="clear" w:color="auto" w:fill="96CBED"/>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00A1DF"/>
              <w:right w:val="single" w:sz="8" w:color="00A1DF"/>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9"/>
              </w:rPr>
              <w:t>EBITDA</w:t>
            </w:r>
          </w:p>
        </w:tc>
        <w:tc>
          <w:tcPr>
            <w:tcW w:w="240" w:type="dxa"/>
            <w:vAlign w:val="bottom"/>
            <w:tcBorders>
              <w:right w:val="single" w:sz="8" w:color="00A1DF"/>
            </w:tcBorders>
          </w:tcPr>
          <w:p>
            <w:pPr>
              <w:spacing w:after="0"/>
              <w:rPr>
                <w:sz w:val="7"/>
                <w:szCs w:val="7"/>
                <w:color w:val="auto"/>
              </w:rPr>
            </w:pPr>
          </w:p>
        </w:tc>
        <w:tc>
          <w:tcPr>
            <w:tcW w:w="1120" w:type="dxa"/>
            <w:vAlign w:val="bottom"/>
            <w:tcBorders>
              <w:right w:val="single" w:sz="8" w:color="00A1DF"/>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Cash Flow</w:t>
            </w:r>
          </w:p>
        </w:tc>
        <w:tc>
          <w:tcPr>
            <w:tcW w:w="240" w:type="dxa"/>
            <w:vAlign w:val="bottom"/>
            <w:tcBorders>
              <w:right w:val="single" w:sz="8" w:color="00A1DF"/>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40" w:type="dxa"/>
            <w:vAlign w:val="bottom"/>
            <w:tcBorders>
              <w:left w:val="single" w:sz="8" w:color="00A1DF"/>
              <w:right w:val="single" w:sz="8" w:color="68B8E5"/>
            </w:tcBorders>
          </w:tcPr>
          <w:p>
            <w:pPr>
              <w:spacing w:after="0"/>
              <w:rPr>
                <w:sz w:val="7"/>
                <w:szCs w:val="7"/>
                <w:color w:val="auto"/>
              </w:rPr>
            </w:pPr>
          </w:p>
        </w:tc>
        <w:tc>
          <w:tcPr>
            <w:tcW w:w="3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User Growth, Flex Rollout, Xfinity Mobile</w:t>
            </w:r>
          </w:p>
        </w:tc>
        <w:tc>
          <w:tcPr>
            <w:tcW w:w="220" w:type="dxa"/>
            <w:vAlign w:val="bottom"/>
            <w:tcBorders>
              <w:left w:val="single" w:sz="8" w:color="68B8E5"/>
              <w:right w:val="single" w:sz="8" w:color="96CBED"/>
            </w:tcBorders>
          </w:tcPr>
          <w:p>
            <w:pPr>
              <w:spacing w:after="0"/>
              <w:rPr>
                <w:sz w:val="7"/>
                <w:szCs w:val="7"/>
                <w:color w:val="auto"/>
              </w:rPr>
            </w:pPr>
          </w:p>
        </w:tc>
        <w:tc>
          <w:tcPr>
            <w:tcW w:w="3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Inclusion, Environmental Sustainability &amp; Company</w:t>
            </w:r>
          </w:p>
        </w:tc>
        <w:tc>
          <w:tcPr>
            <w:tcW w:w="20" w:type="dxa"/>
            <w:vAlign w:val="bottom"/>
            <w:shd w:val="clear" w:color="auto" w:fill="96CB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00A1DF"/>
              <w:right w:val="single" w:sz="8" w:color="00A1DF"/>
            </w:tcBorders>
            <w:gridSpan w:val="2"/>
            <w:vMerge w:val="continue"/>
          </w:tcPr>
          <w:p>
            <w:pPr>
              <w:spacing w:after="0"/>
              <w:rPr>
                <w:sz w:val="7"/>
                <w:szCs w:val="7"/>
                <w:color w:val="auto"/>
              </w:rPr>
            </w:pPr>
          </w:p>
        </w:tc>
        <w:tc>
          <w:tcPr>
            <w:tcW w:w="240" w:type="dxa"/>
            <w:vAlign w:val="bottom"/>
            <w:tcBorders>
              <w:right w:val="single" w:sz="8" w:color="00A1DF"/>
            </w:tcBorders>
          </w:tcPr>
          <w:p>
            <w:pPr>
              <w:spacing w:after="0"/>
              <w:rPr>
                <w:sz w:val="7"/>
                <w:szCs w:val="7"/>
                <w:color w:val="auto"/>
              </w:rPr>
            </w:pPr>
          </w:p>
        </w:tc>
        <w:tc>
          <w:tcPr>
            <w:tcW w:w="1120" w:type="dxa"/>
            <w:vAlign w:val="bottom"/>
            <w:tcBorders>
              <w:right w:val="single" w:sz="8" w:color="00A1DF"/>
            </w:tcBorders>
            <w:gridSpan w:val="2"/>
            <w:vMerge w:val="continue"/>
          </w:tcPr>
          <w:p>
            <w:pPr>
              <w:spacing w:after="0"/>
              <w:rPr>
                <w:sz w:val="7"/>
                <w:szCs w:val="7"/>
                <w:color w:val="auto"/>
              </w:rPr>
            </w:pPr>
          </w:p>
        </w:tc>
        <w:tc>
          <w:tcPr>
            <w:tcW w:w="240" w:type="dxa"/>
            <w:vAlign w:val="bottom"/>
            <w:tcBorders>
              <w:right w:val="single" w:sz="8" w:color="00A1DF"/>
            </w:tcBorders>
          </w:tcPr>
          <w:p>
            <w:pPr>
              <w:spacing w:after="0"/>
              <w:rPr>
                <w:sz w:val="7"/>
                <w:szCs w:val="7"/>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(7%)</w:t>
            </w:r>
          </w:p>
        </w:tc>
        <w:tc>
          <w:tcPr>
            <w:tcW w:w="240" w:type="dxa"/>
            <w:vAlign w:val="bottom"/>
            <w:tcBorders>
              <w:left w:val="single" w:sz="8" w:color="00A1DF"/>
              <w:right w:val="single" w:sz="8" w:color="68B8E5"/>
            </w:tcBorders>
          </w:tcPr>
          <w:p>
            <w:pPr>
              <w:spacing w:after="0"/>
              <w:rPr>
                <w:sz w:val="7"/>
                <w:szCs w:val="7"/>
                <w:color w:val="auto"/>
              </w:rPr>
            </w:pPr>
          </w:p>
        </w:tc>
        <w:tc>
          <w:tcPr>
            <w:tcW w:w="3340" w:type="dxa"/>
            <w:vAlign w:val="bottom"/>
            <w:gridSpan w:val="2"/>
            <w:vMerge w:val="continue"/>
          </w:tcPr>
          <w:p>
            <w:pPr>
              <w:spacing w:after="0"/>
              <w:rPr>
                <w:sz w:val="7"/>
                <w:szCs w:val="7"/>
                <w:color w:val="auto"/>
              </w:rPr>
            </w:pPr>
          </w:p>
        </w:tc>
        <w:tc>
          <w:tcPr>
            <w:tcW w:w="220" w:type="dxa"/>
            <w:vAlign w:val="bottom"/>
            <w:tcBorders>
              <w:left w:val="single" w:sz="8" w:color="68B8E5"/>
              <w:right w:val="single" w:sz="8" w:color="96CBED"/>
            </w:tcBorders>
          </w:tcPr>
          <w:p>
            <w:pPr>
              <w:spacing w:after="0"/>
              <w:rPr>
                <w:sz w:val="7"/>
                <w:szCs w:val="7"/>
                <w:color w:val="auto"/>
              </w:rPr>
            </w:pPr>
          </w:p>
        </w:tc>
        <w:tc>
          <w:tcPr>
            <w:tcW w:w="3580" w:type="dxa"/>
            <w:vAlign w:val="bottom"/>
            <w:gridSpan w:val="2"/>
            <w:vMerge w:val="continue"/>
          </w:tcPr>
          <w:p>
            <w:pPr>
              <w:spacing w:after="0"/>
              <w:rPr>
                <w:sz w:val="7"/>
                <w:szCs w:val="7"/>
                <w:color w:val="auto"/>
              </w:rPr>
            </w:pPr>
          </w:p>
        </w:tc>
        <w:tc>
          <w:tcPr>
            <w:tcW w:w="20" w:type="dxa"/>
            <w:vAlign w:val="bottom"/>
            <w:shd w:val="clear" w:color="auto" w:fill="96CBED"/>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60" w:type="dxa"/>
            <w:vAlign w:val="bottom"/>
            <w:tcBorders>
              <w:left w:val="single" w:sz="8" w:color="00A1DF"/>
              <w:right w:val="single" w:sz="8" w:color="00A1DF"/>
            </w:tcBorders>
            <w:gridSpan w:val="2"/>
            <w:vMerge w:val="restart"/>
          </w:tcPr>
          <w:p>
            <w:pPr>
              <w:jc w:val="center"/>
              <w:spacing w:after="0"/>
              <w:rPr>
                <w:sz w:val="20"/>
                <w:szCs w:val="20"/>
                <w:color w:val="auto"/>
              </w:rPr>
            </w:pPr>
            <w:r>
              <w:rPr>
                <w:rFonts w:ascii="Arial" w:cs="Arial" w:eastAsia="Arial" w:hAnsi="Arial"/>
                <w:sz w:val="14"/>
                <w:szCs w:val="14"/>
                <w:b w:val="1"/>
                <w:bCs w:val="1"/>
                <w:color w:val="auto"/>
              </w:rPr>
              <w:t>(35%)</w:t>
            </w:r>
          </w:p>
        </w:tc>
        <w:tc>
          <w:tcPr>
            <w:tcW w:w="240" w:type="dxa"/>
            <w:vAlign w:val="bottom"/>
            <w:tcBorders>
              <w:right w:val="single" w:sz="8" w:color="00A1DF"/>
            </w:tcBorders>
          </w:tcPr>
          <w:p>
            <w:pPr>
              <w:spacing w:after="0"/>
              <w:rPr>
                <w:sz w:val="10"/>
                <w:szCs w:val="10"/>
                <w:color w:val="auto"/>
              </w:rPr>
            </w:pPr>
          </w:p>
        </w:tc>
        <w:tc>
          <w:tcPr>
            <w:tcW w:w="1120" w:type="dxa"/>
            <w:vAlign w:val="bottom"/>
            <w:tcBorders>
              <w:right w:val="single" w:sz="8" w:color="00A1DF"/>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(28%)</w:t>
            </w:r>
          </w:p>
        </w:tc>
        <w:tc>
          <w:tcPr>
            <w:tcW w:w="240" w:type="dxa"/>
            <w:vAlign w:val="bottom"/>
            <w:tcBorders>
              <w:right w:val="single" w:sz="8" w:color="00A1DF"/>
            </w:tcBorders>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40" w:type="dxa"/>
            <w:vAlign w:val="bottom"/>
            <w:tcBorders>
              <w:left w:val="single" w:sz="8" w:color="00A1DF"/>
              <w:right w:val="single" w:sz="8" w:color="68B8E5"/>
            </w:tcBorders>
          </w:tcPr>
          <w:p>
            <w:pPr>
              <w:spacing w:after="0"/>
              <w:rPr>
                <w:sz w:val="10"/>
                <w:szCs w:val="10"/>
                <w:color w:val="auto"/>
              </w:rPr>
            </w:pPr>
          </w:p>
        </w:tc>
        <w:tc>
          <w:tcPr>
            <w:tcW w:w="3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Performance &amp; Organizational Collaboration</w:t>
            </w:r>
          </w:p>
        </w:tc>
        <w:tc>
          <w:tcPr>
            <w:tcW w:w="220" w:type="dxa"/>
            <w:vAlign w:val="bottom"/>
            <w:tcBorders>
              <w:left w:val="single" w:sz="8" w:color="68B8E5"/>
              <w:right w:val="single" w:sz="8" w:color="96CBED"/>
            </w:tcBorders>
          </w:tcPr>
          <w:p>
            <w:pPr>
              <w:spacing w:after="0"/>
              <w:rPr>
                <w:sz w:val="10"/>
                <w:szCs w:val="10"/>
                <w:color w:val="auto"/>
              </w:rPr>
            </w:pPr>
          </w:p>
        </w:tc>
        <w:tc>
          <w:tcPr>
            <w:tcW w:w="3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Culture</w:t>
            </w:r>
          </w:p>
        </w:tc>
        <w:tc>
          <w:tcPr>
            <w:tcW w:w="20" w:type="dxa"/>
            <w:vAlign w:val="bottom"/>
            <w:shd w:val="clear" w:color="auto" w:fill="96CBED"/>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160" w:type="dxa"/>
            <w:vAlign w:val="bottom"/>
            <w:tcBorders>
              <w:left w:val="single" w:sz="8" w:color="00A1DF"/>
              <w:bottom w:val="single" w:sz="8" w:color="00A1DF"/>
              <w:right w:val="single" w:sz="8" w:color="00A1DF"/>
            </w:tcBorders>
            <w:gridSpan w:val="2"/>
            <w:vMerge w:val="continue"/>
          </w:tcPr>
          <w:p>
            <w:pPr>
              <w:spacing w:after="0"/>
              <w:rPr>
                <w:sz w:val="7"/>
                <w:szCs w:val="7"/>
                <w:color w:val="auto"/>
              </w:rPr>
            </w:pPr>
          </w:p>
        </w:tc>
        <w:tc>
          <w:tcPr>
            <w:tcW w:w="240" w:type="dxa"/>
            <w:vAlign w:val="bottom"/>
            <w:tcBorders>
              <w:right w:val="single" w:sz="8" w:color="00A1DF"/>
            </w:tcBorders>
          </w:tcPr>
          <w:p>
            <w:pPr>
              <w:spacing w:after="0"/>
              <w:rPr>
                <w:sz w:val="7"/>
                <w:szCs w:val="7"/>
                <w:color w:val="auto"/>
              </w:rPr>
            </w:pPr>
          </w:p>
        </w:tc>
        <w:tc>
          <w:tcPr>
            <w:tcW w:w="1120" w:type="dxa"/>
            <w:vAlign w:val="bottom"/>
            <w:tcBorders>
              <w:bottom w:val="single" w:sz="8" w:color="00A1DF"/>
              <w:right w:val="single" w:sz="8" w:color="00A1DF"/>
            </w:tcBorders>
            <w:gridSpan w:val="2"/>
            <w:vMerge w:val="continue"/>
          </w:tcPr>
          <w:p>
            <w:pPr>
              <w:spacing w:after="0"/>
              <w:rPr>
                <w:sz w:val="7"/>
                <w:szCs w:val="7"/>
                <w:color w:val="auto"/>
              </w:rPr>
            </w:pPr>
          </w:p>
        </w:tc>
        <w:tc>
          <w:tcPr>
            <w:tcW w:w="240" w:type="dxa"/>
            <w:vAlign w:val="bottom"/>
            <w:tcBorders>
              <w:right w:val="single" w:sz="8" w:color="00A1DF"/>
            </w:tcBorders>
          </w:tcPr>
          <w:p>
            <w:pPr>
              <w:spacing w:after="0"/>
              <w:rPr>
                <w:sz w:val="7"/>
                <w:szCs w:val="7"/>
                <w:color w:val="auto"/>
              </w:rPr>
            </w:pPr>
          </w:p>
        </w:tc>
        <w:tc>
          <w:tcPr>
            <w:tcW w:w="560" w:type="dxa"/>
            <w:vAlign w:val="bottom"/>
            <w:tcBorders>
              <w:bottom w:val="single" w:sz="8" w:color="00A1DF"/>
            </w:tcBorders>
          </w:tcPr>
          <w:p>
            <w:pPr>
              <w:spacing w:after="0"/>
              <w:rPr>
                <w:sz w:val="7"/>
                <w:szCs w:val="7"/>
                <w:color w:val="auto"/>
              </w:rPr>
            </w:pPr>
          </w:p>
        </w:tc>
        <w:tc>
          <w:tcPr>
            <w:tcW w:w="540" w:type="dxa"/>
            <w:vAlign w:val="bottom"/>
            <w:tcBorders>
              <w:bottom w:val="single" w:sz="8" w:color="00A1DF"/>
            </w:tcBorders>
          </w:tcPr>
          <w:p>
            <w:pPr>
              <w:spacing w:after="0"/>
              <w:rPr>
                <w:sz w:val="7"/>
                <w:szCs w:val="7"/>
                <w:color w:val="auto"/>
              </w:rPr>
            </w:pPr>
          </w:p>
        </w:tc>
        <w:tc>
          <w:tcPr>
            <w:tcW w:w="240" w:type="dxa"/>
            <w:vAlign w:val="bottom"/>
            <w:tcBorders>
              <w:left w:val="single" w:sz="8" w:color="00A1DF"/>
              <w:right w:val="single" w:sz="8" w:color="68B8E5"/>
            </w:tcBorders>
          </w:tcPr>
          <w:p>
            <w:pPr>
              <w:spacing w:after="0"/>
              <w:rPr>
                <w:sz w:val="7"/>
                <w:szCs w:val="7"/>
                <w:color w:val="auto"/>
              </w:rPr>
            </w:pPr>
          </w:p>
        </w:tc>
        <w:tc>
          <w:tcPr>
            <w:tcW w:w="3340" w:type="dxa"/>
            <w:vAlign w:val="bottom"/>
            <w:tcBorders>
              <w:bottom w:val="single" w:sz="8" w:color="68B8E5"/>
            </w:tcBorders>
            <w:gridSpan w:val="2"/>
            <w:vMerge w:val="continue"/>
          </w:tcPr>
          <w:p>
            <w:pPr>
              <w:spacing w:after="0"/>
              <w:rPr>
                <w:sz w:val="7"/>
                <w:szCs w:val="7"/>
                <w:color w:val="auto"/>
              </w:rPr>
            </w:pPr>
          </w:p>
        </w:tc>
        <w:tc>
          <w:tcPr>
            <w:tcW w:w="220" w:type="dxa"/>
            <w:vAlign w:val="bottom"/>
            <w:tcBorders>
              <w:left w:val="single" w:sz="8" w:color="68B8E5"/>
              <w:right w:val="single" w:sz="8" w:color="96CBED"/>
            </w:tcBorders>
          </w:tcPr>
          <w:p>
            <w:pPr>
              <w:spacing w:after="0"/>
              <w:rPr>
                <w:sz w:val="7"/>
                <w:szCs w:val="7"/>
                <w:color w:val="auto"/>
              </w:rPr>
            </w:pPr>
          </w:p>
        </w:tc>
        <w:tc>
          <w:tcPr>
            <w:tcW w:w="3580" w:type="dxa"/>
            <w:vAlign w:val="bottom"/>
            <w:tcBorders>
              <w:bottom w:val="single" w:sz="8" w:color="96CBED"/>
            </w:tcBorders>
            <w:gridSpan w:val="2"/>
            <w:vMerge w:val="continue"/>
          </w:tcPr>
          <w:p>
            <w:pPr>
              <w:spacing w:after="0"/>
              <w:rPr>
                <w:sz w:val="7"/>
                <w:szCs w:val="7"/>
                <w:color w:val="auto"/>
              </w:rPr>
            </w:pPr>
          </w:p>
        </w:tc>
        <w:tc>
          <w:tcPr>
            <w:tcW w:w="20" w:type="dxa"/>
            <w:vAlign w:val="bottom"/>
            <w:tcBorders>
              <w:bottom w:val="single" w:sz="8" w:color="96CBED"/>
            </w:tcBorders>
            <w:shd w:val="clear" w:color="auto" w:fill="96CBED"/>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right="660" w:hanging="212"/>
        <w:spacing w:after="0" w:line="285"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Messrs. Watson and Shell and Ms. Strong, the same financial metrics and weightings apply, calculated 50% at the Comcast consolidated level and 50% at their respective business unit level.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2021 Financial Metrics and Results</w:t>
      </w:r>
    </w:p>
    <w:p>
      <w:pPr>
        <w:spacing w:after="0" w:line="216"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performance ranges below were used as the financial performance metrics for the NEOs’ 2021 target bonus. Achievement for each financial metric would be zero if performance is below the minimum threshold of the metric’s range, with potential payouts ranging from 14% if achievement for all three financial metrics is at the low end of the range to a maximum of 140% for achievement of all three metrics at the top end of the range. See “2021 Performance” above for a description of our Company’s strong financial performance in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20" w:type="dxa"/>
            <w:vAlign w:val="bottom"/>
          </w:tcPr>
          <w:p>
            <w:pPr>
              <w:spacing w:after="0"/>
              <w:rPr>
                <w:sz w:val="23"/>
                <w:szCs w:val="23"/>
                <w:color w:val="auto"/>
              </w:rPr>
            </w:pPr>
          </w:p>
        </w:tc>
        <w:tc>
          <w:tcPr>
            <w:tcW w:w="5140" w:type="dxa"/>
            <w:vAlign w:val="bottom"/>
          </w:tcPr>
          <w:p>
            <w:pPr>
              <w:jc w:val="right"/>
              <w:ind w:right="123"/>
              <w:spacing w:after="0"/>
              <w:rPr>
                <w:sz w:val="20"/>
                <w:szCs w:val="20"/>
                <w:color w:val="auto"/>
              </w:rPr>
            </w:pPr>
            <w:r>
              <w:rPr>
                <w:rFonts w:ascii="Arial" w:cs="Arial" w:eastAsia="Arial" w:hAnsi="Arial"/>
                <w:sz w:val="14"/>
                <w:szCs w:val="14"/>
                <w:b w:val="1"/>
                <w:bCs w:val="1"/>
                <w:color w:val="auto"/>
              </w:rPr>
              <w:t>PERFORMANCE RANGE</w:t>
            </w:r>
            <w:r>
              <w:rPr>
                <w:rFonts w:ascii="Arial" w:cs="Arial" w:eastAsia="Arial" w:hAnsi="Arial"/>
                <w:sz w:val="23"/>
                <w:szCs w:val="23"/>
                <w:b w:val="1"/>
                <w:bCs w:val="1"/>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ACTUAL</w:t>
            </w:r>
          </w:p>
        </w:tc>
      </w:tr>
      <w:tr>
        <w:trPr>
          <w:trHeight w:val="223"/>
        </w:trPr>
        <w:tc>
          <w:tcPr>
            <w:tcW w:w="45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 IN BILLIONS)</w:t>
            </w:r>
          </w:p>
        </w:tc>
        <w:tc>
          <w:tcPr>
            <w:tcW w:w="1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4"/>
                <w:szCs w:val="14"/>
                <w:b w:val="1"/>
                <w:bCs w:val="1"/>
                <w:color w:val="auto"/>
              </w:rPr>
              <w:t>ACHIEVEMENT</w:t>
            </w:r>
            <w:r>
              <w:rPr>
                <w:rFonts w:ascii="Arial" w:cs="Arial" w:eastAsia="Arial" w:hAnsi="Arial"/>
                <w:sz w:val="23"/>
                <w:szCs w:val="23"/>
                <w:b w:val="1"/>
                <w:bCs w:val="1"/>
                <w:color w:val="auto"/>
                <w:vertAlign w:val="superscript"/>
              </w:rPr>
              <w:t>(2)(3)</w:t>
            </w:r>
          </w:p>
        </w:tc>
      </w:tr>
      <w:tr>
        <w:trPr>
          <w:trHeight w:val="239"/>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Adjusted EBITDA</w:t>
            </w:r>
          </w:p>
        </w:tc>
        <w:tc>
          <w:tcPr>
            <w:tcW w:w="51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29.725 – 32.853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6"/>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Free Cash Flow</w:t>
            </w:r>
          </w:p>
        </w:tc>
        <w:tc>
          <w:tcPr>
            <w:tcW w:w="51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8.439 – 11.417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Revenue</w:t>
            </w:r>
          </w:p>
        </w:tc>
        <w:tc>
          <w:tcPr>
            <w:tcW w:w="51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107.114 – 118.390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bl>
    <w:p>
      <w:pPr>
        <w:spacing w:after="0" w:line="40"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Amounts reflected are on a consolidated basis and have been adjusted to reflect Sky results on a constant currency basis.</w:t>
      </w:r>
    </w:p>
    <w:p>
      <w:pPr>
        <w:spacing w:after="0" w:line="120" w:lineRule="exact"/>
        <w:rPr>
          <w:rFonts w:ascii="Arial" w:cs="Arial" w:eastAsia="Arial" w:hAnsi="Arial"/>
          <w:sz w:val="24"/>
          <w:szCs w:val="24"/>
          <w:color w:val="auto"/>
          <w:vertAlign w:val="superscript"/>
        </w:rPr>
      </w:pPr>
    </w:p>
    <w:p>
      <w:pPr>
        <w:ind w:left="300" w:right="520" w:hanging="292"/>
        <w:spacing w:after="0" w:line="185" w:lineRule="auto"/>
        <w:tabs>
          <w:tab w:leader="none" w:pos="30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Achievement percentages are interpolated linearly between specified achievement levels and are presented based on the maximum weighted levels of achievement described in the section immediately above.</w:t>
      </w:r>
    </w:p>
    <w:p>
      <w:pPr>
        <w:spacing w:after="0" w:line="108" w:lineRule="exact"/>
        <w:rPr>
          <w:rFonts w:ascii="Arial" w:cs="Arial" w:eastAsia="Arial" w:hAnsi="Arial"/>
          <w:sz w:val="24"/>
          <w:szCs w:val="24"/>
          <w:color w:val="auto"/>
          <w:vertAlign w:val="superscript"/>
        </w:rPr>
      </w:pPr>
    </w:p>
    <w:p>
      <w:pPr>
        <w:jc w:val="both"/>
        <w:ind w:left="300" w:right="320" w:hanging="292"/>
        <w:spacing w:after="0" w:line="206" w:lineRule="auto"/>
        <w:tabs>
          <w:tab w:leader="none" w:pos="30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Because Messrs. Watson and Shell and Ms. Strong’s annual cash bonus was based 50% on the above consolidated financial metrics and 50% on the same metrics for their respective business unit levels, their respective achievement for all the financial metrics (on a combined basis) varied as follows: Watson: 135%; Shell: 137%; and Strong: 121%.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93"/>
        </w:trPr>
        <w:tc>
          <w:tcPr>
            <w:tcW w:w="10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setting financial metrics for 2021, the Compensation and Human Capital Committee and management were mindful of the inherent uncertainty regarding the extent and duration of potential continued negative impacts of COVID-19 on our businesses. However, as vaccination rates increased and restrictive government mandates subsided at various points throughout the course of 2021, the exceptional leadership of our NEOs helped our business operations and financial performance to rebound more quickly than expected as compared to 2020 performance. For example, as described above in “2021 Performance Overview,” our theme parks performed exceptionally well, with strong attendance and financial results as we adapted to find safe and creative ways to operate. Peacock, our streaming service that launched in mid-2020, beat our own internal monthly active account and revenue targets in 2021, and we continued to find innovative ways to monetize our intellectual property through new options for content licensing windows.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2021 Operating Performance Goals and Results</w:t>
      </w:r>
    </w:p>
    <w:p>
      <w:pPr>
        <w:spacing w:after="0" w:line="21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Operating performance goals accounted for 15% of the 2021 target annual bonus, with potential payouts ranging from 0% to 22.5%. The following goals and performance against those goals were evaluated by the Compensation and Human Capital Committee in determining that achievement could merit target payout levels. These considerations included both quantifiable outcomes as to whether we met or exceeded expectations of achievement and the Compensation and Human Capital Committee’s holistic evaluation of the NEOs’ performance, collectively and individually, in executing against strategic operational priorities as described immediately below and in “2021 NEO Performance.” Certain details about the performance of our operating goals are not disclosed due to competitive concerns.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GOALS</w:t>
            </w:r>
          </w:p>
        </w:tc>
        <w:tc>
          <w:tcPr>
            <w:tcW w:w="8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 PERFORMANCE CONSIDERATIONS</w:t>
            </w:r>
          </w:p>
        </w:tc>
        <w:tc>
          <w:tcPr>
            <w:tcW w:w="20" w:type="dxa"/>
            <w:vAlign w:val="bottom"/>
          </w:tcPr>
          <w:p>
            <w:pPr>
              <w:spacing w:after="0"/>
              <w:rPr>
                <w:sz w:val="17"/>
                <w:szCs w:val="17"/>
                <w:color w:val="auto"/>
              </w:rPr>
            </w:pPr>
          </w:p>
        </w:tc>
      </w:tr>
      <w:tr>
        <w:trPr>
          <w:trHeight w:val="202"/>
        </w:trPr>
        <w:tc>
          <w:tcPr>
            <w:tcW w:w="2520" w:type="dxa"/>
            <w:vAlign w:val="bottom"/>
            <w:shd w:val="clear" w:color="auto" w:fill="EAF2FA"/>
          </w:tcPr>
          <w:p>
            <w:pPr>
              <w:ind w:left="60"/>
              <w:spacing w:after="0"/>
              <w:rPr>
                <w:sz w:val="20"/>
                <w:szCs w:val="20"/>
                <w:color w:val="auto"/>
              </w:rPr>
            </w:pPr>
            <w:r>
              <w:rPr>
                <w:rFonts w:ascii="Arial" w:cs="Arial" w:eastAsia="Arial" w:hAnsi="Arial"/>
                <w:sz w:val="16"/>
                <w:szCs w:val="16"/>
                <w:b w:val="1"/>
                <w:bCs w:val="1"/>
                <w:color w:val="auto"/>
              </w:rPr>
              <w:t>Product Churn</w:t>
            </w: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Product churn relates to the stability of our cable customer base and customer net additions. Comcast Cable’s</w:t>
            </w:r>
          </w:p>
        </w:tc>
        <w:tc>
          <w:tcPr>
            <w:tcW w:w="20" w:type="dxa"/>
            <w:vAlign w:val="bottom"/>
          </w:tcPr>
          <w:p>
            <w:pPr>
              <w:spacing w:after="0"/>
              <w:rPr>
                <w:sz w:val="17"/>
                <w:szCs w:val="17"/>
                <w:color w:val="auto"/>
              </w:rPr>
            </w:pPr>
          </w:p>
        </w:tc>
      </w:tr>
      <w:tr>
        <w:trPr>
          <w:trHeight w:val="189"/>
        </w:trPr>
        <w:tc>
          <w:tcPr>
            <w:tcW w:w="2520" w:type="dxa"/>
            <w:vAlign w:val="bottom"/>
            <w:shd w:val="clear" w:color="auto" w:fill="EAF2FA"/>
          </w:tcPr>
          <w:p>
            <w:pPr>
              <w:spacing w:after="0"/>
              <w:rPr>
                <w:sz w:val="16"/>
                <w:szCs w:val="16"/>
                <w:color w:val="auto"/>
              </w:rPr>
            </w:pP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customer relationship net additions were driven by 1.3 million net new broadband customers in 2021, bringing total</w:t>
            </w:r>
          </w:p>
        </w:tc>
        <w:tc>
          <w:tcPr>
            <w:tcW w:w="20" w:type="dxa"/>
            <w:vAlign w:val="bottom"/>
          </w:tcPr>
          <w:p>
            <w:pPr>
              <w:spacing w:after="0"/>
              <w:rPr>
                <w:sz w:val="16"/>
                <w:szCs w:val="16"/>
                <w:color w:val="auto"/>
              </w:rPr>
            </w:pPr>
          </w:p>
        </w:tc>
      </w:tr>
      <w:tr>
        <w:trPr>
          <w:trHeight w:val="189"/>
        </w:trPr>
        <w:tc>
          <w:tcPr>
            <w:tcW w:w="2520" w:type="dxa"/>
            <w:vAlign w:val="bottom"/>
            <w:shd w:val="clear" w:color="auto" w:fill="EAF2FA"/>
          </w:tcPr>
          <w:p>
            <w:pPr>
              <w:spacing w:after="0"/>
              <w:rPr>
                <w:sz w:val="16"/>
                <w:szCs w:val="16"/>
                <w:color w:val="auto"/>
              </w:rPr>
            </w:pP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broadband subscribers to 31.9 million at year end. Customer churn, particularly in our U.S. broadband business and</w:t>
            </w:r>
          </w:p>
        </w:tc>
        <w:tc>
          <w:tcPr>
            <w:tcW w:w="20" w:type="dxa"/>
            <w:vAlign w:val="bottom"/>
          </w:tcPr>
          <w:p>
            <w:pPr>
              <w:spacing w:after="0"/>
              <w:rPr>
                <w:sz w:val="16"/>
                <w:szCs w:val="16"/>
                <w:color w:val="auto"/>
              </w:rPr>
            </w:pPr>
          </w:p>
        </w:tc>
      </w:tr>
      <w:tr>
        <w:trPr>
          <w:trHeight w:val="224"/>
        </w:trPr>
        <w:tc>
          <w:tcPr>
            <w:tcW w:w="2520" w:type="dxa"/>
            <w:vAlign w:val="bottom"/>
            <w:tcBorders>
              <w:bottom w:val="single" w:sz="8" w:color="auto"/>
            </w:tcBorders>
            <w:shd w:val="clear" w:color="auto" w:fill="EAF2FA"/>
          </w:tcPr>
          <w:p>
            <w:pPr>
              <w:spacing w:after="0"/>
              <w:rPr>
                <w:sz w:val="19"/>
                <w:szCs w:val="19"/>
                <w:color w:val="auto"/>
              </w:rPr>
            </w:pPr>
          </w:p>
        </w:tc>
        <w:tc>
          <w:tcPr>
            <w:tcW w:w="8720" w:type="dxa"/>
            <w:vAlign w:val="bottom"/>
            <w:tcBorders>
              <w:bottom w:val="single" w:sz="8" w:color="auto"/>
            </w:tcBorders>
            <w:shd w:val="clear" w:color="auto" w:fill="EAF2FA"/>
          </w:tcPr>
          <w:p>
            <w:pPr>
              <w:ind w:left="180"/>
              <w:spacing w:after="0"/>
              <w:rPr>
                <w:sz w:val="20"/>
                <w:szCs w:val="20"/>
                <w:color w:val="auto"/>
              </w:rPr>
            </w:pPr>
            <w:r>
              <w:rPr>
                <w:rFonts w:ascii="Arial" w:cs="Arial" w:eastAsia="Arial" w:hAnsi="Arial"/>
                <w:sz w:val="16"/>
                <w:szCs w:val="16"/>
                <w:color w:val="auto"/>
              </w:rPr>
              <w:t>in the United Kingdom at Sky, remained at historically low levels during 2021.</w:t>
            </w:r>
          </w:p>
        </w:tc>
        <w:tc>
          <w:tcPr>
            <w:tcW w:w="20" w:type="dxa"/>
            <w:vAlign w:val="bottom"/>
          </w:tcPr>
          <w:p>
            <w:pPr>
              <w:spacing w:after="0"/>
              <w:rPr>
                <w:sz w:val="19"/>
                <w:szCs w:val="19"/>
                <w:color w:val="auto"/>
              </w:rPr>
            </w:pPr>
          </w:p>
        </w:tc>
      </w:tr>
      <w:tr>
        <w:trPr>
          <w:trHeight w:val="202"/>
        </w:trPr>
        <w:tc>
          <w:tcPr>
            <w:tcW w:w="2520" w:type="dxa"/>
            <w:vAlign w:val="bottom"/>
          </w:tcPr>
          <w:p>
            <w:pPr>
              <w:ind w:left="60"/>
              <w:spacing w:after="0"/>
              <w:rPr>
                <w:sz w:val="20"/>
                <w:szCs w:val="20"/>
                <w:color w:val="auto"/>
              </w:rPr>
            </w:pPr>
            <w:r>
              <w:rPr>
                <w:rFonts w:ascii="Arial" w:cs="Arial" w:eastAsia="Arial" w:hAnsi="Arial"/>
                <w:sz w:val="16"/>
                <w:szCs w:val="16"/>
                <w:b w:val="1"/>
                <w:bCs w:val="1"/>
                <w:color w:val="auto"/>
              </w:rPr>
              <w:t>Peacock User Growth</w:t>
            </w:r>
          </w:p>
        </w:tc>
        <w:tc>
          <w:tcPr>
            <w:tcW w:w="8720" w:type="dxa"/>
            <w:vAlign w:val="bottom"/>
          </w:tcPr>
          <w:p>
            <w:pPr>
              <w:ind w:left="180"/>
              <w:spacing w:after="0"/>
              <w:rPr>
                <w:sz w:val="20"/>
                <w:szCs w:val="20"/>
                <w:color w:val="auto"/>
              </w:rPr>
            </w:pPr>
            <w:r>
              <w:rPr>
                <w:rFonts w:ascii="Arial" w:cs="Arial" w:eastAsia="Arial" w:hAnsi="Arial"/>
                <w:sz w:val="16"/>
                <w:szCs w:val="16"/>
                <w:color w:val="auto"/>
              </w:rPr>
              <w:t>Peacock continued its growth of monthly active accounts in the United States, ending 2021 with more accounts than</w:t>
            </w:r>
          </w:p>
        </w:tc>
        <w:tc>
          <w:tcPr>
            <w:tcW w:w="20" w:type="dxa"/>
            <w:vAlign w:val="bottom"/>
          </w:tcPr>
          <w:p>
            <w:pPr>
              <w:spacing w:after="0"/>
              <w:rPr>
                <w:sz w:val="17"/>
                <w:szCs w:val="17"/>
                <w:color w:val="auto"/>
              </w:rPr>
            </w:pPr>
          </w:p>
        </w:tc>
      </w:tr>
      <w:tr>
        <w:trPr>
          <w:trHeight w:val="189"/>
        </w:trPr>
        <w:tc>
          <w:tcPr>
            <w:tcW w:w="252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we had initially planned. We also plan to rollout Peacock content across Sky territories, and have begun providing Sky</w:t>
            </w:r>
          </w:p>
        </w:tc>
        <w:tc>
          <w:tcPr>
            <w:tcW w:w="20" w:type="dxa"/>
            <w:vAlign w:val="bottom"/>
          </w:tcPr>
          <w:p>
            <w:pPr>
              <w:spacing w:after="0"/>
              <w:rPr>
                <w:sz w:val="16"/>
                <w:szCs w:val="16"/>
                <w:color w:val="auto"/>
              </w:rPr>
            </w:pPr>
          </w:p>
        </w:tc>
      </w:tr>
      <w:tr>
        <w:trPr>
          <w:trHeight w:val="224"/>
        </w:trPr>
        <w:tc>
          <w:tcPr>
            <w:tcW w:w="25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customers in the United Kingdom and Ireland with early access to Peacock.</w:t>
            </w:r>
          </w:p>
        </w:tc>
        <w:tc>
          <w:tcPr>
            <w:tcW w:w="20" w:type="dxa"/>
            <w:vAlign w:val="bottom"/>
          </w:tcPr>
          <w:p>
            <w:pPr>
              <w:spacing w:after="0"/>
              <w:rPr>
                <w:sz w:val="19"/>
                <w:szCs w:val="19"/>
                <w:color w:val="auto"/>
              </w:rPr>
            </w:pPr>
          </w:p>
        </w:tc>
      </w:tr>
      <w:tr>
        <w:trPr>
          <w:trHeight w:val="202"/>
        </w:trPr>
        <w:tc>
          <w:tcPr>
            <w:tcW w:w="2520" w:type="dxa"/>
            <w:vAlign w:val="bottom"/>
            <w:shd w:val="clear" w:color="auto" w:fill="EAF2FA"/>
          </w:tcPr>
          <w:p>
            <w:pPr>
              <w:ind w:left="60"/>
              <w:spacing w:after="0"/>
              <w:rPr>
                <w:sz w:val="20"/>
                <w:szCs w:val="20"/>
                <w:color w:val="auto"/>
              </w:rPr>
            </w:pPr>
            <w:r>
              <w:rPr>
                <w:rFonts w:ascii="Arial" w:cs="Arial" w:eastAsia="Arial" w:hAnsi="Arial"/>
                <w:sz w:val="16"/>
                <w:szCs w:val="16"/>
                <w:b w:val="1"/>
                <w:bCs w:val="1"/>
                <w:color w:val="auto"/>
              </w:rPr>
              <w:t>Xfinity Mobile Performance</w:t>
            </w: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Comcast Cable wireless customer line net additions were 1.2 million, the best annual result since we launched Xfinity</w:t>
            </w:r>
          </w:p>
        </w:tc>
        <w:tc>
          <w:tcPr>
            <w:tcW w:w="20" w:type="dxa"/>
            <w:vAlign w:val="bottom"/>
          </w:tcPr>
          <w:p>
            <w:pPr>
              <w:spacing w:after="0"/>
              <w:rPr>
                <w:sz w:val="17"/>
                <w:szCs w:val="17"/>
                <w:color w:val="auto"/>
              </w:rPr>
            </w:pPr>
          </w:p>
        </w:tc>
      </w:tr>
      <w:tr>
        <w:trPr>
          <w:trHeight w:val="189"/>
        </w:trPr>
        <w:tc>
          <w:tcPr>
            <w:tcW w:w="2520" w:type="dxa"/>
            <w:vAlign w:val="bottom"/>
            <w:shd w:val="clear" w:color="auto" w:fill="EAF2FA"/>
          </w:tcPr>
          <w:p>
            <w:pPr>
              <w:spacing w:after="0"/>
              <w:rPr>
                <w:sz w:val="16"/>
                <w:szCs w:val="16"/>
                <w:color w:val="auto"/>
              </w:rPr>
            </w:pP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Mobile in 2017. Our wireless business also reached profitability on a standalone basis for the first time since it was</w:t>
            </w:r>
          </w:p>
        </w:tc>
        <w:tc>
          <w:tcPr>
            <w:tcW w:w="20" w:type="dxa"/>
            <w:vAlign w:val="bottom"/>
          </w:tcPr>
          <w:p>
            <w:pPr>
              <w:spacing w:after="0"/>
              <w:rPr>
                <w:sz w:val="16"/>
                <w:szCs w:val="16"/>
                <w:color w:val="auto"/>
              </w:rPr>
            </w:pPr>
          </w:p>
        </w:tc>
      </w:tr>
      <w:tr>
        <w:trPr>
          <w:trHeight w:val="224"/>
        </w:trPr>
        <w:tc>
          <w:tcPr>
            <w:tcW w:w="2520" w:type="dxa"/>
            <w:vAlign w:val="bottom"/>
            <w:tcBorders>
              <w:bottom w:val="single" w:sz="8" w:color="auto"/>
            </w:tcBorders>
            <w:shd w:val="clear" w:color="auto" w:fill="EAF2FA"/>
          </w:tcPr>
          <w:p>
            <w:pPr>
              <w:spacing w:after="0"/>
              <w:rPr>
                <w:sz w:val="19"/>
                <w:szCs w:val="19"/>
                <w:color w:val="auto"/>
              </w:rPr>
            </w:pPr>
          </w:p>
        </w:tc>
        <w:tc>
          <w:tcPr>
            <w:tcW w:w="8720" w:type="dxa"/>
            <w:vAlign w:val="bottom"/>
            <w:tcBorders>
              <w:bottom w:val="single" w:sz="8" w:color="auto"/>
            </w:tcBorders>
            <w:shd w:val="clear" w:color="auto" w:fill="EAF2FA"/>
          </w:tcPr>
          <w:p>
            <w:pPr>
              <w:ind w:left="180"/>
              <w:spacing w:after="0"/>
              <w:rPr>
                <w:sz w:val="20"/>
                <w:szCs w:val="20"/>
                <w:color w:val="auto"/>
              </w:rPr>
            </w:pPr>
            <w:r>
              <w:rPr>
                <w:rFonts w:ascii="Arial" w:cs="Arial" w:eastAsia="Arial" w:hAnsi="Arial"/>
                <w:sz w:val="16"/>
                <w:szCs w:val="16"/>
                <w:color w:val="auto"/>
              </w:rPr>
              <w:t>launched.</w:t>
            </w:r>
          </w:p>
        </w:tc>
        <w:tc>
          <w:tcPr>
            <w:tcW w:w="20" w:type="dxa"/>
            <w:vAlign w:val="bottom"/>
          </w:tcPr>
          <w:p>
            <w:pPr>
              <w:spacing w:after="0"/>
              <w:rPr>
                <w:sz w:val="19"/>
                <w:szCs w:val="19"/>
                <w:color w:val="auto"/>
              </w:rPr>
            </w:pPr>
          </w:p>
        </w:tc>
      </w:tr>
      <w:tr>
        <w:trPr>
          <w:trHeight w:val="202"/>
        </w:trPr>
        <w:tc>
          <w:tcPr>
            <w:tcW w:w="2520" w:type="dxa"/>
            <w:vAlign w:val="bottom"/>
          </w:tcPr>
          <w:p>
            <w:pPr>
              <w:ind w:left="60"/>
              <w:spacing w:after="0"/>
              <w:rPr>
                <w:sz w:val="20"/>
                <w:szCs w:val="20"/>
                <w:color w:val="auto"/>
              </w:rPr>
            </w:pPr>
            <w:r>
              <w:rPr>
                <w:rFonts w:ascii="Arial" w:cs="Arial" w:eastAsia="Arial" w:hAnsi="Arial"/>
                <w:sz w:val="16"/>
                <w:szCs w:val="16"/>
                <w:b w:val="1"/>
                <w:bCs w:val="1"/>
                <w:color w:val="auto"/>
              </w:rPr>
              <w:t>Customer Experience Metrics</w:t>
            </w:r>
          </w:p>
        </w:tc>
        <w:tc>
          <w:tcPr>
            <w:tcW w:w="8720" w:type="dxa"/>
            <w:vAlign w:val="bottom"/>
          </w:tcPr>
          <w:p>
            <w:pPr>
              <w:ind w:left="180"/>
              <w:spacing w:after="0"/>
              <w:rPr>
                <w:sz w:val="20"/>
                <w:szCs w:val="20"/>
                <w:color w:val="auto"/>
              </w:rPr>
            </w:pPr>
            <w:r>
              <w:rPr>
                <w:rFonts w:ascii="Arial" w:cs="Arial" w:eastAsia="Arial" w:hAnsi="Arial"/>
                <w:sz w:val="16"/>
                <w:szCs w:val="16"/>
                <w:color w:val="auto"/>
              </w:rPr>
              <w:t>Customer experience includes our relational net promoter score, unique contact rate and other customer experience</w:t>
            </w:r>
          </w:p>
        </w:tc>
        <w:tc>
          <w:tcPr>
            <w:tcW w:w="20" w:type="dxa"/>
            <w:vAlign w:val="bottom"/>
          </w:tcPr>
          <w:p>
            <w:pPr>
              <w:spacing w:after="0"/>
              <w:rPr>
                <w:sz w:val="17"/>
                <w:szCs w:val="17"/>
                <w:color w:val="auto"/>
              </w:rPr>
            </w:pPr>
          </w:p>
        </w:tc>
      </w:tr>
      <w:tr>
        <w:trPr>
          <w:trHeight w:val="189"/>
        </w:trPr>
        <w:tc>
          <w:tcPr>
            <w:tcW w:w="252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metrics. In 2021, our agent-handled calls were reduced by 14%, truck rolls were reduced by 18%, and our net</w:t>
            </w:r>
          </w:p>
        </w:tc>
        <w:tc>
          <w:tcPr>
            <w:tcW w:w="20" w:type="dxa"/>
            <w:vAlign w:val="bottom"/>
          </w:tcPr>
          <w:p>
            <w:pPr>
              <w:spacing w:after="0"/>
              <w:rPr>
                <w:sz w:val="16"/>
                <w:szCs w:val="16"/>
                <w:color w:val="auto"/>
              </w:rPr>
            </w:pPr>
          </w:p>
        </w:tc>
      </w:tr>
      <w:tr>
        <w:trPr>
          <w:trHeight w:val="189"/>
        </w:trPr>
        <w:tc>
          <w:tcPr>
            <w:tcW w:w="252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promoter scores increased by 20% — collectively showing that our self-help tools and processes continue to improve</w:t>
            </w:r>
          </w:p>
        </w:tc>
        <w:tc>
          <w:tcPr>
            <w:tcW w:w="20" w:type="dxa"/>
            <w:vAlign w:val="bottom"/>
          </w:tcPr>
          <w:p>
            <w:pPr>
              <w:spacing w:after="0"/>
              <w:rPr>
                <w:sz w:val="16"/>
                <w:szCs w:val="16"/>
                <w:color w:val="auto"/>
              </w:rPr>
            </w:pPr>
          </w:p>
        </w:tc>
      </w:tr>
      <w:tr>
        <w:trPr>
          <w:trHeight w:val="224"/>
        </w:trPr>
        <w:tc>
          <w:tcPr>
            <w:tcW w:w="25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customer experience metrics.</w:t>
            </w:r>
          </w:p>
        </w:tc>
        <w:tc>
          <w:tcPr>
            <w:tcW w:w="20" w:type="dxa"/>
            <w:vAlign w:val="bottom"/>
          </w:tcPr>
          <w:p>
            <w:pPr>
              <w:spacing w:after="0"/>
              <w:rPr>
                <w:sz w:val="19"/>
                <w:szCs w:val="19"/>
                <w:color w:val="auto"/>
              </w:rPr>
            </w:pPr>
          </w:p>
        </w:tc>
      </w:tr>
      <w:tr>
        <w:trPr>
          <w:trHeight w:val="202"/>
        </w:trPr>
        <w:tc>
          <w:tcPr>
            <w:tcW w:w="2520" w:type="dxa"/>
            <w:vAlign w:val="bottom"/>
            <w:shd w:val="clear" w:color="auto" w:fill="EAF2FA"/>
          </w:tcPr>
          <w:p>
            <w:pPr>
              <w:ind w:left="60"/>
              <w:spacing w:after="0"/>
              <w:rPr>
                <w:sz w:val="20"/>
                <w:szCs w:val="20"/>
                <w:color w:val="auto"/>
              </w:rPr>
            </w:pPr>
            <w:r>
              <w:rPr>
                <w:rFonts w:ascii="Arial" w:cs="Arial" w:eastAsia="Arial" w:hAnsi="Arial"/>
                <w:sz w:val="16"/>
                <w:szCs w:val="16"/>
                <w:b w:val="1"/>
                <w:bCs w:val="1"/>
                <w:color w:val="auto"/>
              </w:rPr>
              <w:t>Flex Rollout</w:t>
            </w: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Comcast Cable continued its rollout of Flex, deploying over 2 million additional boxes in 2021. Through our global</w:t>
            </w:r>
          </w:p>
        </w:tc>
        <w:tc>
          <w:tcPr>
            <w:tcW w:w="20" w:type="dxa"/>
            <w:vAlign w:val="bottom"/>
          </w:tcPr>
          <w:p>
            <w:pPr>
              <w:spacing w:after="0"/>
              <w:rPr>
                <w:sz w:val="17"/>
                <w:szCs w:val="17"/>
                <w:color w:val="auto"/>
              </w:rPr>
            </w:pPr>
          </w:p>
        </w:tc>
      </w:tr>
      <w:tr>
        <w:trPr>
          <w:trHeight w:val="189"/>
        </w:trPr>
        <w:tc>
          <w:tcPr>
            <w:tcW w:w="2520" w:type="dxa"/>
            <w:vAlign w:val="bottom"/>
            <w:shd w:val="clear" w:color="auto" w:fill="EAF2FA"/>
          </w:tcPr>
          <w:p>
            <w:pPr>
              <w:spacing w:after="0"/>
              <w:rPr>
                <w:sz w:val="16"/>
                <w:szCs w:val="16"/>
                <w:color w:val="auto"/>
              </w:rPr>
            </w:pPr>
          </w:p>
        </w:tc>
        <w:tc>
          <w:tcPr>
            <w:tcW w:w="8720" w:type="dxa"/>
            <w:vAlign w:val="bottom"/>
            <w:shd w:val="clear" w:color="auto" w:fill="EAF2FA"/>
          </w:tcPr>
          <w:p>
            <w:pPr>
              <w:ind w:left="180"/>
              <w:spacing w:after="0"/>
              <w:rPr>
                <w:sz w:val="20"/>
                <w:szCs w:val="20"/>
                <w:color w:val="auto"/>
              </w:rPr>
            </w:pPr>
            <w:r>
              <w:rPr>
                <w:rFonts w:ascii="Arial" w:cs="Arial" w:eastAsia="Arial" w:hAnsi="Arial"/>
                <w:sz w:val="16"/>
                <w:szCs w:val="16"/>
                <w:color w:val="auto"/>
              </w:rPr>
              <w:t>technology platform, we have expanded the reach of our Flex investment in the United States through the deployment</w:t>
            </w:r>
          </w:p>
        </w:tc>
        <w:tc>
          <w:tcPr>
            <w:tcW w:w="20" w:type="dxa"/>
            <w:vAlign w:val="bottom"/>
          </w:tcPr>
          <w:p>
            <w:pPr>
              <w:spacing w:after="0"/>
              <w:rPr>
                <w:sz w:val="16"/>
                <w:szCs w:val="16"/>
                <w:color w:val="auto"/>
              </w:rPr>
            </w:pPr>
          </w:p>
        </w:tc>
      </w:tr>
      <w:tr>
        <w:trPr>
          <w:trHeight w:val="224"/>
        </w:trPr>
        <w:tc>
          <w:tcPr>
            <w:tcW w:w="2520" w:type="dxa"/>
            <w:vAlign w:val="bottom"/>
            <w:tcBorders>
              <w:bottom w:val="single" w:sz="8" w:color="auto"/>
            </w:tcBorders>
            <w:shd w:val="clear" w:color="auto" w:fill="EAF2FA"/>
          </w:tcPr>
          <w:p>
            <w:pPr>
              <w:spacing w:after="0"/>
              <w:rPr>
                <w:sz w:val="19"/>
                <w:szCs w:val="19"/>
                <w:color w:val="auto"/>
              </w:rPr>
            </w:pPr>
          </w:p>
        </w:tc>
        <w:tc>
          <w:tcPr>
            <w:tcW w:w="8720" w:type="dxa"/>
            <w:vAlign w:val="bottom"/>
            <w:tcBorders>
              <w:bottom w:val="single" w:sz="8" w:color="auto"/>
            </w:tcBorders>
            <w:shd w:val="clear" w:color="auto" w:fill="EAF2FA"/>
          </w:tcPr>
          <w:p>
            <w:pPr>
              <w:ind w:left="180"/>
              <w:spacing w:after="0"/>
              <w:rPr>
                <w:sz w:val="20"/>
                <w:szCs w:val="20"/>
                <w:color w:val="auto"/>
              </w:rPr>
            </w:pPr>
            <w:r>
              <w:rPr>
                <w:rFonts w:ascii="Arial" w:cs="Arial" w:eastAsia="Arial" w:hAnsi="Arial"/>
                <w:sz w:val="16"/>
                <w:szCs w:val="16"/>
                <w:color w:val="auto"/>
              </w:rPr>
              <w:t>of our XClass TV.</w:t>
            </w:r>
          </w:p>
        </w:tc>
        <w:tc>
          <w:tcPr>
            <w:tcW w:w="20" w:type="dxa"/>
            <w:vAlign w:val="bottom"/>
          </w:tcPr>
          <w:p>
            <w:pPr>
              <w:spacing w:after="0"/>
              <w:rPr>
                <w:sz w:val="19"/>
                <w:szCs w:val="19"/>
                <w:color w:val="auto"/>
              </w:rPr>
            </w:pPr>
          </w:p>
        </w:tc>
      </w:tr>
      <w:tr>
        <w:trPr>
          <w:trHeight w:val="202"/>
        </w:trPr>
        <w:tc>
          <w:tcPr>
            <w:tcW w:w="2520" w:type="dxa"/>
            <w:vAlign w:val="bottom"/>
          </w:tcPr>
          <w:p>
            <w:pPr>
              <w:ind w:left="60"/>
              <w:spacing w:after="0"/>
              <w:rPr>
                <w:sz w:val="20"/>
                <w:szCs w:val="20"/>
                <w:color w:val="auto"/>
              </w:rPr>
            </w:pPr>
            <w:r>
              <w:rPr>
                <w:rFonts w:ascii="Arial" w:cs="Arial" w:eastAsia="Arial" w:hAnsi="Arial"/>
                <w:sz w:val="16"/>
                <w:szCs w:val="16"/>
                <w:b w:val="1"/>
                <w:bCs w:val="1"/>
                <w:color w:val="auto"/>
              </w:rPr>
              <w:t>Organizational Collaboration</w:t>
            </w:r>
          </w:p>
        </w:tc>
        <w:tc>
          <w:tcPr>
            <w:tcW w:w="8720" w:type="dxa"/>
            <w:vAlign w:val="bottom"/>
          </w:tcPr>
          <w:p>
            <w:pPr>
              <w:ind w:left="180"/>
              <w:spacing w:after="0"/>
              <w:rPr>
                <w:sz w:val="20"/>
                <w:szCs w:val="20"/>
                <w:color w:val="auto"/>
              </w:rPr>
            </w:pPr>
            <w:r>
              <w:rPr>
                <w:rFonts w:ascii="Arial" w:cs="Arial" w:eastAsia="Arial" w:hAnsi="Arial"/>
                <w:sz w:val="16"/>
                <w:szCs w:val="16"/>
                <w:color w:val="auto"/>
              </w:rPr>
              <w:t>Our businesses continued their strong collaboration with one another. In 2021, we launched Sky Glass in the United</w:t>
            </w:r>
          </w:p>
        </w:tc>
        <w:tc>
          <w:tcPr>
            <w:tcW w:w="20" w:type="dxa"/>
            <w:vAlign w:val="bottom"/>
          </w:tcPr>
          <w:p>
            <w:pPr>
              <w:spacing w:after="0"/>
              <w:rPr>
                <w:sz w:val="17"/>
                <w:szCs w:val="17"/>
                <w:color w:val="auto"/>
              </w:rPr>
            </w:pPr>
          </w:p>
        </w:tc>
      </w:tr>
      <w:tr>
        <w:trPr>
          <w:trHeight w:val="189"/>
        </w:trPr>
        <w:tc>
          <w:tcPr>
            <w:tcW w:w="252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Kingdom and XClass TV in the United States, with both products leveraging our proprietary, global technology</w:t>
            </w:r>
          </w:p>
        </w:tc>
        <w:tc>
          <w:tcPr>
            <w:tcW w:w="20" w:type="dxa"/>
            <w:vAlign w:val="bottom"/>
          </w:tcPr>
          <w:p>
            <w:pPr>
              <w:spacing w:after="0"/>
              <w:rPr>
                <w:sz w:val="16"/>
                <w:szCs w:val="16"/>
                <w:color w:val="auto"/>
              </w:rPr>
            </w:pPr>
          </w:p>
        </w:tc>
      </w:tr>
      <w:tr>
        <w:trPr>
          <w:trHeight w:val="189"/>
        </w:trPr>
        <w:tc>
          <w:tcPr>
            <w:tcW w:w="252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platform as we continue to work to provide more ways to bring the best of our entertainment operating system to more</w:t>
            </w:r>
          </w:p>
        </w:tc>
        <w:tc>
          <w:tcPr>
            <w:tcW w:w="20" w:type="dxa"/>
            <w:vAlign w:val="bottom"/>
          </w:tcPr>
          <w:p>
            <w:pPr>
              <w:spacing w:after="0"/>
              <w:rPr>
                <w:sz w:val="16"/>
                <w:szCs w:val="16"/>
                <w:color w:val="auto"/>
              </w:rPr>
            </w:pPr>
          </w:p>
        </w:tc>
      </w:tr>
      <w:tr>
        <w:trPr>
          <w:trHeight w:val="189"/>
        </w:trPr>
        <w:tc>
          <w:tcPr>
            <w:tcW w:w="252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consumers. Peacock’s user base has benefited from distribution domestically through Comcast Cable’s X1 video</w:t>
            </w:r>
          </w:p>
        </w:tc>
        <w:tc>
          <w:tcPr>
            <w:tcW w:w="20" w:type="dxa"/>
            <w:vAlign w:val="bottom"/>
          </w:tcPr>
          <w:p>
            <w:pPr>
              <w:spacing w:after="0"/>
              <w:rPr>
                <w:sz w:val="16"/>
                <w:szCs w:val="16"/>
                <w:color w:val="auto"/>
              </w:rPr>
            </w:pPr>
          </w:p>
        </w:tc>
      </w:tr>
      <w:tr>
        <w:trPr>
          <w:trHeight w:val="224"/>
        </w:trPr>
        <w:tc>
          <w:tcPr>
            <w:tcW w:w="25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service and Flex customers, as well as internationally from Sky as noted above.</w:t>
            </w:r>
          </w:p>
        </w:tc>
        <w:tc>
          <w:tcPr>
            <w:tcW w:w="20" w:type="dxa"/>
            <w:vAlign w:val="bottom"/>
          </w:tcPr>
          <w:p>
            <w:pPr>
              <w:spacing w:after="0"/>
              <w:rPr>
                <w:sz w:val="19"/>
                <w:szCs w:val="19"/>
                <w:color w:val="auto"/>
              </w:rPr>
            </w:pPr>
          </w:p>
        </w:tc>
      </w:tr>
      <w:tr>
        <w:trPr>
          <w:trHeight w:val="403"/>
        </w:trPr>
        <w:tc>
          <w:tcPr>
            <w:tcW w:w="2520" w:type="dxa"/>
            <w:vAlign w:val="bottom"/>
          </w:tcPr>
          <w:p>
            <w:pPr>
              <w:spacing w:after="0"/>
              <w:rPr>
                <w:sz w:val="20"/>
                <w:szCs w:val="20"/>
                <w:color w:val="auto"/>
              </w:rPr>
            </w:pPr>
            <w:r>
              <w:rPr>
                <w:rFonts w:ascii="Arial" w:cs="Arial" w:eastAsia="Arial" w:hAnsi="Arial"/>
                <w:sz w:val="14"/>
                <w:szCs w:val="14"/>
                <w:b w:val="1"/>
                <w:bCs w:val="1"/>
                <w:color w:val="auto"/>
              </w:rPr>
              <w:t>36</w:t>
            </w:r>
          </w:p>
        </w:tc>
        <w:tc>
          <w:tcPr>
            <w:tcW w:w="8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3"/>
        </w:trPr>
        <w:tc>
          <w:tcPr>
            <w:tcW w:w="2520" w:type="dxa"/>
            <w:vAlign w:val="bottom"/>
            <w:tcBorders>
              <w:bottom w:val="single" w:sz="8" w:color="808080"/>
            </w:tcBorders>
          </w:tcPr>
          <w:p>
            <w:pPr>
              <w:spacing w:after="0"/>
              <w:rPr>
                <w:sz w:val="8"/>
                <w:szCs w:val="8"/>
                <w:color w:val="auto"/>
              </w:rPr>
            </w:pPr>
          </w:p>
        </w:tc>
        <w:tc>
          <w:tcPr>
            <w:tcW w:w="8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2021 Stakeholder and Sustainability-Related Goals</w:t>
      </w:r>
    </w:p>
    <w:p>
      <w:pPr>
        <w:spacing w:after="0" w:line="21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Stakeholder and sustainability-related goals accounted for 15% of the 2021 target annual bonus, with potential payouts ranging from 0% to 22.5%. The following goals and performance against those goals were considered by the Compensation and Human Capital Committee in determining that achievement could merit target payout levels. Rather than reducing our stakeholder and sustainability goals to any one metric or set of metrics, these considerations were primarily based on the Compensation and Human Capital Committee’s independent and holistic evaluation of the NEOs’ efforts, collectively and individually, to further progress key stakeholder and sustainability initiatives and priorities as described immediately below and in “2021 NEO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GOALS</w:t>
            </w:r>
          </w:p>
        </w:tc>
        <w:tc>
          <w:tcPr>
            <w:tcW w:w="34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2021 PERFORMANCE CONSIDERATIONS</w:t>
            </w:r>
          </w:p>
        </w:tc>
        <w:tc>
          <w:tcPr>
            <w:tcW w:w="2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400" w:type="dxa"/>
            <w:vAlign w:val="bottom"/>
            <w:shd w:val="clear" w:color="auto" w:fill="EAF2FA"/>
          </w:tcPr>
          <w:p>
            <w:pPr>
              <w:ind w:left="60"/>
              <w:spacing w:after="0"/>
              <w:rPr>
                <w:sz w:val="20"/>
                <w:szCs w:val="20"/>
                <w:color w:val="auto"/>
              </w:rPr>
            </w:pPr>
            <w:r>
              <w:rPr>
                <w:rFonts w:ascii="Arial" w:cs="Arial" w:eastAsia="Arial" w:hAnsi="Arial"/>
                <w:sz w:val="16"/>
                <w:szCs w:val="16"/>
                <w:b w:val="1"/>
                <w:bCs w:val="1"/>
                <w:color w:val="auto"/>
              </w:rPr>
              <w:t>Bridging the Digital Divide</w:t>
            </w:r>
          </w:p>
        </w:tc>
        <w:tc>
          <w:tcPr>
            <w:tcW w:w="8660" w:type="dxa"/>
            <w:vAlign w:val="bottom"/>
            <w:gridSpan w:val="5"/>
            <w:shd w:val="clear" w:color="auto" w:fill="EAF2FA"/>
          </w:tcPr>
          <w:p>
            <w:pPr>
              <w:ind w:left="300"/>
              <w:spacing w:after="0"/>
              <w:rPr>
                <w:sz w:val="20"/>
                <w:szCs w:val="20"/>
                <w:color w:val="auto"/>
              </w:rPr>
            </w:pPr>
            <w:r>
              <w:rPr>
                <w:rFonts w:ascii="Arial" w:cs="Arial" w:eastAsia="Arial" w:hAnsi="Arial"/>
                <w:sz w:val="16"/>
                <w:szCs w:val="16"/>
                <w:color w:val="auto"/>
              </w:rPr>
              <w:t>We continued our strong leadership in bridging the digital divide by actively sponsoring and participating in programs</w:t>
            </w:r>
          </w:p>
        </w:tc>
        <w:tc>
          <w:tcPr>
            <w:tcW w:w="180" w:type="dxa"/>
            <w:vAlign w:val="bottom"/>
            <w:shd w:val="clear" w:color="auto" w:fill="EAF2FA"/>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400" w:type="dxa"/>
            <w:vAlign w:val="bottom"/>
            <w:shd w:val="clear" w:color="auto" w:fill="EAF2FA"/>
          </w:tcPr>
          <w:p>
            <w:pPr>
              <w:spacing w:after="0"/>
              <w:rPr>
                <w:sz w:val="18"/>
                <w:szCs w:val="18"/>
                <w:color w:val="auto"/>
              </w:rPr>
            </w:pPr>
          </w:p>
        </w:tc>
        <w:tc>
          <w:tcPr>
            <w:tcW w:w="8660" w:type="dxa"/>
            <w:vAlign w:val="bottom"/>
            <w:gridSpan w:val="5"/>
            <w:shd w:val="clear" w:color="auto" w:fill="EAF2FA"/>
          </w:tcPr>
          <w:p>
            <w:pPr>
              <w:ind w:left="300"/>
              <w:spacing w:after="0"/>
              <w:rPr>
                <w:sz w:val="20"/>
                <w:szCs w:val="20"/>
                <w:color w:val="auto"/>
              </w:rPr>
            </w:pPr>
            <w:r>
              <w:rPr>
                <w:rFonts w:ascii="Arial" w:cs="Arial" w:eastAsia="Arial" w:hAnsi="Arial"/>
                <w:sz w:val="16"/>
                <w:szCs w:val="16"/>
                <w:color w:val="auto"/>
              </w:rPr>
              <w:t>designed to extend our broadband services to underserved and unserved Americans in 2021 by:</w:t>
            </w:r>
          </w:p>
        </w:tc>
        <w:tc>
          <w:tcPr>
            <w:tcW w:w="180" w:type="dxa"/>
            <w:vAlign w:val="bottom"/>
            <w:shd w:val="clear" w:color="auto" w:fill="EAF2FA"/>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shd w:val="clear" w:color="auto" w:fill="EAF2FA"/>
          </w:tcPr>
          <w:p>
            <w:pPr>
              <w:spacing w:after="0"/>
              <w:rPr>
                <w:sz w:val="24"/>
                <w:szCs w:val="24"/>
                <w:color w:val="auto"/>
              </w:rPr>
            </w:pPr>
          </w:p>
        </w:tc>
        <w:tc>
          <w:tcPr>
            <w:tcW w:w="460" w:type="dxa"/>
            <w:vAlign w:val="bottom"/>
            <w:shd w:val="clear" w:color="auto" w:fill="EAF2FA"/>
          </w:tcPr>
          <w:p>
            <w:pPr>
              <w:ind w:left="300"/>
              <w:spacing w:after="0"/>
              <w:rPr>
                <w:sz w:val="20"/>
                <w:szCs w:val="20"/>
                <w:color w:val="auto"/>
              </w:rPr>
            </w:pPr>
            <w:r>
              <w:rPr>
                <w:rFonts w:ascii="Arial" w:cs="Arial" w:eastAsia="Arial" w:hAnsi="Arial"/>
                <w:sz w:val="16"/>
                <w:szCs w:val="16"/>
                <w:color w:val="00A1DF"/>
              </w:rPr>
              <w:t>●</w:t>
            </w:r>
          </w:p>
        </w:tc>
        <w:tc>
          <w:tcPr>
            <w:tcW w:w="8380" w:type="dxa"/>
            <w:vAlign w:val="bottom"/>
            <w:gridSpan w:val="5"/>
            <w:shd w:val="clear" w:color="auto" w:fill="EAF2FA"/>
          </w:tcPr>
          <w:p>
            <w:pPr>
              <w:ind w:left="40"/>
              <w:spacing w:after="0"/>
              <w:rPr>
                <w:sz w:val="20"/>
                <w:szCs w:val="20"/>
                <w:color w:val="auto"/>
              </w:rPr>
            </w:pPr>
            <w:r>
              <w:rPr>
                <w:rFonts w:ascii="Arial" w:cs="Arial" w:eastAsia="Arial" w:hAnsi="Arial"/>
                <w:sz w:val="16"/>
                <w:szCs w:val="16"/>
                <w:color w:val="auto"/>
              </w:rPr>
              <w:t>Promoting and sponsoring our Internet Essentials program as America’s leading broadband product for low-income</w:t>
            </w:r>
          </w:p>
        </w:tc>
        <w:tc>
          <w:tcPr>
            <w:tcW w:w="20" w:type="dxa"/>
            <w:vAlign w:val="bottom"/>
          </w:tcPr>
          <w:p>
            <w:pPr>
              <w:spacing w:after="0"/>
              <w:rPr>
                <w:sz w:val="24"/>
                <w:szCs w:val="24"/>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families, including by expanding eligibility and providing affordable opportunities for school districts and other</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organizations to connect students to broadband access at home; to date, we have collaborated with hundreds of</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400" w:type="dxa"/>
            <w:vAlign w:val="bottom"/>
            <w:shd w:val="clear" w:color="auto" w:fill="EAF2FA"/>
          </w:tcPr>
          <w:p>
            <w:pPr>
              <w:spacing w:after="0"/>
              <w:rPr>
                <w:sz w:val="18"/>
                <w:szCs w:val="18"/>
                <w:color w:val="auto"/>
              </w:rPr>
            </w:pPr>
          </w:p>
        </w:tc>
        <w:tc>
          <w:tcPr>
            <w:tcW w:w="460" w:type="dxa"/>
            <w:vAlign w:val="bottom"/>
            <w:shd w:val="clear" w:color="auto" w:fill="EAF2FA"/>
          </w:tcPr>
          <w:p>
            <w:pPr>
              <w:spacing w:after="0"/>
              <w:rPr>
                <w:sz w:val="18"/>
                <w:szCs w:val="18"/>
                <w:color w:val="auto"/>
              </w:rPr>
            </w:pPr>
          </w:p>
        </w:tc>
        <w:tc>
          <w:tcPr>
            <w:tcW w:w="5280" w:type="dxa"/>
            <w:vAlign w:val="bottom"/>
            <w:gridSpan w:val="2"/>
            <w:shd w:val="clear" w:color="auto" w:fill="EAF2FA"/>
          </w:tcPr>
          <w:p>
            <w:pPr>
              <w:ind w:left="40"/>
              <w:spacing w:after="0"/>
              <w:rPr>
                <w:sz w:val="20"/>
                <w:szCs w:val="20"/>
                <w:color w:val="auto"/>
              </w:rPr>
            </w:pPr>
            <w:r>
              <w:rPr>
                <w:rFonts w:ascii="Arial" w:cs="Arial" w:eastAsia="Arial" w:hAnsi="Arial"/>
                <w:sz w:val="16"/>
                <w:szCs w:val="16"/>
                <w:color w:val="auto"/>
              </w:rPr>
              <w:t>schools and organizations across the country.</w:t>
            </w:r>
          </w:p>
        </w:tc>
        <w:tc>
          <w:tcPr>
            <w:tcW w:w="1320" w:type="dxa"/>
            <w:vAlign w:val="bottom"/>
            <w:shd w:val="clear" w:color="auto" w:fill="EAF2FA"/>
          </w:tcPr>
          <w:p>
            <w:pPr>
              <w:spacing w:after="0"/>
              <w:rPr>
                <w:sz w:val="18"/>
                <w:szCs w:val="18"/>
                <w:color w:val="auto"/>
              </w:rPr>
            </w:pPr>
          </w:p>
        </w:tc>
        <w:tc>
          <w:tcPr>
            <w:tcW w:w="1600" w:type="dxa"/>
            <w:vAlign w:val="bottom"/>
            <w:shd w:val="clear" w:color="auto" w:fill="EAF2FA"/>
          </w:tcPr>
          <w:p>
            <w:pPr>
              <w:spacing w:after="0"/>
              <w:rPr>
                <w:sz w:val="18"/>
                <w:szCs w:val="18"/>
                <w:color w:val="auto"/>
              </w:rPr>
            </w:pPr>
          </w:p>
        </w:tc>
        <w:tc>
          <w:tcPr>
            <w:tcW w:w="180" w:type="dxa"/>
            <w:vAlign w:val="bottom"/>
            <w:shd w:val="clear" w:color="auto" w:fill="EAF2FA"/>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shd w:val="clear" w:color="auto" w:fill="EAF2FA"/>
          </w:tcPr>
          <w:p>
            <w:pPr>
              <w:spacing w:after="0"/>
              <w:rPr>
                <w:sz w:val="24"/>
                <w:szCs w:val="24"/>
                <w:color w:val="auto"/>
              </w:rPr>
            </w:pPr>
          </w:p>
        </w:tc>
        <w:tc>
          <w:tcPr>
            <w:tcW w:w="460" w:type="dxa"/>
            <w:vAlign w:val="bottom"/>
            <w:shd w:val="clear" w:color="auto" w:fill="EAF2FA"/>
          </w:tcPr>
          <w:p>
            <w:pPr>
              <w:ind w:left="300"/>
              <w:spacing w:after="0"/>
              <w:rPr>
                <w:sz w:val="20"/>
                <w:szCs w:val="20"/>
                <w:color w:val="auto"/>
              </w:rPr>
            </w:pPr>
            <w:r>
              <w:rPr>
                <w:rFonts w:ascii="Arial" w:cs="Arial" w:eastAsia="Arial" w:hAnsi="Arial"/>
                <w:sz w:val="16"/>
                <w:szCs w:val="16"/>
                <w:color w:val="00A1DF"/>
              </w:rPr>
              <w:t>●</w:t>
            </w: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Supporting and participating in the federal government’s broadband benefits programs to provide discounted</w:t>
            </w:r>
          </w:p>
        </w:tc>
        <w:tc>
          <w:tcPr>
            <w:tcW w:w="180" w:type="dxa"/>
            <w:vAlign w:val="bottom"/>
            <w:shd w:val="clear" w:color="auto" w:fill="EAF2FA"/>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internet service to those in need, namely the Emergency Broadband Benefit program that launched in May 2021</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3000" w:type="dxa"/>
            <w:vAlign w:val="bottom"/>
            <w:shd w:val="clear" w:color="auto" w:fill="EAF2FA"/>
          </w:tcPr>
          <w:p>
            <w:pPr>
              <w:ind w:left="40"/>
              <w:spacing w:after="0"/>
              <w:rPr>
                <w:sz w:val="20"/>
                <w:szCs w:val="20"/>
                <w:color w:val="auto"/>
              </w:rPr>
            </w:pPr>
            <w:r>
              <w:rPr>
                <w:rFonts w:ascii="Arial" w:cs="Arial" w:eastAsia="Arial" w:hAnsi="Arial"/>
                <w:sz w:val="16"/>
                <w:szCs w:val="16"/>
                <w:color w:val="auto"/>
              </w:rPr>
              <w:t>and its successor, longer-term Affordable</w:t>
            </w:r>
          </w:p>
        </w:tc>
        <w:tc>
          <w:tcPr>
            <w:tcW w:w="5200" w:type="dxa"/>
            <w:vAlign w:val="bottom"/>
            <w:gridSpan w:val="3"/>
            <w:shd w:val="clear" w:color="auto" w:fill="EAF2FA"/>
          </w:tcPr>
          <w:p>
            <w:pPr>
              <w:jc w:val="right"/>
              <w:spacing w:after="0"/>
              <w:rPr>
                <w:sz w:val="20"/>
                <w:szCs w:val="20"/>
                <w:color w:val="auto"/>
              </w:rPr>
            </w:pPr>
            <w:r>
              <w:rPr>
                <w:rFonts w:ascii="Arial" w:cs="Arial" w:eastAsia="Arial" w:hAnsi="Arial"/>
                <w:sz w:val="16"/>
                <w:szCs w:val="16"/>
                <w:color w:val="auto"/>
              </w:rPr>
              <w:t>Connectivity Program that launched at the end of 2021. Through these</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programs, which enable qualifying low-income customers to apply a financial subsidy to our broadband services,</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customers can receive our Internet Essentials service or our new enhanced Internet Essentials Plus service with</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400" w:type="dxa"/>
            <w:vAlign w:val="bottom"/>
            <w:shd w:val="clear" w:color="auto" w:fill="EAF2FA"/>
          </w:tcPr>
          <w:p>
            <w:pPr>
              <w:spacing w:after="0"/>
              <w:rPr>
                <w:sz w:val="18"/>
                <w:szCs w:val="18"/>
                <w:color w:val="auto"/>
              </w:rPr>
            </w:pPr>
          </w:p>
        </w:tc>
        <w:tc>
          <w:tcPr>
            <w:tcW w:w="460" w:type="dxa"/>
            <w:vAlign w:val="bottom"/>
            <w:shd w:val="clear" w:color="auto" w:fill="EAF2FA"/>
          </w:tcPr>
          <w:p>
            <w:pPr>
              <w:spacing w:after="0"/>
              <w:rPr>
                <w:sz w:val="18"/>
                <w:szCs w:val="18"/>
                <w:color w:val="auto"/>
              </w:rPr>
            </w:pPr>
          </w:p>
        </w:tc>
        <w:tc>
          <w:tcPr>
            <w:tcW w:w="5280" w:type="dxa"/>
            <w:vAlign w:val="bottom"/>
            <w:gridSpan w:val="2"/>
            <w:shd w:val="clear" w:color="auto" w:fill="EAF2FA"/>
          </w:tcPr>
          <w:p>
            <w:pPr>
              <w:ind w:left="40"/>
              <w:spacing w:after="0"/>
              <w:rPr>
                <w:sz w:val="20"/>
                <w:szCs w:val="20"/>
                <w:color w:val="auto"/>
              </w:rPr>
            </w:pPr>
            <w:r>
              <w:rPr>
                <w:rFonts w:ascii="Arial" w:cs="Arial" w:eastAsia="Arial" w:hAnsi="Arial"/>
                <w:sz w:val="16"/>
                <w:szCs w:val="16"/>
                <w:color w:val="auto"/>
              </w:rPr>
              <w:t>twice the download speed – up to 100 Mbps – effectively for free.</w:t>
            </w:r>
          </w:p>
        </w:tc>
        <w:tc>
          <w:tcPr>
            <w:tcW w:w="1320" w:type="dxa"/>
            <w:vAlign w:val="bottom"/>
            <w:shd w:val="clear" w:color="auto" w:fill="EAF2FA"/>
          </w:tcPr>
          <w:p>
            <w:pPr>
              <w:spacing w:after="0"/>
              <w:rPr>
                <w:sz w:val="18"/>
                <w:szCs w:val="18"/>
                <w:color w:val="auto"/>
              </w:rPr>
            </w:pPr>
          </w:p>
        </w:tc>
        <w:tc>
          <w:tcPr>
            <w:tcW w:w="1600" w:type="dxa"/>
            <w:vAlign w:val="bottom"/>
            <w:shd w:val="clear" w:color="auto" w:fill="EAF2FA"/>
          </w:tcPr>
          <w:p>
            <w:pPr>
              <w:spacing w:after="0"/>
              <w:rPr>
                <w:sz w:val="18"/>
                <w:szCs w:val="18"/>
                <w:color w:val="auto"/>
              </w:rPr>
            </w:pPr>
          </w:p>
        </w:tc>
        <w:tc>
          <w:tcPr>
            <w:tcW w:w="180" w:type="dxa"/>
            <w:vAlign w:val="bottom"/>
            <w:shd w:val="clear" w:color="auto" w:fill="EAF2FA"/>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shd w:val="clear" w:color="auto" w:fill="EAF2FA"/>
          </w:tcPr>
          <w:p>
            <w:pPr>
              <w:spacing w:after="0"/>
              <w:rPr>
                <w:sz w:val="24"/>
                <w:szCs w:val="24"/>
                <w:color w:val="auto"/>
              </w:rPr>
            </w:pPr>
          </w:p>
        </w:tc>
        <w:tc>
          <w:tcPr>
            <w:tcW w:w="460" w:type="dxa"/>
            <w:vAlign w:val="bottom"/>
            <w:shd w:val="clear" w:color="auto" w:fill="EAF2FA"/>
          </w:tcPr>
          <w:p>
            <w:pPr>
              <w:ind w:left="300"/>
              <w:spacing w:after="0"/>
              <w:rPr>
                <w:sz w:val="20"/>
                <w:szCs w:val="20"/>
                <w:color w:val="auto"/>
              </w:rPr>
            </w:pPr>
            <w:r>
              <w:rPr>
                <w:rFonts w:ascii="Arial" w:cs="Arial" w:eastAsia="Arial" w:hAnsi="Arial"/>
                <w:sz w:val="16"/>
                <w:szCs w:val="16"/>
                <w:color w:val="00A1DF"/>
              </w:rPr>
              <w:t>●</w:t>
            </w: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Participating in federal, state and local programs designed to fund the expansion of  broadband to unserved</w:t>
            </w:r>
          </w:p>
        </w:tc>
        <w:tc>
          <w:tcPr>
            <w:tcW w:w="180" w:type="dxa"/>
            <w:vAlign w:val="bottom"/>
            <w:shd w:val="clear" w:color="auto" w:fill="EAF2FA"/>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Americans and extending our world class network to new areas  where reliable, high-speed internet services had</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400" w:type="dxa"/>
            <w:vAlign w:val="bottom"/>
            <w:shd w:val="clear" w:color="auto" w:fill="EAF2FA"/>
          </w:tcPr>
          <w:p>
            <w:pPr>
              <w:spacing w:after="0"/>
              <w:rPr>
                <w:sz w:val="18"/>
                <w:szCs w:val="18"/>
                <w:color w:val="auto"/>
              </w:rPr>
            </w:pPr>
          </w:p>
        </w:tc>
        <w:tc>
          <w:tcPr>
            <w:tcW w:w="460" w:type="dxa"/>
            <w:vAlign w:val="bottom"/>
            <w:shd w:val="clear" w:color="auto" w:fill="EAF2FA"/>
          </w:tcPr>
          <w:p>
            <w:pPr>
              <w:spacing w:after="0"/>
              <w:rPr>
                <w:sz w:val="18"/>
                <w:szCs w:val="18"/>
                <w:color w:val="auto"/>
              </w:rPr>
            </w:pPr>
          </w:p>
        </w:tc>
        <w:tc>
          <w:tcPr>
            <w:tcW w:w="3000" w:type="dxa"/>
            <w:vAlign w:val="bottom"/>
            <w:shd w:val="clear" w:color="auto" w:fill="EAF2FA"/>
          </w:tcPr>
          <w:p>
            <w:pPr>
              <w:ind w:left="40"/>
              <w:spacing w:after="0"/>
              <w:rPr>
                <w:sz w:val="20"/>
                <w:szCs w:val="20"/>
                <w:color w:val="auto"/>
              </w:rPr>
            </w:pPr>
            <w:r>
              <w:rPr>
                <w:rFonts w:ascii="Arial" w:cs="Arial" w:eastAsia="Arial" w:hAnsi="Arial"/>
                <w:sz w:val="16"/>
                <w:szCs w:val="16"/>
                <w:color w:val="auto"/>
              </w:rPr>
              <w:t>been unavailable.</w:t>
            </w:r>
          </w:p>
        </w:tc>
        <w:tc>
          <w:tcPr>
            <w:tcW w:w="2280" w:type="dxa"/>
            <w:vAlign w:val="bottom"/>
            <w:shd w:val="clear" w:color="auto" w:fill="EAF2FA"/>
          </w:tcPr>
          <w:p>
            <w:pPr>
              <w:spacing w:after="0"/>
              <w:rPr>
                <w:sz w:val="18"/>
                <w:szCs w:val="18"/>
                <w:color w:val="auto"/>
              </w:rPr>
            </w:pPr>
          </w:p>
        </w:tc>
        <w:tc>
          <w:tcPr>
            <w:tcW w:w="1320" w:type="dxa"/>
            <w:vAlign w:val="bottom"/>
            <w:shd w:val="clear" w:color="auto" w:fill="EAF2FA"/>
          </w:tcPr>
          <w:p>
            <w:pPr>
              <w:spacing w:after="0"/>
              <w:rPr>
                <w:sz w:val="18"/>
                <w:szCs w:val="18"/>
                <w:color w:val="auto"/>
              </w:rPr>
            </w:pPr>
          </w:p>
        </w:tc>
        <w:tc>
          <w:tcPr>
            <w:tcW w:w="1600" w:type="dxa"/>
            <w:vAlign w:val="bottom"/>
            <w:shd w:val="clear" w:color="auto" w:fill="EAF2FA"/>
          </w:tcPr>
          <w:p>
            <w:pPr>
              <w:spacing w:after="0"/>
              <w:rPr>
                <w:sz w:val="18"/>
                <w:szCs w:val="18"/>
                <w:color w:val="auto"/>
              </w:rPr>
            </w:pPr>
          </w:p>
        </w:tc>
        <w:tc>
          <w:tcPr>
            <w:tcW w:w="180" w:type="dxa"/>
            <w:vAlign w:val="bottom"/>
            <w:shd w:val="clear" w:color="auto" w:fill="EAF2FA"/>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shd w:val="clear" w:color="auto" w:fill="EAF2FA"/>
          </w:tcPr>
          <w:p>
            <w:pPr>
              <w:spacing w:after="0"/>
              <w:rPr>
                <w:sz w:val="24"/>
                <w:szCs w:val="24"/>
                <w:color w:val="auto"/>
              </w:rPr>
            </w:pPr>
          </w:p>
        </w:tc>
        <w:tc>
          <w:tcPr>
            <w:tcW w:w="460" w:type="dxa"/>
            <w:vAlign w:val="bottom"/>
            <w:shd w:val="clear" w:color="auto" w:fill="EAF2FA"/>
          </w:tcPr>
          <w:p>
            <w:pPr>
              <w:ind w:left="300"/>
              <w:spacing w:after="0"/>
              <w:rPr>
                <w:sz w:val="20"/>
                <w:szCs w:val="20"/>
                <w:color w:val="auto"/>
              </w:rPr>
            </w:pPr>
            <w:r>
              <w:rPr>
                <w:rFonts w:ascii="Arial" w:cs="Arial" w:eastAsia="Arial" w:hAnsi="Arial"/>
                <w:sz w:val="16"/>
                <w:szCs w:val="16"/>
                <w:color w:val="00A1DF"/>
              </w:rPr>
              <w:t>●</w:t>
            </w: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Continuing the initiatives we had established in 2020 in response to the global pandemic aimed at providing</w:t>
            </w:r>
          </w:p>
        </w:tc>
        <w:tc>
          <w:tcPr>
            <w:tcW w:w="180" w:type="dxa"/>
            <w:vAlign w:val="bottom"/>
            <w:shd w:val="clear" w:color="auto" w:fill="EAF2FA"/>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internet access to those who did not have it, including providing eligible new customers with 60 days of free</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service, making our 1.5 million public Wi-Fi hotspots available for free, waiving bad-debt program eligibility and</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400" w:type="dxa"/>
            <w:vAlign w:val="bottom"/>
            <w:shd w:val="clear" w:color="auto" w:fill="EAF2FA"/>
          </w:tcPr>
          <w:p>
            <w:pPr>
              <w:spacing w:after="0"/>
              <w:rPr>
                <w:sz w:val="18"/>
                <w:szCs w:val="18"/>
                <w:color w:val="auto"/>
              </w:rPr>
            </w:pPr>
          </w:p>
        </w:tc>
        <w:tc>
          <w:tcPr>
            <w:tcW w:w="460" w:type="dxa"/>
            <w:vAlign w:val="bottom"/>
            <w:shd w:val="clear" w:color="auto" w:fill="EAF2FA"/>
          </w:tcPr>
          <w:p>
            <w:pPr>
              <w:spacing w:after="0"/>
              <w:rPr>
                <w:sz w:val="18"/>
                <w:szCs w:val="18"/>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creating affordable and flexible payment plans to allow customers and small businesses to retain their services.</w:t>
            </w:r>
          </w:p>
        </w:tc>
        <w:tc>
          <w:tcPr>
            <w:tcW w:w="180" w:type="dxa"/>
            <w:vAlign w:val="bottom"/>
            <w:shd w:val="clear" w:color="auto" w:fill="EAF2FA"/>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shd w:val="clear" w:color="auto" w:fill="EAF2FA"/>
          </w:tcPr>
          <w:p>
            <w:pPr>
              <w:spacing w:after="0"/>
              <w:rPr>
                <w:sz w:val="24"/>
                <w:szCs w:val="24"/>
                <w:color w:val="auto"/>
              </w:rPr>
            </w:pPr>
          </w:p>
        </w:tc>
        <w:tc>
          <w:tcPr>
            <w:tcW w:w="460" w:type="dxa"/>
            <w:vAlign w:val="bottom"/>
            <w:shd w:val="clear" w:color="auto" w:fill="EAF2FA"/>
          </w:tcPr>
          <w:p>
            <w:pPr>
              <w:ind w:left="300"/>
              <w:spacing w:after="0"/>
              <w:rPr>
                <w:sz w:val="20"/>
                <w:szCs w:val="20"/>
                <w:color w:val="auto"/>
              </w:rPr>
            </w:pPr>
            <w:r>
              <w:rPr>
                <w:rFonts w:ascii="Arial" w:cs="Arial" w:eastAsia="Arial" w:hAnsi="Arial"/>
                <w:sz w:val="16"/>
                <w:szCs w:val="16"/>
                <w:color w:val="00A1DF"/>
              </w:rPr>
              <w:t>●</w:t>
            </w: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Partnering with non-profit organizations and city leaders to create, through the end of 2021, more than 1,000 Lift</w:t>
            </w:r>
          </w:p>
        </w:tc>
        <w:tc>
          <w:tcPr>
            <w:tcW w:w="180" w:type="dxa"/>
            <w:vAlign w:val="bottom"/>
            <w:shd w:val="clear" w:color="auto" w:fill="EAF2FA"/>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0" w:type="dxa"/>
            <w:vAlign w:val="bottom"/>
            <w:shd w:val="clear" w:color="auto" w:fill="EAF2FA"/>
          </w:tcPr>
          <w:p>
            <w:pPr>
              <w:spacing w:after="0"/>
              <w:rPr>
                <w:sz w:val="16"/>
                <w:szCs w:val="16"/>
                <w:color w:val="auto"/>
              </w:rPr>
            </w:pPr>
          </w:p>
        </w:tc>
        <w:tc>
          <w:tcPr>
            <w:tcW w:w="460" w:type="dxa"/>
            <w:vAlign w:val="bottom"/>
            <w:shd w:val="clear" w:color="auto" w:fill="EAF2FA"/>
          </w:tcPr>
          <w:p>
            <w:pPr>
              <w:spacing w:after="0"/>
              <w:rPr>
                <w:sz w:val="16"/>
                <w:szCs w:val="16"/>
                <w:color w:val="auto"/>
              </w:rPr>
            </w:pPr>
          </w:p>
        </w:tc>
        <w:tc>
          <w:tcPr>
            <w:tcW w:w="8200" w:type="dxa"/>
            <w:vAlign w:val="bottom"/>
            <w:gridSpan w:val="4"/>
            <w:shd w:val="clear" w:color="auto" w:fill="EAF2FA"/>
          </w:tcPr>
          <w:p>
            <w:pPr>
              <w:ind w:left="40"/>
              <w:spacing w:after="0"/>
              <w:rPr>
                <w:sz w:val="20"/>
                <w:szCs w:val="20"/>
                <w:color w:val="auto"/>
              </w:rPr>
            </w:pPr>
            <w:r>
              <w:rPr>
                <w:rFonts w:ascii="Arial" w:cs="Arial" w:eastAsia="Arial" w:hAnsi="Arial"/>
                <w:sz w:val="16"/>
                <w:szCs w:val="16"/>
                <w:color w:val="auto"/>
              </w:rPr>
              <w:t>Zones in community centers nationwide where students in need of  internet-equipped spaces for remote learning</w:t>
            </w:r>
          </w:p>
        </w:tc>
        <w:tc>
          <w:tcPr>
            <w:tcW w:w="180" w:type="dxa"/>
            <w:vAlign w:val="bottom"/>
            <w:shd w:val="clear" w:color="auto" w:fill="EAF2FA"/>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2400" w:type="dxa"/>
            <w:vAlign w:val="bottom"/>
            <w:tcBorders>
              <w:bottom w:val="single" w:sz="8" w:color="auto"/>
            </w:tcBorders>
            <w:shd w:val="clear" w:color="auto" w:fill="EAF2FA"/>
          </w:tcPr>
          <w:p>
            <w:pPr>
              <w:spacing w:after="0"/>
              <w:rPr>
                <w:sz w:val="19"/>
                <w:szCs w:val="19"/>
                <w:color w:val="auto"/>
              </w:rPr>
            </w:pPr>
          </w:p>
        </w:tc>
        <w:tc>
          <w:tcPr>
            <w:tcW w:w="460" w:type="dxa"/>
            <w:vAlign w:val="bottom"/>
            <w:tcBorders>
              <w:bottom w:val="single" w:sz="8" w:color="auto"/>
            </w:tcBorders>
            <w:shd w:val="clear" w:color="auto" w:fill="EAF2FA"/>
          </w:tcPr>
          <w:p>
            <w:pPr>
              <w:spacing w:after="0"/>
              <w:rPr>
                <w:sz w:val="19"/>
                <w:szCs w:val="19"/>
                <w:color w:val="auto"/>
              </w:rPr>
            </w:pPr>
          </w:p>
        </w:tc>
        <w:tc>
          <w:tcPr>
            <w:tcW w:w="5280" w:type="dxa"/>
            <w:vAlign w:val="bottom"/>
            <w:tcBorders>
              <w:bottom w:val="single" w:sz="8" w:color="auto"/>
            </w:tcBorders>
            <w:gridSpan w:val="2"/>
            <w:shd w:val="clear" w:color="auto" w:fill="EAF2FA"/>
          </w:tcPr>
          <w:p>
            <w:pPr>
              <w:ind w:left="40"/>
              <w:spacing w:after="0"/>
              <w:rPr>
                <w:sz w:val="20"/>
                <w:szCs w:val="20"/>
                <w:color w:val="auto"/>
              </w:rPr>
            </w:pPr>
            <w:r>
              <w:rPr>
                <w:rFonts w:ascii="Arial" w:cs="Arial" w:eastAsia="Arial" w:hAnsi="Arial"/>
                <w:sz w:val="16"/>
                <w:szCs w:val="16"/>
                <w:color w:val="auto"/>
              </w:rPr>
              <w:t>can connect to the internet to participate in  distance learning.</w:t>
            </w:r>
          </w:p>
        </w:tc>
        <w:tc>
          <w:tcPr>
            <w:tcW w:w="1320" w:type="dxa"/>
            <w:vAlign w:val="bottom"/>
            <w:tcBorders>
              <w:bottom w:val="single" w:sz="8" w:color="auto"/>
            </w:tcBorders>
            <w:shd w:val="clear" w:color="auto" w:fill="EAF2FA"/>
          </w:tcPr>
          <w:p>
            <w:pPr>
              <w:spacing w:after="0"/>
              <w:rPr>
                <w:sz w:val="19"/>
                <w:szCs w:val="19"/>
                <w:color w:val="auto"/>
              </w:rPr>
            </w:pPr>
          </w:p>
        </w:tc>
        <w:tc>
          <w:tcPr>
            <w:tcW w:w="1600" w:type="dxa"/>
            <w:vAlign w:val="bottom"/>
            <w:tcBorders>
              <w:bottom w:val="single" w:sz="8" w:color="auto"/>
            </w:tcBorders>
            <w:shd w:val="clear" w:color="auto" w:fill="EAF2FA"/>
          </w:tcPr>
          <w:p>
            <w:pPr>
              <w:spacing w:after="0"/>
              <w:rPr>
                <w:sz w:val="19"/>
                <w:szCs w:val="19"/>
                <w:color w:val="auto"/>
              </w:rPr>
            </w:pPr>
          </w:p>
        </w:tc>
        <w:tc>
          <w:tcPr>
            <w:tcW w:w="180" w:type="dxa"/>
            <w:vAlign w:val="bottom"/>
            <w:tcBorders>
              <w:bottom w:val="single" w:sz="8" w:color="auto"/>
            </w:tcBorders>
            <w:shd w:val="clear" w:color="auto" w:fill="EAF2FA"/>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400" w:type="dxa"/>
            <w:vAlign w:val="bottom"/>
          </w:tcPr>
          <w:p>
            <w:pPr>
              <w:ind w:left="60"/>
              <w:spacing w:after="0"/>
              <w:rPr>
                <w:sz w:val="20"/>
                <w:szCs w:val="20"/>
                <w:color w:val="auto"/>
              </w:rPr>
            </w:pPr>
            <w:r>
              <w:rPr>
                <w:rFonts w:ascii="Arial" w:cs="Arial" w:eastAsia="Arial" w:hAnsi="Arial"/>
                <w:sz w:val="16"/>
                <w:szCs w:val="16"/>
                <w:b w:val="1"/>
                <w:bCs w:val="1"/>
                <w:color w:val="auto"/>
              </w:rPr>
              <w:t>DE&amp;I</w:t>
            </w:r>
          </w:p>
        </w:tc>
        <w:tc>
          <w:tcPr>
            <w:tcW w:w="8660" w:type="dxa"/>
            <w:vAlign w:val="bottom"/>
            <w:gridSpan w:val="5"/>
          </w:tcPr>
          <w:p>
            <w:pPr>
              <w:ind w:left="300"/>
              <w:spacing w:after="0"/>
              <w:rPr>
                <w:sz w:val="20"/>
                <w:szCs w:val="20"/>
                <w:color w:val="auto"/>
              </w:rPr>
            </w:pPr>
            <w:r>
              <w:rPr>
                <w:rFonts w:ascii="Arial" w:cs="Arial" w:eastAsia="Arial" w:hAnsi="Arial"/>
                <w:sz w:val="16"/>
                <w:szCs w:val="16"/>
                <w:color w:val="auto"/>
              </w:rPr>
              <w:t>Our DE&amp;I efforts focus on areas where we believe we can make the most impact given the nature of our business,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400" w:type="dxa"/>
            <w:vAlign w:val="bottom"/>
          </w:tcPr>
          <w:p>
            <w:pPr>
              <w:spacing w:after="0"/>
              <w:rPr>
                <w:sz w:val="18"/>
                <w:szCs w:val="18"/>
                <w:color w:val="auto"/>
              </w:rPr>
            </w:pPr>
          </w:p>
        </w:tc>
        <w:tc>
          <w:tcPr>
            <w:tcW w:w="8660" w:type="dxa"/>
            <w:vAlign w:val="bottom"/>
            <w:gridSpan w:val="5"/>
          </w:tcPr>
          <w:p>
            <w:pPr>
              <w:ind w:left="300"/>
              <w:spacing w:after="0"/>
              <w:rPr>
                <w:sz w:val="20"/>
                <w:szCs w:val="20"/>
                <w:color w:val="auto"/>
              </w:rPr>
            </w:pPr>
            <w:r>
              <w:rPr>
                <w:rFonts w:ascii="Arial" w:cs="Arial" w:eastAsia="Arial" w:hAnsi="Arial"/>
                <w:sz w:val="16"/>
                <w:szCs w:val="16"/>
                <w:color w:val="auto"/>
              </w:rPr>
              <w:t>such as workforce, the programming we create and distribute and the supplier relationships we have.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6"/>
                <w:szCs w:val="16"/>
                <w:color w:val="00A1DF"/>
              </w:rPr>
              <w:t>●</w:t>
            </w:r>
          </w:p>
        </w:tc>
        <w:tc>
          <w:tcPr>
            <w:tcW w:w="6600" w:type="dxa"/>
            <w:vAlign w:val="bottom"/>
            <w:gridSpan w:val="3"/>
          </w:tcPr>
          <w:p>
            <w:pPr>
              <w:ind w:left="40"/>
              <w:spacing w:after="0"/>
              <w:rPr>
                <w:sz w:val="20"/>
                <w:szCs w:val="20"/>
                <w:color w:val="auto"/>
              </w:rPr>
            </w:pPr>
            <w:r>
              <w:rPr>
                <w:rFonts w:ascii="Arial" w:cs="Arial" w:eastAsia="Arial" w:hAnsi="Arial"/>
                <w:sz w:val="16"/>
                <w:szCs w:val="16"/>
                <w:color w:val="auto"/>
              </w:rPr>
              <w:t>In 2021, we continued our efforts to increase representation in leadership roles, increasing</w:t>
            </w:r>
          </w:p>
        </w:tc>
        <w:tc>
          <w:tcPr>
            <w:tcW w:w="1600" w:type="dxa"/>
            <w:vAlign w:val="bottom"/>
          </w:tcPr>
          <w:p>
            <w:pPr>
              <w:jc w:val="right"/>
              <w:ind w:right="279"/>
              <w:spacing w:after="0"/>
              <w:rPr>
                <w:sz w:val="20"/>
                <w:szCs w:val="20"/>
                <w:color w:val="auto"/>
              </w:rPr>
            </w:pPr>
            <w:r>
              <w:rPr>
                <w:rFonts w:ascii="Arial" w:cs="Arial" w:eastAsia="Arial" w:hAnsi="Arial"/>
                <w:sz w:val="16"/>
                <w:szCs w:val="16"/>
                <w:color w:val="auto"/>
              </w:rPr>
              <w:t>representation of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80" w:type="dxa"/>
            <w:vAlign w:val="bottom"/>
            <w:gridSpan w:val="2"/>
          </w:tcPr>
          <w:p>
            <w:pPr>
              <w:ind w:left="40"/>
              <w:spacing w:after="0"/>
              <w:rPr>
                <w:sz w:val="20"/>
                <w:szCs w:val="20"/>
                <w:color w:val="auto"/>
              </w:rPr>
            </w:pPr>
            <w:r>
              <w:rPr>
                <w:rFonts w:ascii="Arial" w:cs="Arial" w:eastAsia="Arial" w:hAnsi="Arial"/>
                <w:sz w:val="16"/>
                <w:szCs w:val="16"/>
                <w:color w:val="auto"/>
              </w:rPr>
              <w:t>women and people of color in vice president-level and above positions in</w:t>
            </w:r>
          </w:p>
        </w:tc>
        <w:tc>
          <w:tcPr>
            <w:tcW w:w="3120" w:type="dxa"/>
            <w:vAlign w:val="bottom"/>
            <w:gridSpan w:val="4"/>
          </w:tcPr>
          <w:p>
            <w:pPr>
              <w:jc w:val="right"/>
              <w:ind w:right="180"/>
              <w:spacing w:after="0"/>
              <w:rPr>
                <w:sz w:val="20"/>
                <w:szCs w:val="20"/>
                <w:color w:val="auto"/>
              </w:rPr>
            </w:pPr>
            <w:r>
              <w:rPr>
                <w:rFonts w:ascii="Arial" w:cs="Arial" w:eastAsia="Arial" w:hAnsi="Arial"/>
                <w:sz w:val="16"/>
                <w:szCs w:val="16"/>
                <w:color w:val="auto"/>
              </w:rPr>
              <w:t>the United States to approximately 42%</w:t>
            </w:r>
          </w:p>
        </w:tc>
      </w:tr>
      <w:tr>
        <w:trPr>
          <w:trHeight w:val="215"/>
        </w:trPr>
        <w:tc>
          <w:tcPr>
            <w:tcW w:w="2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0" w:type="dxa"/>
            <w:vAlign w:val="bottom"/>
          </w:tcPr>
          <w:p>
            <w:pPr>
              <w:ind w:left="40"/>
              <w:spacing w:after="0"/>
              <w:rPr>
                <w:sz w:val="20"/>
                <w:szCs w:val="20"/>
                <w:color w:val="auto"/>
              </w:rPr>
            </w:pPr>
            <w:r>
              <w:rPr>
                <w:rFonts w:ascii="Arial" w:cs="Arial" w:eastAsia="Arial" w:hAnsi="Arial"/>
                <w:sz w:val="16"/>
                <w:szCs w:val="16"/>
                <w:color w:val="auto"/>
              </w:rPr>
              <w:t>and 24%, respectively.</w:t>
            </w: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24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6"/>
                <w:szCs w:val="16"/>
                <w:color w:val="00A1DF"/>
              </w:rPr>
              <w:t>●</w:t>
            </w:r>
          </w:p>
        </w:tc>
        <w:tc>
          <w:tcPr>
            <w:tcW w:w="6600" w:type="dxa"/>
            <w:vAlign w:val="bottom"/>
            <w:gridSpan w:val="3"/>
          </w:tcPr>
          <w:p>
            <w:pPr>
              <w:ind w:left="40"/>
              <w:spacing w:after="0"/>
              <w:rPr>
                <w:sz w:val="20"/>
                <w:szCs w:val="20"/>
                <w:color w:val="auto"/>
              </w:rPr>
            </w:pPr>
            <w:r>
              <w:rPr>
                <w:rFonts w:ascii="Arial" w:cs="Arial" w:eastAsia="Arial" w:hAnsi="Arial"/>
                <w:sz w:val="16"/>
                <w:szCs w:val="16"/>
                <w:color w:val="auto"/>
              </w:rPr>
              <w:t>We continued to amplify diverse voices and cultures through our media platforms, including</w:t>
            </w:r>
          </w:p>
        </w:tc>
        <w:tc>
          <w:tcPr>
            <w:tcW w:w="1600" w:type="dxa"/>
            <w:vAlign w:val="bottom"/>
          </w:tcPr>
          <w:p>
            <w:pPr>
              <w:jc w:val="right"/>
              <w:ind w:right="279"/>
              <w:spacing w:after="0"/>
              <w:rPr>
                <w:sz w:val="20"/>
                <w:szCs w:val="20"/>
                <w:color w:val="auto"/>
              </w:rPr>
            </w:pPr>
            <w:r>
              <w:rPr>
                <w:rFonts w:ascii="Arial" w:cs="Arial" w:eastAsia="Arial" w:hAnsi="Arial"/>
                <w:sz w:val="16"/>
                <w:szCs w:val="16"/>
                <w:color w:val="auto"/>
              </w:rPr>
              <w:t>through Xfinity’s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80" w:type="dxa"/>
            <w:vAlign w:val="bottom"/>
            <w:gridSpan w:val="2"/>
          </w:tcPr>
          <w:p>
            <w:pPr>
              <w:ind w:left="40"/>
              <w:spacing w:after="0"/>
              <w:rPr>
                <w:sz w:val="20"/>
                <w:szCs w:val="20"/>
                <w:color w:val="auto"/>
              </w:rPr>
            </w:pPr>
            <w:r>
              <w:rPr>
                <w:rFonts w:ascii="Arial" w:cs="Arial" w:eastAsia="Arial" w:hAnsi="Arial"/>
                <w:sz w:val="16"/>
                <w:szCs w:val="16"/>
                <w:color w:val="auto"/>
              </w:rPr>
              <w:t>curated On Demand special collections, NBCUniversal’s ‘The More You</w:t>
            </w:r>
          </w:p>
        </w:tc>
        <w:tc>
          <w:tcPr>
            <w:tcW w:w="2920" w:type="dxa"/>
            <w:vAlign w:val="bottom"/>
            <w:gridSpan w:val="2"/>
          </w:tcPr>
          <w:p>
            <w:pPr>
              <w:jc w:val="right"/>
              <w:ind w:right="699"/>
              <w:spacing w:after="0"/>
              <w:rPr>
                <w:sz w:val="20"/>
                <w:szCs w:val="20"/>
                <w:color w:val="auto"/>
              </w:rPr>
            </w:pPr>
            <w:r>
              <w:rPr>
                <w:rFonts w:ascii="Arial" w:cs="Arial" w:eastAsia="Arial" w:hAnsi="Arial"/>
                <w:sz w:val="16"/>
                <w:szCs w:val="16"/>
                <w:color w:val="auto"/>
              </w:rPr>
              <w:t>Know’ series of public service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0" w:type="dxa"/>
            <w:vAlign w:val="bottom"/>
            <w:gridSpan w:val="4"/>
          </w:tcPr>
          <w:p>
            <w:pPr>
              <w:ind w:left="40"/>
              <w:spacing w:after="0"/>
              <w:rPr>
                <w:sz w:val="20"/>
                <w:szCs w:val="20"/>
                <w:color w:val="auto"/>
              </w:rPr>
            </w:pPr>
            <w:r>
              <w:rPr>
                <w:rFonts w:ascii="Arial" w:cs="Arial" w:eastAsia="Arial" w:hAnsi="Arial"/>
                <w:sz w:val="16"/>
                <w:szCs w:val="16"/>
                <w:color w:val="auto"/>
              </w:rPr>
              <w:t>announcements and NBC News’ ‘The Racism Virus’ on the  stark rise in anti-Asian discrimination, to name a few</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Pr>
          <w:p>
            <w:pPr>
              <w:ind w:left="40"/>
              <w:spacing w:after="0"/>
              <w:rPr>
                <w:sz w:val="20"/>
                <w:szCs w:val="20"/>
                <w:color w:val="auto"/>
              </w:rPr>
            </w:pPr>
            <w:r>
              <w:rPr>
                <w:rFonts w:ascii="Arial" w:cs="Arial" w:eastAsia="Arial" w:hAnsi="Arial"/>
                <w:sz w:val="16"/>
                <w:szCs w:val="16"/>
                <w:color w:val="auto"/>
              </w:rPr>
              <w:t>examples. NBCUniversal also launched</w:t>
            </w:r>
          </w:p>
        </w:tc>
        <w:tc>
          <w:tcPr>
            <w:tcW w:w="5200" w:type="dxa"/>
            <w:vAlign w:val="bottom"/>
            <w:gridSpan w:val="3"/>
          </w:tcPr>
          <w:p>
            <w:pPr>
              <w:jc w:val="right"/>
              <w:ind w:right="199"/>
              <w:spacing w:after="0"/>
              <w:rPr>
                <w:sz w:val="20"/>
                <w:szCs w:val="20"/>
                <w:color w:val="auto"/>
              </w:rPr>
            </w:pPr>
            <w:r>
              <w:rPr>
                <w:rFonts w:ascii="Arial" w:cs="Arial" w:eastAsia="Arial" w:hAnsi="Arial"/>
                <w:sz w:val="16"/>
                <w:szCs w:val="16"/>
                <w:color w:val="auto"/>
              </w:rPr>
              <w:t>NBCU Academy, an innovative, multiplatform journalism training and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0" w:type="dxa"/>
            <w:vAlign w:val="bottom"/>
            <w:gridSpan w:val="6"/>
          </w:tcPr>
          <w:p>
            <w:pPr>
              <w:ind w:left="40"/>
              <w:spacing w:after="0"/>
              <w:rPr>
                <w:sz w:val="20"/>
                <w:szCs w:val="20"/>
                <w:color w:val="auto"/>
              </w:rPr>
            </w:pPr>
            <w:r>
              <w:rPr>
                <w:rFonts w:ascii="Arial" w:cs="Arial" w:eastAsia="Arial" w:hAnsi="Arial"/>
                <w:sz w:val="16"/>
                <w:szCs w:val="16"/>
                <w:color w:val="auto"/>
              </w:rPr>
              <w:t>development program  for students at Historically Black Colleges and Universities and diverse-serving institutions,</w:t>
            </w:r>
          </w:p>
        </w:tc>
      </w:tr>
      <w:tr>
        <w:trPr>
          <w:trHeight w:val="224"/>
        </w:trPr>
        <w:tc>
          <w:tcPr>
            <w:tcW w:w="2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as well as a multi-year $3.5 million scholarship fund for underrepresented students.</w:t>
            </w:r>
          </w:p>
        </w:tc>
        <w:tc>
          <w:tcPr>
            <w:tcW w:w="1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49"/>
        </w:trPr>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920" w:type="dxa"/>
            <w:vAlign w:val="bottom"/>
            <w:gridSpan w:val="2"/>
          </w:tcPr>
          <w:p>
            <w:pPr>
              <w:jc w:val="right"/>
              <w:ind w:right="179"/>
              <w:spacing w:after="0"/>
              <w:rPr>
                <w:sz w:val="20"/>
                <w:szCs w:val="20"/>
                <w:color w:val="auto"/>
              </w:rPr>
            </w:pPr>
            <w:r>
              <w:rPr>
                <w:rFonts w:ascii="Arial" w:cs="Arial" w:eastAsia="Arial" w:hAnsi="Arial"/>
                <w:sz w:val="14"/>
                <w:szCs w:val="14"/>
                <w:color w:val="auto"/>
              </w:rPr>
              <w:t>2022 Proxy Statement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37</w:t>
            </w:r>
          </w:p>
        </w:tc>
      </w:tr>
      <w:tr>
        <w:trPr>
          <w:trHeight w:val="93"/>
        </w:trPr>
        <w:tc>
          <w:tcPr>
            <w:tcW w:w="2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7" w:lineRule="exact"/>
        <w:rPr>
          <w:sz w:val="20"/>
          <w:szCs w:val="20"/>
          <w:color w:val="auto"/>
        </w:rPr>
      </w:pPr>
    </w:p>
    <w:p>
      <w:pPr>
        <w:ind w:left="60"/>
        <w:spacing w:after="0"/>
        <w:tabs>
          <w:tab w:leader="none" w:pos="2680" w:val="left"/>
        </w:tabs>
        <w:rPr>
          <w:sz w:val="20"/>
          <w:szCs w:val="20"/>
          <w:color w:val="auto"/>
        </w:rPr>
      </w:pPr>
      <w:r>
        <w:rPr>
          <w:rFonts w:ascii="Arial" w:cs="Arial" w:eastAsia="Arial" w:hAnsi="Arial"/>
          <w:sz w:val="14"/>
          <w:szCs w:val="14"/>
          <w:b w:val="1"/>
          <w:bCs w:val="1"/>
          <w:color w:val="auto"/>
        </w:rPr>
        <w:t>GOALS</w:t>
      </w:r>
      <w:r>
        <w:rPr>
          <w:sz w:val="20"/>
          <w:szCs w:val="20"/>
          <w:color w:val="auto"/>
        </w:rPr>
        <w:tab/>
      </w:r>
      <w:r>
        <w:rPr>
          <w:rFonts w:ascii="Arial" w:cs="Arial" w:eastAsia="Arial" w:hAnsi="Arial"/>
          <w:sz w:val="14"/>
          <w:szCs w:val="14"/>
          <w:b w:val="1"/>
          <w:bCs w:val="1"/>
          <w:color w:val="auto"/>
        </w:rPr>
        <w:t>2021 PERFORMANCE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2900" w:right="560" w:hanging="192"/>
        <w:spacing w:after="0" w:line="286" w:lineRule="auto"/>
        <w:tabs>
          <w:tab w:leader="none" w:pos="2894" w:val="left"/>
        </w:tabs>
        <w:numPr>
          <w:ilvl w:val="0"/>
          <w:numId w:val="49"/>
        </w:numPr>
        <w:rPr>
          <w:rFonts w:ascii="Arial" w:cs="Arial" w:eastAsia="Arial" w:hAnsi="Arial"/>
          <w:sz w:val="16"/>
          <w:szCs w:val="16"/>
          <w:color w:val="00A1DF"/>
        </w:rPr>
      </w:pPr>
      <w:r>
        <w:rPr>
          <w:rFonts w:ascii="Arial" w:cs="Arial" w:eastAsia="Arial" w:hAnsi="Arial"/>
          <w:sz w:val="16"/>
          <w:szCs w:val="16"/>
          <w:color w:val="auto"/>
        </w:rPr>
        <w:t>In 2021, we spent over $4.3 billion with diverse Tier 1 vendors (with direct purchases from over 3,250 diverse suppliers) and over $390 million with diverse Tier 2 subcontractors.</w:t>
      </w:r>
    </w:p>
    <w:p>
      <w:pPr>
        <w:spacing w:after="0" w:line="155" w:lineRule="exact"/>
        <w:rPr>
          <w:rFonts w:ascii="Arial" w:cs="Arial" w:eastAsia="Arial" w:hAnsi="Arial"/>
          <w:sz w:val="16"/>
          <w:szCs w:val="16"/>
          <w:color w:val="00A1DF"/>
        </w:rPr>
      </w:pPr>
    </w:p>
    <w:p>
      <w:pPr>
        <w:ind w:left="2900" w:right="180" w:hanging="192"/>
        <w:spacing w:after="0" w:line="259" w:lineRule="auto"/>
        <w:tabs>
          <w:tab w:leader="none" w:pos="2894" w:val="left"/>
        </w:tabs>
        <w:numPr>
          <w:ilvl w:val="0"/>
          <w:numId w:val="49"/>
        </w:numPr>
        <w:rPr>
          <w:rFonts w:ascii="Arial" w:cs="Arial" w:eastAsia="Arial" w:hAnsi="Arial"/>
          <w:sz w:val="16"/>
          <w:szCs w:val="16"/>
          <w:color w:val="00A1DF"/>
        </w:rPr>
      </w:pPr>
      <w:r>
        <w:rPr>
          <w:rFonts w:ascii="Arial" w:cs="Arial" w:eastAsia="Arial" w:hAnsi="Arial"/>
          <w:sz w:val="16"/>
          <w:szCs w:val="16"/>
          <w:color w:val="auto"/>
        </w:rPr>
        <w:t>In 2021, we invested $25 million in the Seibert Williams Shank Clear Vision Impact Fund, a diverse-led and diverse-serving financial institution that provides direct support to local community businesses, and $10 million in the Inclusiv Racial Equity and Resilience Investment Fund, which is aimed at building equity in credit unions led by and/or serving people of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1398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9" w:lineRule="exact"/>
        <w:rPr>
          <w:sz w:val="20"/>
          <w:szCs w:val="20"/>
          <w:color w:val="auto"/>
        </w:rPr>
      </w:pPr>
    </w:p>
    <w:p>
      <w:pPr>
        <w:ind w:left="2700" w:right="360" w:hanging="2645"/>
        <w:spacing w:after="0" w:line="253" w:lineRule="auto"/>
        <w:tabs>
          <w:tab w:leader="none" w:pos="2680" w:val="left"/>
        </w:tabs>
        <w:rPr>
          <w:sz w:val="20"/>
          <w:szCs w:val="20"/>
          <w:color w:val="auto"/>
        </w:rPr>
      </w:pPr>
      <w:r>
        <w:rPr>
          <w:rFonts w:ascii="Arial" w:cs="Arial" w:eastAsia="Arial" w:hAnsi="Arial"/>
          <w:sz w:val="16"/>
          <w:szCs w:val="16"/>
          <w:b w:val="1"/>
          <w:bCs w:val="1"/>
          <w:color w:val="auto"/>
        </w:rPr>
        <w:t>Environmental Sustainability</w:t>
      </w:r>
      <w:r>
        <w:rPr>
          <w:sz w:val="20"/>
          <w:szCs w:val="20"/>
          <w:color w:val="auto"/>
        </w:rPr>
        <w:tab/>
      </w:r>
      <w:r>
        <w:rPr>
          <w:rFonts w:ascii="Arial" w:cs="Arial" w:eastAsia="Arial" w:hAnsi="Arial"/>
          <w:sz w:val="16"/>
          <w:szCs w:val="16"/>
          <w:color w:val="auto"/>
        </w:rPr>
        <w:t>Led by our senior leadership team, we set a goal to be carbon neutral by 2035 in Scope 1 and 2 greenhouse gas emissions across our global operations in May 2021. We also created an enterprise steering committee, led by Mr. Cavanagh and our Chief Legal Officer, to help facilitate progress toward our carbon neutral goal and further environmental initiatives. Knowing that purchased electricity accounts for the majority of our Scope 1 and 2 emissions, we have further developed our renewable energy procurement strategy, signing in 2021 a long-term purchase agreement for renewable electricity to power approximately 12% of our current U.S. electricity use beginning in 2024-2025.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8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We also reported for the first time under both the SASB and TCFD frameworks in 2021.</w:t>
            </w:r>
          </w:p>
        </w:tc>
      </w:tr>
      <w:tr>
        <w:trPr>
          <w:trHeight w:val="20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Culture of Integrity and</w:t>
            </w:r>
          </w:p>
        </w:tc>
        <w:tc>
          <w:tcPr>
            <w:tcW w:w="8960" w:type="dxa"/>
            <w:vAlign w:val="bottom"/>
          </w:tcPr>
          <w:p>
            <w:pPr>
              <w:ind w:left="420"/>
              <w:spacing w:after="0"/>
              <w:rPr>
                <w:sz w:val="20"/>
                <w:szCs w:val="20"/>
                <w:color w:val="auto"/>
              </w:rPr>
            </w:pPr>
            <w:r>
              <w:rPr>
                <w:rFonts w:ascii="Arial" w:cs="Arial" w:eastAsia="Arial" w:hAnsi="Arial"/>
                <w:sz w:val="16"/>
                <w:szCs w:val="16"/>
                <w:color w:val="auto"/>
              </w:rPr>
              <w:t>Individually and as a whole, our NEOs provided critical leadership in furthering each of the important stakeholder and</w:t>
            </w:r>
          </w:p>
        </w:tc>
      </w:tr>
      <w:tr>
        <w:trPr>
          <w:trHeight w:val="189"/>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Respect</w:t>
            </w:r>
          </w:p>
        </w:tc>
        <w:tc>
          <w:tcPr>
            <w:tcW w:w="8960" w:type="dxa"/>
            <w:vAlign w:val="bottom"/>
          </w:tcPr>
          <w:p>
            <w:pPr>
              <w:ind w:left="420"/>
              <w:spacing w:after="0"/>
              <w:rPr>
                <w:sz w:val="20"/>
                <w:szCs w:val="20"/>
                <w:color w:val="auto"/>
              </w:rPr>
            </w:pPr>
            <w:r>
              <w:rPr>
                <w:rFonts w:ascii="Arial" w:cs="Arial" w:eastAsia="Arial" w:hAnsi="Arial"/>
                <w:sz w:val="16"/>
                <w:szCs w:val="16"/>
                <w:color w:val="auto"/>
              </w:rPr>
              <w:t>sustainability initiatives described above. They also reinforced our strong commitment to a workplace culture that</w:t>
            </w:r>
          </w:p>
        </w:tc>
      </w:tr>
      <w:tr>
        <w:trPr>
          <w:trHeight w:val="224"/>
        </w:trPr>
        <w:tc>
          <w:tcPr>
            <w:tcW w:w="228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emphasizes integrity and respect and intolerance of harassment and discrimination.</w:t>
            </w: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A1DF"/>
        </w:rPr>
        <w:t>2021 NEO Performance</w:t>
      </w:r>
    </w:p>
    <w:p>
      <w:pPr>
        <w:spacing w:after="0" w:line="212" w:lineRule="exact"/>
        <w:rPr>
          <w:sz w:val="20"/>
          <w:szCs w:val="20"/>
          <w:color w:val="auto"/>
        </w:rPr>
      </w:pPr>
    </w:p>
    <w:p>
      <w:pPr>
        <w:ind w:left="60" w:right="160"/>
        <w:spacing w:after="0" w:line="266" w:lineRule="auto"/>
        <w:rPr>
          <w:sz w:val="20"/>
          <w:szCs w:val="20"/>
          <w:color w:val="auto"/>
        </w:rPr>
      </w:pPr>
      <w:r>
        <w:rPr>
          <w:rFonts w:ascii="Arial" w:cs="Arial" w:eastAsia="Arial" w:hAnsi="Arial"/>
          <w:sz w:val="16"/>
          <w:szCs w:val="16"/>
          <w:color w:val="auto"/>
        </w:rPr>
        <w:t>In evaluating the strategic operating performance goals and stakeholder and sustainability initiatives portions of the annual cash bonus, the Compensation and Human Capital Committee also considered the contribution of each NEO toward our company’s overall achievement of, and progress toward, those goals, as well as each NEO’s overall management and leadership of our company.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80" w:type="dxa"/>
            <w:vAlign w:val="bottom"/>
            <w:tcBorders>
              <w:top w:val="single" w:sz="8" w:color="auto"/>
            </w:tcBorders>
            <w:shd w:val="clear" w:color="auto" w:fill="EAF2FA"/>
          </w:tcPr>
          <w:p>
            <w:pPr>
              <w:ind w:left="60"/>
              <w:spacing w:after="0"/>
              <w:rPr>
                <w:sz w:val="20"/>
                <w:szCs w:val="20"/>
                <w:color w:val="auto"/>
              </w:rPr>
            </w:pPr>
            <w:r>
              <w:rPr>
                <w:rFonts w:ascii="Arial" w:cs="Arial" w:eastAsia="Arial" w:hAnsi="Arial"/>
                <w:sz w:val="16"/>
                <w:szCs w:val="16"/>
                <w:b w:val="1"/>
                <w:bCs w:val="1"/>
                <w:color w:val="auto"/>
              </w:rPr>
              <w:t>Brian L. Roberts</w:t>
            </w:r>
          </w:p>
        </w:tc>
        <w:tc>
          <w:tcPr>
            <w:tcW w:w="9060" w:type="dxa"/>
            <w:vAlign w:val="bottom"/>
            <w:tcBorders>
              <w:top w:val="single" w:sz="8" w:color="auto"/>
            </w:tcBorders>
            <w:shd w:val="clear" w:color="auto" w:fill="EAF2FA"/>
          </w:tcPr>
          <w:p>
            <w:pPr>
              <w:ind w:left="520"/>
              <w:spacing w:after="0"/>
              <w:rPr>
                <w:sz w:val="20"/>
                <w:szCs w:val="20"/>
                <w:color w:val="auto"/>
              </w:rPr>
            </w:pPr>
            <w:r>
              <w:rPr>
                <w:rFonts w:ascii="Arial" w:cs="Arial" w:eastAsia="Arial" w:hAnsi="Arial"/>
                <w:sz w:val="16"/>
                <w:szCs w:val="16"/>
                <w:color w:val="auto"/>
              </w:rPr>
              <w:t>Mr. Roberts led our company’s strategic focus on connectivity, aggregation and streaming, which we believe will</w:t>
            </w:r>
          </w:p>
        </w:tc>
        <w:tc>
          <w:tcPr>
            <w:tcW w:w="20" w:type="dxa"/>
            <w:vAlign w:val="bottom"/>
          </w:tcPr>
          <w:p>
            <w:pPr>
              <w:spacing w:after="0"/>
              <w:rPr>
                <w:sz w:val="19"/>
                <w:szCs w:val="19"/>
                <w:color w:val="auto"/>
              </w:rPr>
            </w:pPr>
          </w:p>
        </w:tc>
      </w:tr>
      <w:tr>
        <w:trPr>
          <w:trHeight w:val="189"/>
        </w:trPr>
        <w:tc>
          <w:tcPr>
            <w:tcW w:w="2180" w:type="dxa"/>
            <w:vAlign w:val="bottom"/>
            <w:shd w:val="clear" w:color="auto" w:fill="EAF2FA"/>
          </w:tcPr>
          <w:p>
            <w:pPr>
              <w:spacing w:after="0"/>
              <w:rPr>
                <w:sz w:val="16"/>
                <w:szCs w:val="16"/>
                <w:color w:val="auto"/>
              </w:rPr>
            </w:pPr>
          </w:p>
        </w:tc>
        <w:tc>
          <w:tcPr>
            <w:tcW w:w="9060" w:type="dxa"/>
            <w:vAlign w:val="bottom"/>
            <w:shd w:val="clear" w:color="auto" w:fill="EAF2FA"/>
          </w:tcPr>
          <w:p>
            <w:pPr>
              <w:ind w:left="520"/>
              <w:spacing w:after="0"/>
              <w:rPr>
                <w:sz w:val="20"/>
                <w:szCs w:val="20"/>
                <w:color w:val="auto"/>
              </w:rPr>
            </w:pPr>
            <w:r>
              <w:rPr>
                <w:rFonts w:ascii="Arial" w:cs="Arial" w:eastAsia="Arial" w:hAnsi="Arial"/>
                <w:sz w:val="16"/>
                <w:szCs w:val="16"/>
                <w:color w:val="auto"/>
              </w:rPr>
              <w:t>better position our company for the long-term. Mr. Roberts set the tone for our businesses to execute at the highest</w:t>
            </w:r>
          </w:p>
        </w:tc>
        <w:tc>
          <w:tcPr>
            <w:tcW w:w="20" w:type="dxa"/>
            <w:vAlign w:val="bottom"/>
          </w:tcPr>
          <w:p>
            <w:pPr>
              <w:spacing w:after="0"/>
              <w:rPr>
                <w:sz w:val="16"/>
                <w:szCs w:val="16"/>
                <w:color w:val="auto"/>
              </w:rPr>
            </w:pPr>
          </w:p>
        </w:tc>
      </w:tr>
      <w:tr>
        <w:trPr>
          <w:trHeight w:val="189"/>
        </w:trPr>
        <w:tc>
          <w:tcPr>
            <w:tcW w:w="2180" w:type="dxa"/>
            <w:vAlign w:val="bottom"/>
            <w:shd w:val="clear" w:color="auto" w:fill="EAF2FA"/>
          </w:tcPr>
          <w:p>
            <w:pPr>
              <w:spacing w:after="0"/>
              <w:rPr>
                <w:sz w:val="16"/>
                <w:szCs w:val="16"/>
                <w:color w:val="auto"/>
              </w:rPr>
            </w:pPr>
          </w:p>
        </w:tc>
        <w:tc>
          <w:tcPr>
            <w:tcW w:w="9060" w:type="dxa"/>
            <w:vAlign w:val="bottom"/>
            <w:shd w:val="clear" w:color="auto" w:fill="EAF2FA"/>
          </w:tcPr>
          <w:p>
            <w:pPr>
              <w:ind w:left="520"/>
              <w:spacing w:after="0"/>
              <w:rPr>
                <w:sz w:val="20"/>
                <w:szCs w:val="20"/>
                <w:color w:val="auto"/>
              </w:rPr>
            </w:pPr>
            <w:r>
              <w:rPr>
                <w:rFonts w:ascii="Arial" w:cs="Arial" w:eastAsia="Arial" w:hAnsi="Arial"/>
                <w:sz w:val="16"/>
                <w:szCs w:val="16"/>
                <w:color w:val="auto"/>
              </w:rPr>
              <w:t>level, to work together across our complementary, high-performing businesses at Comcast Cable, NBCUniversal and</w:t>
            </w:r>
          </w:p>
        </w:tc>
        <w:tc>
          <w:tcPr>
            <w:tcW w:w="20" w:type="dxa"/>
            <w:vAlign w:val="bottom"/>
          </w:tcPr>
          <w:p>
            <w:pPr>
              <w:spacing w:after="0"/>
              <w:rPr>
                <w:sz w:val="16"/>
                <w:szCs w:val="16"/>
                <w:color w:val="auto"/>
              </w:rPr>
            </w:pPr>
          </w:p>
        </w:tc>
      </w:tr>
      <w:tr>
        <w:trPr>
          <w:trHeight w:val="189"/>
        </w:trPr>
        <w:tc>
          <w:tcPr>
            <w:tcW w:w="2180" w:type="dxa"/>
            <w:vAlign w:val="bottom"/>
            <w:shd w:val="clear" w:color="auto" w:fill="EAF2FA"/>
          </w:tcPr>
          <w:p>
            <w:pPr>
              <w:spacing w:after="0"/>
              <w:rPr>
                <w:sz w:val="16"/>
                <w:szCs w:val="16"/>
                <w:color w:val="auto"/>
              </w:rPr>
            </w:pPr>
          </w:p>
        </w:tc>
        <w:tc>
          <w:tcPr>
            <w:tcW w:w="9060" w:type="dxa"/>
            <w:vAlign w:val="bottom"/>
            <w:shd w:val="clear" w:color="auto" w:fill="EAF2FA"/>
          </w:tcPr>
          <w:p>
            <w:pPr>
              <w:ind w:left="520"/>
              <w:spacing w:after="0"/>
              <w:rPr>
                <w:sz w:val="20"/>
                <w:szCs w:val="20"/>
                <w:color w:val="auto"/>
              </w:rPr>
            </w:pPr>
            <w:r>
              <w:rPr>
                <w:rFonts w:ascii="Arial" w:cs="Arial" w:eastAsia="Arial" w:hAnsi="Arial"/>
                <w:sz w:val="16"/>
                <w:szCs w:val="16"/>
                <w:color w:val="auto"/>
              </w:rPr>
              <w:t>Sky and to continue to accelerate convergence in media and technology and leverage our global technology platform.</w:t>
            </w:r>
          </w:p>
        </w:tc>
        <w:tc>
          <w:tcPr>
            <w:tcW w:w="20" w:type="dxa"/>
            <w:vAlign w:val="bottom"/>
          </w:tcPr>
          <w:p>
            <w:pPr>
              <w:spacing w:after="0"/>
              <w:rPr>
                <w:sz w:val="16"/>
                <w:szCs w:val="16"/>
                <w:color w:val="auto"/>
              </w:rPr>
            </w:pPr>
          </w:p>
        </w:tc>
      </w:tr>
      <w:tr>
        <w:trPr>
          <w:trHeight w:val="189"/>
        </w:trPr>
        <w:tc>
          <w:tcPr>
            <w:tcW w:w="2180" w:type="dxa"/>
            <w:vAlign w:val="bottom"/>
            <w:shd w:val="clear" w:color="auto" w:fill="EAF2FA"/>
          </w:tcPr>
          <w:p>
            <w:pPr>
              <w:spacing w:after="0"/>
              <w:rPr>
                <w:sz w:val="16"/>
                <w:szCs w:val="16"/>
                <w:color w:val="auto"/>
              </w:rPr>
            </w:pPr>
          </w:p>
        </w:tc>
        <w:tc>
          <w:tcPr>
            <w:tcW w:w="9060" w:type="dxa"/>
            <w:vAlign w:val="bottom"/>
            <w:shd w:val="clear" w:color="auto" w:fill="EAF2FA"/>
          </w:tcPr>
          <w:p>
            <w:pPr>
              <w:ind w:left="520"/>
              <w:spacing w:after="0"/>
              <w:rPr>
                <w:sz w:val="20"/>
                <w:szCs w:val="20"/>
                <w:color w:val="auto"/>
              </w:rPr>
            </w:pPr>
            <w:r>
              <w:rPr>
                <w:rFonts w:ascii="Arial" w:cs="Arial" w:eastAsia="Arial" w:hAnsi="Arial"/>
                <w:sz w:val="16"/>
                <w:szCs w:val="16"/>
                <w:color w:val="auto"/>
              </w:rPr>
              <w:t>At the same time, he continued to guide our company’s overall response to the pandemic and reinforce our</w:t>
            </w:r>
          </w:p>
        </w:tc>
        <w:tc>
          <w:tcPr>
            <w:tcW w:w="20" w:type="dxa"/>
            <w:vAlign w:val="bottom"/>
          </w:tcPr>
          <w:p>
            <w:pPr>
              <w:spacing w:after="0"/>
              <w:rPr>
                <w:sz w:val="16"/>
                <w:szCs w:val="16"/>
                <w:color w:val="auto"/>
              </w:rPr>
            </w:pPr>
          </w:p>
        </w:tc>
      </w:tr>
      <w:tr>
        <w:trPr>
          <w:trHeight w:val="189"/>
        </w:trPr>
        <w:tc>
          <w:tcPr>
            <w:tcW w:w="2180" w:type="dxa"/>
            <w:vAlign w:val="bottom"/>
            <w:shd w:val="clear" w:color="auto" w:fill="EAF2FA"/>
          </w:tcPr>
          <w:p>
            <w:pPr>
              <w:spacing w:after="0"/>
              <w:rPr>
                <w:sz w:val="16"/>
                <w:szCs w:val="16"/>
                <w:color w:val="auto"/>
              </w:rPr>
            </w:pPr>
          </w:p>
        </w:tc>
        <w:tc>
          <w:tcPr>
            <w:tcW w:w="9060" w:type="dxa"/>
            <w:vAlign w:val="bottom"/>
            <w:shd w:val="clear" w:color="auto" w:fill="EAF2FA"/>
          </w:tcPr>
          <w:p>
            <w:pPr>
              <w:ind w:left="520"/>
              <w:spacing w:after="0"/>
              <w:rPr>
                <w:sz w:val="20"/>
                <w:szCs w:val="20"/>
                <w:color w:val="auto"/>
              </w:rPr>
            </w:pPr>
            <w:r>
              <w:rPr>
                <w:rFonts w:ascii="Arial" w:cs="Arial" w:eastAsia="Arial" w:hAnsi="Arial"/>
                <w:sz w:val="16"/>
                <w:szCs w:val="16"/>
                <w:color w:val="auto"/>
              </w:rPr>
              <w:t>stakeholder and sustainability initiatives, all with a focus on doing the right thing for all of our stakeholders and society</w:t>
            </w:r>
          </w:p>
        </w:tc>
        <w:tc>
          <w:tcPr>
            <w:tcW w:w="20" w:type="dxa"/>
            <w:vAlign w:val="bottom"/>
          </w:tcPr>
          <w:p>
            <w:pPr>
              <w:spacing w:after="0"/>
              <w:rPr>
                <w:sz w:val="16"/>
                <w:szCs w:val="16"/>
                <w:color w:val="auto"/>
              </w:rPr>
            </w:pPr>
          </w:p>
        </w:tc>
      </w:tr>
      <w:tr>
        <w:trPr>
          <w:trHeight w:val="224"/>
        </w:trPr>
        <w:tc>
          <w:tcPr>
            <w:tcW w:w="2180" w:type="dxa"/>
            <w:vAlign w:val="bottom"/>
            <w:tcBorders>
              <w:bottom w:val="single" w:sz="8" w:color="auto"/>
            </w:tcBorders>
            <w:shd w:val="clear" w:color="auto" w:fill="EAF2FA"/>
          </w:tcPr>
          <w:p>
            <w:pPr>
              <w:spacing w:after="0"/>
              <w:rPr>
                <w:sz w:val="19"/>
                <w:szCs w:val="19"/>
                <w:color w:val="auto"/>
              </w:rPr>
            </w:pPr>
          </w:p>
        </w:tc>
        <w:tc>
          <w:tcPr>
            <w:tcW w:w="9060" w:type="dxa"/>
            <w:vAlign w:val="bottom"/>
            <w:tcBorders>
              <w:bottom w:val="single" w:sz="8" w:color="auto"/>
            </w:tcBorders>
            <w:shd w:val="clear" w:color="auto" w:fill="EAF2FA"/>
          </w:tcPr>
          <w:p>
            <w:pPr>
              <w:ind w:left="520"/>
              <w:spacing w:after="0"/>
              <w:rPr>
                <w:sz w:val="20"/>
                <w:szCs w:val="20"/>
                <w:color w:val="auto"/>
              </w:rPr>
            </w:pPr>
            <w:r>
              <w:rPr>
                <w:rFonts w:ascii="Arial" w:cs="Arial" w:eastAsia="Arial" w:hAnsi="Arial"/>
                <w:sz w:val="16"/>
                <w:szCs w:val="16"/>
                <w:color w:val="auto"/>
              </w:rPr>
              <w:t>at large.</w:t>
            </w:r>
          </w:p>
        </w:tc>
        <w:tc>
          <w:tcPr>
            <w:tcW w:w="20" w:type="dxa"/>
            <w:vAlign w:val="bottom"/>
          </w:tcPr>
          <w:p>
            <w:pPr>
              <w:spacing w:after="0"/>
              <w:rPr>
                <w:sz w:val="19"/>
                <w:szCs w:val="19"/>
                <w:color w:val="auto"/>
              </w:rPr>
            </w:pPr>
          </w:p>
        </w:tc>
      </w:tr>
      <w:tr>
        <w:trPr>
          <w:trHeight w:val="202"/>
        </w:trPr>
        <w:tc>
          <w:tcPr>
            <w:tcW w:w="2180" w:type="dxa"/>
            <w:vAlign w:val="bottom"/>
          </w:tcPr>
          <w:p>
            <w:pPr>
              <w:ind w:left="60"/>
              <w:spacing w:after="0"/>
              <w:rPr>
                <w:sz w:val="20"/>
                <w:szCs w:val="20"/>
                <w:color w:val="auto"/>
              </w:rPr>
            </w:pPr>
            <w:r>
              <w:rPr>
                <w:rFonts w:ascii="Arial" w:cs="Arial" w:eastAsia="Arial" w:hAnsi="Arial"/>
                <w:sz w:val="16"/>
                <w:szCs w:val="16"/>
                <w:b w:val="1"/>
                <w:bCs w:val="1"/>
                <w:color w:val="auto"/>
              </w:rPr>
              <w:t>Michael J. Cavanagh</w:t>
            </w:r>
          </w:p>
        </w:tc>
        <w:tc>
          <w:tcPr>
            <w:tcW w:w="9060" w:type="dxa"/>
            <w:vAlign w:val="bottom"/>
          </w:tcPr>
          <w:p>
            <w:pPr>
              <w:ind w:left="520"/>
              <w:spacing w:after="0"/>
              <w:rPr>
                <w:sz w:val="20"/>
                <w:szCs w:val="20"/>
                <w:color w:val="auto"/>
              </w:rPr>
            </w:pPr>
            <w:r>
              <w:rPr>
                <w:rFonts w:ascii="Arial" w:cs="Arial" w:eastAsia="Arial" w:hAnsi="Arial"/>
                <w:sz w:val="16"/>
                <w:szCs w:val="16"/>
                <w:color w:val="auto"/>
              </w:rPr>
              <w:t>Mr. Cavanagh led our businesses in responding to and reemerging from the depths of the global pandemic. Mr.</w:t>
            </w:r>
          </w:p>
        </w:tc>
        <w:tc>
          <w:tcPr>
            <w:tcW w:w="20" w:type="dxa"/>
            <w:vAlign w:val="bottom"/>
          </w:tcPr>
          <w:p>
            <w:pPr>
              <w:spacing w:after="0"/>
              <w:rPr>
                <w:sz w:val="17"/>
                <w:szCs w:val="17"/>
                <w:color w:val="auto"/>
              </w:rPr>
            </w:pPr>
          </w:p>
        </w:tc>
      </w:tr>
      <w:tr>
        <w:trPr>
          <w:trHeight w:val="189"/>
        </w:trPr>
        <w:tc>
          <w:tcPr>
            <w:tcW w:w="2180" w:type="dxa"/>
            <w:vAlign w:val="bottom"/>
          </w:tcPr>
          <w:p>
            <w:pPr>
              <w:spacing w:after="0"/>
              <w:rPr>
                <w:sz w:val="16"/>
                <w:szCs w:val="16"/>
                <w:color w:val="auto"/>
              </w:rPr>
            </w:pPr>
          </w:p>
        </w:tc>
        <w:tc>
          <w:tcPr>
            <w:tcW w:w="9060" w:type="dxa"/>
            <w:vAlign w:val="bottom"/>
          </w:tcPr>
          <w:p>
            <w:pPr>
              <w:ind w:left="520"/>
              <w:spacing w:after="0"/>
              <w:rPr>
                <w:sz w:val="20"/>
                <w:szCs w:val="20"/>
                <w:color w:val="auto"/>
              </w:rPr>
            </w:pPr>
            <w:r>
              <w:rPr>
                <w:rFonts w:ascii="Arial" w:cs="Arial" w:eastAsia="Arial" w:hAnsi="Arial"/>
                <w:sz w:val="16"/>
                <w:szCs w:val="16"/>
                <w:color w:val="auto"/>
              </w:rPr>
              <w:t>Cavanagh continued to focus on capital allocation, balance sheet strength and our liquidity. He led important</w:t>
            </w:r>
          </w:p>
        </w:tc>
        <w:tc>
          <w:tcPr>
            <w:tcW w:w="2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9060" w:type="dxa"/>
            <w:vAlign w:val="bottom"/>
          </w:tcPr>
          <w:p>
            <w:pPr>
              <w:ind w:left="520"/>
              <w:spacing w:after="0"/>
              <w:rPr>
                <w:sz w:val="20"/>
                <w:szCs w:val="20"/>
                <w:color w:val="auto"/>
              </w:rPr>
            </w:pPr>
            <w:r>
              <w:rPr>
                <w:rFonts w:ascii="Arial" w:cs="Arial" w:eastAsia="Arial" w:hAnsi="Arial"/>
                <w:sz w:val="16"/>
                <w:szCs w:val="16"/>
                <w:color w:val="auto"/>
              </w:rPr>
              <w:t>decisions about return of capital alternatives, including raising our dividend to $1.08 a share on an annualized basis</w:t>
            </w:r>
          </w:p>
        </w:tc>
        <w:tc>
          <w:tcPr>
            <w:tcW w:w="2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9060" w:type="dxa"/>
            <w:vAlign w:val="bottom"/>
          </w:tcPr>
          <w:p>
            <w:pPr>
              <w:ind w:left="520"/>
              <w:spacing w:after="0"/>
              <w:rPr>
                <w:sz w:val="20"/>
                <w:szCs w:val="20"/>
                <w:color w:val="auto"/>
              </w:rPr>
            </w:pPr>
            <w:r>
              <w:rPr>
                <w:rFonts w:ascii="Arial" w:cs="Arial" w:eastAsia="Arial" w:hAnsi="Arial"/>
                <w:sz w:val="16"/>
                <w:szCs w:val="16"/>
                <w:color w:val="auto"/>
              </w:rPr>
              <w:t>for 2022, an increase of 8% year-over-year, and resuming our share repurchase program in May 2021 after having</w:t>
            </w:r>
          </w:p>
        </w:tc>
        <w:tc>
          <w:tcPr>
            <w:tcW w:w="2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9060" w:type="dxa"/>
            <w:vAlign w:val="bottom"/>
          </w:tcPr>
          <w:p>
            <w:pPr>
              <w:ind w:left="520"/>
              <w:spacing w:after="0"/>
              <w:rPr>
                <w:sz w:val="20"/>
                <w:szCs w:val="20"/>
                <w:color w:val="auto"/>
              </w:rPr>
            </w:pPr>
            <w:r>
              <w:rPr>
                <w:rFonts w:ascii="Arial" w:cs="Arial" w:eastAsia="Arial" w:hAnsi="Arial"/>
                <w:sz w:val="16"/>
                <w:szCs w:val="16"/>
                <w:color w:val="auto"/>
              </w:rPr>
              <w:t>paused it in 2019 to accelerate the reduction of indebtedness incurred in connection with the Sky acquisition. In</w:t>
            </w:r>
          </w:p>
        </w:tc>
        <w:tc>
          <w:tcPr>
            <w:tcW w:w="2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9060" w:type="dxa"/>
            <w:vAlign w:val="bottom"/>
          </w:tcPr>
          <w:p>
            <w:pPr>
              <w:ind w:left="520"/>
              <w:spacing w:after="0"/>
              <w:rPr>
                <w:sz w:val="20"/>
                <w:szCs w:val="20"/>
                <w:color w:val="auto"/>
              </w:rPr>
            </w:pPr>
            <w:r>
              <w:rPr>
                <w:rFonts w:ascii="Arial" w:cs="Arial" w:eastAsia="Arial" w:hAnsi="Arial"/>
                <w:sz w:val="16"/>
                <w:szCs w:val="16"/>
                <w:color w:val="auto"/>
              </w:rPr>
              <w:t>addition to his financial leadership, Mr. Cavanagh framed and led the execution of key decisions on critical strategic</w:t>
            </w:r>
          </w:p>
        </w:tc>
        <w:tc>
          <w:tcPr>
            <w:tcW w:w="2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9060" w:type="dxa"/>
            <w:vAlign w:val="bottom"/>
          </w:tcPr>
          <w:p>
            <w:pPr>
              <w:ind w:left="520"/>
              <w:spacing w:after="0"/>
              <w:rPr>
                <w:sz w:val="20"/>
                <w:szCs w:val="20"/>
                <w:color w:val="auto"/>
              </w:rPr>
            </w:pPr>
            <w:r>
              <w:rPr>
                <w:rFonts w:ascii="Arial" w:cs="Arial" w:eastAsia="Arial" w:hAnsi="Arial"/>
                <w:sz w:val="16"/>
                <w:szCs w:val="16"/>
                <w:color w:val="auto"/>
              </w:rPr>
              <w:t>and operational initiatives across all of our businesses, as well as providing leadership alongside Mr. Roberts to the</w:t>
            </w:r>
          </w:p>
        </w:tc>
        <w:tc>
          <w:tcPr>
            <w:tcW w:w="20" w:type="dxa"/>
            <w:vAlign w:val="bottom"/>
          </w:tcPr>
          <w:p>
            <w:pPr>
              <w:spacing w:after="0"/>
              <w:rPr>
                <w:sz w:val="16"/>
                <w:szCs w:val="16"/>
                <w:color w:val="auto"/>
              </w:rPr>
            </w:pPr>
          </w:p>
        </w:tc>
      </w:tr>
      <w:tr>
        <w:trPr>
          <w:trHeight w:val="224"/>
        </w:trPr>
        <w:tc>
          <w:tcPr>
            <w:tcW w:w="2180" w:type="dxa"/>
            <w:vAlign w:val="bottom"/>
            <w:tcBorders>
              <w:bottom w:val="single" w:sz="8" w:color="auto"/>
            </w:tcBorders>
          </w:tcPr>
          <w:p>
            <w:pPr>
              <w:spacing w:after="0"/>
              <w:rPr>
                <w:sz w:val="19"/>
                <w:szCs w:val="19"/>
                <w:color w:val="auto"/>
              </w:rPr>
            </w:pPr>
          </w:p>
        </w:tc>
        <w:tc>
          <w:tcPr>
            <w:tcW w:w="90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entire company as we continue to adapt to the post-pandemic environment.</w:t>
            </w:r>
          </w:p>
        </w:tc>
        <w:tc>
          <w:tcPr>
            <w:tcW w:w="20" w:type="dxa"/>
            <w:vAlign w:val="bottom"/>
          </w:tcPr>
          <w:p>
            <w:pPr>
              <w:spacing w:after="0"/>
              <w:rPr>
                <w:sz w:val="19"/>
                <w:szCs w:val="19"/>
                <w:color w:val="auto"/>
              </w:rPr>
            </w:pPr>
          </w:p>
        </w:tc>
      </w:tr>
      <w:tr>
        <w:trPr>
          <w:trHeight w:val="403"/>
        </w:trPr>
        <w:tc>
          <w:tcPr>
            <w:tcW w:w="2180" w:type="dxa"/>
            <w:vAlign w:val="bottom"/>
          </w:tcPr>
          <w:p>
            <w:pPr>
              <w:jc w:val="right"/>
              <w:ind w:right="1942"/>
              <w:spacing w:after="0"/>
              <w:rPr>
                <w:sz w:val="20"/>
                <w:szCs w:val="20"/>
                <w:color w:val="auto"/>
              </w:rPr>
            </w:pPr>
            <w:r>
              <w:rPr>
                <w:rFonts w:ascii="Arial" w:cs="Arial" w:eastAsia="Arial" w:hAnsi="Arial"/>
                <w:sz w:val="14"/>
                <w:szCs w:val="14"/>
                <w:b w:val="1"/>
                <w:bCs w:val="1"/>
                <w:color w:val="auto"/>
                <w:w w:val="89"/>
              </w:rPr>
              <w:t>38</w:t>
            </w:r>
          </w:p>
        </w:tc>
        <w:tc>
          <w:tcPr>
            <w:tcW w:w="9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3"/>
        </w:trPr>
        <w:tc>
          <w:tcPr>
            <w:tcW w:w="2180" w:type="dxa"/>
            <w:vAlign w:val="bottom"/>
            <w:tcBorders>
              <w:bottom w:val="single" w:sz="8" w:color="808080"/>
            </w:tcBorders>
          </w:tcPr>
          <w:p>
            <w:pPr>
              <w:spacing w:after="0"/>
              <w:rPr>
                <w:sz w:val="8"/>
                <w:szCs w:val="8"/>
                <w:color w:val="auto"/>
              </w:rPr>
            </w:pPr>
          </w:p>
        </w:tc>
        <w:tc>
          <w:tcPr>
            <w:tcW w:w="9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20" w:type="dxa"/>
            <w:vAlign w:val="bottom"/>
            <w:tcBorders>
              <w:top w:val="single" w:sz="8" w:color="auto"/>
            </w:tcBorders>
            <w:shd w:val="clear" w:color="auto" w:fill="EAF2FA"/>
          </w:tcPr>
          <w:p>
            <w:pPr>
              <w:ind w:left="60"/>
              <w:spacing w:after="0"/>
              <w:rPr>
                <w:sz w:val="20"/>
                <w:szCs w:val="20"/>
                <w:color w:val="auto"/>
              </w:rPr>
            </w:pPr>
            <w:r>
              <w:rPr>
                <w:rFonts w:ascii="Arial" w:cs="Arial" w:eastAsia="Arial" w:hAnsi="Arial"/>
                <w:sz w:val="16"/>
                <w:szCs w:val="16"/>
                <w:b w:val="1"/>
                <w:bCs w:val="1"/>
                <w:color w:val="auto"/>
              </w:rPr>
              <w:t>David N. Watson</w:t>
            </w:r>
          </w:p>
        </w:tc>
        <w:tc>
          <w:tcPr>
            <w:tcW w:w="9220" w:type="dxa"/>
            <w:vAlign w:val="bottom"/>
            <w:tcBorders>
              <w:top w:val="single" w:sz="8" w:color="auto"/>
            </w:tcBorders>
            <w:gridSpan w:val="3"/>
            <w:shd w:val="clear" w:color="auto" w:fill="EAF2FA"/>
          </w:tcPr>
          <w:p>
            <w:pPr>
              <w:ind w:left="680"/>
              <w:spacing w:after="0"/>
              <w:rPr>
                <w:sz w:val="20"/>
                <w:szCs w:val="20"/>
                <w:color w:val="auto"/>
              </w:rPr>
            </w:pPr>
            <w:r>
              <w:rPr>
                <w:rFonts w:ascii="Arial" w:cs="Arial" w:eastAsia="Arial" w:hAnsi="Arial"/>
                <w:sz w:val="16"/>
                <w:szCs w:val="16"/>
                <w:color w:val="auto"/>
              </w:rPr>
              <w:t>Mr. Watson successfully led Comcast Cable, adding 1.3 million net new broadband customers and continuing our</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efforts to keep America connected and employees safe throughout the pandemic. Under Mr. Watson’s leadership, we</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continue to invest significantly in our broadband network to better optimize performance, deliver faster internet speeds</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and proactively fix problems. In 2021, for example, we completed a series of tests that demonstrated the success of</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DOCSIS 4.0 technology, culminating in a prototype modem capable of delivering multi-gigabit speeds. Under his</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leadership, Comcast Cable continued its strong financial and operational performance in 2021, with its revenue</w:t>
            </w:r>
          </w:p>
        </w:tc>
      </w:tr>
      <w:tr>
        <w:trPr>
          <w:trHeight w:val="224"/>
        </w:trPr>
        <w:tc>
          <w:tcPr>
            <w:tcW w:w="2020" w:type="dxa"/>
            <w:vAlign w:val="bottom"/>
            <w:tcBorders>
              <w:bottom w:val="single" w:sz="8" w:color="auto"/>
            </w:tcBorders>
            <w:shd w:val="clear" w:color="auto" w:fill="EAF2FA"/>
          </w:tcPr>
          <w:p>
            <w:pPr>
              <w:spacing w:after="0"/>
              <w:rPr>
                <w:sz w:val="19"/>
                <w:szCs w:val="19"/>
                <w:color w:val="auto"/>
              </w:rPr>
            </w:pPr>
          </w:p>
        </w:tc>
        <w:tc>
          <w:tcPr>
            <w:tcW w:w="9220" w:type="dxa"/>
            <w:vAlign w:val="bottom"/>
            <w:tcBorders>
              <w:bottom w:val="single" w:sz="8" w:color="auto"/>
            </w:tcBorders>
            <w:gridSpan w:val="3"/>
            <w:shd w:val="clear" w:color="auto" w:fill="EAF2FA"/>
          </w:tcPr>
          <w:p>
            <w:pPr>
              <w:ind w:left="680"/>
              <w:spacing w:after="0"/>
              <w:rPr>
                <w:sz w:val="20"/>
                <w:szCs w:val="20"/>
                <w:color w:val="auto"/>
              </w:rPr>
            </w:pPr>
            <w:r>
              <w:rPr>
                <w:rFonts w:ascii="Arial" w:cs="Arial" w:eastAsia="Arial" w:hAnsi="Arial"/>
                <w:sz w:val="16"/>
                <w:szCs w:val="16"/>
                <w:color w:val="auto"/>
              </w:rPr>
              <w:t>increasing by 7.1% to $64.3 billion and its Adjusted EBITDA increasing by 11.2% to $28.1 billion.</w:t>
            </w:r>
          </w:p>
        </w:tc>
      </w:tr>
      <w:tr>
        <w:trPr>
          <w:trHeight w:val="202"/>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Jeffrey Shell</w:t>
            </w:r>
          </w:p>
        </w:tc>
        <w:tc>
          <w:tcPr>
            <w:tcW w:w="9220" w:type="dxa"/>
            <w:vAlign w:val="bottom"/>
            <w:gridSpan w:val="3"/>
          </w:tcPr>
          <w:p>
            <w:pPr>
              <w:ind w:left="680"/>
              <w:spacing w:after="0"/>
              <w:rPr>
                <w:sz w:val="20"/>
                <w:szCs w:val="20"/>
                <w:color w:val="auto"/>
              </w:rPr>
            </w:pPr>
            <w:r>
              <w:rPr>
                <w:rFonts w:ascii="Arial" w:cs="Arial" w:eastAsia="Arial" w:hAnsi="Arial"/>
                <w:sz w:val="16"/>
                <w:szCs w:val="16"/>
                <w:color w:val="auto"/>
              </w:rPr>
              <w:t>Mr. Shell continued to successfully lead and mitigate negative pandemic impacts on NBCUniversal in 2021. Under Mr.</w:t>
            </w:r>
          </w:p>
        </w:tc>
      </w:tr>
      <w:tr>
        <w:trPr>
          <w:trHeight w:val="189"/>
        </w:trPr>
        <w:tc>
          <w:tcPr>
            <w:tcW w:w="2020" w:type="dxa"/>
            <w:vAlign w:val="bottom"/>
          </w:tcPr>
          <w:p>
            <w:pPr>
              <w:spacing w:after="0"/>
              <w:rPr>
                <w:sz w:val="16"/>
                <w:szCs w:val="16"/>
                <w:color w:val="auto"/>
              </w:rPr>
            </w:pPr>
          </w:p>
        </w:tc>
        <w:tc>
          <w:tcPr>
            <w:tcW w:w="9220" w:type="dxa"/>
            <w:vAlign w:val="bottom"/>
            <w:gridSpan w:val="3"/>
          </w:tcPr>
          <w:p>
            <w:pPr>
              <w:ind w:left="680"/>
              <w:spacing w:after="0"/>
              <w:rPr>
                <w:sz w:val="20"/>
                <w:szCs w:val="20"/>
                <w:color w:val="auto"/>
              </w:rPr>
            </w:pPr>
            <w:r>
              <w:rPr>
                <w:rFonts w:ascii="Arial" w:cs="Arial" w:eastAsia="Arial" w:hAnsi="Arial"/>
                <w:sz w:val="16"/>
                <w:szCs w:val="16"/>
                <w:color w:val="auto"/>
              </w:rPr>
              <w:t>Shell’s leadership, our theme parks performed exceptionally well, and we opened Universal Beijing Resort in</w:t>
            </w:r>
          </w:p>
        </w:tc>
      </w:tr>
      <w:tr>
        <w:trPr>
          <w:trHeight w:val="189"/>
        </w:trPr>
        <w:tc>
          <w:tcPr>
            <w:tcW w:w="2020" w:type="dxa"/>
            <w:vAlign w:val="bottom"/>
          </w:tcPr>
          <w:p>
            <w:pPr>
              <w:spacing w:after="0"/>
              <w:rPr>
                <w:sz w:val="16"/>
                <w:szCs w:val="16"/>
                <w:color w:val="auto"/>
              </w:rPr>
            </w:pPr>
          </w:p>
        </w:tc>
        <w:tc>
          <w:tcPr>
            <w:tcW w:w="9220" w:type="dxa"/>
            <w:vAlign w:val="bottom"/>
            <w:gridSpan w:val="3"/>
          </w:tcPr>
          <w:p>
            <w:pPr>
              <w:ind w:left="680"/>
              <w:spacing w:after="0"/>
              <w:rPr>
                <w:sz w:val="20"/>
                <w:szCs w:val="20"/>
                <w:color w:val="auto"/>
              </w:rPr>
            </w:pPr>
            <w:r>
              <w:rPr>
                <w:rFonts w:ascii="Arial" w:cs="Arial" w:eastAsia="Arial" w:hAnsi="Arial"/>
                <w:sz w:val="16"/>
                <w:szCs w:val="16"/>
                <w:color w:val="auto"/>
              </w:rPr>
              <w:t>September 2021. He also continued to lead our strategy for Peacock, which experienced significant growth in monthly</w:t>
            </w:r>
          </w:p>
        </w:tc>
      </w:tr>
      <w:tr>
        <w:trPr>
          <w:trHeight w:val="189"/>
        </w:trPr>
        <w:tc>
          <w:tcPr>
            <w:tcW w:w="2020" w:type="dxa"/>
            <w:vAlign w:val="bottom"/>
          </w:tcPr>
          <w:p>
            <w:pPr>
              <w:spacing w:after="0"/>
              <w:rPr>
                <w:sz w:val="16"/>
                <w:szCs w:val="16"/>
                <w:color w:val="auto"/>
              </w:rPr>
            </w:pPr>
          </w:p>
        </w:tc>
        <w:tc>
          <w:tcPr>
            <w:tcW w:w="9220" w:type="dxa"/>
            <w:vAlign w:val="bottom"/>
            <w:gridSpan w:val="3"/>
          </w:tcPr>
          <w:p>
            <w:pPr>
              <w:ind w:left="680"/>
              <w:spacing w:after="0"/>
              <w:rPr>
                <w:sz w:val="20"/>
                <w:szCs w:val="20"/>
                <w:color w:val="auto"/>
              </w:rPr>
            </w:pPr>
            <w:r>
              <w:rPr>
                <w:rFonts w:ascii="Arial" w:cs="Arial" w:eastAsia="Arial" w:hAnsi="Arial"/>
                <w:sz w:val="16"/>
                <w:szCs w:val="16"/>
                <w:color w:val="auto"/>
              </w:rPr>
              <w:t>active accounts and revenue. NBCUniversal has also innovated to create new pay windows for early viewing</w:t>
            </w:r>
          </w:p>
        </w:tc>
      </w:tr>
      <w:tr>
        <w:trPr>
          <w:trHeight w:val="189"/>
        </w:trPr>
        <w:tc>
          <w:tcPr>
            <w:tcW w:w="2020" w:type="dxa"/>
            <w:vAlign w:val="bottom"/>
          </w:tcPr>
          <w:p>
            <w:pPr>
              <w:spacing w:after="0"/>
              <w:rPr>
                <w:sz w:val="16"/>
                <w:szCs w:val="16"/>
                <w:color w:val="auto"/>
              </w:rPr>
            </w:pPr>
          </w:p>
        </w:tc>
        <w:tc>
          <w:tcPr>
            <w:tcW w:w="9220" w:type="dxa"/>
            <w:vAlign w:val="bottom"/>
            <w:gridSpan w:val="3"/>
          </w:tcPr>
          <w:p>
            <w:pPr>
              <w:ind w:left="680"/>
              <w:spacing w:after="0"/>
              <w:rPr>
                <w:sz w:val="20"/>
                <w:szCs w:val="20"/>
                <w:color w:val="auto"/>
              </w:rPr>
            </w:pPr>
            <w:r>
              <w:rPr>
                <w:rFonts w:ascii="Arial" w:cs="Arial" w:eastAsia="Arial" w:hAnsi="Arial"/>
                <w:sz w:val="16"/>
                <w:szCs w:val="16"/>
                <w:color w:val="auto"/>
              </w:rPr>
              <w:t>opportunities to better monetize our content and intellectual property, including on Peacock. NBCUniversal’s financial</w:t>
            </w:r>
          </w:p>
        </w:tc>
      </w:tr>
      <w:tr>
        <w:trPr>
          <w:trHeight w:val="189"/>
        </w:trPr>
        <w:tc>
          <w:tcPr>
            <w:tcW w:w="2020" w:type="dxa"/>
            <w:vAlign w:val="bottom"/>
          </w:tcPr>
          <w:p>
            <w:pPr>
              <w:spacing w:after="0"/>
              <w:rPr>
                <w:sz w:val="16"/>
                <w:szCs w:val="16"/>
                <w:color w:val="auto"/>
              </w:rPr>
            </w:pPr>
          </w:p>
        </w:tc>
        <w:tc>
          <w:tcPr>
            <w:tcW w:w="9220" w:type="dxa"/>
            <w:vAlign w:val="bottom"/>
            <w:gridSpan w:val="3"/>
          </w:tcPr>
          <w:p>
            <w:pPr>
              <w:ind w:left="680"/>
              <w:spacing w:after="0"/>
              <w:rPr>
                <w:sz w:val="20"/>
                <w:szCs w:val="20"/>
                <w:color w:val="auto"/>
              </w:rPr>
            </w:pPr>
            <w:r>
              <w:rPr>
                <w:rFonts w:ascii="Arial" w:cs="Arial" w:eastAsia="Arial" w:hAnsi="Arial"/>
                <w:sz w:val="16"/>
                <w:szCs w:val="16"/>
                <w:color w:val="auto"/>
              </w:rPr>
              <w:t>performance rebounded well in 2021, with its revenue increasing by 26.1% to $34.3 billion and its Adjusted EBITDA</w:t>
            </w:r>
          </w:p>
        </w:tc>
      </w:tr>
      <w:tr>
        <w:trPr>
          <w:trHeight w:val="224"/>
        </w:trPr>
        <w:tc>
          <w:tcPr>
            <w:tcW w:w="2020" w:type="dxa"/>
            <w:vAlign w:val="bottom"/>
            <w:tcBorders>
              <w:bottom w:val="single" w:sz="8" w:color="auto"/>
            </w:tcBorders>
          </w:tcPr>
          <w:p>
            <w:pPr>
              <w:spacing w:after="0"/>
              <w:rPr>
                <w:sz w:val="19"/>
                <w:szCs w:val="19"/>
                <w:color w:val="auto"/>
              </w:rPr>
            </w:pPr>
          </w:p>
        </w:tc>
        <w:tc>
          <w:tcPr>
            <w:tcW w:w="92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color w:val="auto"/>
              </w:rPr>
              <w:t>increasing by 6.0% to $5.7 billion, including Peacock losses.</w:t>
            </w:r>
          </w:p>
        </w:tc>
      </w:tr>
      <w:tr>
        <w:trPr>
          <w:trHeight w:val="202"/>
        </w:trPr>
        <w:tc>
          <w:tcPr>
            <w:tcW w:w="2020" w:type="dxa"/>
            <w:vAlign w:val="bottom"/>
            <w:shd w:val="clear" w:color="auto" w:fill="EAF2FA"/>
          </w:tcPr>
          <w:p>
            <w:pPr>
              <w:ind w:left="60"/>
              <w:spacing w:after="0"/>
              <w:rPr>
                <w:sz w:val="20"/>
                <w:szCs w:val="20"/>
                <w:color w:val="auto"/>
              </w:rPr>
            </w:pPr>
            <w:r>
              <w:rPr>
                <w:rFonts w:ascii="Arial" w:cs="Arial" w:eastAsia="Arial" w:hAnsi="Arial"/>
                <w:sz w:val="16"/>
                <w:szCs w:val="16"/>
                <w:b w:val="1"/>
                <w:bCs w:val="1"/>
                <w:color w:val="auto"/>
              </w:rPr>
              <w:t>Dana Strong</w:t>
            </w: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Ms. Strong, in her first year as CEO of Sky, provided strong leadership that resulted in increased Sky Q penetration,</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the launch of Sky Glass and securing the majority of Sky’s key content rights through 2025. Under Ms. Strong’s</w:t>
            </w:r>
          </w:p>
        </w:tc>
      </w:tr>
      <w:tr>
        <w:trPr>
          <w:trHeight w:val="190"/>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leadership, Sky continued to progress its environmental sustainability leadership in 2021, sponsoring the United</w:t>
            </w:r>
          </w:p>
        </w:tc>
      </w:tr>
      <w:tr>
        <w:trPr>
          <w:trHeight w:val="228"/>
        </w:trPr>
        <w:tc>
          <w:tcPr>
            <w:tcW w:w="2020" w:type="dxa"/>
            <w:vAlign w:val="bottom"/>
            <w:shd w:val="clear" w:color="auto" w:fill="EAF2FA"/>
          </w:tcPr>
          <w:p>
            <w:pPr>
              <w:spacing w:after="0"/>
              <w:rPr>
                <w:sz w:val="19"/>
                <w:szCs w:val="19"/>
                <w:color w:val="auto"/>
              </w:rPr>
            </w:pPr>
          </w:p>
        </w:tc>
        <w:tc>
          <w:tcPr>
            <w:tcW w:w="9220" w:type="dxa"/>
            <w:vAlign w:val="bottom"/>
            <w:gridSpan w:val="3"/>
            <w:shd w:val="clear" w:color="auto" w:fill="EAF2FA"/>
          </w:tcPr>
          <w:p>
            <w:pPr>
              <w:ind w:left="680"/>
              <w:spacing w:after="0" w:line="228" w:lineRule="exact"/>
              <w:rPr>
                <w:sz w:val="20"/>
                <w:szCs w:val="20"/>
                <w:color w:val="auto"/>
              </w:rPr>
            </w:pPr>
            <w:r>
              <w:rPr>
                <w:rFonts w:ascii="Arial" w:cs="Arial" w:eastAsia="Arial" w:hAnsi="Arial"/>
                <w:sz w:val="16"/>
                <w:szCs w:val="16"/>
                <w:color w:val="auto"/>
              </w:rPr>
              <w:t>Nations’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Climate Conference (COP26) in Glasgow in which Ms. Strong participated as a speaker. Sky’s financial</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performance rebounded well in 2021, with its revenue increasing 9.1% to $20.3 billion, or 3.1% excluding the impact</w:t>
            </w:r>
          </w:p>
        </w:tc>
      </w:tr>
      <w:tr>
        <w:trPr>
          <w:trHeight w:val="189"/>
        </w:trPr>
        <w:tc>
          <w:tcPr>
            <w:tcW w:w="2020" w:type="dxa"/>
            <w:vAlign w:val="bottom"/>
            <w:shd w:val="clear" w:color="auto" w:fill="EAF2FA"/>
          </w:tcPr>
          <w:p>
            <w:pPr>
              <w:spacing w:after="0"/>
              <w:rPr>
                <w:sz w:val="16"/>
                <w:szCs w:val="16"/>
                <w:color w:val="auto"/>
              </w:rPr>
            </w:pPr>
          </w:p>
        </w:tc>
        <w:tc>
          <w:tcPr>
            <w:tcW w:w="9220" w:type="dxa"/>
            <w:vAlign w:val="bottom"/>
            <w:gridSpan w:val="3"/>
            <w:shd w:val="clear" w:color="auto" w:fill="EAF2FA"/>
          </w:tcPr>
          <w:p>
            <w:pPr>
              <w:ind w:left="680"/>
              <w:spacing w:after="0"/>
              <w:rPr>
                <w:sz w:val="20"/>
                <w:szCs w:val="20"/>
                <w:color w:val="auto"/>
              </w:rPr>
            </w:pPr>
            <w:r>
              <w:rPr>
                <w:rFonts w:ascii="Arial" w:cs="Arial" w:eastAsia="Arial" w:hAnsi="Arial"/>
                <w:sz w:val="16"/>
                <w:szCs w:val="16"/>
                <w:color w:val="auto"/>
              </w:rPr>
              <w:t>of foreign currency. Sky Adjusted EBITDA increased 20.8% to $2.4 billion, or 10.2% excluding the impact of foreign</w:t>
            </w:r>
          </w:p>
        </w:tc>
      </w:tr>
      <w:tr>
        <w:trPr>
          <w:trHeight w:val="230"/>
        </w:trPr>
        <w:tc>
          <w:tcPr>
            <w:tcW w:w="2020" w:type="dxa"/>
            <w:vAlign w:val="bottom"/>
            <w:tcBorders>
              <w:bottom w:val="single" w:sz="8" w:color="auto"/>
            </w:tcBorders>
            <w:shd w:val="clear" w:color="auto" w:fill="EAF2FA"/>
          </w:tcPr>
          <w:p>
            <w:pPr>
              <w:spacing w:after="0"/>
              <w:rPr>
                <w:sz w:val="20"/>
                <w:szCs w:val="20"/>
                <w:color w:val="auto"/>
              </w:rPr>
            </w:pPr>
          </w:p>
        </w:tc>
        <w:tc>
          <w:tcPr>
            <w:tcW w:w="9220" w:type="dxa"/>
            <w:vAlign w:val="bottom"/>
            <w:tcBorders>
              <w:bottom w:val="single" w:sz="8" w:color="auto"/>
            </w:tcBorders>
            <w:gridSpan w:val="3"/>
            <w:shd w:val="clear" w:color="auto" w:fill="EAF2FA"/>
          </w:tcPr>
          <w:p>
            <w:pPr>
              <w:ind w:left="680"/>
              <w:spacing w:after="0" w:line="176" w:lineRule="exact"/>
              <w:rPr>
                <w:sz w:val="20"/>
                <w:szCs w:val="20"/>
                <w:color w:val="auto"/>
              </w:rPr>
            </w:pPr>
            <w:r>
              <w:rPr>
                <w:rFonts w:ascii="Arial" w:cs="Arial" w:eastAsia="Arial" w:hAnsi="Arial"/>
                <w:sz w:val="16"/>
                <w:szCs w:val="16"/>
                <w:color w:val="auto"/>
              </w:rPr>
              <w:t>currency. See Appendix A for a reconciliation.</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2021 Bonus Achievement</w:t>
      </w: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Performance relative to the metrics and goals described above would result in potential bonuses for the NEOs ranging from 151%-167% in light of our strong operating and financial performance and exceptional NEO leadership in 2021. After considering the faster than expected rebound of our businesses due to progress in the control of the pandemic and its effects generally, however, the Compensation and Human Capital Committee, following discussion with management, reduced the NEO bonuses to the levels set forth below. The Compensation and Human Capital Committee also determined, at Mr. Roberts’ request, to compute his bonus based on his reduced annual salary of $2.5 million, as if the reduction had been implemented at the beginning of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ROBERTS</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CAVANAGH</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WATSON</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SHELL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STRONG</w:t>
            </w:r>
          </w:p>
        </w:tc>
      </w:tr>
      <w:tr>
        <w:trPr>
          <w:trHeight w:val="239"/>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 Paid (% of Target)</w:t>
            </w:r>
          </w:p>
        </w:tc>
        <w:tc>
          <w:tcPr>
            <w:tcW w:w="3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133%</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81"/>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 Cash Bonus Paid</w:t>
            </w:r>
          </w:p>
        </w:tc>
        <w:tc>
          <w:tcPr>
            <w:tcW w:w="3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$8,625,586</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$8,625,001</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$8,969,828</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$9,975,000</w:t>
            </w:r>
          </w:p>
        </w:tc>
        <w:tc>
          <w:tcPr>
            <w:tcW w:w="1140" w:type="dxa"/>
            <w:vAlign w:val="bottom"/>
            <w:tcBorders>
              <w:bottom w:val="single" w:sz="8" w:color="auto"/>
            </w:tcBorders>
          </w:tcPr>
          <w:p>
            <w:pPr>
              <w:jc w:val="right"/>
              <w:spacing w:after="0" w:line="281" w:lineRule="exact"/>
              <w:rPr>
                <w:sz w:val="20"/>
                <w:szCs w:val="20"/>
                <w:color w:val="auto"/>
              </w:rPr>
            </w:pPr>
            <w:r>
              <w:rPr>
                <w:rFonts w:ascii="Arial" w:cs="Arial" w:eastAsia="Arial" w:hAnsi="Arial"/>
                <w:sz w:val="16"/>
                <w:szCs w:val="16"/>
                <w:color w:val="auto"/>
              </w:rPr>
              <w:t>$8,247,836</w:t>
            </w:r>
            <w:r>
              <w:rPr>
                <w:rFonts w:ascii="Arial" w:cs="Arial" w:eastAsia="Arial" w:hAnsi="Arial"/>
                <w:sz w:val="26"/>
                <w:szCs w:val="26"/>
                <w:color w:val="auto"/>
                <w:vertAlign w:val="superscript"/>
              </w:rPr>
              <w:t>(1)</w:t>
            </w:r>
          </w:p>
        </w:tc>
      </w:tr>
    </w:tbl>
    <w:p>
      <w:pPr>
        <w:ind w:left="300" w:hanging="292"/>
        <w:spacing w:after="0" w:line="227" w:lineRule="auto"/>
        <w:tabs>
          <w:tab w:leader="none" w:pos="30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Ms. Strong’s bonus was paid in British pounds sterling and was converted to U.S. dollars using the 2021 average of daily spot rates of £1 to $1.3757.</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color w:val="00A1DF"/>
        </w:rPr>
        <w:t>Equity-Based Incentive Compensation</w:t>
      </w:r>
    </w:p>
    <w:p>
      <w:pPr>
        <w:spacing w:after="0" w:line="239"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To continue to promote the alignment of our executive compensation program and long-term shareholder value creation, and after considering feedback received from our shareholders, the Compensation and Human Capital Committee adopted a new approach to our equity-based compensation program for 2021. The Compensation and Human Capital Committee believes that this refocused approach reinforces our performance culture by incorporating the achievement of longer-term absolute and relative financial and share-based performance metrics into our PSU awards as a further complement to the annual financial and operational metrics used under our annual cash bonus program. For a discussion of the key changes made to our equity compensation program for 2021, please see “Shareholder Feedback on Executive Compensation and Compensation-Related Changes”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93"/>
        </w:trPr>
        <w:tc>
          <w:tcPr>
            <w:tcW w:w="10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key features of our equity compensation program for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KEY FEATURES</w:t>
            </w:r>
          </w:p>
        </w:tc>
        <w:tc>
          <w:tcPr>
            <w:tcW w:w="87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2021 EQUITY COMPENSATION PROGRAM</w:t>
            </w:r>
          </w:p>
        </w:tc>
      </w:tr>
      <w:tr>
        <w:trPr>
          <w:trHeight w:val="236"/>
        </w:trPr>
        <w:tc>
          <w:tcPr>
            <w:tcW w:w="2480" w:type="dxa"/>
            <w:vAlign w:val="bottom"/>
          </w:tcPr>
          <w:p>
            <w:pPr>
              <w:ind w:left="60"/>
              <w:spacing w:after="0"/>
              <w:rPr>
                <w:sz w:val="20"/>
                <w:szCs w:val="20"/>
                <w:color w:val="auto"/>
              </w:rPr>
            </w:pPr>
            <w:r>
              <w:rPr>
                <w:rFonts w:ascii="Arial" w:cs="Arial" w:eastAsia="Arial" w:hAnsi="Arial"/>
                <w:sz w:val="16"/>
                <w:szCs w:val="16"/>
                <w:b w:val="1"/>
                <w:bCs w:val="1"/>
                <w:color w:val="auto"/>
              </w:rPr>
              <w:t>Performance Period</w:t>
            </w:r>
          </w:p>
        </w:tc>
        <w:tc>
          <w:tcPr>
            <w:tcW w:w="360" w:type="dxa"/>
            <w:vAlign w:val="bottom"/>
          </w:tcPr>
          <w:p>
            <w:pPr>
              <w:ind w:left="220"/>
              <w:spacing w:after="0"/>
              <w:rPr>
                <w:sz w:val="20"/>
                <w:szCs w:val="20"/>
                <w:color w:val="auto"/>
              </w:rPr>
            </w:pPr>
            <w:r>
              <w:rPr>
                <w:rFonts w:ascii="Arial" w:cs="Arial" w:eastAsia="Arial" w:hAnsi="Arial"/>
                <w:sz w:val="16"/>
                <w:szCs w:val="16"/>
                <w:color w:val="00A1DF"/>
              </w:rPr>
              <w:t>●</w:t>
            </w:r>
          </w:p>
        </w:tc>
        <w:tc>
          <w:tcPr>
            <w:tcW w:w="8400" w:type="dxa"/>
            <w:vAlign w:val="bottom"/>
          </w:tcPr>
          <w:p>
            <w:pPr>
              <w:ind w:left="60"/>
              <w:spacing w:after="0"/>
              <w:rPr>
                <w:sz w:val="20"/>
                <w:szCs w:val="20"/>
                <w:color w:val="auto"/>
              </w:rPr>
            </w:pPr>
            <w:r>
              <w:rPr>
                <w:rFonts w:ascii="Arial" w:cs="Arial" w:eastAsia="Arial" w:hAnsi="Arial"/>
                <w:sz w:val="16"/>
                <w:szCs w:val="16"/>
                <w:color w:val="auto"/>
              </w:rPr>
              <w:t>Three-year cumulative performance period, with all performance goals measured over the three-year period</w:t>
            </w:r>
          </w:p>
        </w:tc>
      </w:tr>
      <w:tr>
        <w:trPr>
          <w:trHeight w:val="406"/>
        </w:trPr>
        <w:tc>
          <w:tcPr>
            <w:tcW w:w="2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00A1DF"/>
              </w:rPr>
              <w:t>●</w:t>
            </w:r>
          </w:p>
        </w:tc>
        <w:tc>
          <w:tcPr>
            <w:tcW w:w="8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Cliff-vests based on payout levels three years following grant</w:t>
            </w:r>
          </w:p>
        </w:tc>
      </w:tr>
      <w:tr>
        <w:trPr>
          <w:trHeight w:val="202"/>
        </w:trPr>
        <w:tc>
          <w:tcPr>
            <w:tcW w:w="2480" w:type="dxa"/>
            <w:vAlign w:val="bottom"/>
          </w:tcPr>
          <w:p>
            <w:pPr>
              <w:ind w:left="60"/>
              <w:spacing w:after="0"/>
              <w:rPr>
                <w:sz w:val="20"/>
                <w:szCs w:val="20"/>
                <w:color w:val="auto"/>
              </w:rPr>
            </w:pPr>
            <w:r>
              <w:rPr>
                <w:rFonts w:ascii="Arial" w:cs="Arial" w:eastAsia="Arial" w:hAnsi="Arial"/>
                <w:sz w:val="16"/>
                <w:szCs w:val="16"/>
                <w:b w:val="1"/>
                <w:bCs w:val="1"/>
                <w:color w:val="auto"/>
              </w:rPr>
              <w:t>Performance Goals</w:t>
            </w:r>
          </w:p>
        </w:tc>
        <w:tc>
          <w:tcPr>
            <w:tcW w:w="8760" w:type="dxa"/>
            <w:vAlign w:val="bottom"/>
            <w:gridSpan w:val="2"/>
          </w:tcPr>
          <w:p>
            <w:pPr>
              <w:ind w:left="22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PSUs earned based on achievement of two primary performance metrics, each weighted 50%: (1) absolute ROIC</w:t>
            </w:r>
          </w:p>
        </w:tc>
      </w:tr>
      <w:tr>
        <w:trPr>
          <w:trHeight w:val="215"/>
        </w:trPr>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6"/>
                <w:szCs w:val="16"/>
                <w:color w:val="auto"/>
              </w:rPr>
              <w:t>and (2) relative Adjusted EPS growth</w:t>
            </w:r>
          </w:p>
        </w:tc>
      </w:tr>
      <w:tr>
        <w:trPr>
          <w:trHeight w:val="414"/>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Attainment of primary performance metrics is subject to a relative TSR modifier</w:t>
            </w:r>
          </w:p>
        </w:tc>
      </w:tr>
      <w:tr>
        <w:trPr>
          <w:trHeight w:val="235"/>
        </w:trPr>
        <w:tc>
          <w:tcPr>
            <w:tcW w:w="2480" w:type="dxa"/>
            <w:vAlign w:val="bottom"/>
          </w:tcPr>
          <w:p>
            <w:pPr>
              <w:ind w:left="60"/>
              <w:spacing w:after="0"/>
              <w:rPr>
                <w:sz w:val="20"/>
                <w:szCs w:val="20"/>
                <w:color w:val="auto"/>
              </w:rPr>
            </w:pPr>
            <w:r>
              <w:rPr>
                <w:rFonts w:ascii="Arial" w:cs="Arial" w:eastAsia="Arial" w:hAnsi="Arial"/>
                <w:sz w:val="16"/>
                <w:szCs w:val="16"/>
                <w:b w:val="1"/>
                <w:bCs w:val="1"/>
                <w:color w:val="auto"/>
              </w:rPr>
              <w:t>PSU Award Payouts</w:t>
            </w:r>
          </w:p>
        </w:tc>
        <w:tc>
          <w:tcPr>
            <w:tcW w:w="360" w:type="dxa"/>
            <w:vAlign w:val="bottom"/>
          </w:tcPr>
          <w:p>
            <w:pPr>
              <w:ind w:left="220"/>
              <w:spacing w:after="0"/>
              <w:rPr>
                <w:sz w:val="20"/>
                <w:szCs w:val="20"/>
                <w:color w:val="auto"/>
              </w:rPr>
            </w:pPr>
            <w:r>
              <w:rPr>
                <w:rFonts w:ascii="Arial" w:cs="Arial" w:eastAsia="Arial" w:hAnsi="Arial"/>
                <w:sz w:val="16"/>
                <w:szCs w:val="16"/>
                <w:color w:val="00A1DF"/>
              </w:rPr>
              <w:t>●</w:t>
            </w:r>
          </w:p>
        </w:tc>
        <w:tc>
          <w:tcPr>
            <w:tcW w:w="8400" w:type="dxa"/>
            <w:vAlign w:val="bottom"/>
          </w:tcPr>
          <w:p>
            <w:pPr>
              <w:ind w:left="60"/>
              <w:spacing w:after="0"/>
              <w:rPr>
                <w:sz w:val="20"/>
                <w:szCs w:val="20"/>
                <w:color w:val="auto"/>
              </w:rPr>
            </w:pPr>
            <w:r>
              <w:rPr>
                <w:rFonts w:ascii="Arial" w:cs="Arial" w:eastAsia="Arial" w:hAnsi="Arial"/>
                <w:sz w:val="16"/>
                <w:szCs w:val="16"/>
                <w:color w:val="auto"/>
              </w:rPr>
              <w:t>Performance must be achieved through a cumulative three-year period</w:t>
            </w:r>
          </w:p>
        </w:tc>
      </w:tr>
      <w:tr>
        <w:trPr>
          <w:trHeight w:val="371"/>
        </w:trPr>
        <w:tc>
          <w:tcPr>
            <w:tcW w:w="24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6"/>
                <w:szCs w:val="16"/>
                <w:color w:val="00A1DF"/>
              </w:rPr>
              <w:t>●</w:t>
            </w:r>
          </w:p>
        </w:tc>
        <w:tc>
          <w:tcPr>
            <w:tcW w:w="8400" w:type="dxa"/>
            <w:vAlign w:val="bottom"/>
          </w:tcPr>
          <w:p>
            <w:pPr>
              <w:ind w:left="60"/>
              <w:spacing w:after="0"/>
              <w:rPr>
                <w:sz w:val="20"/>
                <w:szCs w:val="20"/>
                <w:color w:val="auto"/>
              </w:rPr>
            </w:pPr>
            <w:r>
              <w:rPr>
                <w:rFonts w:ascii="Arial" w:cs="Arial" w:eastAsia="Arial" w:hAnsi="Arial"/>
                <w:sz w:val="16"/>
                <w:szCs w:val="16"/>
                <w:color w:val="auto"/>
              </w:rPr>
              <w:t>Potential payout up to 250% of target, which rewards for outperformance against rigorous goals and significant</w:t>
            </w:r>
          </w:p>
        </w:tc>
      </w:tr>
      <w:tr>
        <w:trPr>
          <w:trHeight w:val="224"/>
        </w:trPr>
        <w:tc>
          <w:tcPr>
            <w:tcW w:w="2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returns to our investors</w:t>
            </w:r>
          </w:p>
        </w:tc>
      </w:tr>
      <w:tr>
        <w:trPr>
          <w:trHeight w:val="202"/>
        </w:trPr>
        <w:tc>
          <w:tcPr>
            <w:tcW w:w="2480" w:type="dxa"/>
            <w:vAlign w:val="bottom"/>
          </w:tcPr>
          <w:p>
            <w:pPr>
              <w:ind w:left="60"/>
              <w:spacing w:after="0"/>
              <w:rPr>
                <w:sz w:val="20"/>
                <w:szCs w:val="20"/>
                <w:color w:val="auto"/>
              </w:rPr>
            </w:pPr>
            <w:r>
              <w:rPr>
                <w:rFonts w:ascii="Arial" w:cs="Arial" w:eastAsia="Arial" w:hAnsi="Arial"/>
                <w:sz w:val="16"/>
                <w:szCs w:val="16"/>
                <w:b w:val="1"/>
                <w:bCs w:val="1"/>
                <w:color w:val="auto"/>
              </w:rPr>
              <w:t>Stock Option Vesting Period</w:t>
            </w:r>
          </w:p>
        </w:tc>
        <w:tc>
          <w:tcPr>
            <w:tcW w:w="360" w:type="dxa"/>
            <w:vAlign w:val="bottom"/>
          </w:tcPr>
          <w:p>
            <w:pPr>
              <w:ind w:left="220"/>
              <w:spacing w:after="0"/>
              <w:rPr>
                <w:sz w:val="20"/>
                <w:szCs w:val="20"/>
                <w:color w:val="auto"/>
              </w:rPr>
            </w:pPr>
            <w:r>
              <w:rPr>
                <w:rFonts w:ascii="Arial" w:cs="Arial" w:eastAsia="Arial" w:hAnsi="Arial"/>
                <w:sz w:val="16"/>
                <w:szCs w:val="16"/>
                <w:color w:val="00A1DF"/>
              </w:rPr>
              <w:t>●</w:t>
            </w:r>
          </w:p>
        </w:tc>
        <w:tc>
          <w:tcPr>
            <w:tcW w:w="8400" w:type="dxa"/>
            <w:vAlign w:val="bottom"/>
          </w:tcPr>
          <w:p>
            <w:pPr>
              <w:ind w:left="60"/>
              <w:spacing w:after="0"/>
              <w:rPr>
                <w:sz w:val="20"/>
                <w:szCs w:val="20"/>
                <w:color w:val="auto"/>
              </w:rPr>
            </w:pPr>
            <w:r>
              <w:rPr>
                <w:rFonts w:ascii="Arial" w:cs="Arial" w:eastAsia="Arial" w:hAnsi="Arial"/>
                <w:sz w:val="16"/>
                <w:szCs w:val="16"/>
                <w:color w:val="auto"/>
              </w:rPr>
              <w:t>Stock options vest over a five-year period to more closely align with broader market practice, while still retaining a</w:t>
            </w:r>
          </w:p>
        </w:tc>
      </w:tr>
      <w:tr>
        <w:trPr>
          <w:trHeight w:val="224"/>
        </w:trPr>
        <w:tc>
          <w:tcPr>
            <w:tcW w:w="2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longer vesting period than many companies to reinforce a  long-term focus</w:t>
            </w:r>
          </w:p>
        </w:tc>
      </w:tr>
    </w:tbl>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believe that the new PSU structure closely aligns the interests of our NEOs with shareholders and long-term value creation, with the ROIC and relative Adjusted EPS growth metrics serving as meaningful inputs to value creation and the relative TSR modifier providing an output measure of value creation. The combination of these performance metrics, together with the financial metrics (revenue, Adjusted EBITDA and Free Cash Flow), operating performance goals and the evaluation of stakeholder and sustainability initiatives under our annual cash bonus program, provide company-specific performance goals that are directly linked with our NEOs’ management of our company, while also satisfying shareholder return expectations. The maximum payout under the PSU awards increased in 2021 from 125% to 250% of target to provide additional incentive for outperformance and in recognition of the fact that a significant portion of our NEOs’ compensation is delivered in the form of at-risk PSU awards, the value of which may only be realized by our NEOs upon achievement of financial and shareholder return performance measures over a three-year period.</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Consistent with historical practice, our 2021 equity compensation program for NEOs consisted of a mix of both PSU awards and stock options — in 2021, 60% of the target value of our NEOs’ equity awards was in the form of PSUs and 40% was in the form of stock options. In determining the total value of equity-based compensation, the Compensation and Human Capital Committee considers, among other things, the overall performance mix of an NEO’s total direct compensation and the value of awards made to other executives, as well as the value of equity-based compensation awarded to comparable NEOs at our peer companies.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PSUs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2021 PSU Awards</w:t>
      </w:r>
    </w:p>
    <w:p>
      <w:pPr>
        <w:spacing w:after="0" w:line="21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For PSUs granted in 2021, we established two equally weighted primary performance metrics that are each measured over a cumulative three-year performance period beginning January 1 in the year of grant:</w:t>
      </w:r>
    </w:p>
    <w:p>
      <w:pPr>
        <w:spacing w:after="0" w:line="156" w:lineRule="exact"/>
        <w:rPr>
          <w:sz w:val="20"/>
          <w:szCs w:val="20"/>
          <w:color w:val="auto"/>
        </w:rPr>
      </w:pPr>
    </w:p>
    <w:p>
      <w:pPr>
        <w:ind w:left="260" w:right="200" w:hanging="252"/>
        <w:spacing w:after="0" w:line="286" w:lineRule="auto"/>
        <w:tabs>
          <w:tab w:leader="none" w:pos="260" w:val="left"/>
        </w:tabs>
        <w:numPr>
          <w:ilvl w:val="0"/>
          <w:numId w:val="51"/>
        </w:numPr>
        <w:rPr>
          <w:rFonts w:ascii="Arial" w:cs="Arial" w:eastAsia="Arial" w:hAnsi="Arial"/>
          <w:sz w:val="16"/>
          <w:szCs w:val="16"/>
          <w:color w:val="00A1DF"/>
        </w:rPr>
      </w:pPr>
      <w:r>
        <w:rPr>
          <w:rFonts w:ascii="Arial" w:cs="Arial" w:eastAsia="Arial" w:hAnsi="Arial"/>
          <w:sz w:val="16"/>
          <w:szCs w:val="16"/>
          <w:color w:val="auto"/>
        </w:rPr>
        <w:t>ROIC: measured on an absolute basis for each year during the three-year period and averaged to yield an average ROIC for the cumulative three-year period</w:t>
      </w:r>
    </w:p>
    <w:p>
      <w:pPr>
        <w:spacing w:after="0" w:line="101" w:lineRule="exact"/>
        <w:rPr>
          <w:rFonts w:ascii="Arial" w:cs="Arial" w:eastAsia="Arial" w:hAnsi="Arial"/>
          <w:sz w:val="16"/>
          <w:szCs w:val="16"/>
          <w:color w:val="00A1DF"/>
        </w:rPr>
      </w:pPr>
    </w:p>
    <w:p>
      <w:pPr>
        <w:ind w:left="260" w:right="180" w:hanging="252"/>
        <w:spacing w:after="0" w:line="286" w:lineRule="auto"/>
        <w:tabs>
          <w:tab w:leader="none" w:pos="260" w:val="left"/>
        </w:tabs>
        <w:numPr>
          <w:ilvl w:val="0"/>
          <w:numId w:val="51"/>
        </w:numPr>
        <w:rPr>
          <w:rFonts w:ascii="Arial" w:cs="Arial" w:eastAsia="Arial" w:hAnsi="Arial"/>
          <w:sz w:val="16"/>
          <w:szCs w:val="16"/>
          <w:color w:val="00A1DF"/>
        </w:rPr>
      </w:pPr>
      <w:r>
        <w:rPr>
          <w:rFonts w:ascii="Arial" w:cs="Arial" w:eastAsia="Arial" w:hAnsi="Arial"/>
          <w:sz w:val="16"/>
          <w:szCs w:val="16"/>
          <w:color w:val="auto"/>
        </w:rPr>
        <w:t>Relative Adjusted EPS Growth: compound annual growth rate measured on a relative basis at the end of the cumulative three-year performance period against the companies comprising the S&amp;P 100 Index</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ultimate payout of the PSUs is then subject to a relative TSR performance modifier based on the percentile ranking of our TSR over the three-year performance period relative to that of the companies comprising the S&amp;P 100 Index (“Relative TSR Modifier”). We believe this modifier more directly links our equity compensation program to shareholder returns by rewarding our executives for sustained market outperformance, as well as regulating payouts for market underperformance, even if financial metrics are achieved at or above target.</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believe the combination of these performance goals closely aligns the potential payout of the PSUs to the value ultimately realized by shareholders over a similar time horizon.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Earned PSUs will cliff-vest on the third anniversary of the date of grant, generally subject to continued employment through such date.</w:t>
      </w:r>
    </w:p>
    <w:p>
      <w:pPr>
        <w:spacing w:after="0" w:line="221"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target PSU values that the Compensation and Human Capital Committee approved for 2021 PSUs are set forth below. These target values are lower than the accounting values required to be set forth in the Summary Compensation Table for 2021 as a result of certain assumptions and valuation methodologies required under applicable accounting standards.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PSUs</w:t>
            </w:r>
          </w:p>
        </w:tc>
      </w:tr>
      <w:tr>
        <w:trPr>
          <w:trHeight w:val="205"/>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9"/>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Mr. Roberts</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12,720,000</w:t>
            </w:r>
          </w:p>
        </w:tc>
      </w:tr>
      <w:tr>
        <w:trPr>
          <w:trHeight w:val="236"/>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Mr. Cavanagh</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9,480,000</w:t>
            </w:r>
          </w:p>
        </w:tc>
      </w:tr>
      <w:tr>
        <w:trPr>
          <w:trHeight w:val="237"/>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Mr. Watson</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6,300,000</w:t>
            </w:r>
          </w:p>
        </w:tc>
      </w:tr>
      <w:tr>
        <w:trPr>
          <w:trHeight w:val="237"/>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Mr. Shell</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5,160,000</w:t>
            </w:r>
          </w:p>
        </w:tc>
      </w:tr>
      <w:tr>
        <w:trPr>
          <w:trHeight w:val="237"/>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Ms. Strong</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PSUs granted in 2021, see “Grants of Plan-Based Awards” table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Prior PSU Award Vestings in 2021</w:t>
      </w:r>
    </w:p>
    <w:p>
      <w:pPr>
        <w:spacing w:after="0" w:line="21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PSUs granted to NEOs before 2021 were earned based on a sliding-scale tied to increases in annual year-over-year Adjusted EBITDA (which were measured each year for a total of five years). For PSU awards granted in 2017 through 2020, vestings were based on the highest vesting percentage of any prior vesting tranche, or such higher vesting percentage as may be attained for a subsequent tranche based on the same performance condition and achievement ranges provided for in the applicable PSU award. Any portion of PSUs that fail to vest in a year is permanently forfeited, as occurred with the first tranche of vesting for PSUs granted in 2020. The achievement for 2021 of the Adjusted EBITDA performance metrics for PSUs granted in 2017 through 2020 resulted in maximum achievement at 125% for all remaining tranches of PSUs.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Stock Options</w:t>
      </w:r>
    </w:p>
    <w:p>
      <w:pPr>
        <w:spacing w:after="0" w:line="21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Approximately 40% of the target value of our NEOs’ 2021 equity awards was in the form of stock options. While the stock options granted to our NEOs do not have any express performance conditions, the value ultimately realized for such awards is dependent on the appreciation of our stock price from the date of grant, which further aligns our NEOs’ interests with those of our shareholders.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For the stock options granted to our NEOs beginning in 2021, the Compensation and Human Capital Committee determined to shift away from our historical practice of granting options with a 9.5-year vesting schedule and instead granted stock options with a five-year vesting schedule, with 40% of the options vesting in year two and the remaining 60% vesting in equal annual installments over the next three years. We believe this vesting schedule is more closely aligned with current market practice, making our stock option program more competitive for attracting and retaining senior executives in the competitive talent market in which we operate while continuing to focus on the long term.</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color w:val="00A1DF"/>
        </w:rPr>
        <w:t>Deferred Compensation</w:t>
      </w:r>
    </w:p>
    <w:p>
      <w:pPr>
        <w:spacing w:after="0" w:line="2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Since March 2021, amounts that our NEOs deferred under our deferred compensation plans must be notionally invested in either a company stock fund, which tracks the value of our Class A common stock, or several third-party mutual and exchange funds, which eliminates above-market interest earnings that had previously been earned through investments in an income fund with a fixed rate of return. Our deferred compensation plan is described in more detail below in the “Nonqualified Deferred Compensation in and as of Fiscal Year-End” table.</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Procedures for Determining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color w:val="00A1DF"/>
        </w:rPr>
        <w:t>Compensation and Human Capital Committee’s Role, Process and Validation</w:t>
      </w:r>
    </w:p>
    <w:p>
      <w:pPr>
        <w:spacing w:after="0" w:line="23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Compensation and Human Capital Committee approves the nature and amount of compensation paid to, and the employment and related agreements entered into with, our executive officers, and oversees broad-based cash bonus and equity-based plans, approving guidelines for grants of awards under these plans and determining and overseeing our compensation and benefits policies generally.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93"/>
        </w:trPr>
        <w:tc>
          <w:tcPr>
            <w:tcW w:w="10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2021, the Compensation and Human Capital Committee reviewed for our NEOs:</w:t>
      </w:r>
    </w:p>
    <w:p>
      <w:pPr>
        <w:spacing w:after="0" w:line="221"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6"/>
          <w:szCs w:val="16"/>
          <w:color w:val="00A1DF"/>
        </w:rPr>
      </w:pPr>
      <w:r>
        <w:rPr>
          <w:rFonts w:ascii="Arial" w:cs="Arial" w:eastAsia="Arial" w:hAnsi="Arial"/>
          <w:sz w:val="16"/>
          <w:szCs w:val="16"/>
          <w:color w:val="auto"/>
        </w:rPr>
        <w:t>Each element of our NEOs’ compensation for internal consistency.</w:t>
      </w:r>
    </w:p>
    <w:p>
      <w:pPr>
        <w:spacing w:after="0" w:line="167" w:lineRule="exact"/>
        <w:rPr>
          <w:rFonts w:ascii="Arial" w:cs="Arial" w:eastAsia="Arial" w:hAnsi="Arial"/>
          <w:sz w:val="16"/>
          <w:szCs w:val="16"/>
          <w:color w:val="00A1DF"/>
        </w:rPr>
      </w:pPr>
    </w:p>
    <w:p>
      <w:pPr>
        <w:ind w:left="260" w:hanging="252"/>
        <w:spacing w:after="0"/>
        <w:tabs>
          <w:tab w:leader="none" w:pos="260" w:val="left"/>
        </w:tabs>
        <w:numPr>
          <w:ilvl w:val="0"/>
          <w:numId w:val="52"/>
        </w:numPr>
        <w:rPr>
          <w:rFonts w:ascii="Arial" w:cs="Arial" w:eastAsia="Arial" w:hAnsi="Arial"/>
          <w:sz w:val="16"/>
          <w:szCs w:val="16"/>
          <w:color w:val="00A1DF"/>
        </w:rPr>
      </w:pPr>
      <w:r>
        <w:rPr>
          <w:rFonts w:ascii="Arial" w:cs="Arial" w:eastAsia="Arial" w:hAnsi="Arial"/>
          <w:sz w:val="16"/>
          <w:szCs w:val="16"/>
          <w:color w:val="auto"/>
        </w:rPr>
        <w:t>Various analyses provided by its independent compensation consultant, including:</w:t>
      </w:r>
    </w:p>
    <w:p>
      <w:pPr>
        <w:spacing w:after="0" w:line="167" w:lineRule="exact"/>
        <w:rPr>
          <w:rFonts w:ascii="Arial" w:cs="Arial" w:eastAsia="Arial" w:hAnsi="Arial"/>
          <w:sz w:val="16"/>
          <w:szCs w:val="16"/>
          <w:color w:val="00A1DF"/>
        </w:rPr>
      </w:pPr>
    </w:p>
    <w:p>
      <w:pPr>
        <w:ind w:left="500" w:hanging="249"/>
        <w:spacing w:after="0"/>
        <w:tabs>
          <w:tab w:leader="none" w:pos="500" w:val="left"/>
        </w:tabs>
        <w:numPr>
          <w:ilvl w:val="1"/>
          <w:numId w:val="52"/>
        </w:numPr>
        <w:rPr>
          <w:rFonts w:ascii="Arial" w:cs="Arial" w:eastAsia="Arial" w:hAnsi="Arial"/>
          <w:sz w:val="16"/>
          <w:szCs w:val="16"/>
          <w:color w:val="00A1DF"/>
        </w:rPr>
      </w:pPr>
      <w:r>
        <w:rPr>
          <w:rFonts w:ascii="Arial" w:cs="Arial" w:eastAsia="Arial" w:hAnsi="Arial"/>
          <w:sz w:val="16"/>
          <w:szCs w:val="16"/>
          <w:color w:val="auto"/>
        </w:rPr>
        <w:t>an assessment of the composition of our peer groups;</w:t>
      </w:r>
    </w:p>
    <w:p>
      <w:pPr>
        <w:spacing w:after="0" w:line="167" w:lineRule="exact"/>
        <w:rPr>
          <w:rFonts w:ascii="Arial" w:cs="Arial" w:eastAsia="Arial" w:hAnsi="Arial"/>
          <w:sz w:val="16"/>
          <w:szCs w:val="16"/>
          <w:color w:val="00A1DF"/>
        </w:rPr>
      </w:pPr>
    </w:p>
    <w:p>
      <w:pPr>
        <w:jc w:val="both"/>
        <w:ind w:left="500" w:right="260" w:hanging="249"/>
        <w:spacing w:after="0" w:line="266" w:lineRule="auto"/>
        <w:tabs>
          <w:tab w:leader="none" w:pos="500" w:val="left"/>
        </w:tabs>
        <w:numPr>
          <w:ilvl w:val="1"/>
          <w:numId w:val="52"/>
        </w:numPr>
        <w:rPr>
          <w:rFonts w:ascii="Arial" w:cs="Arial" w:eastAsia="Arial" w:hAnsi="Arial"/>
          <w:sz w:val="16"/>
          <w:szCs w:val="16"/>
          <w:color w:val="00A1DF"/>
        </w:rPr>
      </w:pPr>
      <w:r>
        <w:rPr>
          <w:rFonts w:ascii="Arial" w:cs="Arial" w:eastAsia="Arial" w:hAnsi="Arial"/>
          <w:sz w:val="16"/>
          <w:szCs w:val="16"/>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(e.g., target pay levels, fixed vs. variable, components of long-term equity));</w:t>
      </w:r>
    </w:p>
    <w:p>
      <w:pPr>
        <w:spacing w:after="0" w:line="117" w:lineRule="exact"/>
        <w:rPr>
          <w:rFonts w:ascii="Arial" w:cs="Arial" w:eastAsia="Arial" w:hAnsi="Arial"/>
          <w:sz w:val="16"/>
          <w:szCs w:val="16"/>
          <w:color w:val="00A1DF"/>
        </w:rPr>
      </w:pPr>
    </w:p>
    <w:p>
      <w:pPr>
        <w:ind w:left="500" w:right="320" w:hanging="249"/>
        <w:spacing w:after="0" w:line="286" w:lineRule="auto"/>
        <w:tabs>
          <w:tab w:leader="none" w:pos="500" w:val="left"/>
        </w:tabs>
        <w:numPr>
          <w:ilvl w:val="1"/>
          <w:numId w:val="52"/>
        </w:numPr>
        <w:rPr>
          <w:rFonts w:ascii="Arial" w:cs="Arial" w:eastAsia="Arial" w:hAnsi="Arial"/>
          <w:sz w:val="16"/>
          <w:szCs w:val="16"/>
          <w:color w:val="00A1DF"/>
        </w:rPr>
      </w:pPr>
      <w:r>
        <w:rPr>
          <w:rFonts w:ascii="Arial" w:cs="Arial" w:eastAsia="Arial" w:hAnsi="Arial"/>
          <w:sz w:val="16"/>
          <w:szCs w:val="16"/>
          <w:color w:val="auto"/>
        </w:rPr>
        <w:t>a financial performance review (comparing our performance relative to our peer group companies with respect to growth in adjusted EBITDA, free cash flow, revenue and TSR, based on financial data from a third-party source);</w:t>
      </w:r>
    </w:p>
    <w:p>
      <w:pPr>
        <w:spacing w:after="0" w:line="101" w:lineRule="exact"/>
        <w:rPr>
          <w:rFonts w:ascii="Arial" w:cs="Arial" w:eastAsia="Arial" w:hAnsi="Arial"/>
          <w:sz w:val="16"/>
          <w:szCs w:val="16"/>
          <w:color w:val="00A1DF"/>
        </w:rPr>
      </w:pPr>
    </w:p>
    <w:p>
      <w:pPr>
        <w:ind w:left="500" w:right="220" w:hanging="249"/>
        <w:spacing w:after="0" w:line="286" w:lineRule="auto"/>
        <w:tabs>
          <w:tab w:leader="none" w:pos="500" w:val="left"/>
        </w:tabs>
        <w:numPr>
          <w:ilvl w:val="1"/>
          <w:numId w:val="52"/>
        </w:numPr>
        <w:rPr>
          <w:rFonts w:ascii="Arial" w:cs="Arial" w:eastAsia="Arial" w:hAnsi="Arial"/>
          <w:sz w:val="16"/>
          <w:szCs w:val="16"/>
          <w:color w:val="00A1DF"/>
        </w:rPr>
      </w:pPr>
      <w:r>
        <w:rPr>
          <w:rFonts w:ascii="Arial" w:cs="Arial" w:eastAsia="Arial" w:hAnsi="Arial"/>
          <w:sz w:val="16"/>
          <w:szCs w:val="16"/>
          <w:color w:val="auto"/>
        </w:rPr>
        <w:t>a compensation sharing analysis (analyzing the actual pay delivered to our NEOs as a percentage of our Adjusted EBITDA and Free Cash Flow as compared to our peer group companies);</w:t>
      </w:r>
    </w:p>
    <w:p>
      <w:pPr>
        <w:spacing w:after="0" w:line="101" w:lineRule="exact"/>
        <w:rPr>
          <w:rFonts w:ascii="Arial" w:cs="Arial" w:eastAsia="Arial" w:hAnsi="Arial"/>
          <w:sz w:val="16"/>
          <w:szCs w:val="16"/>
          <w:color w:val="00A1DF"/>
        </w:rPr>
      </w:pPr>
    </w:p>
    <w:p>
      <w:pPr>
        <w:ind w:left="500" w:hanging="249"/>
        <w:spacing w:after="0"/>
        <w:tabs>
          <w:tab w:leader="none" w:pos="500" w:val="left"/>
        </w:tabs>
        <w:numPr>
          <w:ilvl w:val="1"/>
          <w:numId w:val="52"/>
        </w:numPr>
        <w:rPr>
          <w:rFonts w:ascii="Arial" w:cs="Arial" w:eastAsia="Arial" w:hAnsi="Arial"/>
          <w:sz w:val="16"/>
          <w:szCs w:val="16"/>
          <w:color w:val="00A1DF"/>
        </w:rPr>
      </w:pPr>
      <w:r>
        <w:rPr>
          <w:rFonts w:ascii="Arial" w:cs="Arial" w:eastAsia="Arial" w:hAnsi="Arial"/>
          <w:sz w:val="16"/>
          <w:szCs w:val="16"/>
          <w:color w:val="auto"/>
        </w:rPr>
        <w:t>an incentive compensation design analysis (analyzing various annual bonus and long-term incentive design elements); and</w:t>
      </w:r>
    </w:p>
    <w:p>
      <w:pPr>
        <w:spacing w:after="0" w:line="167" w:lineRule="exact"/>
        <w:rPr>
          <w:rFonts w:ascii="Arial" w:cs="Arial" w:eastAsia="Arial" w:hAnsi="Arial"/>
          <w:sz w:val="16"/>
          <w:szCs w:val="16"/>
          <w:color w:val="00A1DF"/>
        </w:rPr>
      </w:pPr>
    </w:p>
    <w:p>
      <w:pPr>
        <w:ind w:left="500" w:right="680" w:hanging="249"/>
        <w:spacing w:after="0" w:line="286" w:lineRule="auto"/>
        <w:tabs>
          <w:tab w:leader="none" w:pos="500" w:val="left"/>
        </w:tabs>
        <w:numPr>
          <w:ilvl w:val="1"/>
          <w:numId w:val="52"/>
        </w:numPr>
        <w:rPr>
          <w:rFonts w:ascii="Arial" w:cs="Arial" w:eastAsia="Arial" w:hAnsi="Arial"/>
          <w:sz w:val="16"/>
          <w:szCs w:val="16"/>
          <w:color w:val="00A1DF"/>
        </w:rPr>
      </w:pPr>
      <w:r>
        <w:rPr>
          <w:rFonts w:ascii="Arial" w:cs="Arial" w:eastAsia="Arial" w:hAnsi="Arial"/>
          <w:sz w:val="16"/>
          <w:szCs w:val="16"/>
          <w:color w:val="auto"/>
        </w:rPr>
        <w:t>an analysis of equity dilution resulting from, and annual usage rates in, our equity-based compensation plans as compared to our peer group companies (i.e., overhang and burn rates).</w:t>
      </w:r>
    </w:p>
    <w:p>
      <w:pPr>
        <w:spacing w:after="0" w:line="128" w:lineRule="exact"/>
        <w:rPr>
          <w:rFonts w:ascii="Arial" w:cs="Arial" w:eastAsia="Arial" w:hAnsi="Arial"/>
          <w:sz w:val="16"/>
          <w:szCs w:val="16"/>
          <w:color w:val="00A1DF"/>
        </w:rPr>
      </w:pPr>
    </w:p>
    <w:p>
      <w:pPr>
        <w:ind w:left="260" w:right="320" w:hanging="252"/>
        <w:spacing w:after="0" w:line="286" w:lineRule="auto"/>
        <w:tabs>
          <w:tab w:leader="none" w:pos="260" w:val="left"/>
        </w:tabs>
        <w:numPr>
          <w:ilvl w:val="0"/>
          <w:numId w:val="52"/>
        </w:numPr>
        <w:rPr>
          <w:rFonts w:ascii="Arial" w:cs="Arial" w:eastAsia="Arial" w:hAnsi="Arial"/>
          <w:sz w:val="16"/>
          <w:szCs w:val="16"/>
          <w:color w:val="00A1DF"/>
        </w:rPr>
      </w:pPr>
      <w:r>
        <w:rPr>
          <w:rFonts w:ascii="Arial" w:cs="Arial" w:eastAsia="Arial" w:hAnsi="Arial"/>
          <w:sz w:val="16"/>
          <w:szCs w:val="16"/>
          <w:color w:val="auto"/>
        </w:rPr>
        <w:t>After taking into account the analyses above, the Compensation and Human Capital Committee evaluated our financial performance, as compared to our peers over time, as it related to our strongly competitive compensation philosophy.</w:t>
      </w:r>
    </w:p>
    <w:p>
      <w:pPr>
        <w:spacing w:after="0" w:line="101" w:lineRule="exact"/>
        <w:rPr>
          <w:rFonts w:ascii="Arial" w:cs="Arial" w:eastAsia="Arial" w:hAnsi="Arial"/>
          <w:sz w:val="16"/>
          <w:szCs w:val="16"/>
          <w:color w:val="00A1DF"/>
        </w:rPr>
      </w:pPr>
    </w:p>
    <w:p>
      <w:pPr>
        <w:ind w:left="260" w:right="240" w:hanging="252"/>
        <w:spacing w:after="0" w:line="256" w:lineRule="auto"/>
        <w:tabs>
          <w:tab w:leader="none" w:pos="260" w:val="left"/>
        </w:tabs>
        <w:numPr>
          <w:ilvl w:val="0"/>
          <w:numId w:val="52"/>
        </w:numPr>
        <w:rPr>
          <w:rFonts w:ascii="Arial" w:cs="Arial" w:eastAsia="Arial" w:hAnsi="Arial"/>
          <w:sz w:val="16"/>
          <w:szCs w:val="16"/>
          <w:color w:val="00A1DF"/>
        </w:rPr>
      </w:pPr>
      <w:r>
        <w:rPr>
          <w:rFonts w:ascii="Arial" w:cs="Arial" w:eastAsia="Arial" w:hAnsi="Arial"/>
          <w:sz w:val="16"/>
          <w:szCs w:val="16"/>
          <w:color w:val="auto"/>
        </w:rPr>
        <w:t>The Compensation and Human Capital Committee also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and Human Capital Committee believes that realized or realizable equity compensation is inherently aligned with our long-term performance and shareholders’ interests.</w:t>
      </w:r>
    </w:p>
    <w:p>
      <w:pPr>
        <w:spacing w:after="0" w:line="125" w:lineRule="exact"/>
        <w:rPr>
          <w:rFonts w:ascii="Arial" w:cs="Arial" w:eastAsia="Arial" w:hAnsi="Arial"/>
          <w:sz w:val="16"/>
          <w:szCs w:val="16"/>
          <w:color w:val="00A1DF"/>
        </w:rPr>
      </w:pPr>
    </w:p>
    <w:p>
      <w:pPr>
        <w:ind w:left="260" w:right="160" w:hanging="252"/>
        <w:spacing w:after="0" w:line="259" w:lineRule="auto"/>
        <w:tabs>
          <w:tab w:leader="none" w:pos="260" w:val="left"/>
        </w:tabs>
        <w:numPr>
          <w:ilvl w:val="0"/>
          <w:numId w:val="52"/>
        </w:numPr>
        <w:rPr>
          <w:rFonts w:ascii="Arial" w:cs="Arial" w:eastAsia="Arial" w:hAnsi="Arial"/>
          <w:sz w:val="16"/>
          <w:szCs w:val="16"/>
          <w:color w:val="00A1DF"/>
        </w:rPr>
      </w:pPr>
      <w:r>
        <w:rPr>
          <w:rFonts w:ascii="Arial" w:cs="Arial" w:eastAsia="Arial" w:hAnsi="Arial"/>
          <w:sz w:val="16"/>
          <w:szCs w:val="16"/>
          <w:color w:val="auto"/>
        </w:rPr>
        <w:t>In addition, the Compensation and Human Capital Committee annually reviews the nature and mix of compensation elements, as well as compensation plan design and award terms, to ensure that our compensation program does not include inadvertent incentives for our NEOs to take inappropriate business risks by making decisions that may be in their best interests but not in the best interests of our shareholders. In conducting this review, the Compensation and Human Capital Committee also considers specific business risks identified through our ERM process.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Following these reviews and assessments, and with these goals in mind, the Compensation and Human Capital Committee determines what it believes to be an appropriate current year compensation package for each NEO. This process includes subjective criteria and involves the exercise of discretion and judgment. Based on these reviews, the Compensation and Human Capital Committee believes the design of the compensation program for 2021 is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00A1DF"/>
        </w:rPr>
        <w:t>Role of Compensation Consultants</w:t>
      </w:r>
    </w:p>
    <w:p>
      <w:pPr>
        <w:spacing w:after="0" w:line="23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Compensation and Human Capital Committee has directly engaged Korn Ferry as its own independent compensation consultant. In determining 2021 compensation, the Compensation and Human Capital Committee directed Korn Ferry to provide it with various compensation analyses as described below; Korn Ferry did not recommend or determine compensation levels or elements, performance targets or compensation plan design.</w:t>
      </w:r>
    </w:p>
    <w:p>
      <w:pPr>
        <w:spacing w:after="0" w:line="17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Compensation and Human Capital Committee assessed Korn Ferry’s work as required under SEC rules and concluded that its work for the Compensation and Human Capital Committee in 2021 did not raise any conflicts of interest. The Compensation and Human Capital Committee reached this determination by reviewing fees paid to Korn Ferry and evaluating its work under applicable SEC and Nasdaq rules on conflicts of interest.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Compensation Consultant Services</w:t>
      </w:r>
    </w:p>
    <w:p>
      <w:pPr>
        <w:spacing w:after="0" w:line="218"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and Human Capital Committee and to management. The Compensation and Human Capital Committee collaborated with Korn Ferry to</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determine and approve the parameters used to conduct the assessment work, including items such as the composition of peer groups, the relevant market statistical reference points within the data (e.g., median) and the elements of compensation. Korn Ferry did not determine or recommend the form or amount of compensation of our NEOs for 2021.</w:t>
      </w:r>
    </w:p>
    <w:p>
      <w:pPr>
        <w:spacing w:after="0" w:line="171"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In 2021, we paid Korn Ferry approximately $330,000 for services related to executive and director compensation and approximately $1,097,000 for leadership, succession, organizational strategy and talent consulting services and executive search services.</w:t>
      </w:r>
    </w:p>
    <w:p>
      <w:pPr>
        <w:spacing w:after="0" w:line="156"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As part of their job responsibilities, certain of our executive officers participate both in gathering and presenting facts related to compensation and benefits matters as requested by the Compensation and Human Capital Committee and in formulating and making recommendations to the Compensation and Human Capital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and Human Capital Committee and are reviewed by the Board, following reviews and discussions held in executive sessions.</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00A1DF"/>
        </w:rPr>
        <w:t>Use of Competitive Data</w:t>
      </w:r>
    </w:p>
    <w:p>
      <w:pPr>
        <w:spacing w:after="0" w:line="23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While peer group and various compensation survey analyses are considered important and valuable by the Compensation and Human Capital Committee, the Compensation and Human Capital Committee does not make any determination of, or change to, compensation in reaction to market data alone. Rather, it uses this information as one of several considerations to inform its decision and put it in context in determining compensation levels (and when to change compensation levels).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Peer Group</w:t>
      </w:r>
    </w:p>
    <w:p>
      <w:pPr>
        <w:spacing w:after="0" w:line="21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Compensation and Human Capital Committee, advised by Korn Ferry, reviewed the criteria for selecting members of our peer groups and determined to combine the entertainment/media and transmission/distribution peer groups that had been previously used into one core peer group given the accelerating convergence in media and technology and the complementary nature of, and consolidation in, the media and distribution industries.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Below are the companies in our core peer group for 2021, which are unchanged from our 2020 peers: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Alphabet, Inc.</w:t>
            </w:r>
          </w:p>
        </w:tc>
        <w:tc>
          <w:tcPr>
            <w:tcW w:w="6360" w:type="dxa"/>
            <w:vAlign w:val="bottom"/>
            <w:gridSpan w:val="2"/>
            <w:shd w:val="clear" w:color="auto" w:fill="EAF2FA"/>
          </w:tcPr>
          <w:p>
            <w:pPr>
              <w:ind w:left="86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Meta Platforms, Inc. (f/k/a Facebook, Inc.)</w:t>
            </w:r>
          </w:p>
        </w:tc>
      </w:tr>
      <w:tr>
        <w:trPr>
          <w:trHeight w:val="398"/>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AT&amp;T Inc.</w:t>
            </w:r>
          </w:p>
        </w:tc>
        <w:tc>
          <w:tcPr>
            <w:tcW w:w="1020" w:type="dxa"/>
            <w:vAlign w:val="bottom"/>
            <w:shd w:val="clear" w:color="auto" w:fill="EAF2FA"/>
          </w:tcPr>
          <w:p>
            <w:pPr>
              <w:ind w:left="860"/>
              <w:spacing w:after="0"/>
              <w:rPr>
                <w:sz w:val="20"/>
                <w:szCs w:val="20"/>
                <w:color w:val="auto"/>
              </w:rPr>
            </w:pPr>
            <w:r>
              <w:rPr>
                <w:rFonts w:ascii="Arial" w:cs="Arial" w:eastAsia="Arial" w:hAnsi="Arial"/>
                <w:sz w:val="16"/>
                <w:szCs w:val="16"/>
                <w:color w:val="00A1DF"/>
              </w:rPr>
              <w:t>●</w:t>
            </w:r>
          </w:p>
        </w:tc>
        <w:tc>
          <w:tcPr>
            <w:tcW w:w="5340" w:type="dxa"/>
            <w:vAlign w:val="bottom"/>
            <w:shd w:val="clear" w:color="auto" w:fill="EAF2FA"/>
          </w:tcPr>
          <w:p>
            <w:pPr>
              <w:ind w:left="80"/>
              <w:spacing w:after="0"/>
              <w:rPr>
                <w:sz w:val="20"/>
                <w:szCs w:val="20"/>
                <w:color w:val="auto"/>
              </w:rPr>
            </w:pPr>
            <w:r>
              <w:rPr>
                <w:rFonts w:ascii="Arial" w:cs="Arial" w:eastAsia="Arial" w:hAnsi="Arial"/>
                <w:sz w:val="16"/>
                <w:szCs w:val="16"/>
                <w:color w:val="auto"/>
              </w:rPr>
              <w:t>Netflix, Inc.</w:t>
            </w:r>
          </w:p>
        </w:tc>
      </w:tr>
      <w:tr>
        <w:trPr>
          <w:trHeight w:val="405"/>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Charter Communications, Inc.</w:t>
            </w:r>
          </w:p>
        </w:tc>
        <w:tc>
          <w:tcPr>
            <w:tcW w:w="6360" w:type="dxa"/>
            <w:vAlign w:val="bottom"/>
            <w:gridSpan w:val="2"/>
            <w:shd w:val="clear" w:color="auto" w:fill="EAF2FA"/>
          </w:tcPr>
          <w:p>
            <w:pPr>
              <w:ind w:left="86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Paramount Global (f/k/a ViacomCBS Inc.)</w:t>
            </w:r>
          </w:p>
        </w:tc>
      </w:tr>
      <w:tr>
        <w:trPr>
          <w:trHeight w:val="405"/>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Warner Bros. Discovery, Inc. (f/k/a Discovery, Inc.)</w:t>
            </w:r>
          </w:p>
        </w:tc>
        <w:tc>
          <w:tcPr>
            <w:tcW w:w="1020" w:type="dxa"/>
            <w:vAlign w:val="bottom"/>
            <w:shd w:val="clear" w:color="auto" w:fill="EAF2FA"/>
          </w:tcPr>
          <w:p>
            <w:pPr>
              <w:ind w:left="860"/>
              <w:spacing w:after="0"/>
              <w:rPr>
                <w:sz w:val="20"/>
                <w:szCs w:val="20"/>
                <w:color w:val="auto"/>
              </w:rPr>
            </w:pPr>
            <w:r>
              <w:rPr>
                <w:rFonts w:ascii="Arial" w:cs="Arial" w:eastAsia="Arial" w:hAnsi="Arial"/>
                <w:sz w:val="16"/>
                <w:szCs w:val="16"/>
                <w:color w:val="00A1DF"/>
              </w:rPr>
              <w:t>●</w:t>
            </w:r>
          </w:p>
        </w:tc>
        <w:tc>
          <w:tcPr>
            <w:tcW w:w="5340" w:type="dxa"/>
            <w:vAlign w:val="bottom"/>
            <w:shd w:val="clear" w:color="auto" w:fill="EAF2FA"/>
          </w:tcPr>
          <w:p>
            <w:pPr>
              <w:ind w:left="80"/>
              <w:spacing w:after="0"/>
              <w:rPr>
                <w:sz w:val="20"/>
                <w:szCs w:val="20"/>
                <w:color w:val="auto"/>
              </w:rPr>
            </w:pPr>
            <w:r>
              <w:rPr>
                <w:rFonts w:ascii="Arial" w:cs="Arial" w:eastAsia="Arial" w:hAnsi="Arial"/>
                <w:sz w:val="16"/>
                <w:szCs w:val="16"/>
                <w:color w:val="auto"/>
              </w:rPr>
              <w:t>T-Mobile US, Inc.</w:t>
            </w:r>
          </w:p>
        </w:tc>
      </w:tr>
      <w:tr>
        <w:trPr>
          <w:trHeight w:val="405"/>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DISH Network Corporation</w:t>
            </w:r>
          </w:p>
        </w:tc>
        <w:tc>
          <w:tcPr>
            <w:tcW w:w="6360" w:type="dxa"/>
            <w:vAlign w:val="bottom"/>
            <w:gridSpan w:val="2"/>
            <w:shd w:val="clear" w:color="auto" w:fill="EAF2FA"/>
          </w:tcPr>
          <w:p>
            <w:pPr>
              <w:ind w:left="86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color w:val="000000"/>
              </w:rPr>
              <w:t>The Walt Disney Company</w:t>
            </w:r>
          </w:p>
        </w:tc>
      </w:tr>
      <w:tr>
        <w:trPr>
          <w:trHeight w:val="405"/>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Fox Corp</w:t>
            </w:r>
          </w:p>
        </w:tc>
        <w:tc>
          <w:tcPr>
            <w:tcW w:w="1020" w:type="dxa"/>
            <w:vAlign w:val="bottom"/>
            <w:shd w:val="clear" w:color="auto" w:fill="EAF2FA"/>
          </w:tcPr>
          <w:p>
            <w:pPr>
              <w:ind w:left="860"/>
              <w:spacing w:after="0"/>
              <w:rPr>
                <w:sz w:val="20"/>
                <w:szCs w:val="20"/>
                <w:color w:val="auto"/>
              </w:rPr>
            </w:pPr>
            <w:r>
              <w:rPr>
                <w:rFonts w:ascii="Arial" w:cs="Arial" w:eastAsia="Arial" w:hAnsi="Arial"/>
                <w:sz w:val="16"/>
                <w:szCs w:val="16"/>
                <w:color w:val="00A1DF"/>
              </w:rPr>
              <w:t>●</w:t>
            </w:r>
          </w:p>
        </w:tc>
        <w:tc>
          <w:tcPr>
            <w:tcW w:w="5340" w:type="dxa"/>
            <w:vAlign w:val="bottom"/>
            <w:shd w:val="clear" w:color="auto" w:fill="EAF2FA"/>
          </w:tcPr>
          <w:p>
            <w:pPr>
              <w:ind w:left="80"/>
              <w:spacing w:after="0"/>
              <w:rPr>
                <w:sz w:val="20"/>
                <w:szCs w:val="20"/>
                <w:color w:val="auto"/>
              </w:rPr>
            </w:pPr>
            <w:r>
              <w:rPr>
                <w:rFonts w:ascii="Arial" w:cs="Arial" w:eastAsia="Arial" w:hAnsi="Arial"/>
                <w:sz w:val="16"/>
                <w:szCs w:val="16"/>
                <w:color w:val="auto"/>
              </w:rPr>
              <w:t>Verizon Communications Inc.</w:t>
            </w:r>
          </w:p>
        </w:tc>
      </w:tr>
      <w:tr>
        <w:trPr>
          <w:trHeight w:val="420"/>
        </w:trPr>
        <w:tc>
          <w:tcPr>
            <w:tcW w:w="340" w:type="dxa"/>
            <w:vAlign w:val="bottom"/>
            <w:shd w:val="clear" w:color="auto" w:fill="EAF2FA"/>
          </w:tcPr>
          <w:p>
            <w:pPr>
              <w:ind w:left="180"/>
              <w:spacing w:after="0"/>
              <w:rPr>
                <w:sz w:val="20"/>
                <w:szCs w:val="20"/>
                <w:color w:val="auto"/>
              </w:rPr>
            </w:pPr>
            <w:r>
              <w:rPr>
                <w:rFonts w:ascii="Arial" w:cs="Arial" w:eastAsia="Arial" w:hAnsi="Arial"/>
                <w:sz w:val="16"/>
                <w:szCs w:val="16"/>
                <w:color w:val="00A1DF"/>
              </w:rPr>
              <w:t>●</w:t>
            </w:r>
          </w:p>
        </w:tc>
        <w:tc>
          <w:tcPr>
            <w:tcW w:w="4540" w:type="dxa"/>
            <w:vAlign w:val="bottom"/>
            <w:shd w:val="clear" w:color="auto" w:fill="EAF2FA"/>
          </w:tcPr>
          <w:p>
            <w:pPr>
              <w:ind w:left="80"/>
              <w:spacing w:after="0"/>
              <w:rPr>
                <w:sz w:val="20"/>
                <w:szCs w:val="20"/>
                <w:color w:val="auto"/>
              </w:rPr>
            </w:pPr>
            <w:r>
              <w:rPr>
                <w:rFonts w:ascii="Arial" w:cs="Arial" w:eastAsia="Arial" w:hAnsi="Arial"/>
                <w:sz w:val="16"/>
                <w:szCs w:val="16"/>
                <w:color w:val="auto"/>
              </w:rPr>
              <w:t>Lumen Technologies, Inc.</w:t>
            </w:r>
          </w:p>
        </w:tc>
        <w:tc>
          <w:tcPr>
            <w:tcW w:w="1020" w:type="dxa"/>
            <w:vAlign w:val="bottom"/>
            <w:shd w:val="clear" w:color="auto" w:fill="EAF2FA"/>
          </w:tcPr>
          <w:p>
            <w:pPr>
              <w:spacing w:after="0"/>
              <w:rPr>
                <w:sz w:val="24"/>
                <w:szCs w:val="24"/>
                <w:color w:val="auto"/>
              </w:rPr>
            </w:pPr>
          </w:p>
        </w:tc>
        <w:tc>
          <w:tcPr>
            <w:tcW w:w="5340" w:type="dxa"/>
            <w:vAlign w:val="bottom"/>
            <w:shd w:val="clear" w:color="auto" w:fill="EAF2FA"/>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peer group analyses indicate that overall, our “pay at risk” practices are generally aligned with peer group practices.</w:t>
      </w:r>
    </w:p>
    <w:p>
      <w:pPr>
        <w:spacing w:after="0" w:line="221" w:lineRule="exact"/>
        <w:rPr>
          <w:sz w:val="20"/>
          <w:szCs w:val="20"/>
          <w:color w:val="auto"/>
        </w:rPr>
      </w:pPr>
    </w:p>
    <w:p>
      <w:pPr>
        <w:jc w:val="both"/>
        <w:ind w:left="260" w:right="20" w:hanging="252"/>
        <w:spacing w:after="0" w:line="266" w:lineRule="auto"/>
        <w:tabs>
          <w:tab w:leader="none" w:pos="26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Comparisons for (i) Mr. Roberts were made to peer chief executive officers for the peer group, (ii) Mr. Cavanagh were made to peer chief financial officers for the peer group, and (iii) Messrs. Watson and Shell and Ms. Strong were made by ordinal rank (i.e., the position in the Summary Compensation Table), with supplemental comparisons to peer chief executive officers of the peer group.</w:t>
      </w:r>
    </w:p>
    <w:p>
      <w:pPr>
        <w:spacing w:after="0" w:line="117" w:lineRule="exact"/>
        <w:rPr>
          <w:rFonts w:ascii="Arial" w:cs="Arial" w:eastAsia="Arial" w:hAnsi="Arial"/>
          <w:sz w:val="16"/>
          <w:szCs w:val="16"/>
          <w:color w:val="00A1DF"/>
        </w:rPr>
      </w:pPr>
    </w:p>
    <w:p>
      <w:pPr>
        <w:ind w:left="260" w:right="140" w:hanging="252"/>
        <w:spacing w:after="0" w:line="286" w:lineRule="auto"/>
        <w:tabs>
          <w:tab w:leader="none" w:pos="26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As a supplemental reference point to further inform the Compensation and Human Capital Committee, comparisons were made to general industry peer groups with revenues similar in size to our business as a whole and our business units.</w:t>
      </w:r>
    </w:p>
    <w:p>
      <w:pPr>
        <w:spacing w:after="0" w:line="101" w:lineRule="exact"/>
        <w:rPr>
          <w:rFonts w:ascii="Arial" w:cs="Arial" w:eastAsia="Arial" w:hAnsi="Arial"/>
          <w:sz w:val="16"/>
          <w:szCs w:val="16"/>
          <w:color w:val="00A1DF"/>
        </w:rPr>
      </w:pPr>
    </w:p>
    <w:p>
      <w:pPr>
        <w:ind w:left="260" w:right="160" w:hanging="252"/>
        <w:spacing w:after="0" w:line="266" w:lineRule="auto"/>
        <w:tabs>
          <w:tab w:leader="none" w:pos="26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The Compensation and Human Capital Committee does not determine an NEO’s target compensation solely based on a specific reference point within our peer group; instead, it reviews our peer group analyses, as well as the other analyses discussed in “Compensation and Human Capital Committee’s Role, Process and Validation,” both to validate our compensation program design and to inform its judgment in determining target compensation.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93"/>
        </w:trPr>
        <w:tc>
          <w:tcPr>
            <w:tcW w:w="10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00A1DF"/>
        </w:rPr>
        <w:t>Assessing NEO Performance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an NEO’s individual compensation, the Compensation and Human Capital Committee:</w:t>
      </w:r>
    </w:p>
    <w:p>
      <w:pPr>
        <w:spacing w:after="0" w:line="221" w:lineRule="exact"/>
        <w:rPr>
          <w:sz w:val="20"/>
          <w:szCs w:val="20"/>
          <w:color w:val="auto"/>
        </w:rPr>
      </w:pPr>
    </w:p>
    <w:p>
      <w:pPr>
        <w:ind w:left="260" w:right="680" w:hanging="252"/>
        <w:spacing w:after="0" w:line="286" w:lineRule="auto"/>
        <w:tabs>
          <w:tab w:leader="none" w:pos="26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Sets specific factors to be used in evaluating Mr. Roberts, and Mr. Roberts discusses with the Compensation and Human Capital Committee the performance of our other NEOs.</w:t>
      </w:r>
    </w:p>
    <w:p>
      <w:pPr>
        <w:spacing w:after="0" w:line="101" w:lineRule="exact"/>
        <w:rPr>
          <w:rFonts w:ascii="Arial" w:cs="Arial" w:eastAsia="Arial" w:hAnsi="Arial"/>
          <w:sz w:val="16"/>
          <w:szCs w:val="16"/>
          <w:color w:val="00A1DF"/>
        </w:rPr>
      </w:pPr>
    </w:p>
    <w:p>
      <w:pPr>
        <w:ind w:left="260" w:right="140" w:hanging="252"/>
        <w:spacing w:after="0" w:line="286" w:lineRule="auto"/>
        <w:tabs>
          <w:tab w:leader="none" w:pos="26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Assesses each NEO’s responsibilities and roles with respect to overall corporate policy-making, management, operations and administration, as well as the importance of retaining the NEO.</w:t>
      </w:r>
    </w:p>
    <w:p>
      <w:pPr>
        <w:spacing w:after="0" w:line="101" w:lineRule="exact"/>
        <w:rPr>
          <w:rFonts w:ascii="Arial" w:cs="Arial" w:eastAsia="Arial" w:hAnsi="Arial"/>
          <w:sz w:val="16"/>
          <w:szCs w:val="16"/>
          <w:color w:val="00A1DF"/>
        </w:rPr>
      </w:pPr>
    </w:p>
    <w:p>
      <w:pPr>
        <w:ind w:left="260" w:right="320" w:hanging="252"/>
        <w:spacing w:after="0" w:line="286" w:lineRule="auto"/>
        <w:tabs>
          <w:tab w:leader="none" w:pos="26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Evaluates each NEO’s prior year performance, both in terms of their contribution to our performance and as compared to their individual performance goals.</w:t>
      </w:r>
    </w:p>
    <w:p>
      <w:pPr>
        <w:spacing w:after="0" w:line="101" w:lineRule="exact"/>
        <w:rPr>
          <w:rFonts w:ascii="Arial" w:cs="Arial" w:eastAsia="Arial" w:hAnsi="Arial"/>
          <w:sz w:val="16"/>
          <w:szCs w:val="16"/>
          <w:color w:val="00A1DF"/>
        </w:rPr>
      </w:pPr>
    </w:p>
    <w:p>
      <w:pPr>
        <w:ind w:left="260" w:right="640" w:hanging="252"/>
        <w:spacing w:after="0" w:line="286" w:lineRule="auto"/>
        <w:tabs>
          <w:tab w:leader="none" w:pos="26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Evaluates our overall prior year performance, both in terms of financial results and progress on strategic initiatives, including a comparison of our performance to our competitors.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Compensation and Human Capital Committee employs a rigorous process to evaluate our NEOs’ performance that informs its compensation decisions for the year, including those related to an NEO’s base salary and annual equity awards and the attainment of qualitative objectives for our annual cash bonus. This design allows our Compensation and Human Capital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w:t>
      </w:r>
    </w:p>
    <w:p>
      <w:pPr>
        <w:spacing w:after="0" w:line="180"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auto"/>
        </w:rPr>
        <w:t>Each year, our Compensation and Human Capital Committee establishes a set of defined objectives for the qualitative portion of our annual cash bonus, which may be tied to an NEO’s or our company’s overall performance, strategic operating performance goals or stakeholder and sustainability initiatives, such as continued leadership in addressing the “digital divide,” further progress on our DE&amp;I and environmental sustainability initiatives, and further enhancing our strong culture of integrity and respect, at the time it determines the quantitative metrics. In determining payout levels on the qualitative metrics, the Compensation and Human Capital Committee critically evaluates our company and NEO performance and progress based on the defined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See “Compensation Decisions” above for information on NEO performance and decisions made in respect of 2021.</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auto"/>
        </w:rPr>
        <w:t>Other Compensation Policies and Considerations</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color w:val="00A1DF"/>
        </w:rPr>
        <w:t>Executive Stock Ownership Policy</w:t>
      </w:r>
    </w:p>
    <w:p>
      <w:pPr>
        <w:spacing w:after="0" w:line="2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a stock ownership policy for members of our senior management, including our NEOs, that is designed to increase our executives’ ownership stake in our company and align their interests with those of our shareholders.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4740" w:type="dxa"/>
            <w:vAlign w:val="bottom"/>
          </w:tcPr>
          <w:p>
            <w:pPr>
              <w:jc w:val="center"/>
              <w:ind w:left="2422"/>
              <w:spacing w:after="0"/>
              <w:rPr>
                <w:sz w:val="20"/>
                <w:szCs w:val="20"/>
                <w:color w:val="auto"/>
              </w:rPr>
            </w:pPr>
            <w:r>
              <w:rPr>
                <w:rFonts w:ascii="Arial" w:cs="Arial" w:eastAsia="Arial" w:hAnsi="Arial"/>
                <w:sz w:val="14"/>
                <w:szCs w:val="14"/>
                <w:b w:val="1"/>
                <w:bCs w:val="1"/>
                <w:color w:val="auto"/>
              </w:rPr>
              <w:t>MULTIPLE OF BASE SALARY</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COMPLIANCE STATUS AS OF</w:t>
            </w:r>
          </w:p>
        </w:tc>
      </w:tr>
      <w:tr>
        <w:trPr>
          <w:trHeight w:val="205"/>
        </w:trPr>
        <w:tc>
          <w:tcPr>
            <w:tcW w:w="426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jc w:val="center"/>
              <w:ind w:left="2422"/>
              <w:spacing w:after="0"/>
              <w:rPr>
                <w:sz w:val="20"/>
                <w:szCs w:val="20"/>
                <w:color w:val="auto"/>
              </w:rPr>
            </w:pPr>
            <w:r>
              <w:rPr>
                <w:rFonts w:ascii="Arial" w:cs="Arial" w:eastAsia="Arial" w:hAnsi="Arial"/>
                <w:sz w:val="14"/>
                <w:szCs w:val="14"/>
                <w:b w:val="1"/>
                <w:bCs w:val="1"/>
                <w:color w:val="auto"/>
              </w:rPr>
              <w:t>REQUIRED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2021</w:t>
            </w:r>
          </w:p>
        </w:tc>
      </w:tr>
      <w:tr>
        <w:trPr>
          <w:trHeight w:val="239"/>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Brian L. Roberts</w:t>
            </w:r>
          </w:p>
        </w:tc>
        <w:tc>
          <w:tcPr>
            <w:tcW w:w="4740" w:type="dxa"/>
            <w:vAlign w:val="bottom"/>
            <w:tcBorders>
              <w:bottom w:val="single" w:sz="8" w:color="auto"/>
            </w:tcBorders>
          </w:tcPr>
          <w:p>
            <w:pPr>
              <w:jc w:val="center"/>
              <w:ind w:left="2402"/>
              <w:spacing w:after="0"/>
              <w:rPr>
                <w:sz w:val="20"/>
                <w:szCs w:val="20"/>
                <w:color w:val="auto"/>
              </w:rPr>
            </w:pPr>
            <w:r>
              <w:rPr>
                <w:rFonts w:ascii="Arial" w:cs="Arial" w:eastAsia="Arial" w:hAnsi="Arial"/>
                <w:sz w:val="16"/>
                <w:szCs w:val="16"/>
                <w:color w:val="auto"/>
              </w:rPr>
              <w:t>10x</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 compliance</w:t>
            </w:r>
          </w:p>
        </w:tc>
      </w:tr>
      <w:tr>
        <w:trPr>
          <w:trHeight w:val="237"/>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Michael J. Cavanagh</w:t>
            </w:r>
          </w:p>
        </w:tc>
        <w:tc>
          <w:tcPr>
            <w:tcW w:w="4740" w:type="dxa"/>
            <w:vAlign w:val="bottom"/>
            <w:tcBorders>
              <w:bottom w:val="single" w:sz="8" w:color="auto"/>
            </w:tcBorders>
          </w:tcPr>
          <w:p>
            <w:pPr>
              <w:jc w:val="center"/>
              <w:ind w:left="2422"/>
              <w:spacing w:after="0"/>
              <w:rPr>
                <w:sz w:val="20"/>
                <w:szCs w:val="20"/>
                <w:color w:val="auto"/>
              </w:rPr>
            </w:pPr>
            <w:r>
              <w:rPr>
                <w:rFonts w:ascii="Arial" w:cs="Arial" w:eastAsia="Arial" w:hAnsi="Arial"/>
                <w:sz w:val="16"/>
                <w:szCs w:val="16"/>
                <w:color w:val="auto"/>
                <w:w w:val="94"/>
              </w:rPr>
              <w:t>3x</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 compliance</w:t>
            </w:r>
          </w:p>
        </w:tc>
      </w:tr>
      <w:tr>
        <w:trPr>
          <w:trHeight w:val="237"/>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David N. Watson</w:t>
            </w:r>
          </w:p>
        </w:tc>
        <w:tc>
          <w:tcPr>
            <w:tcW w:w="4740" w:type="dxa"/>
            <w:vAlign w:val="bottom"/>
            <w:tcBorders>
              <w:bottom w:val="single" w:sz="8" w:color="auto"/>
            </w:tcBorders>
          </w:tcPr>
          <w:p>
            <w:pPr>
              <w:jc w:val="center"/>
              <w:ind w:left="2422"/>
              <w:spacing w:after="0"/>
              <w:rPr>
                <w:sz w:val="20"/>
                <w:szCs w:val="20"/>
                <w:color w:val="auto"/>
              </w:rPr>
            </w:pPr>
            <w:r>
              <w:rPr>
                <w:rFonts w:ascii="Arial" w:cs="Arial" w:eastAsia="Arial" w:hAnsi="Arial"/>
                <w:sz w:val="16"/>
                <w:szCs w:val="16"/>
                <w:color w:val="auto"/>
                <w:w w:val="94"/>
              </w:rPr>
              <w:t>3x</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 compliance</w:t>
            </w:r>
          </w:p>
        </w:tc>
      </w:tr>
      <w:tr>
        <w:trPr>
          <w:trHeight w:val="236"/>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Jeffrey Shell</w:t>
            </w:r>
          </w:p>
        </w:tc>
        <w:tc>
          <w:tcPr>
            <w:tcW w:w="4740" w:type="dxa"/>
            <w:vAlign w:val="bottom"/>
            <w:tcBorders>
              <w:bottom w:val="single" w:sz="8" w:color="auto"/>
            </w:tcBorders>
          </w:tcPr>
          <w:p>
            <w:pPr>
              <w:jc w:val="center"/>
              <w:ind w:left="2422"/>
              <w:spacing w:after="0"/>
              <w:rPr>
                <w:sz w:val="20"/>
                <w:szCs w:val="20"/>
                <w:color w:val="auto"/>
              </w:rPr>
            </w:pPr>
            <w:r>
              <w:rPr>
                <w:rFonts w:ascii="Arial" w:cs="Arial" w:eastAsia="Arial" w:hAnsi="Arial"/>
                <w:sz w:val="16"/>
                <w:szCs w:val="16"/>
                <w:color w:val="auto"/>
                <w:w w:val="94"/>
              </w:rPr>
              <w:t>3x</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 compliance</w:t>
            </w:r>
          </w:p>
        </w:tc>
      </w:tr>
      <w:tr>
        <w:trPr>
          <w:trHeight w:val="237"/>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Dana Strong</w:t>
            </w:r>
          </w:p>
        </w:tc>
        <w:tc>
          <w:tcPr>
            <w:tcW w:w="4740" w:type="dxa"/>
            <w:vAlign w:val="bottom"/>
            <w:tcBorders>
              <w:bottom w:val="single" w:sz="8" w:color="auto"/>
            </w:tcBorders>
          </w:tcPr>
          <w:p>
            <w:pPr>
              <w:jc w:val="center"/>
              <w:ind w:left="2422"/>
              <w:spacing w:after="0"/>
              <w:rPr>
                <w:sz w:val="20"/>
                <w:szCs w:val="20"/>
                <w:color w:val="auto"/>
              </w:rPr>
            </w:pPr>
            <w:r>
              <w:rPr>
                <w:rFonts w:ascii="Arial" w:cs="Arial" w:eastAsia="Arial" w:hAnsi="Arial"/>
                <w:sz w:val="16"/>
                <w:szCs w:val="16"/>
                <w:color w:val="auto"/>
                <w:w w:val="94"/>
              </w:rPr>
              <w:t>3x</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 compliance</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“Ownership” includes (i) stock owned directly or indirectly, (ii) shares credited under our employee stock purchase plan, which must be held for one year from the date credited, and (iii) 60% of deferred vested shares, shares deemed invested in the company stock fund under our deferred compensation plans and the pre-tax net number of shares deliverable upon the exercise of vested stock options. There is a phase-in period of six years after the year in which an executive first becomes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subject to the policy to allow the executive to meet the full stock ownership requirement. If an executive is subject to a phase-in period, we consider them to be in compliance with the policy if they meet the reduced stock ownership requirements over time under such phase-in. In determining compliance, the Compensation and Human Capital Committee may consider any noncompliance that occurs solely or primarily from a decline in the market price of our stock. If an executive is not in compliance, he or she is prohibited from selling our stock (unless a hardship exemption is granted).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00A1DF"/>
        </w:rPr>
        <w:t>Policies Regarding Trading Activities and Prohibitions on Hedging and Pledging</w:t>
      </w:r>
    </w:p>
    <w:p>
      <w:pPr>
        <w:spacing w:after="0" w:line="239"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Our trading policy prohibits our executive officers, certain other high-level employees and directors from buying or selling any of our securities during specified blackout periods, and, when outside of those blackout periods, they may only buy or sell our securities with prior approval in accordance with internal procedures. This seeks to ensure that our executive officers and directors will not trade in our securities at a time when they are in possession of material, nonpublic information.</w:t>
      </w:r>
    </w:p>
    <w:p>
      <w:pPr>
        <w:spacing w:after="0" w:line="17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Our policies prohibit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00A1DF"/>
        </w:rPr>
        <w:t>No Automatic Payments in Connection with a Change in Control</w:t>
      </w:r>
    </w:p>
    <w:p>
      <w:pPr>
        <w:spacing w:after="0" w:line="23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and Human Capital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182"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and Human Capital Committee approved this provision as a fair and reasonable protection for our Chief Executive Officer in the event of a change in control.</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00A1DF"/>
        </w:rPr>
        <w:t>Payments in Connection with a Termination of Employment</w:t>
      </w:r>
    </w:p>
    <w:p>
      <w:pPr>
        <w:spacing w:after="0" w:line="23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Payments to our NEOs upon a termination of employment are described under the “Potential Payments upon Termination or Change in Control” table below. These compensation arrangements are contained in each NEO’s employment or other agreements and are not a factor in the Compensation and Human Capital Committee’s determination of current year compensation elements. These arrangements were arrived at as a result of arm’s-length negotiations in connection with entering into each such agreement, based on the Compensation and Human Capital Committee’s decision that it was appropriate to provide more favorable arrangements than those offered to nonexecutive employees upon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color w:val="00A1DF"/>
        </w:rPr>
        <w:t>Recoupment (or “Clawback”) Policy</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stock units (time- or performance-based) or other incentive-based compensation paid to such executive officer or former executive officer (and/or effect the cancellation of unvested stock units)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The Compensation and Human Capital Committee and the Governance and Corporate Responsibility Committee review this policy from time to time, and they will review it following the SEC’s adoption of a final rule under the Dodd-Frank Act regarding incentive-based compensation recoupment.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93"/>
        </w:trPr>
        <w:tc>
          <w:tcPr>
            <w:tcW w:w="10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00A1DF"/>
        </w:rPr>
        <w:t>Award Timing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annual equity incentive awards are granted in accordance with pre-established grant dates.</w:t>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00A1DF"/>
        </w:rPr>
        <w:t>Tax and Accounting Considerations</w:t>
      </w:r>
    </w:p>
    <w:p>
      <w:pPr>
        <w:spacing w:after="0" w:line="239"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The Compensation and Human Capital Committee considers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Compensation and Human Capital Committee has previously awarded, and continues to have the flexibility to award, compensation that is not tax deductible if it determines that such award is in our shareholders’ best interests.</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addition, the Internal Revenue Code limits the amount that companies can deduct for the personal use of Company-provided aircraft to the amount recognized as income by the executives who used the aircraft. In 2021, the total amount of our disallowed tax deduction resulting from the personal use of Company-provided aircraft by our NEOs and any guests was approximately $9.3 million.</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00A1DF"/>
        </w:rPr>
        <w:t>Other Considerations</w:t>
      </w:r>
    </w:p>
    <w:p>
      <w:pPr>
        <w:spacing w:after="0" w:line="23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Compensation and Human Capital Committee is aware that Mr. Roberts is our shareholder with the greatest beneficial voting power. The Compensation and Human Capital Committee maintains an objective stance toward Mr. Roberts’ compensation. The Compensation and Human Capital Committee uses the same methods, tools and processes to determine Mr. Roberts’ compensation as it does for our other NEOs.</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00A1DF"/>
        </w:rPr>
        <w:t>Compensation and Human Capital Committee Report</w:t>
      </w:r>
    </w:p>
    <w:p>
      <w:pPr>
        <w:spacing w:after="0" w:line="239"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the members of the Compensation and Human Capital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A1DF"/>
        </w:rPr>
        <w:t>Members of the Compensation and Human Capital Committee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Edward D. Breen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Gerald L. Hassell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C. Novak</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Executive Compensation Tables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NEOs are: our Chairman of the Board, President and Chief Executive Officer (Mr. Brian L. Roberts), our Chief Financial Officer (Mr. Michael J. Cavanagh) and our next three most highly compensated executive officers (Messrs. David N. Watson and Jeffrey Shell and Ms. Dana Strong). Information is presented only for 2020 and 2021 for Mr. Shell, who first became an NEO with respect to 2020, and only for 2021 for Ms. Strong, who first became an NEO with respect to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8"/>
              </w:rPr>
              <w:t>CHANGE IN</w:t>
            </w: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PENSION</w:t>
            </w:r>
          </w:p>
        </w:tc>
        <w:tc>
          <w:tcPr>
            <w:tcW w:w="1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AND</w:t>
            </w:r>
          </w:p>
        </w:tc>
        <w:tc>
          <w:tcPr>
            <w:tcW w:w="1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NON-EQUITY</w:t>
            </w: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EARNINGS ON</w:t>
            </w:r>
          </w:p>
        </w:tc>
        <w:tc>
          <w:tcPr>
            <w:tcW w:w="1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STOCK</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OPTION</w:t>
            </w:r>
          </w:p>
        </w:tc>
        <w:tc>
          <w:tcPr>
            <w:tcW w:w="1440" w:type="dxa"/>
            <w:vAlign w:val="bottom"/>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ALL OTHER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4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7"/>
              </w:rPr>
              <w:t>INCENTIVE PLAN</w:t>
            </w:r>
          </w:p>
        </w:tc>
        <w:tc>
          <w:tcPr>
            <w:tcW w:w="15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DEFERRED</w:t>
            </w:r>
          </w:p>
        </w:tc>
        <w:tc>
          <w:tcPr>
            <w:tcW w:w="15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NAME AND</w:t>
            </w:r>
          </w:p>
        </w:tc>
        <w:tc>
          <w:tcPr>
            <w:tcW w:w="4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88"/>
              </w:rPr>
              <w:t>YEAR</w:t>
            </w:r>
          </w:p>
        </w:tc>
        <w:tc>
          <w:tcPr>
            <w:tcW w:w="92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8"/>
              </w:rPr>
              <w:t>SALARY</w:t>
            </w:r>
            <w:r>
              <w:rPr>
                <w:rFonts w:ascii="Arial" w:cs="Arial" w:eastAsia="Arial" w:hAnsi="Arial"/>
                <w:sz w:val="19"/>
                <w:szCs w:val="19"/>
                <w:b w:val="1"/>
                <w:bCs w:val="1"/>
                <w:color w:val="auto"/>
                <w:w w:val="98"/>
                <w:vertAlign w:val="superscript"/>
              </w:rPr>
              <w:t>(1)</w:t>
            </w:r>
          </w:p>
        </w:tc>
        <w:tc>
          <w:tcPr>
            <w:tcW w:w="100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9"/>
                <w:szCs w:val="19"/>
                <w:b w:val="1"/>
                <w:bCs w:val="1"/>
                <w:color w:val="auto"/>
                <w:w w:val="97"/>
                <w:vertAlign w:val="superscript"/>
              </w:rPr>
              <w:t>(2)</w:t>
            </w:r>
          </w:p>
        </w:tc>
        <w:tc>
          <w:tcPr>
            <w:tcW w:w="96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9"/>
                <w:szCs w:val="19"/>
                <w:b w:val="1"/>
                <w:bCs w:val="1"/>
                <w:color w:val="auto"/>
                <w:w w:val="97"/>
                <w:vertAlign w:val="superscript"/>
              </w:rPr>
              <w:t>(3)</w:t>
            </w:r>
          </w:p>
        </w:tc>
        <w:tc>
          <w:tcPr>
            <w:tcW w:w="144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(4)</w:t>
            </w:r>
          </w:p>
        </w:tc>
        <w:tc>
          <w:tcPr>
            <w:tcW w:w="150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(5)</w:t>
            </w:r>
          </w:p>
        </w:tc>
        <w:tc>
          <w:tcPr>
            <w:tcW w:w="152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(6)</w:t>
            </w:r>
          </w:p>
        </w:tc>
        <w:tc>
          <w:tcPr>
            <w:tcW w:w="840" w:type="dxa"/>
            <w:vAlign w:val="bottom"/>
          </w:tcPr>
          <w:p>
            <w:pPr>
              <w:jc w:val="center"/>
              <w:ind w:left="73"/>
              <w:spacing w:after="0"/>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PRINCIPAL POSITION</w:t>
            </w:r>
          </w:p>
        </w:tc>
        <w:tc>
          <w:tcPr>
            <w:tcW w:w="4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w w:val="87"/>
              </w:rPr>
              <w:t>($)</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Brian L. Roberts</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2021</w:t>
            </w:r>
          </w:p>
        </w:tc>
        <w:tc>
          <w:tcPr>
            <w:tcW w:w="920" w:type="dxa"/>
            <w:vAlign w:val="bottom"/>
          </w:tcPr>
          <w:p>
            <w:pPr>
              <w:jc w:val="center"/>
              <w:spacing w:after="0"/>
              <w:rPr>
                <w:sz w:val="20"/>
                <w:szCs w:val="20"/>
                <w:color w:val="auto"/>
              </w:rPr>
            </w:pPr>
            <w:r>
              <w:rPr>
                <w:rFonts w:ascii="Arial" w:cs="Arial" w:eastAsia="Arial" w:hAnsi="Arial"/>
                <w:sz w:val="13"/>
                <w:szCs w:val="13"/>
                <w:color w:val="auto"/>
              </w:rPr>
              <w:t>3,249,415</w:t>
            </w:r>
          </w:p>
        </w:tc>
        <w:tc>
          <w:tcPr>
            <w:tcW w:w="1000" w:type="dxa"/>
            <w:vAlign w:val="bottom"/>
          </w:tcPr>
          <w:p>
            <w:pPr>
              <w:jc w:val="right"/>
              <w:ind w:right="94"/>
              <w:spacing w:after="0"/>
              <w:rPr>
                <w:sz w:val="20"/>
                <w:szCs w:val="20"/>
                <w:color w:val="auto"/>
              </w:rPr>
            </w:pPr>
            <w:r>
              <w:rPr>
                <w:rFonts w:ascii="Arial" w:cs="Arial" w:eastAsia="Arial" w:hAnsi="Arial"/>
                <w:sz w:val="13"/>
                <w:szCs w:val="13"/>
                <w:color w:val="auto"/>
              </w:rPr>
              <w:t>13,512,534</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8,475,488</w:t>
            </w:r>
          </w:p>
        </w:tc>
        <w:tc>
          <w:tcPr>
            <w:tcW w:w="1440" w:type="dxa"/>
            <w:vAlign w:val="bottom"/>
          </w:tcPr>
          <w:p>
            <w:pPr>
              <w:jc w:val="center"/>
              <w:spacing w:after="0"/>
              <w:rPr>
                <w:sz w:val="20"/>
                <w:szCs w:val="20"/>
                <w:color w:val="auto"/>
              </w:rPr>
            </w:pPr>
            <w:r>
              <w:rPr>
                <w:rFonts w:ascii="Arial" w:cs="Arial" w:eastAsia="Arial" w:hAnsi="Arial"/>
                <w:sz w:val="13"/>
                <w:szCs w:val="13"/>
                <w:color w:val="auto"/>
              </w:rPr>
              <w:t>8,625,586</w:t>
            </w:r>
          </w:p>
        </w:tc>
        <w:tc>
          <w:tcPr>
            <w:tcW w:w="1500" w:type="dxa"/>
            <w:vAlign w:val="bottom"/>
          </w:tcPr>
          <w:p>
            <w:pPr>
              <w:jc w:val="right"/>
              <w:ind w:right="314"/>
              <w:spacing w:after="0"/>
              <w:rPr>
                <w:sz w:val="20"/>
                <w:szCs w:val="20"/>
                <w:color w:val="auto"/>
              </w:rPr>
            </w:pPr>
            <w:r>
              <w:rPr>
                <w:rFonts w:ascii="Arial" w:cs="Arial" w:eastAsia="Arial" w:hAnsi="Arial"/>
                <w:sz w:val="13"/>
                <w:szCs w:val="13"/>
                <w:color w:val="auto"/>
              </w:rPr>
              <w:t>1,832</w:t>
            </w:r>
          </w:p>
        </w:tc>
        <w:tc>
          <w:tcPr>
            <w:tcW w:w="1520" w:type="dxa"/>
            <w:vAlign w:val="bottom"/>
          </w:tcPr>
          <w:p>
            <w:pPr>
              <w:jc w:val="right"/>
              <w:ind w:right="494"/>
              <w:spacing w:after="0"/>
              <w:rPr>
                <w:sz w:val="20"/>
                <w:szCs w:val="20"/>
                <w:color w:val="auto"/>
              </w:rPr>
            </w:pPr>
            <w:r>
              <w:rPr>
                <w:rFonts w:ascii="Arial" w:cs="Arial" w:eastAsia="Arial" w:hAnsi="Arial"/>
                <w:sz w:val="13"/>
                <w:szCs w:val="13"/>
                <w:color w:val="auto"/>
              </w:rPr>
              <w:t>113,726</w:t>
            </w:r>
          </w:p>
        </w:tc>
        <w:tc>
          <w:tcPr>
            <w:tcW w:w="840" w:type="dxa"/>
            <w:vAlign w:val="bottom"/>
          </w:tcPr>
          <w:p>
            <w:pPr>
              <w:jc w:val="center"/>
              <w:ind w:left="93"/>
              <w:spacing w:after="0"/>
              <w:rPr>
                <w:sz w:val="20"/>
                <w:szCs w:val="20"/>
                <w:color w:val="auto"/>
              </w:rPr>
            </w:pPr>
            <w:r>
              <w:rPr>
                <w:rFonts w:ascii="Arial" w:cs="Arial" w:eastAsia="Arial" w:hAnsi="Arial"/>
                <w:sz w:val="13"/>
                <w:szCs w:val="13"/>
                <w:color w:val="auto"/>
              </w:rPr>
              <w:t>33,978,581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520" w:type="dxa"/>
            <w:vAlign w:val="bottom"/>
            <w:vMerge w:val="restart"/>
          </w:tcPr>
          <w:p>
            <w:pPr>
              <w:ind w:left="60"/>
              <w:spacing w:after="0"/>
              <w:rPr>
                <w:sz w:val="20"/>
                <w:szCs w:val="20"/>
                <w:color w:val="auto"/>
              </w:rPr>
            </w:pPr>
            <w:r>
              <w:rPr>
                <w:rFonts w:ascii="Arial" w:cs="Arial" w:eastAsia="Arial" w:hAnsi="Arial"/>
                <w:sz w:val="13"/>
                <w:szCs w:val="13"/>
                <w:color w:val="auto"/>
              </w:rPr>
              <w:t>Chairman of the Board, President and</w:t>
            </w: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520" w:type="dxa"/>
            <w:vAlign w:val="bottom"/>
            <w:vMerge w:val="continue"/>
          </w:tcPr>
          <w:p>
            <w:pPr>
              <w:spacing w:after="0"/>
              <w:rPr>
                <w:sz w:val="7"/>
                <w:szCs w:val="7"/>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3"/>
                <w:szCs w:val="13"/>
                <w:color w:val="auto"/>
              </w:rPr>
              <w:t>2020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3,439,245</w:t>
            </w:r>
          </w:p>
        </w:tc>
        <w:tc>
          <w:tcPr>
            <w:tcW w:w="1000" w:type="dxa"/>
            <w:vAlign w:val="bottom"/>
            <w:vMerge w:val="restart"/>
          </w:tcPr>
          <w:p>
            <w:pPr>
              <w:jc w:val="right"/>
              <w:ind w:right="94"/>
              <w:spacing w:after="0"/>
              <w:rPr>
                <w:sz w:val="20"/>
                <w:szCs w:val="20"/>
                <w:color w:val="auto"/>
              </w:rPr>
            </w:pPr>
            <w:r>
              <w:rPr>
                <w:rFonts w:ascii="Arial" w:cs="Arial" w:eastAsia="Arial" w:hAnsi="Arial"/>
                <w:sz w:val="13"/>
                <w:szCs w:val="13"/>
                <w:color w:val="auto"/>
              </w:rPr>
              <w:t>10,585,278</w:t>
            </w:r>
          </w:p>
        </w:tc>
        <w:tc>
          <w:tcPr>
            <w:tcW w:w="960" w:type="dxa"/>
            <w:vAlign w:val="bottom"/>
            <w:vMerge w:val="restart"/>
          </w:tcPr>
          <w:p>
            <w:pPr>
              <w:jc w:val="right"/>
              <w:ind w:right="54"/>
              <w:spacing w:after="0"/>
              <w:rPr>
                <w:sz w:val="20"/>
                <w:szCs w:val="20"/>
                <w:color w:val="auto"/>
              </w:rPr>
            </w:pPr>
            <w:r>
              <w:rPr>
                <w:rFonts w:ascii="Arial" w:cs="Arial" w:eastAsia="Arial" w:hAnsi="Arial"/>
                <w:sz w:val="13"/>
                <w:szCs w:val="13"/>
                <w:color w:val="auto"/>
              </w:rPr>
              <w:t>10,600,149</w:t>
            </w:r>
          </w:p>
        </w:tc>
        <w:tc>
          <w:tcPr>
            <w:tcW w:w="1440" w:type="dxa"/>
            <w:vAlign w:val="bottom"/>
            <w:vMerge w:val="restart"/>
          </w:tcPr>
          <w:p>
            <w:pPr>
              <w:jc w:val="center"/>
              <w:spacing w:after="0"/>
              <w:rPr>
                <w:sz w:val="20"/>
                <w:szCs w:val="20"/>
                <w:color w:val="auto"/>
              </w:rPr>
            </w:pPr>
            <w:r>
              <w:rPr>
                <w:rFonts w:ascii="Arial" w:cs="Arial" w:eastAsia="Arial" w:hAnsi="Arial"/>
                <w:sz w:val="13"/>
                <w:szCs w:val="13"/>
                <w:color w:val="auto"/>
              </w:rPr>
              <w:t>7,738,302</w:t>
            </w:r>
          </w:p>
        </w:tc>
        <w:tc>
          <w:tcPr>
            <w:tcW w:w="1500" w:type="dxa"/>
            <w:vAlign w:val="bottom"/>
            <w:vMerge w:val="restart"/>
          </w:tcPr>
          <w:p>
            <w:pPr>
              <w:jc w:val="right"/>
              <w:ind w:right="314"/>
              <w:spacing w:after="0"/>
              <w:rPr>
                <w:sz w:val="20"/>
                <w:szCs w:val="20"/>
                <w:color w:val="auto"/>
              </w:rPr>
            </w:pPr>
            <w:r>
              <w:rPr>
                <w:rFonts w:ascii="Arial" w:cs="Arial" w:eastAsia="Arial" w:hAnsi="Arial"/>
                <w:sz w:val="13"/>
                <w:szCs w:val="13"/>
                <w:color w:val="auto"/>
              </w:rPr>
              <w:t>150,134</w:t>
            </w:r>
          </w:p>
        </w:tc>
        <w:tc>
          <w:tcPr>
            <w:tcW w:w="1520" w:type="dxa"/>
            <w:vAlign w:val="bottom"/>
            <w:vMerge w:val="restart"/>
          </w:tcPr>
          <w:p>
            <w:pPr>
              <w:jc w:val="right"/>
              <w:ind w:right="494"/>
              <w:spacing w:after="0"/>
              <w:rPr>
                <w:sz w:val="20"/>
                <w:szCs w:val="20"/>
                <w:color w:val="auto"/>
              </w:rPr>
            </w:pPr>
            <w:r>
              <w:rPr>
                <w:rFonts w:ascii="Arial" w:cs="Arial" w:eastAsia="Arial" w:hAnsi="Arial"/>
                <w:sz w:val="13"/>
                <w:szCs w:val="13"/>
                <w:color w:val="auto"/>
              </w:rPr>
              <w:t>200,159</w:t>
            </w:r>
          </w:p>
        </w:tc>
        <w:tc>
          <w:tcPr>
            <w:tcW w:w="840" w:type="dxa"/>
            <w:vAlign w:val="bottom"/>
            <w:vMerge w:val="restart"/>
          </w:tcPr>
          <w:p>
            <w:pPr>
              <w:jc w:val="center"/>
              <w:ind w:left="93"/>
              <w:spacing w:after="0"/>
              <w:rPr>
                <w:sz w:val="20"/>
                <w:szCs w:val="20"/>
                <w:color w:val="auto"/>
              </w:rPr>
            </w:pPr>
            <w:r>
              <w:rPr>
                <w:rFonts w:ascii="Arial" w:cs="Arial" w:eastAsia="Arial" w:hAnsi="Arial"/>
                <w:sz w:val="13"/>
                <w:szCs w:val="13"/>
                <w:color w:val="auto"/>
              </w:rPr>
              <w:t>32,713,267</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20" w:type="dxa"/>
            <w:vAlign w:val="bottom"/>
            <w:vMerge w:val="restart"/>
          </w:tcPr>
          <w:p>
            <w:pPr>
              <w:ind w:left="60"/>
              <w:spacing w:after="0"/>
              <w:rPr>
                <w:sz w:val="20"/>
                <w:szCs w:val="20"/>
                <w:color w:val="auto"/>
              </w:rPr>
            </w:pPr>
            <w:r>
              <w:rPr>
                <w:rFonts w:ascii="Arial" w:cs="Arial" w:eastAsia="Arial" w:hAnsi="Arial"/>
                <w:sz w:val="13"/>
                <w:szCs w:val="13"/>
                <w:color w:val="auto"/>
              </w:rPr>
              <w:t>Chief Executive Officer</w:t>
            </w:r>
          </w:p>
        </w:tc>
        <w:tc>
          <w:tcPr>
            <w:tcW w:w="48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520" w:type="dxa"/>
            <w:vAlign w:val="bottom"/>
            <w:vMerge w:val="continue"/>
          </w:tcPr>
          <w:p>
            <w:pPr>
              <w:spacing w:after="0"/>
              <w:rPr>
                <w:sz w:val="4"/>
                <w:szCs w:val="4"/>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3"/>
                <w:szCs w:val="13"/>
                <w:color w:val="auto"/>
              </w:rPr>
              <w:t>2019</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3,291,832</w:t>
            </w:r>
          </w:p>
        </w:tc>
        <w:tc>
          <w:tcPr>
            <w:tcW w:w="1000" w:type="dxa"/>
            <w:vAlign w:val="bottom"/>
            <w:vMerge w:val="restart"/>
          </w:tcPr>
          <w:p>
            <w:pPr>
              <w:jc w:val="right"/>
              <w:ind w:right="94"/>
              <w:spacing w:after="0"/>
              <w:rPr>
                <w:sz w:val="20"/>
                <w:szCs w:val="20"/>
                <w:color w:val="auto"/>
              </w:rPr>
            </w:pPr>
            <w:r>
              <w:rPr>
                <w:rFonts w:ascii="Arial" w:cs="Arial" w:eastAsia="Arial" w:hAnsi="Arial"/>
                <w:sz w:val="13"/>
                <w:szCs w:val="13"/>
                <w:color w:val="auto"/>
              </w:rPr>
              <w:t>5,330,304</w:t>
            </w:r>
          </w:p>
        </w:tc>
        <w:tc>
          <w:tcPr>
            <w:tcW w:w="960" w:type="dxa"/>
            <w:vAlign w:val="bottom"/>
            <w:vMerge w:val="restart"/>
          </w:tcPr>
          <w:p>
            <w:pPr>
              <w:jc w:val="right"/>
              <w:ind w:right="54"/>
              <w:spacing w:after="0"/>
              <w:rPr>
                <w:sz w:val="20"/>
                <w:szCs w:val="20"/>
                <w:color w:val="auto"/>
              </w:rPr>
            </w:pPr>
            <w:r>
              <w:rPr>
                <w:rFonts w:ascii="Arial" w:cs="Arial" w:eastAsia="Arial" w:hAnsi="Arial"/>
                <w:sz w:val="13"/>
                <w:szCs w:val="13"/>
                <w:color w:val="auto"/>
              </w:rPr>
              <w:t>5,350,324</w:t>
            </w:r>
          </w:p>
        </w:tc>
        <w:tc>
          <w:tcPr>
            <w:tcW w:w="1440" w:type="dxa"/>
            <w:vAlign w:val="bottom"/>
            <w:vMerge w:val="restart"/>
          </w:tcPr>
          <w:p>
            <w:pPr>
              <w:jc w:val="center"/>
              <w:spacing w:after="0"/>
              <w:rPr>
                <w:sz w:val="20"/>
                <w:szCs w:val="20"/>
                <w:color w:val="auto"/>
              </w:rPr>
            </w:pPr>
            <w:r>
              <w:rPr>
                <w:rFonts w:ascii="Arial" w:cs="Arial" w:eastAsia="Arial" w:hAnsi="Arial"/>
                <w:sz w:val="13"/>
                <w:szCs w:val="13"/>
                <w:color w:val="auto"/>
              </w:rPr>
              <w:t>9,974,249</w:t>
            </w:r>
          </w:p>
        </w:tc>
        <w:tc>
          <w:tcPr>
            <w:tcW w:w="1500" w:type="dxa"/>
            <w:vAlign w:val="bottom"/>
            <w:vMerge w:val="restart"/>
          </w:tcPr>
          <w:p>
            <w:pPr>
              <w:jc w:val="right"/>
              <w:ind w:right="314"/>
              <w:spacing w:after="0"/>
              <w:rPr>
                <w:sz w:val="20"/>
                <w:szCs w:val="20"/>
                <w:color w:val="auto"/>
              </w:rPr>
            </w:pPr>
            <w:r>
              <w:rPr>
                <w:rFonts w:ascii="Arial" w:cs="Arial" w:eastAsia="Arial" w:hAnsi="Arial"/>
                <w:sz w:val="13"/>
                <w:szCs w:val="13"/>
                <w:color w:val="auto"/>
              </w:rPr>
              <w:t>7,560,231</w:t>
            </w:r>
          </w:p>
        </w:tc>
        <w:tc>
          <w:tcPr>
            <w:tcW w:w="1520" w:type="dxa"/>
            <w:vAlign w:val="bottom"/>
            <w:vMerge w:val="restart"/>
          </w:tcPr>
          <w:p>
            <w:pPr>
              <w:jc w:val="right"/>
              <w:ind w:right="494"/>
              <w:spacing w:after="0"/>
              <w:rPr>
                <w:sz w:val="20"/>
                <w:szCs w:val="20"/>
                <w:color w:val="auto"/>
              </w:rPr>
            </w:pPr>
            <w:r>
              <w:rPr>
                <w:rFonts w:ascii="Arial" w:cs="Arial" w:eastAsia="Arial" w:hAnsi="Arial"/>
                <w:sz w:val="13"/>
                <w:szCs w:val="13"/>
                <w:color w:val="auto"/>
              </w:rPr>
              <w:t>4,863,243</w:t>
            </w:r>
          </w:p>
        </w:tc>
        <w:tc>
          <w:tcPr>
            <w:tcW w:w="840" w:type="dxa"/>
            <w:vAlign w:val="bottom"/>
            <w:vMerge w:val="restart"/>
          </w:tcPr>
          <w:p>
            <w:pPr>
              <w:jc w:val="center"/>
              <w:ind w:left="93"/>
              <w:spacing w:after="0"/>
              <w:rPr>
                <w:sz w:val="20"/>
                <w:szCs w:val="20"/>
                <w:color w:val="auto"/>
              </w:rPr>
            </w:pPr>
            <w:r>
              <w:rPr>
                <w:rFonts w:ascii="Arial" w:cs="Arial" w:eastAsia="Arial" w:hAnsi="Arial"/>
                <w:sz w:val="13"/>
                <w:szCs w:val="13"/>
                <w:color w:val="auto"/>
              </w:rPr>
              <w:t>36,370,183</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Michael J. Cavanagh</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2021</w:t>
            </w:r>
          </w:p>
        </w:tc>
        <w:tc>
          <w:tcPr>
            <w:tcW w:w="920" w:type="dxa"/>
            <w:vAlign w:val="bottom"/>
          </w:tcPr>
          <w:p>
            <w:pPr>
              <w:jc w:val="center"/>
              <w:spacing w:after="0"/>
              <w:rPr>
                <w:sz w:val="20"/>
                <w:szCs w:val="20"/>
                <w:color w:val="auto"/>
              </w:rPr>
            </w:pPr>
            <w:r>
              <w:rPr>
                <w:rFonts w:ascii="Arial" w:cs="Arial" w:eastAsia="Arial" w:hAnsi="Arial"/>
                <w:sz w:val="13"/>
                <w:szCs w:val="13"/>
                <w:color w:val="auto"/>
              </w:rPr>
              <w:t>2,300,000</w:t>
            </w:r>
          </w:p>
        </w:tc>
        <w:tc>
          <w:tcPr>
            <w:tcW w:w="1000" w:type="dxa"/>
            <w:vAlign w:val="bottom"/>
          </w:tcPr>
          <w:p>
            <w:pPr>
              <w:jc w:val="right"/>
              <w:ind w:right="94"/>
              <w:spacing w:after="0"/>
              <w:rPr>
                <w:sz w:val="20"/>
                <w:szCs w:val="20"/>
                <w:color w:val="auto"/>
              </w:rPr>
            </w:pPr>
            <w:r>
              <w:rPr>
                <w:rFonts w:ascii="Arial" w:cs="Arial" w:eastAsia="Arial" w:hAnsi="Arial"/>
                <w:sz w:val="13"/>
                <w:szCs w:val="13"/>
                <w:color w:val="auto"/>
              </w:rPr>
              <w:t>10,072,244</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6,315,164</w:t>
            </w:r>
          </w:p>
        </w:tc>
        <w:tc>
          <w:tcPr>
            <w:tcW w:w="1440" w:type="dxa"/>
            <w:vAlign w:val="bottom"/>
          </w:tcPr>
          <w:p>
            <w:pPr>
              <w:jc w:val="center"/>
              <w:spacing w:after="0"/>
              <w:rPr>
                <w:sz w:val="20"/>
                <w:szCs w:val="20"/>
                <w:color w:val="auto"/>
              </w:rPr>
            </w:pPr>
            <w:r>
              <w:rPr>
                <w:rFonts w:ascii="Arial" w:cs="Arial" w:eastAsia="Arial" w:hAnsi="Arial"/>
                <w:sz w:val="13"/>
                <w:szCs w:val="13"/>
                <w:color w:val="auto"/>
              </w:rPr>
              <w:t>8,625,001</w:t>
            </w:r>
          </w:p>
        </w:tc>
        <w:tc>
          <w:tcPr>
            <w:tcW w:w="1500" w:type="dxa"/>
            <w:vAlign w:val="bottom"/>
          </w:tcPr>
          <w:p>
            <w:pPr>
              <w:jc w:val="right"/>
              <w:ind w:right="314"/>
              <w:spacing w:after="0"/>
              <w:rPr>
                <w:sz w:val="20"/>
                <w:szCs w:val="20"/>
                <w:color w:val="auto"/>
              </w:rPr>
            </w:pPr>
            <w:r>
              <w:rPr>
                <w:rFonts w:ascii="Arial" w:cs="Arial" w:eastAsia="Arial" w:hAnsi="Arial"/>
                <w:sz w:val="13"/>
                <w:szCs w:val="13"/>
                <w:color w:val="auto"/>
              </w:rPr>
              <w:t>0</w:t>
            </w:r>
          </w:p>
        </w:tc>
        <w:tc>
          <w:tcPr>
            <w:tcW w:w="1520" w:type="dxa"/>
            <w:vAlign w:val="bottom"/>
          </w:tcPr>
          <w:p>
            <w:pPr>
              <w:jc w:val="right"/>
              <w:ind w:right="494"/>
              <w:spacing w:after="0"/>
              <w:rPr>
                <w:sz w:val="20"/>
                <w:szCs w:val="20"/>
                <w:color w:val="auto"/>
              </w:rPr>
            </w:pPr>
            <w:r>
              <w:rPr>
                <w:rFonts w:ascii="Arial" w:cs="Arial" w:eastAsia="Arial" w:hAnsi="Arial"/>
                <w:sz w:val="13"/>
                <w:szCs w:val="13"/>
                <w:color w:val="auto"/>
              </w:rPr>
              <w:t>44,587</w:t>
            </w:r>
          </w:p>
        </w:tc>
        <w:tc>
          <w:tcPr>
            <w:tcW w:w="840" w:type="dxa"/>
            <w:vAlign w:val="bottom"/>
          </w:tcPr>
          <w:p>
            <w:pPr>
              <w:jc w:val="center"/>
              <w:ind w:left="93"/>
              <w:spacing w:after="0"/>
              <w:rPr>
                <w:sz w:val="20"/>
                <w:szCs w:val="20"/>
                <w:color w:val="auto"/>
              </w:rPr>
            </w:pPr>
            <w:r>
              <w:rPr>
                <w:rFonts w:ascii="Arial" w:cs="Arial" w:eastAsia="Arial" w:hAnsi="Arial"/>
                <w:sz w:val="13"/>
                <w:szCs w:val="13"/>
                <w:color w:val="auto"/>
              </w:rPr>
              <w:t>27,356,996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520" w:type="dxa"/>
            <w:vAlign w:val="bottom"/>
            <w:vMerge w:val="restart"/>
          </w:tcPr>
          <w:p>
            <w:pPr>
              <w:ind w:left="60"/>
              <w:spacing w:after="0"/>
              <w:rPr>
                <w:sz w:val="20"/>
                <w:szCs w:val="20"/>
                <w:color w:val="auto"/>
              </w:rPr>
            </w:pPr>
            <w:r>
              <w:rPr>
                <w:rFonts w:ascii="Arial" w:cs="Arial" w:eastAsia="Arial" w:hAnsi="Arial"/>
                <w:sz w:val="13"/>
                <w:szCs w:val="13"/>
                <w:color w:val="auto"/>
              </w:rPr>
              <w:t>Chief Financial Officer</w:t>
            </w: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520" w:type="dxa"/>
            <w:vAlign w:val="bottom"/>
            <w:vMerge w:val="continue"/>
          </w:tcPr>
          <w:p>
            <w:pPr>
              <w:spacing w:after="0"/>
              <w:rPr>
                <w:sz w:val="10"/>
                <w:szCs w:val="10"/>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3"/>
                <w:szCs w:val="13"/>
                <w:color w:val="auto"/>
              </w:rPr>
              <w:t>2020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2,388,462</w:t>
            </w:r>
          </w:p>
        </w:tc>
        <w:tc>
          <w:tcPr>
            <w:tcW w:w="1000" w:type="dxa"/>
            <w:vAlign w:val="bottom"/>
            <w:vMerge w:val="restart"/>
          </w:tcPr>
          <w:p>
            <w:pPr>
              <w:jc w:val="right"/>
              <w:ind w:right="94"/>
              <w:spacing w:after="0"/>
              <w:rPr>
                <w:sz w:val="20"/>
                <w:szCs w:val="20"/>
                <w:color w:val="auto"/>
              </w:rPr>
            </w:pPr>
            <w:r>
              <w:rPr>
                <w:rFonts w:ascii="Arial" w:cs="Arial" w:eastAsia="Arial" w:hAnsi="Arial"/>
                <w:sz w:val="13"/>
                <w:szCs w:val="13"/>
                <w:color w:val="auto"/>
              </w:rPr>
              <w:t>7,039,868</w:t>
            </w:r>
          </w:p>
        </w:tc>
        <w:tc>
          <w:tcPr>
            <w:tcW w:w="960" w:type="dxa"/>
            <w:vAlign w:val="bottom"/>
            <w:vMerge w:val="restart"/>
          </w:tcPr>
          <w:p>
            <w:pPr>
              <w:jc w:val="right"/>
              <w:ind w:right="54"/>
              <w:spacing w:after="0"/>
              <w:rPr>
                <w:sz w:val="20"/>
                <w:szCs w:val="20"/>
                <w:color w:val="auto"/>
              </w:rPr>
            </w:pPr>
            <w:r>
              <w:rPr>
                <w:rFonts w:ascii="Arial" w:cs="Arial" w:eastAsia="Arial" w:hAnsi="Arial"/>
                <w:sz w:val="13"/>
                <w:szCs w:val="13"/>
                <w:color w:val="auto"/>
              </w:rPr>
              <w:t>7,050,441</w:t>
            </w:r>
          </w:p>
        </w:tc>
        <w:tc>
          <w:tcPr>
            <w:tcW w:w="1440" w:type="dxa"/>
            <w:vAlign w:val="bottom"/>
            <w:vMerge w:val="restart"/>
          </w:tcPr>
          <w:p>
            <w:pPr>
              <w:jc w:val="center"/>
              <w:spacing w:after="0"/>
              <w:rPr>
                <w:sz w:val="20"/>
                <w:szCs w:val="20"/>
                <w:color w:val="auto"/>
              </w:rPr>
            </w:pPr>
            <w:r>
              <w:rPr>
                <w:rFonts w:ascii="Arial" w:cs="Arial" w:eastAsia="Arial" w:hAnsi="Arial"/>
                <w:sz w:val="13"/>
                <w:szCs w:val="13"/>
                <w:color w:val="auto"/>
              </w:rPr>
              <w:t>5,374,039</w:t>
            </w:r>
          </w:p>
        </w:tc>
        <w:tc>
          <w:tcPr>
            <w:tcW w:w="1500" w:type="dxa"/>
            <w:vAlign w:val="bottom"/>
            <w:vMerge w:val="restart"/>
          </w:tcPr>
          <w:p>
            <w:pPr>
              <w:jc w:val="right"/>
              <w:ind w:right="314"/>
              <w:spacing w:after="0"/>
              <w:rPr>
                <w:sz w:val="20"/>
                <w:szCs w:val="20"/>
                <w:color w:val="auto"/>
              </w:rPr>
            </w:pPr>
            <w:r>
              <w:rPr>
                <w:rFonts w:ascii="Arial" w:cs="Arial" w:eastAsia="Arial" w:hAnsi="Arial"/>
                <w:sz w:val="13"/>
                <w:szCs w:val="13"/>
                <w:color w:val="auto"/>
              </w:rPr>
              <w:t>3,335,892</w:t>
            </w:r>
          </w:p>
        </w:tc>
        <w:tc>
          <w:tcPr>
            <w:tcW w:w="1520" w:type="dxa"/>
            <w:vAlign w:val="bottom"/>
            <w:vMerge w:val="restart"/>
          </w:tcPr>
          <w:p>
            <w:pPr>
              <w:jc w:val="right"/>
              <w:ind w:right="494"/>
              <w:spacing w:after="0"/>
              <w:rPr>
                <w:sz w:val="20"/>
                <w:szCs w:val="20"/>
                <w:color w:val="auto"/>
              </w:rPr>
            </w:pPr>
            <w:r>
              <w:rPr>
                <w:rFonts w:ascii="Arial" w:cs="Arial" w:eastAsia="Arial" w:hAnsi="Arial"/>
                <w:sz w:val="13"/>
                <w:szCs w:val="13"/>
                <w:color w:val="auto"/>
              </w:rPr>
              <w:t>62,088</w:t>
            </w:r>
          </w:p>
        </w:tc>
        <w:tc>
          <w:tcPr>
            <w:tcW w:w="840" w:type="dxa"/>
            <w:vAlign w:val="bottom"/>
            <w:vMerge w:val="restart"/>
          </w:tcPr>
          <w:p>
            <w:pPr>
              <w:jc w:val="center"/>
              <w:ind w:left="93"/>
              <w:spacing w:after="0"/>
              <w:rPr>
                <w:sz w:val="20"/>
                <w:szCs w:val="20"/>
                <w:color w:val="auto"/>
              </w:rPr>
            </w:pPr>
            <w:r>
              <w:rPr>
                <w:rFonts w:ascii="Arial" w:cs="Arial" w:eastAsia="Arial" w:hAnsi="Arial"/>
                <w:sz w:val="13"/>
                <w:szCs w:val="13"/>
                <w:color w:val="auto"/>
              </w:rPr>
              <w:t>25,250,790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2019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2,285,908</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6,725,376</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4,749,955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6,926,300</w:t>
            </w: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3,831,120</w:t>
            </w:r>
          </w:p>
        </w:tc>
        <w:tc>
          <w:tcPr>
            <w:tcW w:w="15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2,280,818</w:t>
            </w: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26,799,477</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David N. Watson</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2021</w:t>
            </w:r>
          </w:p>
        </w:tc>
        <w:tc>
          <w:tcPr>
            <w:tcW w:w="920" w:type="dxa"/>
            <w:vAlign w:val="bottom"/>
          </w:tcPr>
          <w:p>
            <w:pPr>
              <w:jc w:val="center"/>
              <w:spacing w:after="0"/>
              <w:rPr>
                <w:sz w:val="20"/>
                <w:szCs w:val="20"/>
                <w:color w:val="auto"/>
              </w:rPr>
            </w:pPr>
            <w:r>
              <w:rPr>
                <w:rFonts w:ascii="Arial" w:cs="Arial" w:eastAsia="Arial" w:hAnsi="Arial"/>
                <w:sz w:val="13"/>
                <w:szCs w:val="13"/>
                <w:color w:val="auto"/>
              </w:rPr>
              <w:t>2,248,077</w:t>
            </w:r>
          </w:p>
        </w:tc>
        <w:tc>
          <w:tcPr>
            <w:tcW w:w="1000" w:type="dxa"/>
            <w:vAlign w:val="bottom"/>
          </w:tcPr>
          <w:p>
            <w:pPr>
              <w:jc w:val="right"/>
              <w:ind w:right="94"/>
              <w:spacing w:after="0"/>
              <w:rPr>
                <w:sz w:val="20"/>
                <w:szCs w:val="20"/>
                <w:color w:val="auto"/>
              </w:rPr>
            </w:pPr>
            <w:r>
              <w:rPr>
                <w:rFonts w:ascii="Arial" w:cs="Arial" w:eastAsia="Arial" w:hAnsi="Arial"/>
                <w:sz w:val="13"/>
                <w:szCs w:val="13"/>
                <w:color w:val="auto"/>
              </w:rPr>
              <w:t>6,695,556</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4,195,328</w:t>
            </w:r>
          </w:p>
        </w:tc>
        <w:tc>
          <w:tcPr>
            <w:tcW w:w="1440" w:type="dxa"/>
            <w:vAlign w:val="bottom"/>
          </w:tcPr>
          <w:p>
            <w:pPr>
              <w:jc w:val="center"/>
              <w:spacing w:after="0"/>
              <w:rPr>
                <w:sz w:val="20"/>
                <w:szCs w:val="20"/>
                <w:color w:val="auto"/>
              </w:rPr>
            </w:pPr>
            <w:r>
              <w:rPr>
                <w:rFonts w:ascii="Arial" w:cs="Arial" w:eastAsia="Arial" w:hAnsi="Arial"/>
                <w:sz w:val="13"/>
                <w:szCs w:val="13"/>
                <w:color w:val="auto"/>
              </w:rPr>
              <w:t>8,969,828</w:t>
            </w:r>
          </w:p>
        </w:tc>
        <w:tc>
          <w:tcPr>
            <w:tcW w:w="1500" w:type="dxa"/>
            <w:vAlign w:val="bottom"/>
          </w:tcPr>
          <w:p>
            <w:pPr>
              <w:jc w:val="right"/>
              <w:ind w:right="314"/>
              <w:spacing w:after="0"/>
              <w:rPr>
                <w:sz w:val="20"/>
                <w:szCs w:val="20"/>
                <w:color w:val="auto"/>
              </w:rPr>
            </w:pPr>
            <w:r>
              <w:rPr>
                <w:rFonts w:ascii="Arial" w:cs="Arial" w:eastAsia="Arial" w:hAnsi="Arial"/>
                <w:sz w:val="13"/>
                <w:szCs w:val="13"/>
                <w:color w:val="auto"/>
              </w:rPr>
              <w:t>565,527</w:t>
            </w:r>
          </w:p>
        </w:tc>
        <w:tc>
          <w:tcPr>
            <w:tcW w:w="1520" w:type="dxa"/>
            <w:vAlign w:val="bottom"/>
          </w:tcPr>
          <w:p>
            <w:pPr>
              <w:jc w:val="right"/>
              <w:ind w:right="494"/>
              <w:spacing w:after="0"/>
              <w:rPr>
                <w:sz w:val="20"/>
                <w:szCs w:val="20"/>
                <w:color w:val="auto"/>
              </w:rPr>
            </w:pPr>
            <w:r>
              <w:rPr>
                <w:rFonts w:ascii="Arial" w:cs="Arial" w:eastAsia="Arial" w:hAnsi="Arial"/>
                <w:sz w:val="13"/>
                <w:szCs w:val="13"/>
                <w:color w:val="auto"/>
              </w:rPr>
              <w:t>57,625</w:t>
            </w:r>
          </w:p>
        </w:tc>
        <w:tc>
          <w:tcPr>
            <w:tcW w:w="840" w:type="dxa"/>
            <w:vAlign w:val="bottom"/>
          </w:tcPr>
          <w:p>
            <w:pPr>
              <w:jc w:val="center"/>
              <w:ind w:left="93"/>
              <w:spacing w:after="0"/>
              <w:rPr>
                <w:sz w:val="20"/>
                <w:szCs w:val="20"/>
                <w:color w:val="auto"/>
              </w:rPr>
            </w:pPr>
            <w:r>
              <w:rPr>
                <w:rFonts w:ascii="Arial" w:cs="Arial" w:eastAsia="Arial" w:hAnsi="Arial"/>
                <w:sz w:val="13"/>
                <w:szCs w:val="13"/>
                <w:color w:val="auto"/>
              </w:rPr>
              <w:t>22,731,941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520" w:type="dxa"/>
            <w:vAlign w:val="bottom"/>
            <w:vMerge w:val="restart"/>
          </w:tcPr>
          <w:p>
            <w:pPr>
              <w:ind w:left="60"/>
              <w:spacing w:after="0"/>
              <w:rPr>
                <w:sz w:val="20"/>
                <w:szCs w:val="20"/>
                <w:color w:val="auto"/>
              </w:rPr>
            </w:pPr>
            <w:r>
              <w:rPr>
                <w:rFonts w:ascii="Arial" w:cs="Arial" w:eastAsia="Arial" w:hAnsi="Arial"/>
                <w:sz w:val="13"/>
                <w:szCs w:val="13"/>
                <w:color w:val="auto"/>
              </w:rPr>
              <w:t>CEO of Comcast Cable</w:t>
            </w: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520" w:type="dxa"/>
            <w:vAlign w:val="bottom"/>
            <w:vMerge w:val="continue"/>
          </w:tcPr>
          <w:p>
            <w:pPr>
              <w:spacing w:after="0"/>
              <w:rPr>
                <w:sz w:val="10"/>
                <w:szCs w:val="10"/>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3"/>
                <w:szCs w:val="13"/>
                <w:color w:val="auto"/>
              </w:rPr>
              <w:t>2020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2,039,794</w:t>
            </w:r>
          </w:p>
        </w:tc>
        <w:tc>
          <w:tcPr>
            <w:tcW w:w="1000" w:type="dxa"/>
            <w:vAlign w:val="bottom"/>
            <w:vMerge w:val="restart"/>
          </w:tcPr>
          <w:p>
            <w:pPr>
              <w:jc w:val="right"/>
              <w:ind w:right="94"/>
              <w:spacing w:after="0"/>
              <w:rPr>
                <w:sz w:val="20"/>
                <w:szCs w:val="20"/>
                <w:color w:val="auto"/>
              </w:rPr>
            </w:pPr>
            <w:r>
              <w:rPr>
                <w:rFonts w:ascii="Arial" w:cs="Arial" w:eastAsia="Arial" w:hAnsi="Arial"/>
                <w:sz w:val="13"/>
                <w:szCs w:val="13"/>
                <w:color w:val="auto"/>
              </w:rPr>
              <w:t>4,195,048</w:t>
            </w:r>
          </w:p>
        </w:tc>
        <w:tc>
          <w:tcPr>
            <w:tcW w:w="960" w:type="dxa"/>
            <w:vAlign w:val="bottom"/>
            <w:vMerge w:val="restart"/>
          </w:tcPr>
          <w:p>
            <w:pPr>
              <w:jc w:val="right"/>
              <w:ind w:right="54"/>
              <w:spacing w:after="0"/>
              <w:rPr>
                <w:sz w:val="20"/>
                <w:szCs w:val="20"/>
                <w:color w:val="auto"/>
              </w:rPr>
            </w:pPr>
            <w:r>
              <w:rPr>
                <w:rFonts w:ascii="Arial" w:cs="Arial" w:eastAsia="Arial" w:hAnsi="Arial"/>
                <w:sz w:val="13"/>
                <w:szCs w:val="13"/>
                <w:color w:val="auto"/>
              </w:rPr>
              <w:t>4,199,443</w:t>
            </w:r>
          </w:p>
        </w:tc>
        <w:tc>
          <w:tcPr>
            <w:tcW w:w="1440" w:type="dxa"/>
            <w:vAlign w:val="bottom"/>
            <w:vMerge w:val="restart"/>
          </w:tcPr>
          <w:p>
            <w:pPr>
              <w:jc w:val="center"/>
              <w:spacing w:after="0"/>
              <w:rPr>
                <w:sz w:val="20"/>
                <w:szCs w:val="20"/>
                <w:color w:val="auto"/>
              </w:rPr>
            </w:pPr>
            <w:r>
              <w:rPr>
                <w:rFonts w:ascii="Arial" w:cs="Arial" w:eastAsia="Arial" w:hAnsi="Arial"/>
                <w:sz w:val="13"/>
                <w:szCs w:val="13"/>
                <w:color w:val="auto"/>
              </w:rPr>
              <w:t>5,943,952</w:t>
            </w:r>
          </w:p>
        </w:tc>
        <w:tc>
          <w:tcPr>
            <w:tcW w:w="1500" w:type="dxa"/>
            <w:vAlign w:val="bottom"/>
            <w:vMerge w:val="restart"/>
          </w:tcPr>
          <w:p>
            <w:pPr>
              <w:jc w:val="right"/>
              <w:ind w:right="314"/>
              <w:spacing w:after="0"/>
              <w:rPr>
                <w:sz w:val="20"/>
                <w:szCs w:val="20"/>
                <w:color w:val="auto"/>
              </w:rPr>
            </w:pPr>
            <w:r>
              <w:rPr>
                <w:rFonts w:ascii="Arial" w:cs="Arial" w:eastAsia="Arial" w:hAnsi="Arial"/>
                <w:sz w:val="13"/>
                <w:szCs w:val="13"/>
                <w:color w:val="auto"/>
              </w:rPr>
              <w:t>3,285,243</w:t>
            </w:r>
          </w:p>
        </w:tc>
        <w:tc>
          <w:tcPr>
            <w:tcW w:w="1520" w:type="dxa"/>
            <w:vAlign w:val="bottom"/>
            <w:vMerge w:val="restart"/>
          </w:tcPr>
          <w:p>
            <w:pPr>
              <w:jc w:val="right"/>
              <w:ind w:right="494"/>
              <w:spacing w:after="0"/>
              <w:rPr>
                <w:sz w:val="20"/>
                <w:szCs w:val="20"/>
                <w:color w:val="auto"/>
              </w:rPr>
            </w:pPr>
            <w:r>
              <w:rPr>
                <w:rFonts w:ascii="Arial" w:cs="Arial" w:eastAsia="Arial" w:hAnsi="Arial"/>
                <w:sz w:val="13"/>
                <w:szCs w:val="13"/>
                <w:color w:val="auto"/>
              </w:rPr>
              <w:t>25,651</w:t>
            </w:r>
          </w:p>
        </w:tc>
        <w:tc>
          <w:tcPr>
            <w:tcW w:w="840" w:type="dxa"/>
            <w:vAlign w:val="bottom"/>
            <w:vMerge w:val="restart"/>
          </w:tcPr>
          <w:p>
            <w:pPr>
              <w:jc w:val="center"/>
              <w:ind w:left="93"/>
              <w:spacing w:after="0"/>
              <w:rPr>
                <w:sz w:val="20"/>
                <w:szCs w:val="20"/>
                <w:color w:val="auto"/>
              </w:rPr>
            </w:pPr>
            <w:r>
              <w:rPr>
                <w:rFonts w:ascii="Arial" w:cs="Arial" w:eastAsia="Arial" w:hAnsi="Arial"/>
                <w:sz w:val="13"/>
                <w:szCs w:val="13"/>
                <w:color w:val="auto"/>
              </w:rPr>
              <w:t>19,689,131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2019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1,813,904</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3,237,696</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3,251,010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4,580,108</w:t>
            </w: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2,522,306</w:t>
            </w:r>
          </w:p>
        </w:tc>
        <w:tc>
          <w:tcPr>
            <w:tcW w:w="15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1,534,454</w:t>
            </w: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16,939,478</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Jeffrey Shell</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2021</w:t>
            </w:r>
          </w:p>
        </w:tc>
        <w:tc>
          <w:tcPr>
            <w:tcW w:w="920" w:type="dxa"/>
            <w:vAlign w:val="bottom"/>
          </w:tcPr>
          <w:p>
            <w:pPr>
              <w:jc w:val="center"/>
              <w:spacing w:after="0"/>
              <w:rPr>
                <w:sz w:val="20"/>
                <w:szCs w:val="20"/>
                <w:color w:val="auto"/>
              </w:rPr>
            </w:pPr>
            <w:r>
              <w:rPr>
                <w:rFonts w:ascii="Arial" w:cs="Arial" w:eastAsia="Arial" w:hAnsi="Arial"/>
                <w:sz w:val="13"/>
                <w:szCs w:val="13"/>
                <w:color w:val="auto"/>
              </w:rPr>
              <w:t>2,500,000</w:t>
            </w:r>
          </w:p>
        </w:tc>
        <w:tc>
          <w:tcPr>
            <w:tcW w:w="1000" w:type="dxa"/>
            <w:vAlign w:val="bottom"/>
          </w:tcPr>
          <w:p>
            <w:pPr>
              <w:jc w:val="right"/>
              <w:ind w:right="94"/>
              <w:spacing w:after="0"/>
              <w:rPr>
                <w:sz w:val="20"/>
                <w:szCs w:val="20"/>
                <w:color w:val="auto"/>
              </w:rPr>
            </w:pPr>
            <w:r>
              <w:rPr>
                <w:rFonts w:ascii="Arial" w:cs="Arial" w:eastAsia="Arial" w:hAnsi="Arial"/>
                <w:sz w:val="13"/>
                <w:szCs w:val="13"/>
                <w:color w:val="auto"/>
              </w:rPr>
              <w:t>5,481,336</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3,438,588</w:t>
            </w:r>
          </w:p>
        </w:tc>
        <w:tc>
          <w:tcPr>
            <w:tcW w:w="1440" w:type="dxa"/>
            <w:vAlign w:val="bottom"/>
          </w:tcPr>
          <w:p>
            <w:pPr>
              <w:jc w:val="center"/>
              <w:spacing w:after="0"/>
              <w:rPr>
                <w:sz w:val="20"/>
                <w:szCs w:val="20"/>
                <w:color w:val="auto"/>
              </w:rPr>
            </w:pPr>
            <w:r>
              <w:rPr>
                <w:rFonts w:ascii="Arial" w:cs="Arial" w:eastAsia="Arial" w:hAnsi="Arial"/>
                <w:sz w:val="13"/>
                <w:szCs w:val="13"/>
                <w:color w:val="auto"/>
              </w:rPr>
              <w:t>9,975,000</w:t>
            </w:r>
          </w:p>
        </w:tc>
        <w:tc>
          <w:tcPr>
            <w:tcW w:w="1500" w:type="dxa"/>
            <w:vAlign w:val="bottom"/>
          </w:tcPr>
          <w:p>
            <w:pPr>
              <w:jc w:val="right"/>
              <w:ind w:right="314"/>
              <w:spacing w:after="0"/>
              <w:rPr>
                <w:sz w:val="20"/>
                <w:szCs w:val="20"/>
                <w:color w:val="auto"/>
              </w:rPr>
            </w:pPr>
            <w:r>
              <w:rPr>
                <w:rFonts w:ascii="Arial" w:cs="Arial" w:eastAsia="Arial" w:hAnsi="Arial"/>
                <w:sz w:val="13"/>
                <w:szCs w:val="13"/>
                <w:color w:val="auto"/>
              </w:rPr>
              <w:t>50,907</w:t>
            </w:r>
          </w:p>
        </w:tc>
        <w:tc>
          <w:tcPr>
            <w:tcW w:w="1520" w:type="dxa"/>
            <w:vAlign w:val="bottom"/>
          </w:tcPr>
          <w:p>
            <w:pPr>
              <w:jc w:val="right"/>
              <w:ind w:right="494"/>
              <w:spacing w:after="0"/>
              <w:rPr>
                <w:sz w:val="20"/>
                <w:szCs w:val="20"/>
                <w:color w:val="auto"/>
              </w:rPr>
            </w:pPr>
            <w:r>
              <w:rPr>
                <w:rFonts w:ascii="Arial" w:cs="Arial" w:eastAsia="Arial" w:hAnsi="Arial"/>
                <w:sz w:val="13"/>
                <w:szCs w:val="13"/>
                <w:color w:val="auto"/>
              </w:rPr>
              <w:t>114,104</w:t>
            </w:r>
          </w:p>
        </w:tc>
        <w:tc>
          <w:tcPr>
            <w:tcW w:w="840" w:type="dxa"/>
            <w:vAlign w:val="bottom"/>
          </w:tcPr>
          <w:p>
            <w:pPr>
              <w:jc w:val="center"/>
              <w:ind w:left="93"/>
              <w:spacing w:after="0"/>
              <w:rPr>
                <w:sz w:val="20"/>
                <w:szCs w:val="20"/>
                <w:color w:val="auto"/>
              </w:rPr>
            </w:pPr>
            <w:r>
              <w:rPr>
                <w:rFonts w:ascii="Arial" w:cs="Arial" w:eastAsia="Arial" w:hAnsi="Arial"/>
                <w:sz w:val="13"/>
                <w:szCs w:val="13"/>
                <w:color w:val="auto"/>
              </w:rPr>
              <w:t>21,559,935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520" w:type="dxa"/>
            <w:vAlign w:val="bottom"/>
            <w:vMerge w:val="restart"/>
          </w:tcPr>
          <w:p>
            <w:pPr>
              <w:ind w:left="60"/>
              <w:spacing w:after="0"/>
              <w:rPr>
                <w:sz w:val="20"/>
                <w:szCs w:val="20"/>
                <w:color w:val="auto"/>
              </w:rPr>
            </w:pPr>
            <w:r>
              <w:rPr>
                <w:rFonts w:ascii="Arial" w:cs="Arial" w:eastAsia="Arial" w:hAnsi="Arial"/>
                <w:sz w:val="13"/>
                <w:szCs w:val="13"/>
                <w:color w:val="auto"/>
              </w:rPr>
              <w:t>CEO of NBCUniversal</w:t>
            </w: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520" w:type="dxa"/>
            <w:vAlign w:val="bottom"/>
            <w:vMerge w:val="continue"/>
          </w:tcPr>
          <w:p>
            <w:pPr>
              <w:spacing w:after="0"/>
              <w:rPr>
                <w:sz w:val="10"/>
                <w:szCs w:val="10"/>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3"/>
                <w:szCs w:val="13"/>
                <w:color w:val="auto"/>
              </w:rPr>
              <w:t>2020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2,614,534</w:t>
            </w:r>
          </w:p>
        </w:tc>
        <w:tc>
          <w:tcPr>
            <w:tcW w:w="1000" w:type="dxa"/>
            <w:vAlign w:val="bottom"/>
            <w:vMerge w:val="restart"/>
          </w:tcPr>
          <w:p>
            <w:pPr>
              <w:jc w:val="right"/>
              <w:ind w:right="94"/>
              <w:spacing w:after="0"/>
              <w:rPr>
                <w:sz w:val="20"/>
                <w:szCs w:val="20"/>
                <w:color w:val="auto"/>
              </w:rPr>
            </w:pPr>
            <w:r>
              <w:rPr>
                <w:rFonts w:ascii="Arial" w:cs="Arial" w:eastAsia="Arial" w:hAnsi="Arial"/>
                <w:sz w:val="13"/>
                <w:szCs w:val="13"/>
                <w:color w:val="auto"/>
              </w:rPr>
              <w:t>3,744,972</w:t>
            </w:r>
          </w:p>
        </w:tc>
        <w:tc>
          <w:tcPr>
            <w:tcW w:w="960" w:type="dxa"/>
            <w:vAlign w:val="bottom"/>
            <w:vMerge w:val="restart"/>
          </w:tcPr>
          <w:p>
            <w:pPr>
              <w:jc w:val="right"/>
              <w:ind w:right="54"/>
              <w:spacing w:after="0"/>
              <w:rPr>
                <w:sz w:val="20"/>
                <w:szCs w:val="20"/>
                <w:color w:val="auto"/>
              </w:rPr>
            </w:pPr>
            <w:r>
              <w:rPr>
                <w:rFonts w:ascii="Arial" w:cs="Arial" w:eastAsia="Arial" w:hAnsi="Arial"/>
                <w:sz w:val="13"/>
                <w:szCs w:val="13"/>
                <w:color w:val="auto"/>
              </w:rPr>
              <w:t>3,750,179</w:t>
            </w:r>
          </w:p>
        </w:tc>
        <w:tc>
          <w:tcPr>
            <w:tcW w:w="1440" w:type="dxa"/>
            <w:vAlign w:val="bottom"/>
            <w:vMerge w:val="restart"/>
          </w:tcPr>
          <w:p>
            <w:pPr>
              <w:jc w:val="center"/>
              <w:spacing w:after="0"/>
              <w:rPr>
                <w:sz w:val="20"/>
                <w:szCs w:val="20"/>
                <w:color w:val="auto"/>
              </w:rPr>
            </w:pPr>
            <w:r>
              <w:rPr>
                <w:rFonts w:ascii="Arial" w:cs="Arial" w:eastAsia="Arial" w:hAnsi="Arial"/>
                <w:sz w:val="13"/>
                <w:szCs w:val="13"/>
                <w:color w:val="auto"/>
              </w:rPr>
              <w:t>5,882,702</w:t>
            </w:r>
          </w:p>
        </w:tc>
        <w:tc>
          <w:tcPr>
            <w:tcW w:w="1500" w:type="dxa"/>
            <w:vAlign w:val="bottom"/>
            <w:vMerge w:val="restart"/>
          </w:tcPr>
          <w:p>
            <w:pPr>
              <w:jc w:val="right"/>
              <w:ind w:right="314"/>
              <w:spacing w:after="0"/>
              <w:rPr>
                <w:sz w:val="20"/>
                <w:szCs w:val="20"/>
                <w:color w:val="auto"/>
              </w:rPr>
            </w:pPr>
            <w:r>
              <w:rPr>
                <w:rFonts w:ascii="Arial" w:cs="Arial" w:eastAsia="Arial" w:hAnsi="Arial"/>
                <w:sz w:val="13"/>
                <w:szCs w:val="13"/>
                <w:color w:val="auto"/>
              </w:rPr>
              <w:t>545,769</w:t>
            </w:r>
          </w:p>
        </w:tc>
        <w:tc>
          <w:tcPr>
            <w:tcW w:w="1520" w:type="dxa"/>
            <w:vAlign w:val="bottom"/>
            <w:vMerge w:val="restart"/>
          </w:tcPr>
          <w:p>
            <w:pPr>
              <w:jc w:val="right"/>
              <w:ind w:right="494"/>
              <w:spacing w:after="0"/>
              <w:rPr>
                <w:sz w:val="20"/>
                <w:szCs w:val="20"/>
                <w:color w:val="auto"/>
              </w:rPr>
            </w:pPr>
            <w:r>
              <w:rPr>
                <w:rFonts w:ascii="Arial" w:cs="Arial" w:eastAsia="Arial" w:hAnsi="Arial"/>
                <w:sz w:val="13"/>
                <w:szCs w:val="13"/>
                <w:color w:val="auto"/>
              </w:rPr>
              <w:t>10,000</w:t>
            </w:r>
          </w:p>
        </w:tc>
        <w:tc>
          <w:tcPr>
            <w:tcW w:w="840" w:type="dxa"/>
            <w:vAlign w:val="bottom"/>
            <w:vMerge w:val="restart"/>
          </w:tcPr>
          <w:p>
            <w:pPr>
              <w:jc w:val="center"/>
              <w:ind w:left="93"/>
              <w:spacing w:after="0"/>
              <w:rPr>
                <w:sz w:val="20"/>
                <w:szCs w:val="20"/>
                <w:color w:val="auto"/>
              </w:rPr>
            </w:pPr>
            <w:r>
              <w:rPr>
                <w:rFonts w:ascii="Arial" w:cs="Arial" w:eastAsia="Arial" w:hAnsi="Arial"/>
                <w:sz w:val="13"/>
                <w:szCs w:val="13"/>
                <w:color w:val="auto"/>
              </w:rPr>
              <w:t>16,548,156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5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60"/>
              <w:spacing w:after="0" w:line="203" w:lineRule="exact"/>
              <w:rPr>
                <w:sz w:val="20"/>
                <w:szCs w:val="20"/>
                <w:color w:val="auto"/>
              </w:rPr>
            </w:pPr>
            <w:r>
              <w:rPr>
                <w:rFonts w:ascii="Arial" w:cs="Arial" w:eastAsia="Arial" w:hAnsi="Arial"/>
                <w:sz w:val="13"/>
                <w:szCs w:val="13"/>
                <w:b w:val="1"/>
                <w:bCs w:val="1"/>
                <w:color w:val="auto"/>
              </w:rPr>
              <w:t>Dana Strong</w:t>
            </w:r>
            <w:r>
              <w:rPr>
                <w:rFonts w:ascii="Arial" w:cs="Arial" w:eastAsia="Arial" w:hAnsi="Arial"/>
                <w:sz w:val="22"/>
                <w:szCs w:val="22"/>
                <w:b w:val="1"/>
                <w:bCs w:val="1"/>
                <w:color w:val="auto"/>
                <w:vertAlign w:val="superscript"/>
              </w:rPr>
              <w:t>(7)</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2021</w:t>
            </w:r>
          </w:p>
        </w:tc>
        <w:tc>
          <w:tcPr>
            <w:tcW w:w="920" w:type="dxa"/>
            <w:vAlign w:val="bottom"/>
          </w:tcPr>
          <w:p>
            <w:pPr>
              <w:jc w:val="center"/>
              <w:spacing w:after="0"/>
              <w:rPr>
                <w:sz w:val="20"/>
                <w:szCs w:val="20"/>
                <w:color w:val="auto"/>
              </w:rPr>
            </w:pPr>
            <w:r>
              <w:rPr>
                <w:rFonts w:ascii="Arial" w:cs="Arial" w:eastAsia="Arial" w:hAnsi="Arial"/>
                <w:sz w:val="13"/>
                <w:szCs w:val="13"/>
                <w:color w:val="auto"/>
              </w:rPr>
              <w:t>2,080,679</w:t>
            </w:r>
          </w:p>
        </w:tc>
        <w:tc>
          <w:tcPr>
            <w:tcW w:w="1000" w:type="dxa"/>
            <w:vAlign w:val="bottom"/>
          </w:tcPr>
          <w:p>
            <w:pPr>
              <w:jc w:val="right"/>
              <w:ind w:right="94"/>
              <w:spacing w:after="0"/>
              <w:rPr>
                <w:sz w:val="20"/>
                <w:szCs w:val="20"/>
                <w:color w:val="auto"/>
              </w:rPr>
            </w:pPr>
            <w:r>
              <w:rPr>
                <w:rFonts w:ascii="Arial" w:cs="Arial" w:eastAsia="Arial" w:hAnsi="Arial"/>
                <w:sz w:val="13"/>
                <w:szCs w:val="13"/>
                <w:color w:val="auto"/>
              </w:rPr>
              <w:t>3,347,778</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2,097,664</w:t>
            </w:r>
          </w:p>
        </w:tc>
        <w:tc>
          <w:tcPr>
            <w:tcW w:w="1440" w:type="dxa"/>
            <w:vAlign w:val="bottom"/>
          </w:tcPr>
          <w:p>
            <w:pPr>
              <w:jc w:val="center"/>
              <w:spacing w:after="0"/>
              <w:rPr>
                <w:sz w:val="20"/>
                <w:szCs w:val="20"/>
                <w:color w:val="auto"/>
              </w:rPr>
            </w:pPr>
            <w:r>
              <w:rPr>
                <w:rFonts w:ascii="Arial" w:cs="Arial" w:eastAsia="Arial" w:hAnsi="Arial"/>
                <w:sz w:val="13"/>
                <w:szCs w:val="13"/>
                <w:color w:val="auto"/>
              </w:rPr>
              <w:t>8,247,836</w:t>
            </w:r>
          </w:p>
        </w:tc>
        <w:tc>
          <w:tcPr>
            <w:tcW w:w="1500" w:type="dxa"/>
            <w:vAlign w:val="bottom"/>
          </w:tcPr>
          <w:p>
            <w:pPr>
              <w:jc w:val="right"/>
              <w:ind w:right="314"/>
              <w:spacing w:after="0"/>
              <w:rPr>
                <w:sz w:val="20"/>
                <w:szCs w:val="20"/>
                <w:color w:val="auto"/>
              </w:rPr>
            </w:pPr>
            <w:r>
              <w:rPr>
                <w:rFonts w:ascii="Arial" w:cs="Arial" w:eastAsia="Arial" w:hAnsi="Arial"/>
                <w:sz w:val="13"/>
                <w:szCs w:val="13"/>
                <w:color w:val="auto"/>
              </w:rPr>
              <w:t>23,974</w:t>
            </w:r>
          </w:p>
        </w:tc>
        <w:tc>
          <w:tcPr>
            <w:tcW w:w="1520" w:type="dxa"/>
            <w:vAlign w:val="bottom"/>
          </w:tcPr>
          <w:p>
            <w:pPr>
              <w:jc w:val="right"/>
              <w:ind w:right="494"/>
              <w:spacing w:after="0"/>
              <w:rPr>
                <w:sz w:val="20"/>
                <w:szCs w:val="20"/>
                <w:color w:val="auto"/>
              </w:rPr>
            </w:pPr>
            <w:r>
              <w:rPr>
                <w:rFonts w:ascii="Arial" w:cs="Arial" w:eastAsia="Arial" w:hAnsi="Arial"/>
                <w:sz w:val="13"/>
                <w:szCs w:val="13"/>
                <w:color w:val="auto"/>
              </w:rPr>
              <w:t>174,091</w:t>
            </w:r>
          </w:p>
        </w:tc>
        <w:tc>
          <w:tcPr>
            <w:tcW w:w="840" w:type="dxa"/>
            <w:vAlign w:val="bottom"/>
          </w:tcPr>
          <w:p>
            <w:pPr>
              <w:jc w:val="center"/>
              <w:ind w:left="93"/>
              <w:spacing w:after="0"/>
              <w:rPr>
                <w:sz w:val="20"/>
                <w:szCs w:val="20"/>
                <w:color w:val="auto"/>
              </w:rPr>
            </w:pPr>
            <w:r>
              <w:rPr>
                <w:rFonts w:ascii="Arial" w:cs="Arial" w:eastAsia="Arial" w:hAnsi="Arial"/>
                <w:sz w:val="13"/>
                <w:szCs w:val="13"/>
                <w:color w:val="auto"/>
              </w:rPr>
              <w:t>15,972,022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CEO of Sky</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00" w:right="300" w:hanging="292"/>
        <w:spacing w:after="0" w:line="243" w:lineRule="auto"/>
        <w:tabs>
          <w:tab w:leader="none" w:pos="300" w:val="left"/>
        </w:tabs>
        <w:numPr>
          <w:ilvl w:val="0"/>
          <w:numId w:val="55"/>
        </w:numPr>
        <w:rPr>
          <w:rFonts w:ascii="Arial" w:cs="Arial" w:eastAsia="Arial" w:hAnsi="Arial"/>
          <w:sz w:val="10"/>
          <w:szCs w:val="10"/>
          <w:color w:val="auto"/>
        </w:rPr>
      </w:pPr>
      <w:r>
        <w:rPr>
          <w:rFonts w:ascii="Arial" w:cs="Arial" w:eastAsia="Arial" w:hAnsi="Arial"/>
          <w:sz w:val="13"/>
          <w:szCs w:val="13"/>
          <w:color w:val="auto"/>
        </w:rPr>
        <w:t>In November 2021, the Compensation and Human Capital Committee and Mr. Roberts agreed to reduce his annual base salary to $2.5 million. See “Compensation Discussion and Analysis — Compensation Decisions — Base Salary” above for additional information. Salary amounts for 2020 included an extra bi-weekly pay period as compared to 2019 and 2021.</w:t>
      </w:r>
    </w:p>
    <w:p>
      <w:pPr>
        <w:spacing w:after="0" w:line="102" w:lineRule="exact"/>
        <w:rPr>
          <w:rFonts w:ascii="Arial" w:cs="Arial" w:eastAsia="Arial" w:hAnsi="Arial"/>
          <w:sz w:val="10"/>
          <w:szCs w:val="10"/>
          <w:color w:val="auto"/>
        </w:rPr>
      </w:pPr>
    </w:p>
    <w:p>
      <w:pPr>
        <w:ind w:left="300" w:right="40" w:hanging="292"/>
        <w:spacing w:after="0" w:line="221" w:lineRule="auto"/>
        <w:tabs>
          <w:tab w:leader="none" w:pos="300" w:val="left"/>
        </w:tabs>
        <w:numPr>
          <w:ilvl w:val="0"/>
          <w:numId w:val="55"/>
        </w:numPr>
        <w:rPr>
          <w:rFonts w:ascii="Arial" w:cs="Arial" w:eastAsia="Arial" w:hAnsi="Arial"/>
          <w:sz w:val="10"/>
          <w:szCs w:val="10"/>
          <w:color w:val="auto"/>
        </w:rPr>
      </w:pPr>
      <w:r>
        <w:rPr>
          <w:rFonts w:ascii="Arial" w:cs="Arial" w:eastAsia="Arial" w:hAnsi="Arial"/>
          <w:sz w:val="13"/>
          <w:szCs w:val="13"/>
          <w:color w:val="auto"/>
        </w:rPr>
        <w:t>Amounts represent the aggregate grant date fair value of PSUs and RSUs granted to the NEOs in accordance with Financial Accounting Standards Board Accounting Standards Codification Topic 718, Compensation — Stock Compensation (“FASB ASC Topic 718”). These amounts, which do not correspond to the actual values that may be realized by the NEOs or to the values approved by the Compensation and Human Capital Committee, were calculated using the valuation assumptions discussed in the “Share-Based Compensation” footnote to the financial statements in our Annual Reports on Form 10-K for the years ended December 31, 2019, 2020 and 2021. The amounts were determined by multiplying the Class A common stock closing price on the date of grant by the number of shares subject to the grant and, for PSUs as defined in the Glossary to FASB ASC Topic 718, taking into account the probable outcome of the PSUs’ performance conditions as of the date of grant and excluding the effect of estimated forfeitures in accordance with SEC rules. The amounts were also discounted to consider that dividend equivalents that accrue during the vesting period are not paid out until the underlying shares vest. The following are the values of the PSUs granted in 2021 as of their grant date assuming attainment of the maximum level of performance: Mr. Roberts ($33,781,335), Mr. Cavanagh ($25,180,610), Mr. Watson ($16,738,890), Mr. Shell ($13,703,340) and Ms. Strong ($8,369,445). See also “Compensation Discussion and Analysis — Compensation Decisions — Equity-Based Compensation” for the target PSU values that the Compensation and Human Capital Committee approved for 2021, which are lower than the amounts required to be reported in this table.</w:t>
      </w:r>
    </w:p>
    <w:p>
      <w:pPr>
        <w:spacing w:after="0" w:line="108" w:lineRule="exact"/>
        <w:rPr>
          <w:rFonts w:ascii="Arial" w:cs="Arial" w:eastAsia="Arial" w:hAnsi="Arial"/>
          <w:sz w:val="10"/>
          <w:szCs w:val="10"/>
          <w:color w:val="auto"/>
        </w:rPr>
      </w:pPr>
    </w:p>
    <w:p>
      <w:pPr>
        <w:ind w:left="300" w:right="120" w:hanging="292"/>
        <w:spacing w:after="0" w:line="246" w:lineRule="auto"/>
        <w:tabs>
          <w:tab w:leader="none" w:pos="300" w:val="left"/>
        </w:tabs>
        <w:numPr>
          <w:ilvl w:val="0"/>
          <w:numId w:val="55"/>
        </w:numPr>
        <w:rPr>
          <w:rFonts w:ascii="Arial" w:cs="Arial" w:eastAsia="Arial" w:hAnsi="Arial"/>
          <w:sz w:val="10"/>
          <w:szCs w:val="10"/>
          <w:color w:val="auto"/>
        </w:rPr>
      </w:pPr>
      <w:r>
        <w:rPr>
          <w:rFonts w:ascii="Arial" w:cs="Arial" w:eastAsia="Arial" w:hAnsi="Arial"/>
          <w:sz w:val="12"/>
          <w:szCs w:val="12"/>
          <w:color w:val="auto"/>
        </w:rPr>
        <w:t>Amounts represent the aggregate grant date fair value of stock options granted to the NEOs in accordance with FASB ASC Topic 718. Under SEC rules, the amounts shown exclude the impact of estimated forfeitures. These amounts, which do not correspond to the actual values that may be realized by the NEOs, were calculated using the Black-Scholes option pricing model, based upon the following valuation assumptions for options granted in March 2021 to our NEOs for their annual option awards: an expected volatility of 22.8%, an expected term to exercise of 5.9 years, an interest rate of 0.92% and a dividend yield of 1.84%. For information on valuation assumptions with respect to grants made before 2021, refer to the footnotes in the “Summary Compensation Table” in our definitive proxy statements filed with the SEC in 2020 and 2019. See the “Grants of Plan-Based Awards” table below for additional information on options granted in 2021.</w:t>
      </w:r>
    </w:p>
    <w:p>
      <w:pPr>
        <w:spacing w:after="0" w:line="102" w:lineRule="exact"/>
        <w:rPr>
          <w:rFonts w:ascii="Arial" w:cs="Arial" w:eastAsia="Arial" w:hAnsi="Arial"/>
          <w:sz w:val="10"/>
          <w:szCs w:val="10"/>
          <w:color w:val="auto"/>
        </w:rPr>
      </w:pPr>
    </w:p>
    <w:p>
      <w:pPr>
        <w:ind w:left="300" w:right="160" w:hanging="292"/>
        <w:spacing w:after="0" w:line="233" w:lineRule="auto"/>
        <w:tabs>
          <w:tab w:leader="none" w:pos="300" w:val="left"/>
        </w:tabs>
        <w:numPr>
          <w:ilvl w:val="0"/>
          <w:numId w:val="55"/>
        </w:numPr>
        <w:rPr>
          <w:rFonts w:ascii="Arial" w:cs="Arial" w:eastAsia="Arial" w:hAnsi="Arial"/>
          <w:sz w:val="10"/>
          <w:szCs w:val="10"/>
          <w:color w:val="auto"/>
        </w:rPr>
      </w:pPr>
      <w:r>
        <w:rPr>
          <w:rFonts w:ascii="Arial" w:cs="Arial" w:eastAsia="Arial" w:hAnsi="Arial"/>
          <w:sz w:val="13"/>
          <w:szCs w:val="13"/>
          <w:color w:val="auto"/>
        </w:rPr>
        <w:t>Amounts represent annual performance-based bonuses. Mr. Roberts’ bonus was based on his reduced annual salary of $2.5 million, as if the reduction had been implemented at the beginning of 2021. See the “Grants of Plan-Based Awards” table below and “Compensation Discussion and Analysis —Compensation Decisions — Annual Cash Bonus” above for additional information on these bonuses and the achievement of specified metrics in 2021.</w:t>
      </w:r>
    </w:p>
    <w:p>
      <w:pPr>
        <w:spacing w:after="0" w:line="104" w:lineRule="exact"/>
        <w:rPr>
          <w:rFonts w:ascii="Arial" w:cs="Arial" w:eastAsia="Arial" w:hAnsi="Arial"/>
          <w:sz w:val="10"/>
          <w:szCs w:val="10"/>
          <w:color w:val="auto"/>
        </w:rPr>
      </w:pPr>
    </w:p>
    <w:p>
      <w:pPr>
        <w:ind w:left="300" w:right="260" w:hanging="292"/>
        <w:spacing w:after="0" w:line="233" w:lineRule="auto"/>
        <w:tabs>
          <w:tab w:leader="none" w:pos="300" w:val="left"/>
        </w:tabs>
        <w:numPr>
          <w:ilvl w:val="0"/>
          <w:numId w:val="55"/>
        </w:numPr>
        <w:rPr>
          <w:rFonts w:ascii="Arial" w:cs="Arial" w:eastAsia="Arial" w:hAnsi="Arial"/>
          <w:sz w:val="10"/>
          <w:szCs w:val="10"/>
          <w:color w:val="auto"/>
        </w:rPr>
      </w:pPr>
      <w:r>
        <w:rPr>
          <w:rFonts w:ascii="Arial" w:cs="Arial" w:eastAsia="Arial" w:hAnsi="Arial"/>
          <w:sz w:val="13"/>
          <w:szCs w:val="13"/>
          <w:color w:val="auto"/>
        </w:rPr>
        <w:t>Amounts represent the dollar value of interest earned on compensation deferred in “income funds” under our deferred compensation plans in excess of 120% of the long-term applicable federal rate. Effective March 2021, NEOs were prohibited from deferring compensation into the income fund and no longer earn interest above the applicable federal rate. See “Nonqualified Deferred Compensation in and as of Fiscal Year-End” below.</w:t>
      </w:r>
    </w:p>
    <w:p>
      <w:pPr>
        <w:spacing w:after="0" w:line="12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0"/>
          <w:szCs w:val="20"/>
          <w:color w:val="auto"/>
        </w:rPr>
      </w:pPr>
    </w:p>
    <w:p>
      <w:pPr>
        <w:ind w:left="300" w:right="20" w:hanging="292"/>
        <w:spacing w:after="0" w:line="226" w:lineRule="auto"/>
        <w:tabs>
          <w:tab w:leader="none" w:pos="300" w:val="left"/>
        </w:tabs>
        <w:numPr>
          <w:ilvl w:val="0"/>
          <w:numId w:val="56"/>
        </w:numPr>
        <w:rPr>
          <w:rFonts w:ascii="Arial" w:cs="Arial" w:eastAsia="Arial" w:hAnsi="Arial"/>
          <w:sz w:val="10"/>
          <w:szCs w:val="10"/>
          <w:color w:val="auto"/>
        </w:rPr>
      </w:pPr>
      <w:r>
        <w:rPr>
          <w:rFonts w:ascii="Arial" w:cs="Arial" w:eastAsia="Arial" w:hAnsi="Arial"/>
          <w:sz w:val="13"/>
          <w:szCs w:val="13"/>
          <w:color w:val="auto"/>
        </w:rPr>
        <w:t>Amounts for 2021 include: (a) company contributions in January 2021 to our retirement-investment plan accounts in the amount of $10,000 for each NEO; (b) amounts on account of personal use of Company-provided aircraft (Mr. Roberts, $103,726; Mr. Cavanagh, $34,587; Mr. Watson, $47,625; Mr. Shell, $104,104; and Ms. Strong, $0), (c) certain relocation benefits provided to Ms. Strong in connection with her appointment as CEO of Sky and her relocation from the United States to the United Kingdom, in the amount of $150,639 and (d) costs related to executive medical benefits in the United Kingdom provided to Ms. Strong in the amount of $13,452. Where applicable, amounts for Ms. Strong were converted from British pounds sterling to U.S. dollars using the 2021 average of daily spot rates of £1 to $1.3757.</w:t>
      </w:r>
    </w:p>
    <w:p>
      <w:pPr>
        <w:spacing w:after="0" w:line="106" w:lineRule="exact"/>
        <w:rPr>
          <w:rFonts w:ascii="Arial" w:cs="Arial" w:eastAsia="Arial" w:hAnsi="Arial"/>
          <w:sz w:val="10"/>
          <w:szCs w:val="10"/>
          <w:color w:val="auto"/>
        </w:rPr>
      </w:pPr>
    </w:p>
    <w:p>
      <w:pPr>
        <w:ind w:left="300" w:right="60"/>
        <w:spacing w:after="0" w:line="233" w:lineRule="auto"/>
        <w:rPr>
          <w:rFonts w:ascii="Arial" w:cs="Arial" w:eastAsia="Arial" w:hAnsi="Arial"/>
          <w:sz w:val="10"/>
          <w:szCs w:val="10"/>
          <w:color w:val="auto"/>
        </w:rPr>
      </w:pPr>
      <w:r>
        <w:rPr>
          <w:rFonts w:ascii="Arial" w:cs="Arial" w:eastAsia="Arial" w:hAnsi="Arial"/>
          <w:sz w:val="13"/>
          <w:szCs w:val="13"/>
          <w:color w:val="auto"/>
        </w:rPr>
        <w:t>For security and business reasons, Company practices and policy strongly encourage, and in some cases may require, Mr. Roberts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w:t>
      </w:r>
    </w:p>
    <w:p>
      <w:pPr>
        <w:spacing w:after="0" w:line="104" w:lineRule="exact"/>
        <w:rPr>
          <w:rFonts w:ascii="Arial" w:cs="Arial" w:eastAsia="Arial" w:hAnsi="Arial"/>
          <w:sz w:val="10"/>
          <w:szCs w:val="10"/>
          <w:color w:val="auto"/>
        </w:rPr>
      </w:pPr>
    </w:p>
    <w:p>
      <w:pPr>
        <w:ind w:left="300" w:right="180"/>
        <w:spacing w:after="0" w:line="226" w:lineRule="auto"/>
        <w:rPr>
          <w:rFonts w:ascii="Arial" w:cs="Arial" w:eastAsia="Arial" w:hAnsi="Arial"/>
          <w:sz w:val="10"/>
          <w:szCs w:val="10"/>
          <w:color w:val="auto"/>
        </w:rPr>
      </w:pPr>
      <w:r>
        <w:rPr>
          <w:rFonts w:ascii="Arial" w:cs="Arial" w:eastAsia="Arial" w:hAnsi="Arial"/>
          <w:sz w:val="13"/>
          <w:szCs w:val="13"/>
          <w:color w:val="auto"/>
        </w:rPr>
        <w:t>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2021 disallowed tax deduction of $9.3 million resulting from the personal use of Company-provided aircraft by our NEOs and any guests.</w:t>
      </w:r>
    </w:p>
    <w:p>
      <w:pPr>
        <w:spacing w:after="0" w:line="106" w:lineRule="exact"/>
        <w:rPr>
          <w:rFonts w:ascii="Arial" w:cs="Arial" w:eastAsia="Arial" w:hAnsi="Arial"/>
          <w:sz w:val="10"/>
          <w:szCs w:val="10"/>
          <w:color w:val="auto"/>
        </w:rPr>
      </w:pPr>
    </w:p>
    <w:p>
      <w:pPr>
        <w:ind w:left="300" w:right="60"/>
        <w:spacing w:after="0" w:line="223" w:lineRule="auto"/>
        <w:rPr>
          <w:rFonts w:ascii="Arial" w:cs="Arial" w:eastAsia="Arial" w:hAnsi="Arial"/>
          <w:sz w:val="10"/>
          <w:szCs w:val="10"/>
          <w:color w:val="auto"/>
        </w:rPr>
      </w:pPr>
      <w:r>
        <w:rPr>
          <w:rFonts w:ascii="Arial" w:cs="Arial" w:eastAsia="Arial" w:hAnsi="Arial"/>
          <w:sz w:val="13"/>
          <w:szCs w:val="13"/>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 Ms. Strong also has access to a Company-provided car for personal travel, but she has fully reimbursed the Company for the incremental costs associated with such use.</w:t>
      </w:r>
    </w:p>
    <w:p>
      <w:pPr>
        <w:spacing w:after="0" w:line="107" w:lineRule="exact"/>
        <w:rPr>
          <w:rFonts w:ascii="Arial" w:cs="Arial" w:eastAsia="Arial" w:hAnsi="Arial"/>
          <w:sz w:val="10"/>
          <w:szCs w:val="10"/>
          <w:color w:val="auto"/>
        </w:rPr>
      </w:pPr>
    </w:p>
    <w:p>
      <w:pPr>
        <w:ind w:left="300"/>
        <w:spacing w:after="0"/>
        <w:rPr>
          <w:rFonts w:ascii="Arial" w:cs="Arial" w:eastAsia="Arial" w:hAnsi="Arial"/>
          <w:sz w:val="10"/>
          <w:szCs w:val="10"/>
          <w:color w:val="auto"/>
        </w:rPr>
      </w:pPr>
      <w:r>
        <w:rPr>
          <w:rFonts w:ascii="Arial" w:cs="Arial" w:eastAsia="Arial" w:hAnsi="Arial"/>
          <w:sz w:val="13"/>
          <w:szCs w:val="13"/>
          <w:color w:val="auto"/>
        </w:rPr>
        <w:t>For all other benefits that would otherwise be considered perquisites, our NEOs are required to pay us in full (and have paid us in full) for such benefits.</w:t>
      </w:r>
    </w:p>
    <w:p>
      <w:pPr>
        <w:spacing w:after="0" w:line="120" w:lineRule="exact"/>
        <w:rPr>
          <w:rFonts w:ascii="Arial" w:cs="Arial" w:eastAsia="Arial" w:hAnsi="Arial"/>
          <w:sz w:val="10"/>
          <w:szCs w:val="10"/>
          <w:color w:val="auto"/>
        </w:rPr>
      </w:pPr>
    </w:p>
    <w:p>
      <w:pPr>
        <w:ind w:left="300" w:right="280" w:hanging="292"/>
        <w:spacing w:after="0" w:line="283" w:lineRule="auto"/>
        <w:tabs>
          <w:tab w:leader="none" w:pos="300" w:val="left"/>
        </w:tabs>
        <w:numPr>
          <w:ilvl w:val="0"/>
          <w:numId w:val="56"/>
        </w:numPr>
        <w:rPr>
          <w:rFonts w:ascii="Arial" w:cs="Arial" w:eastAsia="Arial" w:hAnsi="Arial"/>
          <w:sz w:val="10"/>
          <w:szCs w:val="10"/>
          <w:color w:val="auto"/>
        </w:rPr>
      </w:pPr>
      <w:r>
        <w:rPr>
          <w:rFonts w:ascii="Arial" w:cs="Arial" w:eastAsia="Arial" w:hAnsi="Arial"/>
          <w:sz w:val="12"/>
          <w:szCs w:val="12"/>
          <w:color w:val="auto"/>
        </w:rPr>
        <w:t>Ms. Strong became an executive officer in 2021 and was not an NEO for 2020 or 2019. For 2021, the portion of Ms. Strong’s base salary paid in British pounds sterling was £1,464,072 and her cash bonus (paid in March 2022) was £5,995,374. The amount of British pounds sterling was converted to U.S. dollars using the 2021 average of daily spot rates of £1 to $1.3757.</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auto"/>
        </w:rPr>
        <w:t>Grants of Plan-Based Awards</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table below provides information about equity and non-equity awards granted to our NEOs in 2021 as follows: (1) the grant date for equity awards; (2) the estimated future payouts under non-equity incentive plan awards (columns (a), (b) and (c)); (3) the estimated future payouts under equity incentive plan awards, which consist of PSUs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ALL OTHER</w:t>
            </w:r>
          </w:p>
        </w:tc>
        <w:tc>
          <w:tcPr>
            <w:tcW w:w="92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97"/>
              </w:rPr>
              <w:t>EXERCISE</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16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6"/>
              </w:rPr>
              <w:t>ESTIMATED FUTURE PAYOUTS UNDER</w:t>
            </w: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25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4"/>
              </w:rPr>
              <w:t>ESTIMATED FUTURE PAYOUTS</w:t>
            </w:r>
          </w:p>
        </w:tc>
        <w:tc>
          <w:tcPr>
            <w:tcW w:w="11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2"/>
              </w:rPr>
              <w:t>AWARDS:</w:t>
            </w:r>
          </w:p>
        </w:tc>
        <w:tc>
          <w:tcPr>
            <w:tcW w:w="92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4"/>
              </w:rPr>
              <w:t>OR BASE</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FAIR VALUE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NON-EQUITY INCENTIVE PLAN</w:t>
            </w:r>
          </w:p>
        </w:tc>
        <w:tc>
          <w:tcPr>
            <w:tcW w:w="2580" w:type="dxa"/>
            <w:vAlign w:val="bottom"/>
            <w:gridSpan w:val="3"/>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92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7"/>
              </w:rPr>
              <w:t>PRICE OF</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right="97"/>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EQUITY</w:t>
            </w:r>
          </w:p>
        </w:tc>
        <w:tc>
          <w:tcPr>
            <w:tcW w:w="760" w:type="dxa"/>
            <w:vAlign w:val="bottom"/>
          </w:tcPr>
          <w:p>
            <w:pPr>
              <w:spacing w:after="0"/>
              <w:rPr>
                <w:sz w:val="11"/>
                <w:szCs w:val="11"/>
                <w:color w:val="auto"/>
              </w:rPr>
            </w:pPr>
          </w:p>
        </w:tc>
        <w:tc>
          <w:tcPr>
            <w:tcW w:w="11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4"/>
              </w:rPr>
              <w:t>SECURITIES</w:t>
            </w:r>
          </w:p>
        </w:tc>
        <w:tc>
          <w:tcPr>
            <w:tcW w:w="92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6"/>
              </w:rPr>
              <w:t>OPTION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AND OPTION</w:t>
            </w: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Borders>
              <w:bottom w:val="single" w:sz="8" w:color="auto"/>
            </w:tcBorders>
            <w:gridSpan w:val="3"/>
          </w:tcPr>
          <w:p>
            <w:pPr>
              <w:jc w:val="center"/>
              <w:spacing w:after="0" w:line="165" w:lineRule="exact"/>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9"/>
                <w:szCs w:val="19"/>
                <w:b w:val="1"/>
                <w:bCs w:val="1"/>
                <w:color w:val="auto"/>
                <w:vertAlign w:val="superscript"/>
              </w:rPr>
              <w:t>(2)</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UNDERLYING</w:t>
            </w:r>
          </w:p>
        </w:tc>
        <w:tc>
          <w:tcPr>
            <w:tcW w:w="920" w:type="dxa"/>
            <w:vAlign w:val="bottom"/>
          </w:tcPr>
          <w:p>
            <w:pPr>
              <w:jc w:val="center"/>
              <w:ind w:right="16"/>
              <w:spacing w:after="0"/>
              <w:rPr>
                <w:sz w:val="20"/>
                <w:szCs w:val="20"/>
                <w:color w:val="auto"/>
              </w:rPr>
            </w:pPr>
            <w:r>
              <w:rPr>
                <w:rFonts w:ascii="Arial" w:cs="Arial" w:eastAsia="Arial" w:hAnsi="Arial"/>
                <w:sz w:val="13"/>
                <w:szCs w:val="13"/>
                <w:b w:val="1"/>
                <w:bCs w:val="1"/>
                <w:color w:val="auto"/>
                <w:w w:val="95"/>
              </w:rPr>
              <w:t>AWARDS</w:t>
            </w:r>
          </w:p>
        </w:tc>
        <w:tc>
          <w:tcPr>
            <w:tcW w:w="11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9"/>
                <w:szCs w:val="19"/>
                <w:b w:val="1"/>
                <w:bCs w:val="1"/>
                <w:color w:val="auto"/>
                <w:w w:val="97"/>
                <w:vertAlign w:val="superscript"/>
              </w:rPr>
              <w:t>(4)</w:t>
            </w:r>
          </w:p>
        </w:tc>
        <w:tc>
          <w:tcPr>
            <w:tcW w:w="0" w:type="dxa"/>
            <w:vAlign w:val="bottom"/>
          </w:tcPr>
          <w:p>
            <w:pPr>
              <w:spacing w:after="0"/>
              <w:rPr>
                <w:sz w:val="1"/>
                <w:szCs w:val="1"/>
                <w:color w:val="auto"/>
              </w:rPr>
            </w:pPr>
          </w:p>
        </w:tc>
      </w:tr>
      <w:tr>
        <w:trPr>
          <w:trHeight w:val="144"/>
        </w:trPr>
        <w:tc>
          <w:tcPr>
            <w:tcW w:w="1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700" w:type="dxa"/>
            <w:vAlign w:val="bottom"/>
          </w:tcPr>
          <w:p>
            <w:pPr>
              <w:jc w:val="right"/>
              <w:ind w:right="133"/>
              <w:spacing w:after="0" w:line="144" w:lineRule="exact"/>
              <w:rPr>
                <w:sz w:val="20"/>
                <w:szCs w:val="20"/>
                <w:color w:val="auto"/>
              </w:rPr>
            </w:pPr>
            <w:r>
              <w:rPr>
                <w:rFonts w:ascii="Arial" w:cs="Arial" w:eastAsia="Arial" w:hAnsi="Arial"/>
                <w:sz w:val="13"/>
                <w:szCs w:val="13"/>
                <w:b w:val="1"/>
                <w:bCs w:val="1"/>
                <w:color w:val="auto"/>
              </w:rPr>
              <w:t>GRANT</w:t>
            </w:r>
          </w:p>
        </w:tc>
        <w:tc>
          <w:tcPr>
            <w:tcW w:w="104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THRESHOLD</w:t>
            </w:r>
          </w:p>
        </w:tc>
        <w:tc>
          <w:tcPr>
            <w:tcW w:w="1040" w:type="dxa"/>
            <w:vAlign w:val="bottom"/>
          </w:tcPr>
          <w:p>
            <w:pPr>
              <w:jc w:val="center"/>
              <w:ind w:left="57"/>
              <w:spacing w:after="0" w:line="144" w:lineRule="exact"/>
              <w:rPr>
                <w:sz w:val="20"/>
                <w:szCs w:val="20"/>
                <w:color w:val="auto"/>
              </w:rPr>
            </w:pPr>
            <w:r>
              <w:rPr>
                <w:rFonts w:ascii="Arial" w:cs="Arial" w:eastAsia="Arial" w:hAnsi="Arial"/>
                <w:sz w:val="13"/>
                <w:szCs w:val="13"/>
                <w:b w:val="1"/>
                <w:bCs w:val="1"/>
                <w:color w:val="auto"/>
                <w:w w:val="97"/>
              </w:rPr>
              <w:t>TARGET</w:t>
            </w:r>
          </w:p>
        </w:tc>
        <w:tc>
          <w:tcPr>
            <w:tcW w:w="10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MAXIMUM</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THRESHOLD</w:t>
            </w: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TARGET</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MAXIMUM</w:t>
            </w:r>
          </w:p>
        </w:tc>
        <w:tc>
          <w:tcPr>
            <w:tcW w:w="1140" w:type="dxa"/>
            <w:vAlign w:val="bottom"/>
          </w:tcPr>
          <w:p>
            <w:pPr>
              <w:jc w:val="center"/>
              <w:ind w:left="17"/>
              <w:spacing w:after="0" w:line="144"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(3)</w:t>
            </w:r>
          </w:p>
        </w:tc>
        <w:tc>
          <w:tcPr>
            <w:tcW w:w="920" w:type="dxa"/>
            <w:vAlign w:val="bottom"/>
          </w:tcPr>
          <w:p>
            <w:pPr>
              <w:jc w:val="center"/>
              <w:ind w:right="16"/>
              <w:spacing w:after="0" w:line="144"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16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DATE</w:t>
            </w: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(a)</w:t>
            </w:r>
          </w:p>
        </w:tc>
        <w:tc>
          <w:tcPr>
            <w:tcW w:w="104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6"/>
              </w:rPr>
              <w:t>(b)</w:t>
            </w: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(c)</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(h)</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0" w:type="dxa"/>
            <w:vAlign w:val="bottom"/>
          </w:tcPr>
          <w:p>
            <w:pPr>
              <w:spacing w:after="0"/>
              <w:rPr>
                <w:sz w:val="1"/>
                <w:szCs w:val="1"/>
                <w:color w:val="auto"/>
              </w:rPr>
            </w:pPr>
          </w:p>
        </w:tc>
      </w:tr>
      <w:tr>
        <w:trPr>
          <w:trHeight w:val="200"/>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Brian L. Roberts</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1,364,754</w:t>
            </w:r>
          </w:p>
        </w:tc>
        <w:tc>
          <w:tcPr>
            <w:tcW w:w="104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rPr>
              <w:t>9,748,245</w:t>
            </w:r>
          </w:p>
        </w:tc>
        <w:tc>
          <w:tcPr>
            <w:tcW w:w="88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color w:val="auto"/>
              </w:rPr>
              <w:t>18,034,253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3/1/2021</w:t>
            </w:r>
          </w:p>
        </w:tc>
        <w:tc>
          <w:tcPr>
            <w:tcW w:w="10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43,818</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233,700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584,250</w:t>
            </w:r>
          </w:p>
        </w:tc>
        <w:tc>
          <w:tcPr>
            <w:tcW w:w="1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13,512,534</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3/1/2021</w:t>
            </w:r>
          </w:p>
        </w:tc>
        <w:tc>
          <w:tcPr>
            <w:tcW w:w="10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rPr>
              <w:t>879,200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8,475,488</w:t>
            </w:r>
          </w:p>
        </w:tc>
        <w:tc>
          <w:tcPr>
            <w:tcW w:w="0" w:type="dxa"/>
            <w:vAlign w:val="bottom"/>
          </w:tcPr>
          <w:p>
            <w:pPr>
              <w:spacing w:after="0"/>
              <w:rPr>
                <w:sz w:val="1"/>
                <w:szCs w:val="1"/>
                <w:color w:val="auto"/>
              </w:rPr>
            </w:pPr>
          </w:p>
        </w:tc>
      </w:tr>
      <w:tr>
        <w:trPr>
          <w:trHeight w:val="200"/>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Michael J. Cavanagh</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966,000</w:t>
            </w:r>
          </w:p>
        </w:tc>
        <w:tc>
          <w:tcPr>
            <w:tcW w:w="104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rPr>
              <w:t>6,900,000</w:t>
            </w:r>
          </w:p>
        </w:tc>
        <w:tc>
          <w:tcPr>
            <w:tcW w:w="88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color w:val="auto"/>
              </w:rPr>
              <w:t>12,765,000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3/1/2021</w:t>
            </w:r>
          </w:p>
        </w:tc>
        <w:tc>
          <w:tcPr>
            <w:tcW w:w="10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32,662</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174,200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435,500</w:t>
            </w:r>
          </w:p>
        </w:tc>
        <w:tc>
          <w:tcPr>
            <w:tcW w:w="1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10,072,244</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3/1/2021</w:t>
            </w:r>
          </w:p>
        </w:tc>
        <w:tc>
          <w:tcPr>
            <w:tcW w:w="10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rPr>
              <w:t>655,100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6,315,164</w:t>
            </w:r>
          </w:p>
        </w:tc>
        <w:tc>
          <w:tcPr>
            <w:tcW w:w="0" w:type="dxa"/>
            <w:vAlign w:val="bottom"/>
          </w:tcPr>
          <w:p>
            <w:pPr>
              <w:spacing w:after="0"/>
              <w:rPr>
                <w:sz w:val="1"/>
                <w:szCs w:val="1"/>
                <w:color w:val="auto"/>
              </w:rPr>
            </w:pPr>
          </w:p>
        </w:tc>
      </w:tr>
      <w:tr>
        <w:trPr>
          <w:trHeight w:val="200"/>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David N. Watson</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944,192</w:t>
            </w:r>
          </w:p>
        </w:tc>
        <w:tc>
          <w:tcPr>
            <w:tcW w:w="104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rPr>
              <w:t>6,744,231</w:t>
            </w:r>
          </w:p>
        </w:tc>
        <w:tc>
          <w:tcPr>
            <w:tcW w:w="88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color w:val="auto"/>
              </w:rPr>
              <w:t>12,476,827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3/1/2021</w:t>
            </w:r>
          </w:p>
        </w:tc>
        <w:tc>
          <w:tcPr>
            <w:tcW w:w="10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21,712</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115,800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289,500</w:t>
            </w:r>
          </w:p>
        </w:tc>
        <w:tc>
          <w:tcPr>
            <w:tcW w:w="1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6,695,556</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3/1/2021</w:t>
            </w:r>
          </w:p>
        </w:tc>
        <w:tc>
          <w:tcPr>
            <w:tcW w:w="10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rPr>
              <w:t>435,200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4,195,328</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ALL OTHER</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26"/>
        </w:trPr>
        <w:tc>
          <w:tcPr>
            <w:tcW w:w="1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14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5"/>
              </w:rPr>
              <w:t>ESTIMATED FUTURE PAYOUTS UNDER</w:t>
            </w: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jc w:val="center"/>
              <w:ind w:left="17"/>
              <w:spacing w:after="0" w:line="126" w:lineRule="exact"/>
              <w:rPr>
                <w:sz w:val="20"/>
                <w:szCs w:val="20"/>
                <w:color w:val="auto"/>
              </w:rPr>
            </w:pPr>
            <w:r>
              <w:rPr>
                <w:rFonts w:ascii="Arial" w:cs="Arial" w:eastAsia="Arial" w:hAnsi="Arial"/>
                <w:sz w:val="13"/>
                <w:szCs w:val="13"/>
                <w:b w:val="1"/>
                <w:bCs w:val="1"/>
                <w:color w:val="auto"/>
              </w:rPr>
              <w:t>OPTION</w:t>
            </w: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26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4"/>
              </w:rPr>
              <w:t>ESTIMATED FUTURE PAYOUTS</w:t>
            </w:r>
          </w:p>
        </w:tc>
        <w:tc>
          <w:tcPr>
            <w:tcW w:w="11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2"/>
              </w:rPr>
              <w:t>AWARDS: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OR BASE</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FAIR VALUE</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NON-EQUITY INCENTIVE PLAN</w:t>
            </w:r>
          </w:p>
        </w:tc>
        <w:tc>
          <w:tcPr>
            <w:tcW w:w="2640" w:type="dxa"/>
            <w:vAlign w:val="bottom"/>
            <w:gridSpan w:val="3"/>
            <w:vMerge w:val="continue"/>
          </w:tcPr>
          <w:p>
            <w:pPr>
              <w:spacing w:after="0"/>
              <w:rPr>
                <w:sz w:val="11"/>
                <w:szCs w:val="11"/>
                <w:color w:val="auto"/>
              </w:rPr>
            </w:pPr>
          </w:p>
        </w:tc>
        <w:tc>
          <w:tcPr>
            <w:tcW w:w="11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9"/>
              </w:rPr>
              <w:t>NUMBER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PRICE OF</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jc w:val="center"/>
              <w:ind w:right="58"/>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EQUITY</w:t>
            </w:r>
          </w:p>
        </w:tc>
        <w:tc>
          <w:tcPr>
            <w:tcW w:w="780" w:type="dxa"/>
            <w:vAlign w:val="bottom"/>
          </w:tcPr>
          <w:p>
            <w:pPr>
              <w:spacing w:after="0"/>
              <w:rPr>
                <w:sz w:val="11"/>
                <w:szCs w:val="11"/>
                <w:color w:val="auto"/>
              </w:rPr>
            </w:pPr>
          </w:p>
        </w:tc>
        <w:tc>
          <w:tcPr>
            <w:tcW w:w="11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4"/>
              </w:rPr>
              <w:t>SECURITIES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AND OPTION</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tcBorders>
              <w:bottom w:val="single" w:sz="8" w:color="auto"/>
            </w:tcBorders>
            <w:gridSpan w:val="3"/>
          </w:tcPr>
          <w:p>
            <w:pPr>
              <w:jc w:val="center"/>
              <w:spacing w:after="0" w:line="165" w:lineRule="exact"/>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9"/>
                <w:szCs w:val="19"/>
                <w:b w:val="1"/>
                <w:bCs w:val="1"/>
                <w:color w:val="auto"/>
                <w:vertAlign w:val="superscript"/>
              </w:rPr>
              <w:t>(2)</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UNDERLYING</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AWARDS</w:t>
            </w:r>
          </w:p>
        </w:tc>
        <w:tc>
          <w:tcPr>
            <w:tcW w:w="106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9"/>
                <w:szCs w:val="19"/>
                <w:b w:val="1"/>
                <w:bCs w:val="1"/>
                <w:color w:val="auto"/>
                <w:w w:val="97"/>
                <w:vertAlign w:val="superscript"/>
              </w:rPr>
              <w:t>(4)</w:t>
            </w:r>
          </w:p>
        </w:tc>
        <w:tc>
          <w:tcPr>
            <w:tcW w:w="0" w:type="dxa"/>
            <w:vAlign w:val="bottom"/>
          </w:tcPr>
          <w:p>
            <w:pPr>
              <w:spacing w:after="0"/>
              <w:rPr>
                <w:sz w:val="1"/>
                <w:szCs w:val="1"/>
                <w:color w:val="auto"/>
              </w:rPr>
            </w:pPr>
          </w:p>
        </w:tc>
      </w:tr>
      <w:tr>
        <w:trPr>
          <w:trHeight w:val="144"/>
        </w:trPr>
        <w:tc>
          <w:tcPr>
            <w:tcW w:w="16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700" w:type="dxa"/>
            <w:vAlign w:val="bottom"/>
          </w:tcPr>
          <w:p>
            <w:pPr>
              <w:jc w:val="right"/>
              <w:ind w:right="154"/>
              <w:spacing w:after="0" w:line="144" w:lineRule="exact"/>
              <w:rPr>
                <w:sz w:val="20"/>
                <w:szCs w:val="20"/>
                <w:color w:val="auto"/>
              </w:rPr>
            </w:pPr>
            <w:r>
              <w:rPr>
                <w:rFonts w:ascii="Arial" w:cs="Arial" w:eastAsia="Arial" w:hAnsi="Arial"/>
                <w:sz w:val="13"/>
                <w:szCs w:val="13"/>
                <w:b w:val="1"/>
                <w:bCs w:val="1"/>
                <w:color w:val="auto"/>
                <w:w w:val="99"/>
              </w:rPr>
              <w:t>GRANT</w:t>
            </w:r>
          </w:p>
        </w:tc>
        <w:tc>
          <w:tcPr>
            <w:tcW w:w="1020" w:type="dxa"/>
            <w:vAlign w:val="bottom"/>
          </w:tcPr>
          <w:p>
            <w:pPr>
              <w:jc w:val="right"/>
              <w:ind w:right="36"/>
              <w:spacing w:after="0" w:line="144" w:lineRule="exact"/>
              <w:rPr>
                <w:sz w:val="20"/>
                <w:szCs w:val="20"/>
                <w:color w:val="auto"/>
              </w:rPr>
            </w:pPr>
            <w:r>
              <w:rPr>
                <w:rFonts w:ascii="Arial" w:cs="Arial" w:eastAsia="Arial" w:hAnsi="Arial"/>
                <w:sz w:val="13"/>
                <w:szCs w:val="13"/>
                <w:b w:val="1"/>
                <w:bCs w:val="1"/>
                <w:color w:val="auto"/>
              </w:rPr>
              <w:t>THRESHOLD</w:t>
            </w:r>
          </w:p>
        </w:tc>
        <w:tc>
          <w:tcPr>
            <w:tcW w:w="1040" w:type="dxa"/>
            <w:vAlign w:val="bottom"/>
          </w:tcPr>
          <w:p>
            <w:pPr>
              <w:jc w:val="center"/>
              <w:ind w:left="78"/>
              <w:spacing w:after="0" w:line="144" w:lineRule="exact"/>
              <w:rPr>
                <w:sz w:val="20"/>
                <w:szCs w:val="20"/>
                <w:color w:val="auto"/>
              </w:rPr>
            </w:pPr>
            <w:r>
              <w:rPr>
                <w:rFonts w:ascii="Arial" w:cs="Arial" w:eastAsia="Arial" w:hAnsi="Arial"/>
                <w:sz w:val="13"/>
                <w:szCs w:val="13"/>
                <w:b w:val="1"/>
                <w:bCs w:val="1"/>
                <w:color w:val="auto"/>
                <w:w w:val="93"/>
              </w:rPr>
              <w:t>TARGET</w:t>
            </w:r>
          </w:p>
        </w:tc>
        <w:tc>
          <w:tcPr>
            <w:tcW w:w="10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MAXIMUM</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THRESHOLD</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TARGET</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MAXIMUM</w:t>
            </w:r>
          </w:p>
        </w:tc>
        <w:tc>
          <w:tcPr>
            <w:tcW w:w="1140" w:type="dxa"/>
            <w:vAlign w:val="bottom"/>
          </w:tcPr>
          <w:p>
            <w:pPr>
              <w:jc w:val="center"/>
              <w:ind w:left="17"/>
              <w:spacing w:after="0" w:line="144"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(3)</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7"/>
        </w:trPr>
        <w:tc>
          <w:tcPr>
            <w:tcW w:w="16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(a)</w:t>
            </w:r>
          </w:p>
        </w:tc>
        <w:tc>
          <w:tcPr>
            <w:tcW w:w="1040" w:type="dxa"/>
            <w:vAlign w:val="bottom"/>
            <w:tcBorders>
              <w:bottom w:val="single" w:sz="8" w:color="auto"/>
            </w:tcBorders>
          </w:tcPr>
          <w:p>
            <w:pPr>
              <w:jc w:val="center"/>
              <w:ind w:left="78"/>
              <w:spacing w:after="0"/>
              <w:rPr>
                <w:sz w:val="20"/>
                <w:szCs w:val="20"/>
                <w:color w:val="auto"/>
              </w:rPr>
            </w:pPr>
            <w:r>
              <w:rPr>
                <w:rFonts w:ascii="Arial" w:cs="Arial" w:eastAsia="Arial" w:hAnsi="Arial"/>
                <w:sz w:val="13"/>
                <w:szCs w:val="13"/>
                <w:b w:val="1"/>
                <w:bCs w:val="1"/>
                <w:color w:val="auto"/>
              </w:rPr>
              <w:t>(b)</w:t>
            </w:r>
          </w:p>
        </w:tc>
        <w:tc>
          <w:tcPr>
            <w:tcW w:w="1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rPr>
              <w:t>(c)</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0" w:type="dxa"/>
            <w:vAlign w:val="bottom"/>
          </w:tcPr>
          <w:p>
            <w:pPr>
              <w:spacing w:after="0"/>
              <w:rPr>
                <w:sz w:val="1"/>
                <w:szCs w:val="1"/>
                <w:color w:val="auto"/>
              </w:rPr>
            </w:pPr>
          </w:p>
        </w:tc>
      </w:tr>
      <w:tr>
        <w:trPr>
          <w:trHeight w:val="200"/>
        </w:trPr>
        <w:tc>
          <w:tcPr>
            <w:tcW w:w="1660" w:type="dxa"/>
            <w:vAlign w:val="bottom"/>
          </w:tcPr>
          <w:p>
            <w:pPr>
              <w:ind w:left="60"/>
              <w:spacing w:after="0"/>
              <w:rPr>
                <w:sz w:val="20"/>
                <w:szCs w:val="20"/>
                <w:color w:val="auto"/>
              </w:rPr>
            </w:pPr>
            <w:r>
              <w:rPr>
                <w:rFonts w:ascii="Arial" w:cs="Arial" w:eastAsia="Arial" w:hAnsi="Arial"/>
                <w:sz w:val="13"/>
                <w:szCs w:val="13"/>
                <w:b w:val="1"/>
                <w:bCs w:val="1"/>
                <w:color w:val="auto"/>
              </w:rPr>
              <w:t>Jeffrey Shell</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1,050,000</w:t>
            </w:r>
          </w:p>
        </w:tc>
        <w:tc>
          <w:tcPr>
            <w:tcW w:w="104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color w:val="auto"/>
              </w:rPr>
              <w:t>7,500,000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13,875,000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60" w:type="dxa"/>
            <w:vAlign w:val="bottom"/>
          </w:tcPr>
          <w:p>
            <w:pPr>
              <w:spacing w:after="0"/>
              <w:rPr>
                <w:sz w:val="16"/>
                <w:szCs w:val="16"/>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98"/>
              </w:rPr>
              <w:t>3/1/2021</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17,775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94,800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237,000</w:t>
            </w:r>
          </w:p>
        </w:tc>
        <w:tc>
          <w:tcPr>
            <w:tcW w:w="1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5,481,336</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98"/>
              </w:rPr>
              <w:t>3/1/2021</w:t>
            </w: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rPr>
              <w:t>356,700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3,438,588</w:t>
            </w:r>
          </w:p>
        </w:tc>
        <w:tc>
          <w:tcPr>
            <w:tcW w:w="0" w:type="dxa"/>
            <w:vAlign w:val="bottom"/>
          </w:tcPr>
          <w:p>
            <w:pPr>
              <w:spacing w:after="0"/>
              <w:rPr>
                <w:sz w:val="1"/>
                <w:szCs w:val="1"/>
                <w:color w:val="auto"/>
              </w:rPr>
            </w:pPr>
          </w:p>
        </w:tc>
      </w:tr>
      <w:tr>
        <w:trPr>
          <w:trHeight w:val="202"/>
        </w:trPr>
        <w:tc>
          <w:tcPr>
            <w:tcW w:w="1660" w:type="dxa"/>
            <w:vAlign w:val="bottom"/>
          </w:tcPr>
          <w:p>
            <w:pPr>
              <w:ind w:left="60"/>
              <w:spacing w:after="0" w:line="202" w:lineRule="exact"/>
              <w:rPr>
                <w:sz w:val="20"/>
                <w:szCs w:val="20"/>
                <w:color w:val="auto"/>
              </w:rPr>
            </w:pPr>
            <w:r>
              <w:rPr>
                <w:rFonts w:ascii="Arial" w:cs="Arial" w:eastAsia="Arial" w:hAnsi="Arial"/>
                <w:sz w:val="13"/>
                <w:szCs w:val="13"/>
                <w:b w:val="1"/>
                <w:bCs w:val="1"/>
                <w:color w:val="auto"/>
              </w:rPr>
              <w:t>Dana Strong</w:t>
            </w:r>
            <w:r>
              <w:rPr>
                <w:rFonts w:ascii="Arial" w:cs="Arial" w:eastAsia="Arial" w:hAnsi="Arial"/>
                <w:sz w:val="22"/>
                <w:szCs w:val="22"/>
                <w:b w:val="1"/>
                <w:bCs w:val="1"/>
                <w:color w:val="auto"/>
                <w:vertAlign w:val="superscript"/>
              </w:rPr>
              <w:t>(5)</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868,193</w:t>
            </w:r>
          </w:p>
        </w:tc>
        <w:tc>
          <w:tcPr>
            <w:tcW w:w="104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color w:val="auto"/>
              </w:rPr>
              <w:t>6,201,381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11,472,555</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98"/>
              </w:rPr>
              <w:t>3/1/2021</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10,856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57,900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144,750</w:t>
            </w:r>
          </w:p>
        </w:tc>
        <w:tc>
          <w:tcPr>
            <w:tcW w:w="1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3,347,778</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98"/>
              </w:rPr>
              <w:t>3/1/2021</w:t>
            </w: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rPr>
              <w:t>217,600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2,097,664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00" w:right="60" w:hanging="292"/>
        <w:spacing w:after="0" w:line="243" w:lineRule="auto"/>
        <w:tabs>
          <w:tab w:leader="none" w:pos="300" w:val="left"/>
        </w:tabs>
        <w:numPr>
          <w:ilvl w:val="0"/>
          <w:numId w:val="57"/>
        </w:numPr>
        <w:rPr>
          <w:rFonts w:ascii="Arial" w:cs="Arial" w:eastAsia="Arial" w:hAnsi="Arial"/>
          <w:sz w:val="10"/>
          <w:szCs w:val="10"/>
          <w:color w:val="auto"/>
        </w:rPr>
      </w:pPr>
      <w:r>
        <w:rPr>
          <w:rFonts w:ascii="Arial" w:cs="Arial" w:eastAsia="Arial" w:hAnsi="Arial"/>
          <w:sz w:val="13"/>
          <w:szCs w:val="13"/>
          <w:color w:val="auto"/>
        </w:rPr>
        <w:t>Represents annual performance-based bonus awards granted under our cash bonus plans. The actual amounts earned with respect to these bonuses are included in the “Summary Compensation Table” above under the “Non-Equity Incentive Plan Compensation” column.</w:t>
      </w:r>
    </w:p>
    <w:p>
      <w:pPr>
        <w:spacing w:after="0" w:line="102" w:lineRule="exact"/>
        <w:rPr>
          <w:rFonts w:ascii="Arial" w:cs="Arial" w:eastAsia="Arial" w:hAnsi="Arial"/>
          <w:sz w:val="10"/>
          <w:szCs w:val="10"/>
          <w:color w:val="auto"/>
        </w:rPr>
      </w:pPr>
    </w:p>
    <w:p>
      <w:pPr>
        <w:ind w:left="300" w:right="40" w:hanging="292"/>
        <w:spacing w:after="0" w:line="222" w:lineRule="auto"/>
        <w:tabs>
          <w:tab w:leader="none" w:pos="300" w:val="left"/>
        </w:tabs>
        <w:numPr>
          <w:ilvl w:val="0"/>
          <w:numId w:val="57"/>
        </w:numPr>
        <w:rPr>
          <w:rFonts w:ascii="Arial" w:cs="Arial" w:eastAsia="Arial" w:hAnsi="Arial"/>
          <w:sz w:val="10"/>
          <w:szCs w:val="10"/>
          <w:color w:val="auto"/>
        </w:rPr>
      </w:pPr>
      <w:r>
        <w:rPr>
          <w:rFonts w:ascii="Arial" w:cs="Arial" w:eastAsia="Arial" w:hAnsi="Arial"/>
          <w:sz w:val="13"/>
          <w:szCs w:val="13"/>
          <w:color w:val="auto"/>
        </w:rPr>
        <w:t>The amounts in columns (d) through (f) represent shares of Class A common stock underlying PSUs granted under our 2002 Restricted Stock Plan that vest 100% over three years based on the achievement of the performance conditions. PSUs will be earned based on achievement of two primary performance metrics over a three year period beginning in 2021, each weighted 50%: (i) ROIC, calculated based on our ROIC for each year during the three-year performance period and averaged at the end of such period to yield an average ROIC for the cumulative three-year period; and (ii) Relative Adjusted EPS Growth, calculated at the end of the cumulative three-year performance period based on the percentile ranking of our Adjusted EPS compound average annual growth rate during the performance period relative to that of the companies comprising the S&amp;P 100 Index. The actual number of PSUs earned will be based on (x) the three-year average ROIC measured against a pre-established target approved by the Compensation and Human Capital Committee in February of 2021, with achievement level payouts ranging from 50% for threshold performance to 200% for maximum performance (with 100% as the target and linear interpolation between specified achievement levels) and (y) Relative Adjusted EPS Growth over the three year period, with payouts ranging from 50% for performance at the 25th percentile to 200% for performance at or above the 75th percentile, and setting the target payout for performance at the median. For both metrics, payouts are zero for performance below the threshold.</w:t>
      </w:r>
    </w:p>
    <w:p>
      <w:pPr>
        <w:spacing w:after="0" w:line="105" w:lineRule="exact"/>
        <w:rPr>
          <w:rFonts w:ascii="Arial" w:cs="Arial" w:eastAsia="Arial" w:hAnsi="Arial"/>
          <w:sz w:val="10"/>
          <w:szCs w:val="10"/>
          <w:color w:val="auto"/>
        </w:rPr>
      </w:pPr>
    </w:p>
    <w:p>
      <w:pPr>
        <w:ind w:left="300" w:right="80"/>
        <w:spacing w:after="0" w:line="222" w:lineRule="auto"/>
        <w:rPr>
          <w:rFonts w:ascii="Arial" w:cs="Arial" w:eastAsia="Arial" w:hAnsi="Arial"/>
          <w:sz w:val="10"/>
          <w:szCs w:val="10"/>
          <w:color w:val="auto"/>
        </w:rPr>
      </w:pPr>
      <w:r>
        <w:rPr>
          <w:rFonts w:ascii="Arial" w:cs="Arial" w:eastAsia="Arial" w:hAnsi="Arial"/>
          <w:sz w:val="13"/>
          <w:szCs w:val="13"/>
          <w:color w:val="auto"/>
        </w:rPr>
        <w:t>After calculating the ROIC and Relative Adjusted EPS Growth components, the Relative TSR Modifier is applied, which is based on the percentile ranking of our TSR during such period relative to that of the companies comprising the S&amp;P 100 Index, as modified to account for changes in the index companies such as due to merger and acquisition activity. TSR will be determined based on the average stock price of each company for the 20 trading days prior to each of the first and last day of the performance period and will be calculated assuming the reinvestment of dividends. The actual number of PSUs earned will be determined after multiplying the payout levels for the two primary performance metrics by 25% for top quartile TSR performance or (25)% for bottom quartile performance, with performance in between straight-line interpolated. If our absolute TSR over the performance period is negative, then, irrespective of our TSR percentile ranking, no positive adjustment will be made to the payouts under the ROIC and Relative Adjusted EPS Growth components. See “Compensation Discussion and Analysis — Design and Structure of Executive Compensation — Equity-Based Incentive Compensation” above for additional information. Dividend equivalents accrue on shares underlying PSUs, although the amounts will only be paid (without interest) if and when the shares underlying PSUs vest.</w:t>
      </w:r>
    </w:p>
    <w:p>
      <w:pPr>
        <w:spacing w:after="0" w:line="108" w:lineRule="exact"/>
        <w:rPr>
          <w:rFonts w:ascii="Arial" w:cs="Arial" w:eastAsia="Arial" w:hAnsi="Arial"/>
          <w:sz w:val="10"/>
          <w:szCs w:val="10"/>
          <w:color w:val="auto"/>
        </w:rPr>
      </w:pPr>
    </w:p>
    <w:p>
      <w:pPr>
        <w:ind w:left="300" w:right="60" w:hanging="292"/>
        <w:spacing w:after="0" w:line="243" w:lineRule="auto"/>
        <w:tabs>
          <w:tab w:leader="none" w:pos="300" w:val="left"/>
        </w:tabs>
        <w:numPr>
          <w:ilvl w:val="0"/>
          <w:numId w:val="57"/>
        </w:numPr>
        <w:rPr>
          <w:rFonts w:ascii="Arial" w:cs="Arial" w:eastAsia="Arial" w:hAnsi="Arial"/>
          <w:sz w:val="10"/>
          <w:szCs w:val="10"/>
          <w:color w:val="auto"/>
        </w:rPr>
      </w:pPr>
      <w:r>
        <w:rPr>
          <w:rFonts w:ascii="Arial" w:cs="Arial" w:eastAsia="Arial" w:hAnsi="Arial"/>
          <w:sz w:val="13"/>
          <w:szCs w:val="13"/>
          <w:color w:val="auto"/>
        </w:rPr>
        <w:t>The amounts in this column represent shares of our Class A common stock underlying stock options granted under our 2003 Stock Option Plan. Options become exercisable as follows: 40% of the shares become exercisable on the second anniversary of the date of grant and an additional 20% on each of the third, fourth and fifth anniversaries of the date of grant.</w:t>
      </w:r>
    </w:p>
    <w:p>
      <w:pPr>
        <w:spacing w:after="0" w:line="102" w:lineRule="exact"/>
        <w:rPr>
          <w:rFonts w:ascii="Arial" w:cs="Arial" w:eastAsia="Arial" w:hAnsi="Arial"/>
          <w:sz w:val="10"/>
          <w:szCs w:val="10"/>
          <w:color w:val="auto"/>
        </w:rPr>
      </w:pPr>
    </w:p>
    <w:p>
      <w:pPr>
        <w:ind w:left="300" w:hanging="292"/>
        <w:spacing w:after="0" w:line="233" w:lineRule="auto"/>
        <w:tabs>
          <w:tab w:leader="none" w:pos="300" w:val="left"/>
        </w:tabs>
        <w:numPr>
          <w:ilvl w:val="0"/>
          <w:numId w:val="57"/>
        </w:numPr>
        <w:rPr>
          <w:rFonts w:ascii="Arial" w:cs="Arial" w:eastAsia="Arial" w:hAnsi="Arial"/>
          <w:sz w:val="10"/>
          <w:szCs w:val="10"/>
          <w:color w:val="auto"/>
        </w:rPr>
      </w:pPr>
      <w:r>
        <w:rPr>
          <w:rFonts w:ascii="Arial" w:cs="Arial" w:eastAsia="Arial" w:hAnsi="Arial"/>
          <w:sz w:val="13"/>
          <w:szCs w:val="13"/>
          <w:color w:val="auto"/>
        </w:rPr>
        <w:t>The amounts in this column represent the grant date fair value of PSUs and stock options computed in accordance with FASB ASC Topic 718. These amounts do not necessarily correspond to the actual value that may be realized by the NEOs. The grant date fair value of PSUs was determined as described in footnote (2) to the “Summary Compensation Table.” Amounts with respect to stock options were calculated using the Black-Scholes option pricing model, based upon the assumptions set forth in footnote (3) to the “Summary Compensation Table.”</w:t>
      </w:r>
    </w:p>
    <w:p>
      <w:pPr>
        <w:spacing w:after="0" w:line="104" w:lineRule="exact"/>
        <w:rPr>
          <w:rFonts w:ascii="Arial" w:cs="Arial" w:eastAsia="Arial" w:hAnsi="Arial"/>
          <w:sz w:val="10"/>
          <w:szCs w:val="10"/>
          <w:color w:val="auto"/>
        </w:rPr>
      </w:pPr>
    </w:p>
    <w:p>
      <w:pPr>
        <w:ind w:left="300" w:right="180" w:hanging="292"/>
        <w:spacing w:after="0" w:line="243" w:lineRule="auto"/>
        <w:tabs>
          <w:tab w:leader="none" w:pos="300" w:val="left"/>
        </w:tabs>
        <w:numPr>
          <w:ilvl w:val="0"/>
          <w:numId w:val="57"/>
        </w:numPr>
        <w:rPr>
          <w:rFonts w:ascii="Arial" w:cs="Arial" w:eastAsia="Arial" w:hAnsi="Arial"/>
          <w:sz w:val="10"/>
          <w:szCs w:val="10"/>
          <w:color w:val="auto"/>
        </w:rPr>
      </w:pPr>
      <w:r>
        <w:rPr>
          <w:rFonts w:ascii="Arial" w:cs="Arial" w:eastAsia="Arial" w:hAnsi="Arial"/>
          <w:sz w:val="13"/>
          <w:szCs w:val="13"/>
          <w:color w:val="auto"/>
        </w:rPr>
        <w:t>For 2021, Ms. Strong’s estimated future payouts in British pounds sterling under our annual cash bonus plan at threshold, target and maximum levels were £631,092, £4,507,800 and £8,339,431 respectively. The amount of British pounds sterling was converted to U.S. dollars using the 2021 average of daily spot rates of £1 to $1.3757.</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at Fiscal Year-End</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table provides information on the holdings of stock options and stock awards by our NEOs as of December 31, 2021. This table includes unexercised vested and unvested options to purchase shares of Class A common stock (see columns (a), (b), (c) and (d)), unvested RSUs with respect to shares of Class A common stock (see columns (e) and (f)) and unvested PSUs with respect to shares of Class A common stock (see columns (g) and (h)). The vesting schedules for these grants are disclosed in the footnotes to this table. The market value of stock awards is based on the closing market price of a share of our Class A common stock as of December 31, 2021, or $50.33.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3"/>
                <w:szCs w:val="13"/>
                <w:b w:val="1"/>
                <w:bCs w:val="1"/>
                <w:color w:val="auto"/>
              </w:rPr>
              <w:t>OPTION AWARDS</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right"/>
              <w:ind w:right="417"/>
              <w:spacing w:after="0"/>
              <w:rPr>
                <w:sz w:val="20"/>
                <w:szCs w:val="20"/>
                <w:color w:val="auto"/>
              </w:rPr>
            </w:pPr>
            <w:r>
              <w:rPr>
                <w:rFonts w:ascii="Arial" w:cs="Arial" w:eastAsia="Arial" w:hAnsi="Arial"/>
                <w:sz w:val="13"/>
                <w:szCs w:val="13"/>
                <w:b w:val="1"/>
                <w:bCs w:val="1"/>
                <w:color w:val="auto"/>
              </w:rPr>
              <w:t>STOCK AWARDS</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jc w:val="center"/>
              <w:ind w:left="16"/>
              <w:spacing w:after="0" w:line="138" w:lineRule="exact"/>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EQUITY</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INCENTIVE</w:t>
            </w: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INCENTIVE</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6"/>
              </w:rPr>
              <w:t>MARKET VALUE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3"/>
              </w:rPr>
              <w:t>OR PAYOUT</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VALUE OF</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vMerge w:val="restart"/>
          </w:tcPr>
          <w:p>
            <w:pPr>
              <w:jc w:val="center"/>
              <w:ind w:right="32"/>
              <w:spacing w:after="0"/>
              <w:rPr>
                <w:sz w:val="20"/>
                <w:szCs w:val="20"/>
                <w:color w:val="auto"/>
              </w:rPr>
            </w:pPr>
            <w:r>
              <w:rPr>
                <w:rFonts w:ascii="Arial" w:cs="Arial" w:eastAsia="Arial" w:hAnsi="Arial"/>
                <w:sz w:val="13"/>
                <w:szCs w:val="13"/>
                <w:b w:val="1"/>
                <w:bCs w:val="1"/>
                <w:color w:val="auto"/>
                <w:w w:val="96"/>
              </w:rPr>
              <w:t>NUMBER OF</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NUMBER OF</w:t>
            </w: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6"/>
              </w:rPr>
              <w:t>NUMBER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VALUE OF</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UNEARNED</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UNEARNED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SHARES OR</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SECURITIES</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SECURITIES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OPTION</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8"/>
              </w:rPr>
              <w:t>SHARES OR</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UNITS OF</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UNITS OR</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UNITS OR OTHER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95"/>
              </w:rPr>
              <w:t>UNDERLYING</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UNDERLYING</w:t>
            </w:r>
          </w:p>
        </w:tc>
        <w:tc>
          <w:tcPr>
            <w:tcW w:w="880" w:type="dxa"/>
            <w:vAlign w:val="bottom"/>
            <w:vMerge w:val="continue"/>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5"/>
              </w:rPr>
              <w:t>UNITS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6"/>
              </w:rPr>
              <w:t>RIGHTS THAT</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160" w:type="dxa"/>
            <w:vAlign w:val="bottom"/>
            <w:gridSpan w:val="2"/>
            <w:vMerge w:val="continue"/>
          </w:tcPr>
          <w:p>
            <w:pPr>
              <w:spacing w:after="0"/>
              <w:rPr>
                <w:sz w:val="11"/>
                <w:szCs w:val="11"/>
                <w:color w:val="auto"/>
              </w:rPr>
            </w:pPr>
          </w:p>
        </w:tc>
        <w:tc>
          <w:tcPr>
            <w:tcW w:w="9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5"/>
              </w:rPr>
              <w:t>STOCK THAT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RIGHTS</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9"/>
              </w:rPr>
              <w:t>HAVE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5"/>
              </w:rPr>
              <w:t>OPTIONS</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OPTIONS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PRICE</w:t>
            </w: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EXPIRATION</w:t>
            </w:r>
          </w:p>
        </w:tc>
        <w:tc>
          <w:tcPr>
            <w:tcW w:w="9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5"/>
              </w:rPr>
              <w:t>HAVE NOT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NOT VESTED</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2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6"/>
              </w:rPr>
              <w:t>NOT VESTED</w:t>
            </w:r>
          </w:p>
        </w:tc>
        <w:tc>
          <w:tcPr>
            <w:tcW w:w="0" w:type="dxa"/>
            <w:vAlign w:val="bottom"/>
          </w:tcPr>
          <w:p>
            <w:pPr>
              <w:spacing w:after="0"/>
              <w:rPr>
                <w:sz w:val="1"/>
                <w:szCs w:val="1"/>
                <w:color w:val="auto"/>
              </w:rPr>
            </w:pPr>
          </w:p>
        </w:tc>
      </w:tr>
      <w:tr>
        <w:trPr>
          <w:trHeight w:val="144"/>
        </w:trPr>
        <w:tc>
          <w:tcPr>
            <w:tcW w:w="23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center"/>
              <w:ind w:right="12"/>
              <w:spacing w:after="0" w:line="144" w:lineRule="exact"/>
              <w:rPr>
                <w:sz w:val="20"/>
                <w:szCs w:val="20"/>
                <w:color w:val="auto"/>
              </w:rPr>
            </w:pPr>
            <w:r>
              <w:rPr>
                <w:rFonts w:ascii="Arial" w:cs="Arial" w:eastAsia="Arial" w:hAnsi="Arial"/>
                <w:sz w:val="13"/>
                <w:szCs w:val="13"/>
                <w:b w:val="1"/>
                <w:bCs w:val="1"/>
                <w:color w:val="auto"/>
                <w:w w:val="97"/>
              </w:rPr>
              <w:t>EXERCISABLE</w:t>
            </w:r>
          </w:p>
        </w:tc>
        <w:tc>
          <w:tcPr>
            <w:tcW w:w="144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UNEXERCISABLE</w:t>
            </w:r>
            <w:r>
              <w:rPr>
                <w:rFonts w:ascii="Arial" w:cs="Arial" w:eastAsia="Arial" w:hAnsi="Arial"/>
                <w:sz w:val="16"/>
                <w:szCs w:val="16"/>
                <w:b w:val="1"/>
                <w:bCs w:val="1"/>
                <w:color w:val="auto"/>
                <w:vertAlign w:val="superscript"/>
              </w:rPr>
              <w:t>(2)</w:t>
            </w: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DATE</w:t>
            </w:r>
          </w:p>
        </w:tc>
        <w:tc>
          <w:tcPr>
            <w:tcW w:w="920" w:type="dxa"/>
            <w:vAlign w:val="bottom"/>
          </w:tcPr>
          <w:p>
            <w:pPr>
              <w:jc w:val="center"/>
              <w:ind w:right="58"/>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(3)(4)</w:t>
            </w: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26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6"/>
                <w:szCs w:val="16"/>
                <w:b w:val="1"/>
                <w:bCs w:val="1"/>
                <w:color w:val="auto"/>
                <w:vertAlign w:val="superscript"/>
              </w:rPr>
              <w:t>(3)(4)</w:t>
            </w:r>
          </w:p>
        </w:tc>
        <w:tc>
          <w:tcPr>
            <w:tcW w:w="1200" w:type="dxa"/>
            <w:vAlign w:val="bottom"/>
          </w:tcPr>
          <w:p>
            <w:pPr>
              <w:jc w:val="center"/>
              <w:ind w:left="16"/>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7"/>
        </w:trPr>
        <w:tc>
          <w:tcPr>
            <w:tcW w:w="2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rPr>
              <w:t>(a)</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6"/>
              </w:rPr>
              <w:t>(d)</w:t>
            </w: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2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6"/>
              </w:rPr>
              <w:t>(h)</w:t>
            </w:r>
          </w:p>
        </w:tc>
        <w:tc>
          <w:tcPr>
            <w:tcW w:w="0" w:type="dxa"/>
            <w:vAlign w:val="bottom"/>
          </w:tcPr>
          <w:p>
            <w:pPr>
              <w:spacing w:after="0"/>
              <w:rPr>
                <w:sz w:val="1"/>
                <w:szCs w:val="1"/>
                <w:color w:val="auto"/>
              </w:rPr>
            </w:pPr>
          </w:p>
        </w:tc>
      </w:tr>
      <w:tr>
        <w:trPr>
          <w:trHeight w:val="200"/>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Brian L. Roberts</w:t>
            </w:r>
          </w:p>
        </w:tc>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1,138,846</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57,318,119</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1,090,800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121,200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20.610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03/21/2023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820,250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144,750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25.000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03/20/2024</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726,080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181,520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29.725</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03/19/2025</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701,100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233,700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29.880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03/17/2026</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461,280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307,520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37.460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03/16/2027</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336,780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411,620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35.830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03/15/2028</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202,920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473,480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40.470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03/14/2029</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1,623,300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42.520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03/01/2030</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879,200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54.450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02/28/2031</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Michael J. Cavanagh</w:t>
            </w:r>
          </w:p>
        </w:tc>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887,736</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44,679,753</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72"/>
              <w:spacing w:after="0" w:line="211" w:lineRule="exact"/>
              <w:rPr>
                <w:sz w:val="20"/>
                <w:szCs w:val="20"/>
                <w:color w:val="auto"/>
              </w:rPr>
            </w:pPr>
            <w:r>
              <w:rPr>
                <w:rFonts w:ascii="Arial" w:cs="Arial" w:eastAsia="Arial" w:hAnsi="Arial"/>
                <w:sz w:val="13"/>
                <w:szCs w:val="13"/>
                <w:color w:val="auto"/>
              </w:rPr>
              <w:t>571,968</w:t>
            </w:r>
            <w:r>
              <w:rPr>
                <w:rFonts w:ascii="Arial" w:cs="Arial" w:eastAsia="Arial" w:hAnsi="Arial"/>
                <w:sz w:val="22"/>
                <w:szCs w:val="22"/>
                <w:color w:val="auto"/>
                <w:vertAlign w:val="superscript"/>
              </w:rPr>
              <w:t>(1)</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142,992</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28.320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05/14/2025</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72"/>
              <w:spacing w:after="0" w:line="209" w:lineRule="exact"/>
              <w:rPr>
                <w:sz w:val="20"/>
                <w:szCs w:val="20"/>
                <w:color w:val="auto"/>
              </w:rPr>
            </w:pPr>
            <w:r>
              <w:rPr>
                <w:rFonts w:ascii="Arial" w:cs="Arial" w:eastAsia="Arial" w:hAnsi="Arial"/>
                <w:sz w:val="13"/>
                <w:szCs w:val="13"/>
                <w:color w:val="auto"/>
              </w:rPr>
              <w:t>524,400</w:t>
            </w:r>
            <w:r>
              <w:rPr>
                <w:rFonts w:ascii="Arial" w:cs="Arial" w:eastAsia="Arial" w:hAnsi="Arial"/>
                <w:sz w:val="22"/>
                <w:szCs w:val="22"/>
                <w:color w:val="auto"/>
                <w:vertAlign w:val="superscript"/>
              </w:rPr>
              <w:t>(1)</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174,800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29.880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03/17/2026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72"/>
              <w:spacing w:after="0" w:line="209" w:lineRule="exact"/>
              <w:rPr>
                <w:sz w:val="20"/>
                <w:szCs w:val="20"/>
                <w:color w:val="auto"/>
              </w:rPr>
            </w:pPr>
            <w:r>
              <w:rPr>
                <w:rFonts w:ascii="Arial" w:cs="Arial" w:eastAsia="Arial" w:hAnsi="Arial"/>
                <w:sz w:val="13"/>
                <w:szCs w:val="13"/>
                <w:color w:val="auto"/>
              </w:rPr>
              <w:t>344,820</w:t>
            </w:r>
            <w:r>
              <w:rPr>
                <w:rFonts w:ascii="Arial" w:cs="Arial" w:eastAsia="Arial" w:hAnsi="Arial"/>
                <w:sz w:val="22"/>
                <w:szCs w:val="22"/>
                <w:color w:val="auto"/>
                <w:vertAlign w:val="superscript"/>
              </w:rPr>
              <w:t>(1)</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229,880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37.460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03/16/2027</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72"/>
              <w:spacing w:after="0" w:line="209" w:lineRule="exact"/>
              <w:rPr>
                <w:sz w:val="20"/>
                <w:szCs w:val="20"/>
                <w:color w:val="auto"/>
              </w:rPr>
            </w:pPr>
            <w:r>
              <w:rPr>
                <w:rFonts w:ascii="Arial" w:cs="Arial" w:eastAsia="Arial" w:hAnsi="Arial"/>
                <w:sz w:val="13"/>
                <w:szCs w:val="13"/>
                <w:color w:val="auto"/>
              </w:rPr>
              <w:t>251,865</w:t>
            </w:r>
            <w:r>
              <w:rPr>
                <w:rFonts w:ascii="Arial" w:cs="Arial" w:eastAsia="Arial" w:hAnsi="Arial"/>
                <w:sz w:val="22"/>
                <w:szCs w:val="22"/>
                <w:color w:val="auto"/>
                <w:vertAlign w:val="superscript"/>
              </w:rPr>
              <w:t>(1)</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307,835</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35.830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03/15/2028</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180,150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420,350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40.470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03/14/2029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1,079,700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42.520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03/01/2030</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655,100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color w:val="auto"/>
              </w:rPr>
              <w:t>54.450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02/28/2031</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David N. Watson</w:t>
            </w:r>
          </w:p>
        </w:tc>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13,360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672,409</w:t>
            </w:r>
          </w:p>
        </w:tc>
        <w:tc>
          <w:tcPr>
            <w:tcW w:w="12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551,197</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27,741,745</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169,000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14.995</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03/22/2022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185,460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28,440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20.610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03/21/2023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191,760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33,840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25.000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03/20/2024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169,920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42,480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29.725</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03/19/2025</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140,450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54,650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29.880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03/17/2026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107,700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71,800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37.460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03/16/2027</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172,980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211,420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35.830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03/15/2028</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123,300</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287,700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40.470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03/14/2029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643,100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42.520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03/01/2030</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435,200</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54.450</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02/28/2031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3"/>
                <w:szCs w:val="13"/>
                <w:b w:val="1"/>
                <w:bCs w:val="1"/>
                <w:color w:val="auto"/>
              </w:rPr>
              <w:t>STOCK AWARDS</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jc w:val="center"/>
              <w:ind w:left="17"/>
              <w:spacing w:after="0" w:line="111"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EQUITY</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7"/>
              </w:rPr>
              <w:t>INCENTIVE</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tcPr>
          <w:p>
            <w:pPr>
              <w:jc w:val="center"/>
              <w:ind w:left="17"/>
              <w:spacing w:after="0" w:line="126"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INCENTIVE</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6"/>
              </w:rPr>
              <w:t>MARKET VALUE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OR PAYOUT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7"/>
              </w:rPr>
              <w:t>VALUE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vMerge w:val="restart"/>
          </w:tcPr>
          <w:p>
            <w:pPr>
              <w:jc w:val="center"/>
              <w:ind w:right="35"/>
              <w:spacing w:after="0"/>
              <w:rPr>
                <w:sz w:val="20"/>
                <w:szCs w:val="20"/>
                <w:color w:val="auto"/>
              </w:rPr>
            </w:pPr>
            <w:r>
              <w:rPr>
                <w:rFonts w:ascii="Arial" w:cs="Arial" w:eastAsia="Arial" w:hAnsi="Arial"/>
                <w:sz w:val="13"/>
                <w:szCs w:val="13"/>
                <w:b w:val="1"/>
                <w:bCs w:val="1"/>
                <w:color w:val="auto"/>
                <w:w w:val="96"/>
              </w:rPr>
              <w:t>NUMBER OF</w:t>
            </w:r>
          </w:p>
        </w:tc>
        <w:tc>
          <w:tcPr>
            <w:tcW w:w="1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NUMBER OF</w:t>
            </w: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9"/>
              </w:rPr>
              <w:t>NUMBER OF</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UNEARNED</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7"/>
              </w:rPr>
              <w:t>UNEARNED</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7"/>
              </w:rPr>
              <w:t>SECURITIES</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SECURITIES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5"/>
              </w:rPr>
              <w:t>SHARES OR</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UNITS OR</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7"/>
              </w:rPr>
              <w:t>UNITS OR OTHER</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5"/>
              </w:rPr>
              <w:t>UNDERLYING</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UNDERLYING</w:t>
            </w:r>
          </w:p>
        </w:tc>
        <w:tc>
          <w:tcPr>
            <w:tcW w:w="880" w:type="dxa"/>
            <w:vAlign w:val="bottom"/>
            <w:vMerge w:val="continue"/>
          </w:tcPr>
          <w:p>
            <w:pPr>
              <w:spacing w:after="0"/>
              <w:rPr>
                <w:sz w:val="11"/>
                <w:szCs w:val="11"/>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OPTION</w:t>
            </w:r>
          </w:p>
        </w:tc>
        <w:tc>
          <w:tcPr>
            <w:tcW w:w="94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5"/>
              </w:rPr>
              <w:t>UNITS OF</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STOCK</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6"/>
              </w:rPr>
              <w:t>RIGHTS THAT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720" w:type="dxa"/>
            <w:vAlign w:val="bottom"/>
            <w:gridSpan w:val="2"/>
          </w:tcPr>
          <w:p>
            <w:pPr>
              <w:jc w:val="center"/>
              <w:ind w:left="535"/>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UNEXERCISED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120" w:type="dxa"/>
            <w:vAlign w:val="bottom"/>
            <w:gridSpan w:val="2"/>
            <w:vMerge w:val="continue"/>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5"/>
              </w:rPr>
              <w:t>STOCK THAT</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RIGHTS</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9"/>
              </w:rPr>
              <w:t>HAVE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5"/>
              </w:rPr>
              <w:t>OPTIONS</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PRICE</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EXPIRATION</w:t>
            </w:r>
          </w:p>
        </w:tc>
        <w:tc>
          <w:tcPr>
            <w:tcW w:w="94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8"/>
              </w:rPr>
              <w:t>HAVE NOT</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NOT VESTED</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2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6"/>
              </w:rPr>
              <w:t>NOT VESTED</w:t>
            </w:r>
          </w:p>
        </w:tc>
        <w:tc>
          <w:tcPr>
            <w:tcW w:w="0" w:type="dxa"/>
            <w:vAlign w:val="bottom"/>
          </w:tcPr>
          <w:p>
            <w:pPr>
              <w:spacing w:after="0"/>
              <w:rPr>
                <w:sz w:val="1"/>
                <w:szCs w:val="1"/>
                <w:color w:val="auto"/>
              </w:rPr>
            </w:pPr>
          </w:p>
        </w:tc>
      </w:tr>
      <w:tr>
        <w:trPr>
          <w:trHeight w:val="144"/>
        </w:trPr>
        <w:tc>
          <w:tcPr>
            <w:tcW w:w="15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720" w:type="dxa"/>
            <w:vAlign w:val="bottom"/>
            <w:gridSpan w:val="2"/>
          </w:tcPr>
          <w:p>
            <w:pPr>
              <w:jc w:val="center"/>
              <w:ind w:left="515"/>
              <w:spacing w:after="0" w:line="144" w:lineRule="exact"/>
              <w:rPr>
                <w:sz w:val="20"/>
                <w:szCs w:val="20"/>
                <w:color w:val="auto"/>
              </w:rPr>
            </w:pPr>
            <w:r>
              <w:rPr>
                <w:rFonts w:ascii="Arial" w:cs="Arial" w:eastAsia="Arial" w:hAnsi="Arial"/>
                <w:sz w:val="13"/>
                <w:szCs w:val="13"/>
                <w:b w:val="1"/>
                <w:bCs w:val="1"/>
                <w:color w:val="auto"/>
                <w:w w:val="97"/>
              </w:rPr>
              <w:t>EXERCISABLE</w:t>
            </w:r>
          </w:p>
        </w:tc>
        <w:tc>
          <w:tcPr>
            <w:tcW w:w="142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UNEXERCISABLE</w:t>
            </w:r>
            <w:r>
              <w:rPr>
                <w:rFonts w:ascii="Arial" w:cs="Arial" w:eastAsia="Arial" w:hAnsi="Arial"/>
                <w:sz w:val="16"/>
                <w:szCs w:val="16"/>
                <w:b w:val="1"/>
                <w:bCs w:val="1"/>
                <w:color w:val="auto"/>
                <w:vertAlign w:val="superscript"/>
              </w:rPr>
              <w:t>(2)</w:t>
            </w: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DATE</w:t>
            </w:r>
          </w:p>
        </w:tc>
        <w:tc>
          <w:tcPr>
            <w:tcW w:w="940" w:type="dxa"/>
            <w:vAlign w:val="bottom"/>
          </w:tcPr>
          <w:p>
            <w:pPr>
              <w:jc w:val="center"/>
              <w:ind w:right="78"/>
              <w:spacing w:after="0" w:line="144" w:lineRule="exact"/>
              <w:rPr>
                <w:sz w:val="20"/>
                <w:szCs w:val="20"/>
                <w:color w:val="auto"/>
              </w:rPr>
            </w:pPr>
            <w:r>
              <w:rPr>
                <w:rFonts w:ascii="Arial" w:cs="Arial" w:eastAsia="Arial" w:hAnsi="Arial"/>
                <w:sz w:val="16"/>
                <w:szCs w:val="16"/>
                <w:b w:val="1"/>
                <w:bCs w:val="1"/>
                <w:color w:val="auto"/>
                <w:vertAlign w:val="subscript"/>
              </w:rPr>
              <w:t>VESTED</w:t>
            </w:r>
            <w:r>
              <w:rPr>
                <w:rFonts w:ascii="Arial" w:cs="Arial" w:eastAsia="Arial" w:hAnsi="Arial"/>
                <w:sz w:val="8"/>
                <w:szCs w:val="8"/>
                <w:b w:val="1"/>
                <w:bCs w:val="1"/>
                <w:color w:val="auto"/>
              </w:rPr>
              <w:t>(3)(4)</w:t>
            </w: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130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6"/>
                <w:szCs w:val="16"/>
                <w:b w:val="1"/>
                <w:bCs w:val="1"/>
                <w:color w:val="auto"/>
                <w:vertAlign w:val="superscript"/>
              </w:rPr>
              <w:t>(3)(4)</w:t>
            </w:r>
          </w:p>
        </w:tc>
        <w:tc>
          <w:tcPr>
            <w:tcW w:w="1200" w:type="dxa"/>
            <w:vAlign w:val="bottom"/>
          </w:tcPr>
          <w:p>
            <w:pPr>
              <w:jc w:val="center"/>
              <w:ind w:left="17"/>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7"/>
        </w:trPr>
        <w:tc>
          <w:tcPr>
            <w:tcW w:w="15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6"/>
              </w:rPr>
              <w:t>(d)</w:t>
            </w: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7"/>
              </w:rPr>
              <w:t>(e)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2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6"/>
              </w:rPr>
              <w:t>(h)</w:t>
            </w:r>
          </w:p>
        </w:tc>
        <w:tc>
          <w:tcPr>
            <w:tcW w:w="0" w:type="dxa"/>
            <w:vAlign w:val="bottom"/>
          </w:tcPr>
          <w:p>
            <w:pPr>
              <w:spacing w:after="0"/>
              <w:rPr>
                <w:sz w:val="1"/>
                <w:szCs w:val="1"/>
                <w:color w:val="auto"/>
              </w:rPr>
            </w:pPr>
          </w:p>
        </w:tc>
      </w:tr>
      <w:tr>
        <w:trPr>
          <w:trHeight w:val="201"/>
        </w:trPr>
        <w:tc>
          <w:tcPr>
            <w:tcW w:w="1580" w:type="dxa"/>
            <w:vAlign w:val="bottom"/>
          </w:tcPr>
          <w:p>
            <w:pPr>
              <w:ind w:left="60"/>
              <w:spacing w:after="0"/>
              <w:rPr>
                <w:sz w:val="20"/>
                <w:szCs w:val="20"/>
                <w:color w:val="auto"/>
              </w:rPr>
            </w:pPr>
            <w:r>
              <w:rPr>
                <w:rFonts w:ascii="Arial" w:cs="Arial" w:eastAsia="Arial" w:hAnsi="Arial"/>
                <w:sz w:val="13"/>
                <w:szCs w:val="13"/>
                <w:b w:val="1"/>
                <w:bCs w:val="1"/>
                <w:color w:val="auto"/>
              </w:rPr>
              <w:t>Jeffrey Shell</w:t>
            </w:r>
          </w:p>
        </w:tc>
        <w:tc>
          <w:tcPr>
            <w:tcW w:w="7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148,701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7,484,121</w:t>
            </w: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330,711</w:t>
            </w: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16,644,685</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720" w:type="dxa"/>
            <w:vAlign w:val="bottom"/>
            <w:gridSpan w:val="2"/>
          </w:tcPr>
          <w:p>
            <w:pPr>
              <w:jc w:val="right"/>
              <w:ind w:right="235"/>
              <w:spacing w:after="0"/>
              <w:rPr>
                <w:sz w:val="20"/>
                <w:szCs w:val="20"/>
                <w:color w:val="auto"/>
              </w:rPr>
            </w:pPr>
            <w:r>
              <w:rPr>
                <w:rFonts w:ascii="Arial" w:cs="Arial" w:eastAsia="Arial" w:hAnsi="Arial"/>
                <w:sz w:val="13"/>
                <w:szCs w:val="13"/>
                <w:color w:val="auto"/>
              </w:rPr>
              <w:t>90,912</w:t>
            </w:r>
          </w:p>
        </w:tc>
        <w:tc>
          <w:tcPr>
            <w:tcW w:w="1420" w:type="dxa"/>
            <w:vAlign w:val="bottom"/>
          </w:tcPr>
          <w:p>
            <w:pPr>
              <w:ind w:left="560"/>
              <w:spacing w:after="0"/>
              <w:rPr>
                <w:sz w:val="20"/>
                <w:szCs w:val="20"/>
                <w:color w:val="auto"/>
              </w:rPr>
            </w:pPr>
            <w:r>
              <w:rPr>
                <w:rFonts w:ascii="Arial" w:cs="Arial" w:eastAsia="Arial" w:hAnsi="Arial"/>
                <w:sz w:val="13"/>
                <w:szCs w:val="13"/>
                <w:color w:val="auto"/>
              </w:rPr>
              <w:t>212,128</w:t>
            </w:r>
          </w:p>
        </w:tc>
        <w:tc>
          <w:tcPr>
            <w:tcW w:w="880" w:type="dxa"/>
            <w:vAlign w:val="bottom"/>
          </w:tcPr>
          <w:p>
            <w:pPr>
              <w:jc w:val="center"/>
              <w:spacing w:after="0"/>
              <w:rPr>
                <w:sz w:val="20"/>
                <w:szCs w:val="20"/>
                <w:color w:val="auto"/>
              </w:rPr>
            </w:pPr>
            <w:r>
              <w:rPr>
                <w:rFonts w:ascii="Arial" w:cs="Arial" w:eastAsia="Arial" w:hAnsi="Arial"/>
                <w:sz w:val="13"/>
                <w:szCs w:val="13"/>
                <w:color w:val="auto"/>
              </w:rPr>
              <w:t>44.090</w:t>
            </w:r>
          </w:p>
        </w:tc>
        <w:tc>
          <w:tcPr>
            <w:tcW w:w="920" w:type="dxa"/>
            <w:vAlign w:val="bottom"/>
          </w:tcPr>
          <w:p>
            <w:pPr>
              <w:jc w:val="center"/>
              <w:ind w:left="34"/>
              <w:spacing w:after="0"/>
              <w:rPr>
                <w:sz w:val="20"/>
                <w:szCs w:val="20"/>
                <w:color w:val="auto"/>
              </w:rPr>
            </w:pPr>
            <w:r>
              <w:rPr>
                <w:rFonts w:ascii="Arial" w:cs="Arial" w:eastAsia="Arial" w:hAnsi="Arial"/>
                <w:sz w:val="13"/>
                <w:szCs w:val="13"/>
                <w:color w:val="auto"/>
              </w:rPr>
              <w:t>12/19/2029</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color w:val="auto"/>
              </w:rPr>
              <w:t>574,300</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42.520</w:t>
            </w:r>
          </w:p>
        </w:tc>
        <w:tc>
          <w:tcPr>
            <w:tcW w:w="920" w:type="dxa"/>
            <w:vAlign w:val="bottom"/>
            <w:tcBorders>
              <w:top w:val="single" w:sz="8" w:color="auto"/>
              <w:bottom w:val="single" w:sz="8" w:color="auto"/>
            </w:tcBorders>
          </w:tcPr>
          <w:p>
            <w:pPr>
              <w:jc w:val="center"/>
              <w:ind w:left="34"/>
              <w:spacing w:after="0"/>
              <w:rPr>
                <w:sz w:val="20"/>
                <w:szCs w:val="20"/>
                <w:color w:val="auto"/>
              </w:rPr>
            </w:pPr>
            <w:r>
              <w:rPr>
                <w:rFonts w:ascii="Arial" w:cs="Arial" w:eastAsia="Arial" w:hAnsi="Arial"/>
                <w:sz w:val="13"/>
                <w:szCs w:val="13"/>
                <w:color w:val="auto"/>
              </w:rPr>
              <w:t>03/01/2030</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356,700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54.450</w:t>
            </w:r>
          </w:p>
        </w:tc>
        <w:tc>
          <w:tcPr>
            <w:tcW w:w="92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color w:val="auto"/>
              </w:rPr>
              <w:t>02/28/2031</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80" w:type="dxa"/>
            <w:vAlign w:val="bottom"/>
          </w:tcPr>
          <w:p>
            <w:pPr>
              <w:ind w:left="60"/>
              <w:spacing w:after="0"/>
              <w:rPr>
                <w:sz w:val="20"/>
                <w:szCs w:val="20"/>
                <w:color w:val="auto"/>
              </w:rPr>
            </w:pPr>
            <w:r>
              <w:rPr>
                <w:rFonts w:ascii="Arial" w:cs="Arial" w:eastAsia="Arial" w:hAnsi="Arial"/>
                <w:sz w:val="13"/>
                <w:szCs w:val="13"/>
                <w:b w:val="1"/>
                <w:bCs w:val="1"/>
                <w:color w:val="auto"/>
              </w:rPr>
              <w:t>Dana Strong</w:t>
            </w:r>
          </w:p>
        </w:tc>
        <w:tc>
          <w:tcPr>
            <w:tcW w:w="7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92,890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4,675,154</w:t>
            </w: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158,341</w:t>
            </w: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7,969,303</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36,528</w:t>
            </w: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133,936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31.810</w:t>
            </w:r>
          </w:p>
        </w:tc>
        <w:tc>
          <w:tcPr>
            <w:tcW w:w="92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color w:val="auto"/>
              </w:rPr>
              <w:t>04/26/2028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720" w:type="dxa"/>
            <w:vAlign w:val="bottom"/>
            <w:gridSpan w:val="2"/>
          </w:tcPr>
          <w:p>
            <w:pPr>
              <w:jc w:val="right"/>
              <w:ind w:right="235"/>
              <w:spacing w:after="0"/>
              <w:rPr>
                <w:sz w:val="20"/>
                <w:szCs w:val="20"/>
                <w:color w:val="auto"/>
              </w:rPr>
            </w:pPr>
            <w:r>
              <w:rPr>
                <w:rFonts w:ascii="Arial" w:cs="Arial" w:eastAsia="Arial" w:hAnsi="Arial"/>
                <w:sz w:val="13"/>
                <w:szCs w:val="13"/>
                <w:color w:val="auto"/>
              </w:rPr>
              <w:t>56,850</w:t>
            </w:r>
          </w:p>
        </w:tc>
        <w:tc>
          <w:tcPr>
            <w:tcW w:w="1420" w:type="dxa"/>
            <w:vAlign w:val="bottom"/>
          </w:tcPr>
          <w:p>
            <w:pPr>
              <w:ind w:left="560"/>
              <w:spacing w:after="0"/>
              <w:rPr>
                <w:sz w:val="20"/>
                <w:szCs w:val="20"/>
                <w:color w:val="auto"/>
              </w:rPr>
            </w:pPr>
            <w:r>
              <w:rPr>
                <w:rFonts w:ascii="Arial" w:cs="Arial" w:eastAsia="Arial" w:hAnsi="Arial"/>
                <w:sz w:val="13"/>
                <w:szCs w:val="13"/>
                <w:color w:val="auto"/>
              </w:rPr>
              <w:t>132,650</w:t>
            </w:r>
          </w:p>
        </w:tc>
        <w:tc>
          <w:tcPr>
            <w:tcW w:w="880" w:type="dxa"/>
            <w:vAlign w:val="bottom"/>
          </w:tcPr>
          <w:p>
            <w:pPr>
              <w:jc w:val="center"/>
              <w:spacing w:after="0"/>
              <w:rPr>
                <w:sz w:val="20"/>
                <w:szCs w:val="20"/>
                <w:color w:val="auto"/>
              </w:rPr>
            </w:pPr>
            <w:r>
              <w:rPr>
                <w:rFonts w:ascii="Arial" w:cs="Arial" w:eastAsia="Arial" w:hAnsi="Arial"/>
                <w:sz w:val="13"/>
                <w:szCs w:val="13"/>
                <w:color w:val="auto"/>
              </w:rPr>
              <w:t>40.470</w:t>
            </w:r>
          </w:p>
        </w:tc>
        <w:tc>
          <w:tcPr>
            <w:tcW w:w="920" w:type="dxa"/>
            <w:vAlign w:val="bottom"/>
          </w:tcPr>
          <w:p>
            <w:pPr>
              <w:jc w:val="center"/>
              <w:ind w:left="34"/>
              <w:spacing w:after="0"/>
              <w:rPr>
                <w:sz w:val="20"/>
                <w:szCs w:val="20"/>
                <w:color w:val="auto"/>
              </w:rPr>
            </w:pPr>
            <w:r>
              <w:rPr>
                <w:rFonts w:ascii="Arial" w:cs="Arial" w:eastAsia="Arial" w:hAnsi="Arial"/>
                <w:sz w:val="13"/>
                <w:szCs w:val="13"/>
                <w:color w:val="auto"/>
              </w:rPr>
              <w:t>03/14/2029</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color w:val="auto"/>
              </w:rPr>
              <w:t>229,600</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42.520</w:t>
            </w:r>
          </w:p>
        </w:tc>
        <w:tc>
          <w:tcPr>
            <w:tcW w:w="920" w:type="dxa"/>
            <w:vAlign w:val="bottom"/>
            <w:tcBorders>
              <w:top w:val="single" w:sz="8" w:color="auto"/>
              <w:bottom w:val="single" w:sz="8" w:color="auto"/>
            </w:tcBorders>
          </w:tcPr>
          <w:p>
            <w:pPr>
              <w:jc w:val="center"/>
              <w:ind w:left="34"/>
              <w:spacing w:after="0"/>
              <w:rPr>
                <w:sz w:val="20"/>
                <w:szCs w:val="20"/>
                <w:color w:val="auto"/>
              </w:rPr>
            </w:pPr>
            <w:r>
              <w:rPr>
                <w:rFonts w:ascii="Arial" w:cs="Arial" w:eastAsia="Arial" w:hAnsi="Arial"/>
                <w:sz w:val="13"/>
                <w:szCs w:val="13"/>
                <w:color w:val="auto"/>
              </w:rPr>
              <w:t>03/01/2030</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217,600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54.450</w:t>
            </w:r>
          </w:p>
        </w:tc>
        <w:tc>
          <w:tcPr>
            <w:tcW w:w="92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color w:val="auto"/>
              </w:rPr>
              <w:t>02/28/2031</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00" w:right="360" w:hanging="292"/>
        <w:spacing w:after="0" w:line="206"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Cavanagh assigned to a family trust a portion of his vested stock options as follows: representing 321,732 shares from the stock options expiring on May 14, 2025; representing 419,520 shares from the stock options expiring on March 17, 2026; representing 258,615 shares from the stock options expiring on March 16, 2027 and representing 167,910 shares from the stock options expiring on March 15, 2028.</w:t>
      </w:r>
    </w:p>
    <w:p>
      <w:pPr>
        <w:spacing w:after="0" w:line="134" w:lineRule="exact"/>
        <w:rPr>
          <w:rFonts w:ascii="Arial" w:cs="Arial" w:eastAsia="Arial" w:hAnsi="Arial"/>
          <w:sz w:val="24"/>
          <w:szCs w:val="24"/>
          <w:color w:val="auto"/>
          <w:vertAlign w:val="superscript"/>
        </w:rPr>
      </w:pPr>
    </w:p>
    <w:p>
      <w:pPr>
        <w:ind w:left="300" w:right="360" w:hanging="292"/>
        <w:spacing w:after="0" w:line="213"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expiration date occurs one day prior to the tenth anniversary of the grant date. Stock options that expire on or prior to March 1, 2030 have the following vesting schedule: 30%, 15%, 15%, 15%, 5%, 5%, 5%, 5% and 5% on the second, third, fourth, fifth, sixth, seventh, eighth, ninth, and nine and a half anniversaries of the grant date, respectively. Stock options that expire on February 28, 2031 have the following vesting schedule: 40%, 20%, 20% and 20% on the second, third, fourth and fifth anniversaries of the grant date, respectively.</w:t>
      </w:r>
    </w:p>
    <w:p>
      <w:pPr>
        <w:spacing w:after="0" w:line="136" w:lineRule="exact"/>
        <w:rPr>
          <w:rFonts w:ascii="Arial" w:cs="Arial" w:eastAsia="Arial" w:hAnsi="Arial"/>
          <w:sz w:val="24"/>
          <w:szCs w:val="24"/>
          <w:color w:val="auto"/>
          <w:vertAlign w:val="superscript"/>
        </w:rPr>
      </w:pPr>
    </w:p>
    <w:p>
      <w:pPr>
        <w:ind w:left="300" w:right="460" w:hanging="292"/>
        <w:spacing w:after="0" w:line="193"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Our equity awards contain provisions for continued vesting upon certain employees attaining retirement eligible status. This table does not reflect accelerated vesting resulting from the attainment of retirement eligible status. See “Potential Payments upon Termination or Change in Control” for additional information.</w:t>
      </w:r>
    </w:p>
    <w:p>
      <w:pPr>
        <w:spacing w:after="0" w:line="131"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number of shares underlying each outstanding stock unit</w:t>
      </w:r>
      <w:r>
        <w:rPr>
          <w:rFonts w:ascii="Arial" w:cs="Arial" w:eastAsia="Arial" w:hAnsi="Arial"/>
          <w:sz w:val="23"/>
          <w:szCs w:val="23"/>
          <w:color w:val="auto"/>
          <w:vertAlign w:val="superscript"/>
        </w:rPr>
        <w:t>(a)</w:t>
      </w:r>
      <w:r>
        <w:rPr>
          <w:rFonts w:ascii="Arial" w:cs="Arial" w:eastAsia="Arial" w:hAnsi="Arial"/>
          <w:sz w:val="14"/>
          <w:szCs w:val="14"/>
          <w:color w:val="auto"/>
        </w:rPr>
        <w:t xml:space="preserve"> for the NEOs that remain subject to vesting are as follows:</w:t>
      </w:r>
    </w:p>
    <w:p>
      <w:pPr>
        <w:spacing w:after="0" w:line="5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3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GRANT DATE</w:t>
            </w:r>
          </w:p>
        </w:tc>
        <w:tc>
          <w:tcPr>
            <w:tcW w:w="3320" w:type="dxa"/>
            <w:vAlign w:val="bottom"/>
          </w:tcPr>
          <w:p>
            <w:pPr>
              <w:jc w:val="center"/>
              <w:ind w:left="2229"/>
              <w:spacing w:after="0"/>
              <w:rPr>
                <w:sz w:val="20"/>
                <w:szCs w:val="20"/>
                <w:color w:val="auto"/>
              </w:rPr>
            </w:pPr>
            <w:r>
              <w:rPr>
                <w:rFonts w:ascii="Arial" w:cs="Arial" w:eastAsia="Arial" w:hAnsi="Arial"/>
                <w:sz w:val="13"/>
                <w:szCs w:val="13"/>
                <w:b w:val="1"/>
                <w:bCs w:val="1"/>
                <w:color w:val="auto"/>
                <w:w w:val="95"/>
              </w:rPr>
              <w:t>BRIAN L.</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auto"/>
              </w:rPr>
              <w:t>MICHAEL J.</w:t>
            </w:r>
          </w:p>
        </w:tc>
        <w:tc>
          <w:tcPr>
            <w:tcW w:w="1040" w:type="dxa"/>
            <w:vAlign w:val="bottom"/>
          </w:tcPr>
          <w:p>
            <w:pPr>
              <w:jc w:val="right"/>
              <w:ind w:right="209"/>
              <w:spacing w:after="0"/>
              <w:rPr>
                <w:sz w:val="20"/>
                <w:szCs w:val="20"/>
                <w:color w:val="auto"/>
              </w:rPr>
            </w:pPr>
            <w:r>
              <w:rPr>
                <w:rFonts w:ascii="Arial" w:cs="Arial" w:eastAsia="Arial" w:hAnsi="Arial"/>
                <w:sz w:val="13"/>
                <w:szCs w:val="13"/>
                <w:b w:val="1"/>
                <w:bCs w:val="1"/>
                <w:color w:val="auto"/>
              </w:rPr>
              <w:t>DAVID N.</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9"/>
              </w:rPr>
              <w:t>JEFFREY</w:t>
            </w:r>
          </w:p>
        </w:tc>
        <w:tc>
          <w:tcPr>
            <w:tcW w:w="940" w:type="dxa"/>
            <w:vAlign w:val="bottom"/>
          </w:tcPr>
          <w:p>
            <w:pPr>
              <w:jc w:val="right"/>
              <w:ind w:right="169"/>
              <w:spacing w:after="0"/>
              <w:rPr>
                <w:sz w:val="20"/>
                <w:szCs w:val="20"/>
                <w:color w:val="auto"/>
              </w:rPr>
            </w:pPr>
            <w:r>
              <w:rPr>
                <w:rFonts w:ascii="Arial" w:cs="Arial" w:eastAsia="Arial" w:hAnsi="Arial"/>
                <w:sz w:val="13"/>
                <w:szCs w:val="13"/>
                <w:b w:val="1"/>
                <w:bCs w:val="1"/>
                <w:color w:val="auto"/>
              </w:rPr>
              <w:t>DANA</w:t>
            </w:r>
          </w:p>
        </w:tc>
        <w:tc>
          <w:tcPr>
            <w:tcW w:w="0" w:type="dxa"/>
            <w:vAlign w:val="bottom"/>
          </w:tcPr>
          <w:p>
            <w:pPr>
              <w:spacing w:after="0"/>
              <w:rPr>
                <w:sz w:val="1"/>
                <w:szCs w:val="1"/>
                <w:color w:val="auto"/>
              </w:rPr>
            </w:pPr>
          </w:p>
        </w:tc>
      </w:tr>
      <w:tr>
        <w:trPr>
          <w:trHeight w:val="187"/>
        </w:trPr>
        <w:tc>
          <w:tcPr>
            <w:tcW w:w="334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jc w:val="center"/>
              <w:ind w:left="2229"/>
              <w:spacing w:after="0"/>
              <w:rPr>
                <w:sz w:val="20"/>
                <w:szCs w:val="20"/>
                <w:color w:val="auto"/>
              </w:rPr>
            </w:pPr>
            <w:r>
              <w:rPr>
                <w:rFonts w:ascii="Arial" w:cs="Arial" w:eastAsia="Arial" w:hAnsi="Arial"/>
                <w:sz w:val="13"/>
                <w:szCs w:val="13"/>
                <w:b w:val="1"/>
                <w:bCs w:val="1"/>
                <w:color w:val="auto"/>
                <w:w w:val="97"/>
              </w:rPr>
              <w:t>ROBERTS</w:t>
            </w: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CAVANAGH</w:t>
            </w: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WATSON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SHELL</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STRONG</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03/01/2017</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26,608</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03/17/2017</w:t>
            </w:r>
          </w:p>
        </w:tc>
        <w:tc>
          <w:tcPr>
            <w:tcW w:w="3320" w:type="dxa"/>
            <w:vAlign w:val="bottom"/>
            <w:tcBorders>
              <w:bottom w:val="single" w:sz="8" w:color="auto"/>
            </w:tcBorders>
          </w:tcPr>
          <w:p>
            <w:pPr>
              <w:ind w:left="2560"/>
              <w:spacing w:after="0" w:line="241" w:lineRule="exact"/>
              <w:rPr>
                <w:sz w:val="20"/>
                <w:szCs w:val="20"/>
                <w:color w:val="auto"/>
              </w:rPr>
            </w:pPr>
            <w:r>
              <w:rPr>
                <w:rFonts w:ascii="Arial" w:cs="Arial" w:eastAsia="Arial" w:hAnsi="Arial"/>
                <w:sz w:val="14"/>
                <w:szCs w:val="14"/>
                <w:color w:val="auto"/>
              </w:rPr>
              <w:t>71,400</w:t>
            </w:r>
            <w:r>
              <w:rPr>
                <w:rFonts w:ascii="Arial" w:cs="Arial" w:eastAsia="Arial" w:hAnsi="Arial"/>
                <w:sz w:val="23"/>
                <w:szCs w:val="23"/>
                <w:color w:val="auto"/>
                <w:vertAlign w:val="superscript"/>
              </w:rPr>
              <w:t>(b)</w:t>
            </w:r>
          </w:p>
        </w:tc>
        <w:tc>
          <w:tcPr>
            <w:tcW w:w="1080" w:type="dxa"/>
            <w:vAlign w:val="bottom"/>
            <w:tcBorders>
              <w:bottom w:val="single" w:sz="8" w:color="auto"/>
            </w:tcBorders>
          </w:tcPr>
          <w:p>
            <w:pPr>
              <w:jc w:val="right"/>
              <w:ind w:right="129"/>
              <w:spacing w:after="0" w:line="241" w:lineRule="exact"/>
              <w:rPr>
                <w:sz w:val="20"/>
                <w:szCs w:val="20"/>
                <w:color w:val="auto"/>
              </w:rPr>
            </w:pPr>
            <w:r>
              <w:rPr>
                <w:rFonts w:ascii="Arial" w:cs="Arial" w:eastAsia="Arial" w:hAnsi="Arial"/>
                <w:sz w:val="14"/>
                <w:szCs w:val="14"/>
                <w:color w:val="auto"/>
              </w:rPr>
              <w:t>53,400</w:t>
            </w:r>
            <w:r>
              <w:rPr>
                <w:rFonts w:ascii="Arial" w:cs="Arial" w:eastAsia="Arial" w:hAnsi="Arial"/>
                <w:sz w:val="23"/>
                <w:szCs w:val="23"/>
                <w:color w:val="auto"/>
                <w:vertAlign w:val="superscript"/>
              </w:rPr>
              <w:t>(b)</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13,360</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04/14/2017</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9"/>
              <w:spacing w:after="0" w:line="236" w:lineRule="exact"/>
              <w:rPr>
                <w:sz w:val="20"/>
                <w:szCs w:val="20"/>
                <w:color w:val="auto"/>
              </w:rPr>
            </w:pPr>
            <w:r>
              <w:rPr>
                <w:rFonts w:ascii="Arial" w:cs="Arial" w:eastAsia="Arial" w:hAnsi="Arial"/>
                <w:sz w:val="14"/>
                <w:szCs w:val="14"/>
                <w:color w:val="auto"/>
              </w:rPr>
              <w:t>33,660</w:t>
            </w:r>
            <w:r>
              <w:rPr>
                <w:rFonts w:ascii="Arial" w:cs="Arial" w:eastAsia="Arial" w:hAnsi="Arial"/>
                <w:sz w:val="23"/>
                <w:szCs w:val="23"/>
                <w:color w:val="auto"/>
                <w:vertAlign w:val="superscript"/>
              </w:rPr>
              <w:t>(b)</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03/01/2018</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37,631</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03/16/2018</w:t>
            </w:r>
          </w:p>
        </w:tc>
        <w:tc>
          <w:tcPr>
            <w:tcW w:w="3320" w:type="dxa"/>
            <w:vAlign w:val="bottom"/>
            <w:tcBorders>
              <w:bottom w:val="single" w:sz="8" w:color="auto"/>
            </w:tcBorders>
          </w:tcPr>
          <w:p>
            <w:pPr>
              <w:jc w:val="center"/>
              <w:ind w:left="2229"/>
              <w:spacing w:after="0" w:line="213" w:lineRule="exact"/>
              <w:rPr>
                <w:sz w:val="20"/>
                <w:szCs w:val="20"/>
                <w:color w:val="auto"/>
              </w:rPr>
            </w:pPr>
            <w:r>
              <w:rPr>
                <w:rFonts w:ascii="Arial" w:cs="Arial" w:eastAsia="Arial" w:hAnsi="Arial"/>
                <w:sz w:val="14"/>
                <w:szCs w:val="14"/>
                <w:color w:val="auto"/>
                <w:w w:val="96"/>
              </w:rPr>
              <w:t>102,643</w:t>
            </w:r>
            <w:r>
              <w:rPr>
                <w:rFonts w:ascii="Arial" w:cs="Arial" w:eastAsia="Arial" w:hAnsi="Arial"/>
                <w:sz w:val="23"/>
                <w:szCs w:val="23"/>
                <w:color w:val="auto"/>
                <w:w w:val="96"/>
                <w:vertAlign w:val="superscript"/>
              </w:rPr>
              <w:t>(c)</w:t>
            </w:r>
          </w:p>
        </w:tc>
        <w:tc>
          <w:tcPr>
            <w:tcW w:w="1080" w:type="dxa"/>
            <w:vAlign w:val="bottom"/>
            <w:tcBorders>
              <w:bottom w:val="single" w:sz="8" w:color="auto"/>
            </w:tcBorders>
          </w:tcPr>
          <w:p>
            <w:pPr>
              <w:jc w:val="right"/>
              <w:ind w:right="129"/>
              <w:spacing w:after="0" w:line="213" w:lineRule="exact"/>
              <w:rPr>
                <w:sz w:val="20"/>
                <w:szCs w:val="20"/>
                <w:color w:val="auto"/>
              </w:rPr>
            </w:pPr>
            <w:r>
              <w:rPr>
                <w:rFonts w:ascii="Arial" w:cs="Arial" w:eastAsia="Arial" w:hAnsi="Arial"/>
                <w:sz w:val="14"/>
                <w:szCs w:val="14"/>
                <w:color w:val="auto"/>
              </w:rPr>
              <w:t>76,725</w:t>
            </w:r>
            <w:r>
              <w:rPr>
                <w:rFonts w:ascii="Arial" w:cs="Arial" w:eastAsia="Arial" w:hAnsi="Arial"/>
                <w:sz w:val="23"/>
                <w:szCs w:val="23"/>
                <w:color w:val="auto"/>
                <w:vertAlign w:val="superscript"/>
              </w:rPr>
              <w:t>(c)</w:t>
            </w:r>
          </w:p>
        </w:tc>
        <w:tc>
          <w:tcPr>
            <w:tcW w:w="1040" w:type="dxa"/>
            <w:vAlign w:val="bottom"/>
            <w:tcBorders>
              <w:bottom w:val="single" w:sz="8" w:color="auto"/>
            </w:tcBorders>
          </w:tcPr>
          <w:p>
            <w:pPr>
              <w:jc w:val="right"/>
              <w:ind w:right="129"/>
              <w:spacing w:after="0" w:line="213" w:lineRule="exact"/>
              <w:rPr>
                <w:sz w:val="20"/>
                <w:szCs w:val="20"/>
                <w:color w:val="auto"/>
              </w:rPr>
            </w:pPr>
            <w:r>
              <w:rPr>
                <w:rFonts w:ascii="Arial" w:cs="Arial" w:eastAsia="Arial" w:hAnsi="Arial"/>
                <w:sz w:val="14"/>
                <w:szCs w:val="14"/>
                <w:color w:val="auto"/>
              </w:rPr>
              <w:t>52,800</w:t>
            </w:r>
            <w:r>
              <w:rPr>
                <w:rFonts w:ascii="Arial" w:cs="Arial" w:eastAsia="Arial" w:hAnsi="Arial"/>
                <w:sz w:val="23"/>
                <w:szCs w:val="23"/>
                <w:color w:val="auto"/>
                <w:vertAlign w:val="superscript"/>
              </w:rPr>
              <w:t>(c)</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04/27/2018</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25,938</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02/01/2019</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
              <w:spacing w:after="0" w:line="241" w:lineRule="exact"/>
              <w:rPr>
                <w:sz w:val="20"/>
                <w:szCs w:val="20"/>
                <w:color w:val="auto"/>
              </w:rPr>
            </w:pPr>
            <w:r>
              <w:rPr>
                <w:rFonts w:ascii="Arial" w:cs="Arial" w:eastAsia="Arial" w:hAnsi="Arial"/>
                <w:sz w:val="14"/>
                <w:szCs w:val="14"/>
                <w:color w:val="auto"/>
              </w:rPr>
              <w:t>13,591</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03/01/2019</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44,758</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03/15/2019</w:t>
            </w:r>
          </w:p>
        </w:tc>
        <w:tc>
          <w:tcPr>
            <w:tcW w:w="3320" w:type="dxa"/>
            <w:vAlign w:val="bottom"/>
            <w:tcBorders>
              <w:bottom w:val="single" w:sz="8" w:color="auto"/>
            </w:tcBorders>
          </w:tcPr>
          <w:p>
            <w:pPr>
              <w:jc w:val="center"/>
              <w:ind w:left="2249"/>
              <w:spacing w:after="0" w:line="213" w:lineRule="exact"/>
              <w:rPr>
                <w:sz w:val="20"/>
                <w:szCs w:val="20"/>
                <w:color w:val="auto"/>
              </w:rPr>
            </w:pPr>
            <w:r>
              <w:rPr>
                <w:rFonts w:ascii="Arial" w:cs="Arial" w:eastAsia="Arial" w:hAnsi="Arial"/>
                <w:sz w:val="14"/>
                <w:szCs w:val="14"/>
                <w:color w:val="auto"/>
                <w:w w:val="92"/>
              </w:rPr>
              <w:t>115,674</w:t>
            </w:r>
            <w:r>
              <w:rPr>
                <w:rFonts w:ascii="Arial" w:cs="Arial" w:eastAsia="Arial" w:hAnsi="Arial"/>
                <w:sz w:val="23"/>
                <w:szCs w:val="23"/>
                <w:color w:val="auto"/>
                <w:w w:val="92"/>
                <w:vertAlign w:val="superscript"/>
              </w:rPr>
              <w:t>(e)</w:t>
            </w:r>
          </w:p>
        </w:tc>
        <w:tc>
          <w:tcPr>
            <w:tcW w:w="1080" w:type="dxa"/>
            <w:vAlign w:val="bottom"/>
            <w:tcBorders>
              <w:bottom w:val="single" w:sz="8" w:color="auto"/>
            </w:tcBorders>
          </w:tcPr>
          <w:p>
            <w:pPr>
              <w:jc w:val="right"/>
              <w:ind w:right="129"/>
              <w:spacing w:after="0" w:line="213" w:lineRule="exact"/>
              <w:rPr>
                <w:sz w:val="20"/>
                <w:szCs w:val="20"/>
                <w:color w:val="auto"/>
              </w:rPr>
            </w:pPr>
            <w:r>
              <w:rPr>
                <w:rFonts w:ascii="Arial" w:cs="Arial" w:eastAsia="Arial" w:hAnsi="Arial"/>
                <w:sz w:val="14"/>
                <w:szCs w:val="14"/>
                <w:color w:val="auto"/>
              </w:rPr>
              <w:t>145,950</w:t>
            </w:r>
            <w:r>
              <w:rPr>
                <w:rFonts w:ascii="Arial" w:cs="Arial" w:eastAsia="Arial" w:hAnsi="Arial"/>
                <w:sz w:val="23"/>
                <w:szCs w:val="23"/>
                <w:color w:val="auto"/>
                <w:vertAlign w:val="superscript"/>
              </w:rPr>
              <w:t>(e)</w:t>
            </w:r>
          </w:p>
        </w:tc>
        <w:tc>
          <w:tcPr>
            <w:tcW w:w="1040" w:type="dxa"/>
            <w:vAlign w:val="bottom"/>
            <w:tcBorders>
              <w:bottom w:val="single" w:sz="8" w:color="auto"/>
            </w:tcBorders>
          </w:tcPr>
          <w:p>
            <w:pPr>
              <w:jc w:val="right"/>
              <w:ind w:right="129"/>
              <w:spacing w:after="0" w:line="213" w:lineRule="exact"/>
              <w:rPr>
                <w:sz w:val="20"/>
                <w:szCs w:val="20"/>
                <w:color w:val="auto"/>
              </w:rPr>
            </w:pPr>
            <w:r>
              <w:rPr>
                <w:rFonts w:ascii="Arial" w:cs="Arial" w:eastAsia="Arial" w:hAnsi="Arial"/>
                <w:sz w:val="14"/>
                <w:szCs w:val="14"/>
                <w:color w:val="auto"/>
              </w:rPr>
              <w:t>70,262</w:t>
            </w:r>
            <w:r>
              <w:rPr>
                <w:rFonts w:ascii="Arial" w:cs="Arial" w:eastAsia="Arial" w:hAnsi="Arial"/>
                <w:sz w:val="23"/>
                <w:szCs w:val="23"/>
                <w:color w:val="auto"/>
                <w:vertAlign w:val="superscript"/>
              </w:rPr>
              <w:t>(e)</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25,970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10/11/2019</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line="210" w:lineRule="exact"/>
              <w:rPr>
                <w:sz w:val="20"/>
                <w:szCs w:val="20"/>
                <w:color w:val="auto"/>
              </w:rPr>
            </w:pPr>
            <w:r>
              <w:rPr>
                <w:rFonts w:ascii="Arial" w:cs="Arial" w:eastAsia="Arial" w:hAnsi="Arial"/>
                <w:sz w:val="14"/>
                <w:szCs w:val="14"/>
                <w:color w:val="auto"/>
              </w:rPr>
              <w:t>10,977</w:t>
            </w:r>
            <w:r>
              <w:rPr>
                <w:rFonts w:ascii="Arial" w:cs="Arial" w:eastAsia="Arial" w:hAnsi="Arial"/>
                <w:sz w:val="23"/>
                <w:szCs w:val="23"/>
                <w:color w:val="auto"/>
                <w:vertAlign w:val="superscript"/>
              </w:rPr>
              <w:t>(f)</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12/20/2019</w:t>
            </w:r>
          </w:p>
        </w:tc>
        <w:tc>
          <w:tcPr>
            <w:tcW w:w="33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39,704</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03/02/2020</w:t>
            </w:r>
          </w:p>
        </w:tc>
        <w:tc>
          <w:tcPr>
            <w:tcW w:w="3320" w:type="dxa"/>
            <w:vAlign w:val="bottom"/>
            <w:tcBorders>
              <w:bottom w:val="single" w:sz="8" w:color="auto"/>
            </w:tcBorders>
          </w:tcPr>
          <w:p>
            <w:pPr>
              <w:jc w:val="center"/>
              <w:ind w:left="2229"/>
              <w:spacing w:after="0" w:line="241" w:lineRule="exact"/>
              <w:rPr>
                <w:sz w:val="20"/>
                <w:szCs w:val="20"/>
                <w:color w:val="auto"/>
              </w:rPr>
            </w:pPr>
            <w:r>
              <w:rPr>
                <w:rFonts w:ascii="Arial" w:cs="Arial" w:eastAsia="Arial" w:hAnsi="Arial"/>
                <w:sz w:val="14"/>
                <w:szCs w:val="14"/>
                <w:color w:val="auto"/>
                <w:w w:val="95"/>
              </w:rPr>
              <w:t>264,879</w:t>
            </w:r>
            <w:r>
              <w:rPr>
                <w:rFonts w:ascii="Arial" w:cs="Arial" w:eastAsia="Arial" w:hAnsi="Arial"/>
                <w:sz w:val="23"/>
                <w:szCs w:val="23"/>
                <w:color w:val="auto"/>
                <w:w w:val="95"/>
                <w:vertAlign w:val="superscript"/>
              </w:rPr>
              <w:t>(g)</w:t>
            </w:r>
          </w:p>
        </w:tc>
        <w:tc>
          <w:tcPr>
            <w:tcW w:w="1080" w:type="dxa"/>
            <w:vAlign w:val="bottom"/>
            <w:tcBorders>
              <w:bottom w:val="single" w:sz="8" w:color="auto"/>
            </w:tcBorders>
          </w:tcPr>
          <w:p>
            <w:pPr>
              <w:jc w:val="right"/>
              <w:ind w:right="129"/>
              <w:spacing w:after="0" w:line="241" w:lineRule="exact"/>
              <w:rPr>
                <w:sz w:val="20"/>
                <w:szCs w:val="20"/>
                <w:color w:val="auto"/>
              </w:rPr>
            </w:pPr>
            <w:r>
              <w:rPr>
                <w:rFonts w:ascii="Arial" w:cs="Arial" w:eastAsia="Arial" w:hAnsi="Arial"/>
                <w:sz w:val="14"/>
                <w:szCs w:val="14"/>
                <w:color w:val="auto"/>
              </w:rPr>
              <w:t>176,161</w:t>
            </w:r>
            <w:r>
              <w:rPr>
                <w:rFonts w:ascii="Arial" w:cs="Arial" w:eastAsia="Arial" w:hAnsi="Arial"/>
                <w:sz w:val="23"/>
                <w:szCs w:val="23"/>
                <w:color w:val="auto"/>
                <w:vertAlign w:val="superscript"/>
              </w:rPr>
              <w:t>(g)</w:t>
            </w:r>
          </w:p>
        </w:tc>
        <w:tc>
          <w:tcPr>
            <w:tcW w:w="1040" w:type="dxa"/>
            <w:vAlign w:val="bottom"/>
            <w:tcBorders>
              <w:bottom w:val="single" w:sz="8" w:color="auto"/>
            </w:tcBorders>
          </w:tcPr>
          <w:p>
            <w:pPr>
              <w:jc w:val="right"/>
              <w:ind w:right="129"/>
              <w:spacing w:after="0" w:line="241" w:lineRule="exact"/>
              <w:rPr>
                <w:sz w:val="20"/>
                <w:szCs w:val="20"/>
                <w:color w:val="auto"/>
              </w:rPr>
            </w:pPr>
            <w:r>
              <w:rPr>
                <w:rFonts w:ascii="Arial" w:cs="Arial" w:eastAsia="Arial" w:hAnsi="Arial"/>
                <w:sz w:val="14"/>
                <w:szCs w:val="14"/>
                <w:color w:val="auto"/>
              </w:rPr>
              <w:t>104,975</w:t>
            </w:r>
            <w:r>
              <w:rPr>
                <w:rFonts w:ascii="Arial" w:cs="Arial" w:eastAsia="Arial" w:hAnsi="Arial"/>
                <w:sz w:val="23"/>
                <w:szCs w:val="23"/>
                <w:color w:val="auto"/>
                <w:vertAlign w:val="superscript"/>
              </w:rPr>
              <w:t>(g)</w:t>
            </w:r>
          </w:p>
        </w:tc>
        <w:tc>
          <w:tcPr>
            <w:tcW w:w="1040" w:type="dxa"/>
            <w:vAlign w:val="bottom"/>
            <w:tcBorders>
              <w:bottom w:val="single" w:sz="8" w:color="auto"/>
            </w:tcBorders>
          </w:tcPr>
          <w:p>
            <w:pPr>
              <w:jc w:val="right"/>
              <w:ind w:right="109"/>
              <w:spacing w:after="0" w:line="241" w:lineRule="exact"/>
              <w:rPr>
                <w:sz w:val="20"/>
                <w:szCs w:val="20"/>
                <w:color w:val="auto"/>
              </w:rPr>
            </w:pPr>
            <w:r>
              <w:rPr>
                <w:rFonts w:ascii="Arial" w:cs="Arial" w:eastAsia="Arial" w:hAnsi="Arial"/>
                <w:sz w:val="14"/>
                <w:szCs w:val="14"/>
                <w:color w:val="auto"/>
              </w:rPr>
              <w:t>93,711</w:t>
            </w:r>
            <w:r>
              <w:rPr>
                <w:rFonts w:ascii="Arial" w:cs="Arial" w:eastAsia="Arial" w:hAnsi="Arial"/>
                <w:sz w:val="23"/>
                <w:szCs w:val="23"/>
                <w:color w:val="auto"/>
                <w:vertAlign w:val="superscript"/>
              </w:rPr>
              <w:t>(g)</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30,005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03/01/2021</w:t>
            </w:r>
          </w:p>
        </w:tc>
        <w:tc>
          <w:tcPr>
            <w:tcW w:w="3320" w:type="dxa"/>
            <w:vAlign w:val="bottom"/>
            <w:tcBorders>
              <w:bottom w:val="single" w:sz="8" w:color="auto"/>
            </w:tcBorders>
          </w:tcPr>
          <w:p>
            <w:pPr>
              <w:jc w:val="center"/>
              <w:ind w:left="2229"/>
              <w:spacing w:after="0" w:line="210" w:lineRule="exact"/>
              <w:rPr>
                <w:sz w:val="20"/>
                <w:szCs w:val="20"/>
                <w:color w:val="auto"/>
              </w:rPr>
            </w:pPr>
            <w:r>
              <w:rPr>
                <w:rFonts w:ascii="Arial" w:cs="Arial" w:eastAsia="Arial" w:hAnsi="Arial"/>
                <w:sz w:val="14"/>
                <w:szCs w:val="14"/>
                <w:color w:val="auto"/>
                <w:w w:val="95"/>
              </w:rPr>
              <w:t>584,250</w:t>
            </w:r>
            <w:r>
              <w:rPr>
                <w:rFonts w:ascii="Arial" w:cs="Arial" w:eastAsia="Arial" w:hAnsi="Arial"/>
                <w:sz w:val="23"/>
                <w:szCs w:val="23"/>
                <w:color w:val="auto"/>
                <w:w w:val="95"/>
                <w:vertAlign w:val="superscript"/>
              </w:rPr>
              <w:t>(h)</w:t>
            </w:r>
          </w:p>
        </w:tc>
        <w:tc>
          <w:tcPr>
            <w:tcW w:w="1080" w:type="dxa"/>
            <w:vAlign w:val="bottom"/>
            <w:tcBorders>
              <w:bottom w:val="single" w:sz="8" w:color="auto"/>
            </w:tcBorders>
          </w:tcPr>
          <w:p>
            <w:pPr>
              <w:jc w:val="right"/>
              <w:ind w:right="129"/>
              <w:spacing w:after="0" w:line="210" w:lineRule="exact"/>
              <w:rPr>
                <w:sz w:val="20"/>
                <w:szCs w:val="20"/>
                <w:color w:val="auto"/>
              </w:rPr>
            </w:pPr>
            <w:r>
              <w:rPr>
                <w:rFonts w:ascii="Arial" w:cs="Arial" w:eastAsia="Arial" w:hAnsi="Arial"/>
                <w:sz w:val="14"/>
                <w:szCs w:val="14"/>
                <w:color w:val="auto"/>
              </w:rPr>
              <w:t>435,500</w:t>
            </w:r>
            <w:r>
              <w:rPr>
                <w:rFonts w:ascii="Arial" w:cs="Arial" w:eastAsia="Arial" w:hAnsi="Arial"/>
                <w:sz w:val="23"/>
                <w:szCs w:val="23"/>
                <w:color w:val="auto"/>
                <w:vertAlign w:val="superscript"/>
              </w:rPr>
              <w:t>(h)</w:t>
            </w:r>
          </w:p>
        </w:tc>
        <w:tc>
          <w:tcPr>
            <w:tcW w:w="1040" w:type="dxa"/>
            <w:vAlign w:val="bottom"/>
            <w:tcBorders>
              <w:bottom w:val="single" w:sz="8" w:color="auto"/>
            </w:tcBorders>
          </w:tcPr>
          <w:p>
            <w:pPr>
              <w:jc w:val="right"/>
              <w:ind w:right="129"/>
              <w:spacing w:after="0" w:line="210" w:lineRule="exact"/>
              <w:rPr>
                <w:sz w:val="20"/>
                <w:szCs w:val="20"/>
                <w:color w:val="auto"/>
              </w:rPr>
            </w:pPr>
            <w:r>
              <w:rPr>
                <w:rFonts w:ascii="Arial" w:cs="Arial" w:eastAsia="Arial" w:hAnsi="Arial"/>
                <w:sz w:val="14"/>
                <w:szCs w:val="14"/>
                <w:color w:val="auto"/>
              </w:rPr>
              <w:t>289,500</w:t>
            </w:r>
            <w:r>
              <w:rPr>
                <w:rFonts w:ascii="Arial" w:cs="Arial" w:eastAsia="Arial" w:hAnsi="Arial"/>
                <w:sz w:val="23"/>
                <w:szCs w:val="23"/>
                <w:color w:val="auto"/>
                <w:vertAlign w:val="superscript"/>
              </w:rPr>
              <w:t>(h)</w:t>
            </w:r>
          </w:p>
        </w:tc>
        <w:tc>
          <w:tcPr>
            <w:tcW w:w="10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color w:val="auto"/>
                <w:w w:val="98"/>
              </w:rPr>
              <w:t>237,000</w:t>
            </w:r>
            <w:r>
              <w:rPr>
                <w:rFonts w:ascii="Arial" w:cs="Arial" w:eastAsia="Arial" w:hAnsi="Arial"/>
                <w:sz w:val="23"/>
                <w:szCs w:val="23"/>
                <w:color w:val="auto"/>
                <w:w w:val="98"/>
                <w:vertAlign w:val="superscript"/>
              </w:rPr>
              <w:t>(h)</w:t>
            </w:r>
          </w:p>
        </w:tc>
        <w:tc>
          <w:tcPr>
            <w:tcW w:w="940" w:type="dxa"/>
            <w:vAlign w:val="bottom"/>
            <w:tcBorders>
              <w:bottom w:val="single" w:sz="8" w:color="auto"/>
            </w:tcBorders>
          </w:tcPr>
          <w:p>
            <w:pPr>
              <w:jc w:val="right"/>
              <w:ind w:right="9"/>
              <w:spacing w:after="0" w:line="210" w:lineRule="exact"/>
              <w:rPr>
                <w:sz w:val="20"/>
                <w:szCs w:val="20"/>
                <w:color w:val="auto"/>
              </w:rPr>
            </w:pPr>
            <w:r>
              <w:rPr>
                <w:rFonts w:ascii="Arial" w:cs="Arial" w:eastAsia="Arial" w:hAnsi="Arial"/>
                <w:sz w:val="14"/>
                <w:szCs w:val="14"/>
                <w:color w:val="auto"/>
              </w:rPr>
              <w:t>144,750</w:t>
            </w:r>
            <w:r>
              <w:rPr>
                <w:rFonts w:ascii="Arial" w:cs="Arial" w:eastAsia="Arial" w:hAnsi="Arial"/>
                <w:sz w:val="23"/>
                <w:szCs w:val="23"/>
                <w:color w:val="auto"/>
                <w:vertAlign w:val="superscript"/>
              </w:rPr>
              <w:t>(h)</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7" w:lineRule="exact"/>
        <w:rPr>
          <w:sz w:val="20"/>
          <w:szCs w:val="20"/>
          <w:color w:val="auto"/>
        </w:rPr>
      </w:pPr>
    </w:p>
    <w:p>
      <w:pPr>
        <w:ind w:left="300" w:right="40" w:hanging="292"/>
        <w:spacing w:after="0" w:line="206"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Except as otherwise described in footnotes below, all stock units granted as of the respective grant date had the following vesting schedule: 15%, 15%, 15%, 15% and 40% on the 13-month, second, third, fourth and fifth anniversaries of the grant date, respectively, with Mr. Shell’s first vesting date for his 2017 grant being twelve months after the grant date.</w:t>
      </w:r>
    </w:p>
    <w:p>
      <w:pPr>
        <w:spacing w:after="0" w:line="134" w:lineRule="exact"/>
        <w:rPr>
          <w:rFonts w:ascii="Arial" w:cs="Arial" w:eastAsia="Arial" w:hAnsi="Arial"/>
          <w:sz w:val="24"/>
          <w:szCs w:val="24"/>
          <w:color w:val="auto"/>
          <w:vertAlign w:val="superscript"/>
        </w:rPr>
      </w:pPr>
    </w:p>
    <w:p>
      <w:pPr>
        <w:ind w:left="300" w:right="60" w:hanging="292"/>
        <w:spacing w:after="0" w:line="206"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2021, has been achieved at maximum attainment of the performance condition, resulting in 125% vesting of the award. In early 2022, the Compensation and Human Capital Committee certified performance for the fifth tranche of PSUs, resulting in attainment of the award at the maximum achievement of 125%.</w:t>
      </w:r>
    </w:p>
    <w:p>
      <w:pPr>
        <w:spacing w:after="0" w:line="134" w:lineRule="exact"/>
        <w:rPr>
          <w:rFonts w:ascii="Arial" w:cs="Arial" w:eastAsia="Arial" w:hAnsi="Arial"/>
          <w:sz w:val="24"/>
          <w:szCs w:val="24"/>
          <w:color w:val="auto"/>
          <w:vertAlign w:val="superscript"/>
        </w:rPr>
      </w:pPr>
    </w:p>
    <w:p>
      <w:pPr>
        <w:ind w:left="300" w:right="60" w:hanging="292"/>
        <w:spacing w:after="0" w:line="213"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2021, has been achieved at maximum attainment of the performance condition, resulting in 125% vesting of the award. In early 2022, the Compensation and Human Capital Committee certified performance for the fourth tranche of PSUs, resulting in attainment of the award at the maximum achievement of 125% of the award. Because the performance condition for the fourth tranche was achieved at 125% (the maximum performance achievement), all remaining tranches of the PSUs will also be earned at 125% of the target shares.</w:t>
      </w:r>
    </w:p>
    <w:p>
      <w:pPr>
        <w:spacing w:after="0" w:line="136" w:lineRule="exact"/>
        <w:rPr>
          <w:rFonts w:ascii="Arial" w:cs="Arial" w:eastAsia="Arial" w:hAnsi="Arial"/>
          <w:sz w:val="24"/>
          <w:szCs w:val="24"/>
          <w:color w:val="auto"/>
          <w:vertAlign w:val="superscript"/>
        </w:rPr>
      </w:pPr>
    </w:p>
    <w:p>
      <w:pPr>
        <w:ind w:left="300" w:right="380" w:hanging="292"/>
        <w:spacing w:after="0" w:line="193"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In late 2021, the Compensation and Human Capital Committee certified performance for the third tranche of PSUs, resulting in attainment of 100% achievement of the award. The stock units vest one-third on the 13-month, second and third anniversaries of the grant date, respectively.</w:t>
      </w:r>
    </w:p>
    <w:p>
      <w:pPr>
        <w:spacing w:after="0" w:line="134" w:lineRule="exact"/>
        <w:rPr>
          <w:rFonts w:ascii="Arial" w:cs="Arial" w:eastAsia="Arial" w:hAnsi="Arial"/>
          <w:sz w:val="24"/>
          <w:szCs w:val="24"/>
          <w:color w:val="auto"/>
          <w:vertAlign w:val="superscript"/>
        </w:rPr>
      </w:pPr>
    </w:p>
    <w:p>
      <w:pPr>
        <w:jc w:val="both"/>
        <w:ind w:left="300" w:right="60" w:hanging="292"/>
        <w:spacing w:after="0" w:line="213"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2021, has been achieved at maximum attainment of the performance condition, resulting in 125% vesting of the award. In early 2022, the Compensation and Human Capital Committee certified performance for the third tranche of PSUs, resulting in maximum attainment of 125% of the award. Because the performance condition for the third tranche was achieved at 125% (the maximum performance achievement), all remaining tranches of the PSUs will also be earned at 125% of the target shares.</w:t>
      </w:r>
    </w:p>
    <w:p>
      <w:pPr>
        <w:spacing w:after="0" w:line="50"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 stock units vest one-third on the 13-month, second and third anniversaries of the grant date, respectively.</w:t>
      </w:r>
    </w:p>
    <w:p>
      <w:pPr>
        <w:spacing w:after="0" w:line="133" w:lineRule="exact"/>
        <w:rPr>
          <w:rFonts w:ascii="Arial" w:cs="Arial" w:eastAsia="Arial" w:hAnsi="Arial"/>
          <w:sz w:val="24"/>
          <w:szCs w:val="24"/>
          <w:color w:val="auto"/>
          <w:vertAlign w:val="superscript"/>
        </w:rPr>
      </w:pPr>
    </w:p>
    <w:p>
      <w:pPr>
        <w:ind w:left="300" w:right="60" w:hanging="292"/>
        <w:spacing w:after="0" w:line="218"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2021, has been achieved at maximum attainment of the performance condition, resulting in 125% vesting of the award. In early 2022, the Compensation and Human Capital Committee certified performance for the second tranche of PSUs, resulting in maximum attainment of 125% of the award. Because the performance condition for the second tranche was achieved at 125% (the maximum performance achievement), all remaining tranches of the PSUs will also be earned at 125% of the target shares. The PSUs granted to Mr. Shell had the following vesting schedule: 15%, 15%, 15%, 15% and 40% on the first, second, third, fourth and fifth anniversaries of the grant date, respectively.</w:t>
      </w:r>
    </w:p>
    <w:p>
      <w:pPr>
        <w:spacing w:after="0" w:line="136" w:lineRule="exact"/>
        <w:rPr>
          <w:rFonts w:ascii="Arial" w:cs="Arial" w:eastAsia="Arial" w:hAnsi="Arial"/>
          <w:sz w:val="24"/>
          <w:szCs w:val="24"/>
          <w:color w:val="auto"/>
          <w:vertAlign w:val="superscript"/>
        </w:rPr>
      </w:pPr>
    </w:p>
    <w:p>
      <w:pPr>
        <w:ind w:left="300" w:hanging="292"/>
        <w:spacing w:after="0" w:line="206"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2021, may be achieved assuming maximum attainment of the performance condition, which would result in 250% vesting of the award. The Compensation and Human Capital Committee will certify actual performance achievement of the PSUs in early 2024. The PSUs vest 100% on the 3-year anniversary of the date of grant.</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auto"/>
        </w:rPr>
        <w:t>Option Exercises and Stock Vested</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2021.</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620" w:type="dxa"/>
            <w:vAlign w:val="bottom"/>
            <w:gridSpan w:val="3"/>
          </w:tcPr>
          <w:p>
            <w:pPr>
              <w:ind w:left="600"/>
              <w:spacing w:after="0"/>
              <w:rPr>
                <w:sz w:val="20"/>
                <w:szCs w:val="20"/>
                <w:color w:val="auto"/>
              </w:rPr>
            </w:pPr>
            <w:r>
              <w:rPr>
                <w:rFonts w:ascii="Arial" w:cs="Arial" w:eastAsia="Arial" w:hAnsi="Arial"/>
                <w:sz w:val="14"/>
                <w:szCs w:val="14"/>
                <w:b w:val="1"/>
                <w:bCs w:val="1"/>
                <w:color w:val="auto"/>
              </w:rPr>
              <w:t>OPTION AWARDS</w:t>
            </w:r>
          </w:p>
        </w:tc>
        <w:tc>
          <w:tcPr>
            <w:tcW w:w="2280" w:type="dxa"/>
            <w:vAlign w:val="bottom"/>
            <w:gridSpan w:val="2"/>
          </w:tcPr>
          <w:p>
            <w:pPr>
              <w:ind w:left="560"/>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6340" w:type="dxa"/>
            <w:vAlign w:val="bottom"/>
          </w:tcPr>
          <w:p>
            <w:pPr>
              <w:spacing w:after="0"/>
              <w:rPr>
                <w:sz w:val="12"/>
                <w:szCs w:val="12"/>
                <w:color w:val="auto"/>
              </w:rPr>
            </w:pPr>
          </w:p>
        </w:tc>
        <w:tc>
          <w:tcPr>
            <w:tcW w:w="1240" w:type="dxa"/>
            <w:vAlign w:val="bottom"/>
            <w:tcBorders>
              <w:top w:val="single" w:sz="8" w:color="auto"/>
            </w:tcBorders>
          </w:tcPr>
          <w:p>
            <w:pPr>
              <w:jc w:val="center"/>
              <w:ind w:right="24"/>
              <w:spacing w:after="0" w:line="147" w:lineRule="exact"/>
              <w:rPr>
                <w:sz w:val="20"/>
                <w:szCs w:val="20"/>
                <w:color w:val="auto"/>
              </w:rPr>
            </w:pPr>
            <w:r>
              <w:rPr>
                <w:rFonts w:ascii="Arial" w:cs="Arial" w:eastAsia="Arial" w:hAnsi="Arial"/>
                <w:sz w:val="14"/>
                <w:szCs w:val="14"/>
                <w:b w:val="1"/>
                <w:bCs w:val="1"/>
                <w:color w:val="auto"/>
              </w:rPr>
              <w:t>NUMBER OF</w:t>
            </w:r>
          </w:p>
        </w:tc>
        <w:tc>
          <w:tcPr>
            <w:tcW w:w="1180" w:type="dxa"/>
            <w:vAlign w:val="bottom"/>
            <w:tcBorders>
              <w:top w:val="single" w:sz="8" w:color="auto"/>
            </w:tcBorders>
          </w:tcPr>
          <w:p>
            <w:pPr>
              <w:jc w:val="center"/>
              <w:ind w:left="23"/>
              <w:spacing w:after="0" w:line="147"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center"/>
              <w:ind w:right="44"/>
              <w:spacing w:after="0" w:line="147" w:lineRule="exact"/>
              <w:rPr>
                <w:sz w:val="20"/>
                <w:szCs w:val="20"/>
                <w:color w:val="auto"/>
              </w:rPr>
            </w:pPr>
            <w:r>
              <w:rPr>
                <w:rFonts w:ascii="Arial" w:cs="Arial" w:eastAsia="Arial" w:hAnsi="Arial"/>
                <w:sz w:val="14"/>
                <w:szCs w:val="14"/>
                <w:b w:val="1"/>
                <w:bCs w:val="1"/>
                <w:color w:val="auto"/>
              </w:rPr>
              <w:t>NUMBER OF</w:t>
            </w:r>
          </w:p>
        </w:tc>
        <w:tc>
          <w:tcPr>
            <w:tcW w:w="1200" w:type="dxa"/>
            <w:vAlign w:val="bottom"/>
            <w:tcBorders>
              <w:top w:val="single" w:sz="8" w:color="auto"/>
            </w:tcBorders>
          </w:tcPr>
          <w:p>
            <w:pPr>
              <w:jc w:val="center"/>
              <w:ind w:left="3"/>
              <w:spacing w:after="0" w:line="147" w:lineRule="exact"/>
              <w:rPr>
                <w:sz w:val="20"/>
                <w:szCs w:val="20"/>
                <w:color w:val="auto"/>
              </w:rPr>
            </w:pPr>
            <w:r>
              <w:rPr>
                <w:rFonts w:ascii="Arial" w:cs="Arial" w:eastAsia="Arial" w:hAnsi="Arial"/>
                <w:sz w:val="14"/>
                <w:szCs w:val="14"/>
                <w:b w:val="1"/>
                <w:bCs w:val="1"/>
                <w:color w:val="auto"/>
              </w:rPr>
              <w:t>VALUE</w:t>
            </w:r>
          </w:p>
        </w:tc>
      </w:tr>
      <w:tr>
        <w:trPr>
          <w:trHeight w:val="162"/>
        </w:trPr>
        <w:tc>
          <w:tcPr>
            <w:tcW w:w="6340" w:type="dxa"/>
            <w:vAlign w:val="bottom"/>
          </w:tcPr>
          <w:p>
            <w:pPr>
              <w:spacing w:after="0"/>
              <w:rPr>
                <w:sz w:val="14"/>
                <w:szCs w:val="14"/>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REALIZED ON</w:t>
            </w:r>
          </w:p>
        </w:tc>
        <w:tc>
          <w:tcPr>
            <w:tcW w:w="1080" w:type="dxa"/>
            <w:vAlign w:val="bottom"/>
          </w:tcPr>
          <w:p>
            <w:pPr>
              <w:jc w:val="center"/>
              <w:ind w:right="44"/>
              <w:spacing w:after="0"/>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ind w:left="23"/>
              <w:spacing w:after="0"/>
              <w:rPr>
                <w:sz w:val="20"/>
                <w:szCs w:val="20"/>
                <w:color w:val="auto"/>
              </w:rPr>
            </w:pPr>
            <w:r>
              <w:rPr>
                <w:rFonts w:ascii="Arial" w:cs="Arial" w:eastAsia="Arial" w:hAnsi="Arial"/>
                <w:sz w:val="14"/>
                <w:szCs w:val="14"/>
                <w:b w:val="1"/>
                <w:bCs w:val="1"/>
                <w:color w:val="auto"/>
              </w:rPr>
              <w:t>REALIZED ON</w:t>
            </w:r>
          </w:p>
        </w:tc>
      </w:tr>
      <w:tr>
        <w:trPr>
          <w:trHeight w:val="162"/>
        </w:trPr>
        <w:tc>
          <w:tcPr>
            <w:tcW w:w="6340" w:type="dxa"/>
            <w:vAlign w:val="bottom"/>
          </w:tcPr>
          <w:p>
            <w:pPr>
              <w:spacing w:after="0"/>
              <w:rPr>
                <w:sz w:val="14"/>
                <w:szCs w:val="14"/>
                <w:color w:val="auto"/>
              </w:rPr>
            </w:pPr>
          </w:p>
        </w:tc>
        <w:tc>
          <w:tcPr>
            <w:tcW w:w="1240" w:type="dxa"/>
            <w:vAlign w:val="bottom"/>
          </w:tcPr>
          <w:p>
            <w:pPr>
              <w:jc w:val="center"/>
              <w:ind w:right="24"/>
              <w:spacing w:after="0"/>
              <w:rPr>
                <w:sz w:val="20"/>
                <w:szCs w:val="20"/>
                <w:color w:val="auto"/>
              </w:rPr>
            </w:pPr>
            <w:r>
              <w:rPr>
                <w:rFonts w:ascii="Arial" w:cs="Arial" w:eastAsia="Arial" w:hAnsi="Arial"/>
                <w:sz w:val="14"/>
                <w:szCs w:val="14"/>
                <w:b w:val="1"/>
                <w:bCs w:val="1"/>
                <w:color w:val="auto"/>
              </w:rPr>
              <w:t>ACQUIRED ON</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080" w:type="dxa"/>
            <w:vAlign w:val="bottom"/>
          </w:tcPr>
          <w:p>
            <w:pPr>
              <w:jc w:val="center"/>
              <w:ind w:right="44"/>
              <w:spacing w:after="0"/>
              <w:rPr>
                <w:sz w:val="20"/>
                <w:szCs w:val="20"/>
                <w:color w:val="auto"/>
              </w:rPr>
            </w:pPr>
            <w:r>
              <w:rPr>
                <w:rFonts w:ascii="Arial" w:cs="Arial" w:eastAsia="Arial" w:hAnsi="Arial"/>
                <w:sz w:val="14"/>
                <w:szCs w:val="14"/>
                <w:b w:val="1"/>
                <w:bCs w:val="1"/>
                <w:color w:val="auto"/>
              </w:rPr>
              <w:t>ACQUIRED</w:t>
            </w:r>
          </w:p>
        </w:tc>
        <w:tc>
          <w:tcPr>
            <w:tcW w:w="1200" w:type="dxa"/>
            <w:vAlign w:val="bottom"/>
          </w:tcPr>
          <w:p>
            <w:pPr>
              <w:jc w:val="center"/>
              <w:ind w:left="23"/>
              <w:spacing w:after="0"/>
              <w:rPr>
                <w:sz w:val="20"/>
                <w:szCs w:val="20"/>
                <w:color w:val="auto"/>
              </w:rPr>
            </w:pPr>
            <w:r>
              <w:rPr>
                <w:rFonts w:ascii="Arial" w:cs="Arial" w:eastAsia="Arial" w:hAnsi="Arial"/>
                <w:sz w:val="14"/>
                <w:szCs w:val="14"/>
                <w:b w:val="1"/>
                <w:bCs w:val="1"/>
                <w:color w:val="auto"/>
              </w:rPr>
              <w:t>VESTING</w:t>
            </w:r>
          </w:p>
        </w:tc>
      </w:tr>
      <w:tr>
        <w:trPr>
          <w:trHeight w:val="205"/>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EXERCISE</w:t>
            </w:r>
          </w:p>
        </w:tc>
        <w:tc>
          <w:tcPr>
            <w:tcW w:w="11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ON VESTING</w:t>
            </w:r>
          </w:p>
        </w:tc>
        <w:tc>
          <w:tcPr>
            <w:tcW w:w="120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rPr>
              <w:t>($)</w:t>
            </w:r>
          </w:p>
        </w:tc>
      </w:tr>
      <w:tr>
        <w:trPr>
          <w:trHeight w:val="284"/>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Brian L. Roberts</w:t>
            </w: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2,988,000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112,071,190</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4"/>
              <w:spacing w:after="0" w:line="283" w:lineRule="exact"/>
              <w:rPr>
                <w:sz w:val="20"/>
                <w:szCs w:val="20"/>
                <w:color w:val="auto"/>
              </w:rPr>
            </w:pPr>
            <w:r>
              <w:rPr>
                <w:rFonts w:ascii="Arial" w:cs="Arial" w:eastAsia="Arial" w:hAnsi="Arial"/>
                <w:sz w:val="16"/>
                <w:szCs w:val="16"/>
                <w:color w:val="auto"/>
              </w:rPr>
              <w:t>68,608</w:t>
            </w:r>
            <w:r>
              <w:rPr>
                <w:rFonts w:ascii="Arial" w:cs="Arial" w:eastAsia="Arial" w:hAnsi="Arial"/>
                <w:sz w:val="26"/>
                <w:szCs w:val="26"/>
                <w:color w:val="auto"/>
                <w:vertAlign w:val="superscript"/>
              </w:rPr>
              <w:t>(1)</w:t>
            </w:r>
          </w:p>
        </w:tc>
        <w:tc>
          <w:tcPr>
            <w:tcW w:w="120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rPr>
              <w:t>3,958,652</w:t>
            </w:r>
          </w:p>
        </w:tc>
      </w:tr>
      <w:tr>
        <w:trPr>
          <w:trHeight w:val="236"/>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Michael J. Cavanagh</w:t>
            </w: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4"/>
              <w:spacing w:after="0" w:line="236" w:lineRule="exact"/>
              <w:rPr>
                <w:sz w:val="20"/>
                <w:szCs w:val="20"/>
                <w:color w:val="auto"/>
              </w:rPr>
            </w:pPr>
            <w:r>
              <w:rPr>
                <w:rFonts w:ascii="Arial" w:cs="Arial" w:eastAsia="Arial" w:hAnsi="Arial"/>
                <w:sz w:val="16"/>
                <w:szCs w:val="16"/>
                <w:color w:val="auto"/>
              </w:rPr>
              <w:t>115,091</w:t>
            </w:r>
            <w:r>
              <w:rPr>
                <w:rFonts w:ascii="Arial" w:cs="Arial" w:eastAsia="Arial" w:hAnsi="Arial"/>
                <w:sz w:val="26"/>
                <w:szCs w:val="26"/>
                <w:color w:val="auto"/>
                <w:vertAlign w:val="superscript"/>
              </w:rPr>
              <w:t>(1)</w:t>
            </w:r>
          </w:p>
        </w:tc>
        <w:tc>
          <w:tcPr>
            <w:tcW w:w="120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rPr>
              <w:t>6,540,905</w:t>
            </w:r>
          </w:p>
        </w:tc>
      </w:tr>
      <w:tr>
        <w:trPr>
          <w:trHeight w:val="233"/>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David N. Watson</w:t>
            </w: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409,314</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16,460,024</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56,349</w:t>
            </w:r>
          </w:p>
        </w:tc>
        <w:tc>
          <w:tcPr>
            <w:tcW w:w="120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rPr>
              <w:t>3,177,501</w:t>
            </w:r>
          </w:p>
        </w:tc>
      </w:tr>
      <w:tr>
        <w:trPr>
          <w:trHeight w:val="236"/>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Jeffrey Shell</w:t>
            </w: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68,088</w:t>
            </w:r>
          </w:p>
        </w:tc>
        <w:tc>
          <w:tcPr>
            <w:tcW w:w="120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rPr>
              <w:t>3,655,821</w:t>
            </w:r>
          </w:p>
        </w:tc>
      </w:tr>
      <w:tr>
        <w:trPr>
          <w:trHeight w:val="281"/>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Dana Strong</w:t>
            </w: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4"/>
              <w:spacing w:after="0" w:line="281" w:lineRule="exact"/>
              <w:rPr>
                <w:sz w:val="20"/>
                <w:szCs w:val="20"/>
                <w:color w:val="auto"/>
              </w:rPr>
            </w:pPr>
            <w:r>
              <w:rPr>
                <w:rFonts w:ascii="Arial" w:cs="Arial" w:eastAsia="Arial" w:hAnsi="Arial"/>
                <w:sz w:val="16"/>
                <w:szCs w:val="16"/>
                <w:color w:val="auto"/>
              </w:rPr>
              <w:t>42,502</w:t>
            </w:r>
            <w:r>
              <w:rPr>
                <w:rFonts w:ascii="Arial" w:cs="Arial" w:eastAsia="Arial" w:hAnsi="Arial"/>
                <w:sz w:val="26"/>
                <w:szCs w:val="26"/>
                <w:color w:val="auto"/>
                <w:vertAlign w:val="superscript"/>
              </w:rPr>
              <w:t>(1)</w:t>
            </w:r>
          </w:p>
        </w:tc>
        <w:tc>
          <w:tcPr>
            <w:tcW w:w="120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rPr>
              <w:t>2,248,981</w:t>
            </w:r>
          </w:p>
        </w:tc>
      </w:tr>
    </w:tbl>
    <w:p>
      <w:pPr>
        <w:spacing w:after="0" w:line="153" w:lineRule="exact"/>
        <w:rPr>
          <w:sz w:val="20"/>
          <w:szCs w:val="20"/>
          <w:color w:val="auto"/>
        </w:rPr>
      </w:pPr>
    </w:p>
    <w:p>
      <w:pPr>
        <w:ind w:left="300" w:right="40" w:hanging="292"/>
        <w:spacing w:after="0" w:line="218"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Mr. Roberts deferred the receipt of shares relating to 17,691, 21,637 and 21,879 of these PSUs that vested on March 15, 2021, March 16, 2021 and March 17, 2021, respectively. Mr. Cavanagh deferred the receipt of shares relating to 47,789 of these PSUs that vested on March 18, 2021. The value of the stock units realized on vesting is based on the value of a share of Class A common stock on the vesting date, regardless of whether the receipt of the shares underlying the PSUs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Nonqualified Deferred Compensation in and as of Fiscal Year-End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on the nonqualified deferred compensation of our NEOs in and as of the end of 2021.</w:t>
      </w:r>
      <w:r>
        <w:rPr>
          <w:rFonts w:ascii="Arial" w:cs="Arial" w:eastAsia="Arial" w:hAnsi="Arial"/>
          <w:sz w:val="26"/>
          <w:szCs w:val="26"/>
          <w:color w:val="auto"/>
          <w:vertAlign w:val="superscript"/>
        </w:rPr>
        <w:t>(1)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660" w:type="dxa"/>
            <w:vAlign w:val="bottom"/>
          </w:tcPr>
          <w:p>
            <w:pPr>
              <w:spacing w:after="0"/>
              <w:rPr>
                <w:sz w:val="14"/>
                <w:szCs w:val="14"/>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TYPE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EARNINGS IN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BALANCE AT</w:t>
            </w:r>
          </w:p>
        </w:tc>
      </w:tr>
      <w:tr>
        <w:trPr>
          <w:trHeight w:val="180"/>
        </w:trPr>
        <w:tc>
          <w:tcPr>
            <w:tcW w:w="4660" w:type="dxa"/>
            <w:vAlign w:val="bottom"/>
          </w:tcPr>
          <w:p>
            <w:pPr>
              <w:spacing w:after="0"/>
              <w:rPr>
                <w:sz w:val="15"/>
                <w:szCs w:val="15"/>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INVESTMENT</w:t>
            </w:r>
          </w:p>
        </w:tc>
        <w:tc>
          <w:tcPr>
            <w:tcW w:w="148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(2)</w:t>
            </w:r>
          </w:p>
        </w:tc>
        <w:tc>
          <w:tcPr>
            <w:tcW w:w="132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LAST FY</w:t>
            </w:r>
            <w:r>
              <w:rPr>
                <w:rFonts w:ascii="Arial" w:cs="Arial" w:eastAsia="Arial" w:hAnsi="Arial"/>
                <w:sz w:val="20"/>
                <w:szCs w:val="20"/>
                <w:b w:val="1"/>
                <w:bCs w:val="1"/>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180" w:type="dxa"/>
            <w:vAlign w:val="bottom"/>
          </w:tcPr>
          <w:p>
            <w:pPr>
              <w:jc w:val="center"/>
              <w:ind w:left="22"/>
              <w:spacing w:after="0" w:line="180" w:lineRule="exact"/>
              <w:rPr>
                <w:sz w:val="20"/>
                <w:szCs w:val="20"/>
                <w:color w:val="auto"/>
              </w:rPr>
            </w:pPr>
            <w:r>
              <w:rPr>
                <w:rFonts w:ascii="Arial" w:cs="Arial" w:eastAsia="Arial" w:hAnsi="Arial"/>
                <w:sz w:val="13"/>
                <w:szCs w:val="13"/>
                <w:b w:val="1"/>
                <w:bCs w:val="1"/>
                <w:color w:val="auto"/>
              </w:rPr>
              <w:t>LAST FYE</w:t>
            </w:r>
            <w:r>
              <w:rPr>
                <w:rFonts w:ascii="Arial" w:cs="Arial" w:eastAsia="Arial" w:hAnsi="Arial"/>
                <w:sz w:val="20"/>
                <w:szCs w:val="20"/>
                <w:b w:val="1"/>
                <w:bCs w:val="1"/>
                <w:color w:val="auto"/>
                <w:vertAlign w:val="superscript"/>
              </w:rPr>
              <w:t>(4)</w:t>
            </w:r>
          </w:p>
        </w:tc>
      </w:tr>
      <w:tr>
        <w:trPr>
          <w:trHeight w:val="205"/>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FUND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w:t>
            </w:r>
          </w:p>
        </w:tc>
      </w:tr>
      <w:tr>
        <w:trPr>
          <w:trHeight w:val="284"/>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Brian L. Roberts</w:t>
            </w: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rPr>
              <w:t>Income Fund</w:t>
            </w:r>
          </w:p>
        </w:tc>
        <w:tc>
          <w:tcPr>
            <w:tcW w:w="1480" w:type="dxa"/>
            <w:vAlign w:val="bottom"/>
            <w:tcBorders>
              <w:bottom w:val="single" w:sz="8" w:color="auto"/>
            </w:tcBorders>
          </w:tcPr>
          <w:p>
            <w:pPr>
              <w:jc w:val="right"/>
              <w:ind w:right="263"/>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(5)</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2,132</w:t>
            </w: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(1,465,395)</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77"/>
        </w:trPr>
        <w:tc>
          <w:tcPr>
            <w:tcW w:w="4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rPr>
              <w:t>Market Funds</w:t>
            </w:r>
          </w:p>
        </w:tc>
        <w:tc>
          <w:tcPr>
            <w:tcW w:w="1480" w:type="dxa"/>
            <w:vAlign w:val="bottom"/>
            <w:tcBorders>
              <w:bottom w:val="single" w:sz="8" w:color="auto"/>
            </w:tcBorders>
          </w:tcPr>
          <w:p>
            <w:pPr>
              <w:jc w:val="right"/>
              <w:ind w:right="263"/>
              <w:spacing w:after="0" w:line="277" w:lineRule="exact"/>
              <w:rPr>
                <w:sz w:val="20"/>
                <w:szCs w:val="20"/>
                <w:color w:val="auto"/>
              </w:rPr>
            </w:pPr>
            <w:r>
              <w:rPr>
                <w:rFonts w:ascii="Arial" w:cs="Arial" w:eastAsia="Arial" w:hAnsi="Arial"/>
                <w:sz w:val="16"/>
                <w:szCs w:val="16"/>
                <w:color w:val="auto"/>
              </w:rPr>
              <w:t>11,269,919</w:t>
            </w:r>
            <w:r>
              <w:rPr>
                <w:rFonts w:ascii="Arial" w:cs="Arial" w:eastAsia="Arial" w:hAnsi="Arial"/>
                <w:sz w:val="26"/>
                <w:szCs w:val="26"/>
                <w:color w:val="auto"/>
                <w:vertAlign w:val="superscript"/>
              </w:rPr>
              <w:t>(5)</w:t>
            </w:r>
          </w:p>
        </w:tc>
        <w:tc>
          <w:tcPr>
            <w:tcW w:w="1320" w:type="dxa"/>
            <w:vAlign w:val="bottom"/>
            <w:tcBorders>
              <w:bottom w:val="single" w:sz="8" w:color="auto"/>
            </w:tcBorders>
          </w:tcPr>
          <w:p>
            <w:pPr>
              <w:jc w:val="right"/>
              <w:ind w:right="122"/>
              <w:spacing w:after="0" w:line="277" w:lineRule="exact"/>
              <w:rPr>
                <w:sz w:val="20"/>
                <w:szCs w:val="20"/>
                <w:color w:val="auto"/>
              </w:rPr>
            </w:pPr>
            <w:r>
              <w:rPr>
                <w:rFonts w:ascii="Arial" w:cs="Arial" w:eastAsia="Arial" w:hAnsi="Arial"/>
                <w:sz w:val="16"/>
                <w:szCs w:val="16"/>
                <w:color w:val="auto"/>
              </w:rPr>
              <w:t>10,484,354</w:t>
            </w:r>
            <w:r>
              <w:rPr>
                <w:rFonts w:ascii="Arial" w:cs="Arial" w:eastAsia="Arial" w:hAnsi="Arial"/>
                <w:sz w:val="26"/>
                <w:szCs w:val="26"/>
                <w:color w:val="auto"/>
                <w:vertAlign w:val="superscript"/>
              </w:rPr>
              <w:t>(5)</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139,390,356</w:t>
            </w:r>
          </w:p>
        </w:tc>
      </w:tr>
      <w:tr>
        <w:trPr>
          <w:trHeight w:val="233"/>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Michael J. Cavanagh</w:t>
            </w: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rPr>
              <w:t>Income Fund</w:t>
            </w:r>
          </w:p>
        </w:tc>
        <w:tc>
          <w:tcPr>
            <w:tcW w:w="14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(5)</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40"/>
        </w:trPr>
        <w:tc>
          <w:tcPr>
            <w:tcW w:w="4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rPr>
              <w:t>Market Funds</w:t>
            </w:r>
          </w:p>
        </w:tc>
        <w:tc>
          <w:tcPr>
            <w:tcW w:w="1480" w:type="dxa"/>
            <w:vAlign w:val="bottom"/>
            <w:tcBorders>
              <w:bottom w:val="single" w:sz="8" w:color="auto"/>
            </w:tcBorders>
          </w:tcPr>
          <w:p>
            <w:pPr>
              <w:jc w:val="right"/>
              <w:ind w:right="263"/>
              <w:spacing w:after="0" w:line="240" w:lineRule="exact"/>
              <w:rPr>
                <w:sz w:val="20"/>
                <w:szCs w:val="20"/>
                <w:color w:val="auto"/>
              </w:rPr>
            </w:pPr>
            <w:r>
              <w:rPr>
                <w:rFonts w:ascii="Arial" w:cs="Arial" w:eastAsia="Arial" w:hAnsi="Arial"/>
                <w:sz w:val="16"/>
                <w:szCs w:val="16"/>
                <w:color w:val="auto"/>
              </w:rPr>
              <w:t>2,669,971</w:t>
            </w:r>
            <w:r>
              <w:rPr>
                <w:rFonts w:ascii="Arial" w:cs="Arial" w:eastAsia="Arial" w:hAnsi="Arial"/>
                <w:sz w:val="26"/>
                <w:szCs w:val="26"/>
                <w:color w:val="auto"/>
                <w:vertAlign w:val="superscript"/>
              </w:rPr>
              <w:t>(5)</w:t>
            </w:r>
          </w:p>
        </w:tc>
        <w:tc>
          <w:tcPr>
            <w:tcW w:w="1320" w:type="dxa"/>
            <w:vAlign w:val="bottom"/>
            <w:tcBorders>
              <w:bottom w:val="single" w:sz="8" w:color="auto"/>
            </w:tcBorders>
          </w:tcPr>
          <w:p>
            <w:pPr>
              <w:jc w:val="right"/>
              <w:ind w:right="122"/>
              <w:spacing w:after="0" w:line="240" w:lineRule="exact"/>
              <w:rPr>
                <w:sz w:val="20"/>
                <w:szCs w:val="20"/>
                <w:color w:val="auto"/>
              </w:rPr>
            </w:pPr>
            <w:r>
              <w:rPr>
                <w:rFonts w:ascii="Arial" w:cs="Arial" w:eastAsia="Arial" w:hAnsi="Arial"/>
                <w:sz w:val="16"/>
                <w:szCs w:val="16"/>
                <w:color w:val="auto"/>
              </w:rPr>
              <w:t>2,608,840</w:t>
            </w:r>
            <w:r>
              <w:rPr>
                <w:rFonts w:ascii="Arial" w:cs="Arial" w:eastAsia="Arial" w:hAnsi="Arial"/>
                <w:sz w:val="26"/>
                <w:szCs w:val="26"/>
                <w:color w:val="auto"/>
                <w:vertAlign w:val="superscript"/>
              </w:rPr>
              <w:t>(5)</w:t>
            </w: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(14,393,021)</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70,668,620</w:t>
            </w:r>
          </w:p>
        </w:tc>
      </w:tr>
      <w:tr>
        <w:trPr>
          <w:trHeight w:val="233"/>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David N. Watson</w:t>
            </w: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rPr>
              <w:t>Income Fund</w:t>
            </w:r>
          </w:p>
        </w:tc>
        <w:tc>
          <w:tcPr>
            <w:tcW w:w="148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662,811</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34"/>
        </w:trPr>
        <w:tc>
          <w:tcPr>
            <w:tcW w:w="4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rPr>
              <w:t>Market Funds</w:t>
            </w:r>
          </w:p>
        </w:tc>
        <w:tc>
          <w:tcPr>
            <w:tcW w:w="148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1,360,173</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39,324,396</w:t>
            </w:r>
          </w:p>
        </w:tc>
      </w:tr>
      <w:tr>
        <w:trPr>
          <w:trHeight w:val="239"/>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Jeffrey Shell</w:t>
            </w: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rPr>
              <w:t>Income Fund</w:t>
            </w:r>
          </w:p>
        </w:tc>
        <w:tc>
          <w:tcPr>
            <w:tcW w:w="148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62,676</w:t>
            </w: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(4,507,626)</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34"/>
        </w:trPr>
        <w:tc>
          <w:tcPr>
            <w:tcW w:w="4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rPr>
              <w:t>Market Funds</w:t>
            </w:r>
          </w:p>
        </w:tc>
        <w:tc>
          <w:tcPr>
            <w:tcW w:w="148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4,186,131</w:t>
            </w:r>
          </w:p>
        </w:tc>
        <w:tc>
          <w:tcPr>
            <w:tcW w:w="13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(361,695)</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8,049,434</w:t>
            </w:r>
          </w:p>
        </w:tc>
      </w:tr>
      <w:tr>
        <w:trPr>
          <w:trHeight w:val="239"/>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Dana Strong</w:t>
            </w: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rPr>
              <w:t>Income Fund</w:t>
            </w:r>
          </w:p>
        </w:tc>
        <w:tc>
          <w:tcPr>
            <w:tcW w:w="148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69,902</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29,517</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40"/>
        </w:trPr>
        <w:tc>
          <w:tcPr>
            <w:tcW w:w="4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rPr>
              <w:t>Market Funds</w:t>
            </w:r>
          </w:p>
        </w:tc>
        <w:tc>
          <w:tcPr>
            <w:tcW w:w="1480" w:type="dxa"/>
            <w:vAlign w:val="bottom"/>
            <w:tcBorders>
              <w:bottom w:val="single" w:sz="8" w:color="auto"/>
            </w:tcBorders>
          </w:tcPr>
          <w:p>
            <w:pPr>
              <w:jc w:val="right"/>
              <w:ind w:right="263"/>
              <w:spacing w:after="0" w:line="240" w:lineRule="exact"/>
              <w:rPr>
                <w:sz w:val="20"/>
                <w:szCs w:val="20"/>
                <w:color w:val="auto"/>
              </w:rPr>
            </w:pPr>
            <w:r>
              <w:rPr>
                <w:rFonts w:ascii="Arial" w:cs="Arial" w:eastAsia="Arial" w:hAnsi="Arial"/>
                <w:sz w:val="16"/>
                <w:szCs w:val="16"/>
                <w:color w:val="auto"/>
              </w:rPr>
              <w:t>896,003</w:t>
            </w:r>
            <w:r>
              <w:rPr>
                <w:rFonts w:ascii="Arial" w:cs="Arial" w:eastAsia="Arial" w:hAnsi="Arial"/>
                <w:sz w:val="26"/>
                <w:szCs w:val="26"/>
                <w:color w:val="auto"/>
                <w:vertAlign w:val="superscript"/>
              </w:rPr>
              <w:t>(5)</w:t>
            </w:r>
          </w:p>
        </w:tc>
        <w:tc>
          <w:tcPr>
            <w:tcW w:w="1320" w:type="dxa"/>
            <w:vAlign w:val="bottom"/>
            <w:tcBorders>
              <w:bottom w:val="single" w:sz="8" w:color="auto"/>
            </w:tcBorders>
          </w:tcPr>
          <w:p>
            <w:pPr>
              <w:jc w:val="right"/>
              <w:ind w:right="122"/>
              <w:spacing w:after="0" w:line="240" w:lineRule="exact"/>
              <w:rPr>
                <w:sz w:val="20"/>
                <w:szCs w:val="20"/>
                <w:color w:val="auto"/>
              </w:rPr>
            </w:pPr>
            <w:r>
              <w:rPr>
                <w:rFonts w:ascii="Arial" w:cs="Arial" w:eastAsia="Arial" w:hAnsi="Arial"/>
                <w:sz w:val="16"/>
                <w:szCs w:val="16"/>
                <w:color w:val="auto"/>
              </w:rPr>
              <w:t>135,548</w:t>
            </w:r>
            <w:r>
              <w:rPr>
                <w:rFonts w:ascii="Arial" w:cs="Arial" w:eastAsia="Arial" w:hAnsi="Arial"/>
                <w:sz w:val="26"/>
                <w:szCs w:val="26"/>
                <w:color w:val="auto"/>
                <w:vertAlign w:val="superscript"/>
              </w:rPr>
              <w:t>(5)</w:t>
            </w: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3,212,982</w:t>
            </w:r>
          </w:p>
        </w:tc>
      </w:tr>
    </w:tbl>
    <w:p>
      <w:pPr>
        <w:spacing w:after="0" w:line="153" w:lineRule="exact"/>
        <w:rPr>
          <w:sz w:val="20"/>
          <w:szCs w:val="20"/>
          <w:color w:val="auto"/>
        </w:rPr>
      </w:pPr>
    </w:p>
    <w:p>
      <w:pPr>
        <w:ind w:left="300" w:right="20" w:hanging="292"/>
        <w:spacing w:after="0" w:line="213"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Amounts in this table have been deferred under our deferred compensation plans, except for deferrals of stock units with respect to shares of Class A common stock under our restricted stock plan, as more fully described in footnote (5) to this table. Eligible employees and directors may participate in these plans. Since March 1, 2021, amounts credited to an NEO’s account must be invested notionally in a third-party mutual or exchange fund or our company’s common stock fund. Before March 2021, NEOs were permitted to invest amounts instead in an income fund with an interest crediting rate of 9%, or 12% for certain grandfathered amounts.</w:t>
      </w:r>
    </w:p>
    <w:p>
      <w:pPr>
        <w:spacing w:after="0" w:line="136" w:lineRule="exact"/>
        <w:rPr>
          <w:rFonts w:ascii="Arial" w:cs="Arial" w:eastAsia="Arial" w:hAnsi="Arial"/>
          <w:sz w:val="24"/>
          <w:szCs w:val="24"/>
          <w:color w:val="auto"/>
          <w:vertAlign w:val="superscript"/>
        </w:rPr>
      </w:pPr>
    </w:p>
    <w:p>
      <w:pPr>
        <w:ind w:left="300" w:right="220"/>
        <w:spacing w:after="0" w:line="256" w:lineRule="auto"/>
        <w:rPr>
          <w:rFonts w:ascii="Arial" w:cs="Arial" w:eastAsia="Arial" w:hAnsi="Arial"/>
          <w:sz w:val="24"/>
          <w:szCs w:val="24"/>
          <w:color w:val="auto"/>
          <w:vertAlign w:val="superscript"/>
        </w:rPr>
      </w:pPr>
      <w:r>
        <w:rPr>
          <w:rFonts w:ascii="Arial" w:cs="Arial" w:eastAsia="Arial" w:hAnsi="Arial"/>
          <w:sz w:val="14"/>
          <w:szCs w:val="14"/>
          <w:color w:val="auto"/>
        </w:rPr>
        <w:t>Under our restricted stock plan,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the shares subject to such stock units (or such greater percentage authorized by the Compensation and Human Capital Committee) to have the value of such stock units transferred to our deferred compensation plans.</w:t>
      </w:r>
    </w:p>
    <w:p>
      <w:pPr>
        <w:spacing w:after="0" w:line="123" w:lineRule="exact"/>
        <w:rPr>
          <w:rFonts w:ascii="Arial" w:cs="Arial" w:eastAsia="Arial" w:hAnsi="Arial"/>
          <w:sz w:val="24"/>
          <w:szCs w:val="24"/>
          <w:color w:val="auto"/>
          <w:vertAlign w:val="superscript"/>
        </w:rPr>
      </w:pPr>
    </w:p>
    <w:p>
      <w:pPr>
        <w:ind w:left="300"/>
        <w:spacing w:after="0" w:line="285" w:lineRule="auto"/>
        <w:rPr>
          <w:rFonts w:ascii="Arial" w:cs="Arial" w:eastAsia="Arial" w:hAnsi="Arial"/>
          <w:sz w:val="24"/>
          <w:szCs w:val="24"/>
          <w:color w:val="auto"/>
          <w:vertAlign w:val="superscript"/>
        </w:rPr>
      </w:pPr>
      <w:r>
        <w:rPr>
          <w:rFonts w:ascii="Arial" w:cs="Arial" w:eastAsia="Arial" w:hAnsi="Arial"/>
          <w:sz w:val="14"/>
          <w:szCs w:val="14"/>
          <w:color w:val="auto"/>
        </w:rPr>
        <w:t>During 2021, (i) the annual rates of return under the third-party mutual or exchange funds were as follows: 5.93%, -1.7%, 28.69%, 12.45%, 25.44%, -10.36%, 7.76%, 1.36% and 11.50%, and (ii) the annual rate of return under our company stock fund was -2.22%.</w:t>
      </w:r>
    </w:p>
    <w:p>
      <w:pPr>
        <w:spacing w:after="0" w:line="103" w:lineRule="exact"/>
        <w:rPr>
          <w:rFonts w:ascii="Arial" w:cs="Arial" w:eastAsia="Arial" w:hAnsi="Arial"/>
          <w:sz w:val="24"/>
          <w:szCs w:val="24"/>
          <w:color w:val="auto"/>
          <w:vertAlign w:val="superscript"/>
        </w:rPr>
      </w:pPr>
    </w:p>
    <w:p>
      <w:pPr>
        <w:ind w:left="300" w:right="120" w:hanging="292"/>
        <w:spacing w:after="0" w:line="193"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These amounts (other than amounts related to deferrals of PSUs) are reported as compensation in the “Summary Compensation Table” above under the columns “Salary” and “Non-Equity Incentive Plan Compensation.”</w:t>
      </w:r>
    </w:p>
    <w:p>
      <w:pPr>
        <w:spacing w:after="0" w:line="134" w:lineRule="exact"/>
        <w:rPr>
          <w:rFonts w:ascii="Arial" w:cs="Arial" w:eastAsia="Arial" w:hAnsi="Arial"/>
          <w:sz w:val="24"/>
          <w:szCs w:val="24"/>
          <w:color w:val="auto"/>
          <w:vertAlign w:val="superscript"/>
        </w:rPr>
      </w:pPr>
    </w:p>
    <w:p>
      <w:pPr>
        <w:ind w:left="300" w:right="420" w:hanging="292"/>
        <w:spacing w:after="0" w:line="193"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 portion of these amounts that represents interest earned in excess of 120% of the long-term applicable federal rate is reported as compensation in the “Summary Compensation Table” above under the column “Change in Pension Value and Earnings on Nonqualified Deferred Compensation.”</w:t>
      </w:r>
    </w:p>
    <w:p>
      <w:pPr>
        <w:spacing w:after="0" w:line="134" w:lineRule="exact"/>
        <w:rPr>
          <w:rFonts w:ascii="Arial" w:cs="Arial" w:eastAsia="Arial" w:hAnsi="Arial"/>
          <w:sz w:val="24"/>
          <w:szCs w:val="24"/>
          <w:color w:val="auto"/>
          <w:vertAlign w:val="superscript"/>
        </w:rPr>
      </w:pPr>
    </w:p>
    <w:p>
      <w:pPr>
        <w:ind w:left="300" w:right="40" w:hanging="292"/>
        <w:spacing w:after="0" w:line="213"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All amounts contributed in prior years under our deferred compensation plans have been reported in the Summary Compensation Table in previously filed proxy statements in the year earned to the extent an individual was an NEO for purposes of the SEC’s executive compensation disclosure. The grant date fair value of stock units deferred under our restricted stock plan has been reported in the year granted in the Summary Compensation Table in previously filed proxy statements. Fiscal year-end balances for each fund include net transfers between funds that occurred during the year.</w:t>
      </w:r>
    </w:p>
    <w:p>
      <w:pPr>
        <w:spacing w:after="0" w:line="136" w:lineRule="exact"/>
        <w:rPr>
          <w:rFonts w:ascii="Arial" w:cs="Arial" w:eastAsia="Arial" w:hAnsi="Arial"/>
          <w:sz w:val="24"/>
          <w:szCs w:val="24"/>
          <w:color w:val="auto"/>
          <w:vertAlign w:val="superscript"/>
        </w:rPr>
      </w:pPr>
    </w:p>
    <w:p>
      <w:pPr>
        <w:ind w:left="300" w:right="100" w:hanging="292"/>
        <w:spacing w:after="0" w:line="218"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Pursuant to our restricted stock plan, as described in footnote (1) to this table, (i) Mr. Roberts deferred the settlement of 17,691 PSUs, 21,637 PSUs and 21,879 PSUs that vested on March 15, 2021, March 16, 2021 and March 17, 2021, respectively, and (ii) Mr. Cavanagh deferred the settlement of 47,789 PSUs that vested on March 18, 2021. The amounts shown in the “Market Funds” row of the “Executive Contributions in Last FY” column reflect the aggregate value of (i) stock units that were deferred in 2021 as of their respective vesting dates and (ii) amounts deemed invested in third-party mutual or exchange funds under our deferred compensation plans; the amounts shown in the “Market Funds” row of the “Aggregate Earnings in Last FY” column reflect the value of any aggregate gain or loss in 2021.</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auto"/>
        </w:rPr>
        <w:t>Agreements with Our Named Executive Officers</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Each of our NEOs has an employment agreement with us that has the following key provisions.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on December 21, 2018 and secures his employment through December 31, 2023. Mr. Watson’s agreement was entered into on March 1, 2018 and, as amended, secures his employment through June 30, 2025. Mr. Shell’s agreement was entered into on February 19, 2020 and secures his employment through December 31, 2024. Ms. Strong’s agreement was entered into on January 1, 2021 and secures her employment through December 31, 2025.</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Each of the employment agreements provides for a base salary either as specified in the agreement or otherwise then in effect. An NEO’s salary may not be reduced, except under an overall plan to reduce the salary on a basis consistent with other senior executives at their respective levels. The NEOs also are eligible to receive an annual performance bonus, payable in cash, of a percentage of their respective base salaries for the applicable year. Each NEO’s target bonus opportunity may not be less than 300% of their respective base salaries if all performance targets are achieved. Our NEOs are also entitled to receive certain severance benefits under their respective agreements in the event of a qualifying termination of employment as described under the “Potential Payments upon Termination or Change in Control” table below.</w:t>
      </w:r>
    </w:p>
    <w:p>
      <w:pPr>
        <w:spacing w:after="0" w:line="12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Under the agreements, each NEO has agreed not to compete with us during their employment and, in the event their employment terminates other than by us without cause or by them with good reason, for one year after termination of their employment.</w:t>
      </w:r>
    </w:p>
    <w:p>
      <w:pPr>
        <w:spacing w:after="0" w:line="10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Each of our NEOs has agreed not to solicit our employees or customers for one year after termination of their employment and is subject to confidentiality covenants. Each has agreed to maintain the confidentiality of our information and not to use such information, except for our benefit, at all times during and after their employment with us.</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Potential Payments upon Termination or Change in Control</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table below describes the payments and benefits to which each of our NEOs would have been entitled (i) had their employment terminated on December 31, 2021 (a) by us without cause or by them with good reason, (b) because of their death, (c) due to their disability or (d) upon their retirement or</w:t>
      </w:r>
    </w:p>
    <w:p>
      <w:pPr>
        <w:spacing w:after="0" w:line="1" w:lineRule="exact"/>
        <w:rPr>
          <w:sz w:val="20"/>
          <w:szCs w:val="20"/>
          <w:color w:val="auto"/>
        </w:rPr>
      </w:pPr>
    </w:p>
    <w:p>
      <w:pPr>
        <w:ind w:right="300" w:firstLine="8"/>
        <w:spacing w:after="0" w:line="252" w:lineRule="auto"/>
        <w:tabs>
          <w:tab w:leader="none" w:pos="2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ACCELERATION/</w:t>
            </w: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CONTINUED</w:t>
            </w: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ACCELERATION/</w:t>
            </w:r>
          </w:p>
        </w:tc>
        <w:tc>
          <w:tcPr>
            <w:tcW w:w="1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VESTING &amp;</w:t>
            </w:r>
          </w:p>
        </w:tc>
        <w:tc>
          <w:tcPr>
            <w:tcW w:w="130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EXERCISABILITY</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CONTINUED</w:t>
            </w:r>
          </w:p>
        </w:tc>
        <w:tc>
          <w:tcPr>
            <w:tcW w:w="1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340" w:type="dxa"/>
            <w:vAlign w:val="bottom"/>
            <w:vMerge w:val="restart"/>
          </w:tcPr>
          <w:p>
            <w:pPr>
              <w:jc w:val="center"/>
              <w:ind w:left="10"/>
              <w:spacing w:after="0"/>
              <w:rPr>
                <w:sz w:val="20"/>
                <w:szCs w:val="20"/>
                <w:color w:val="auto"/>
              </w:rPr>
            </w:pPr>
            <w:r>
              <w:rPr>
                <w:rFonts w:ascii="Arial" w:cs="Arial" w:eastAsia="Arial" w:hAnsi="Arial"/>
                <w:sz w:val="13"/>
                <w:szCs w:val="13"/>
                <w:b w:val="1"/>
                <w:bCs w:val="1"/>
                <w:color w:val="auto"/>
                <w:w w:val="96"/>
              </w:rPr>
              <w:t>BASE SALARY</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4"/>
              </w:rPr>
              <w:t>ANNUAL</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8"/>
              </w:rPr>
              <w:t>ACCRUED</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OF UNVESTED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VESTING OF</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4"/>
              </w:rPr>
              <w:t>HEALTH</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CASH BONUS</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ANNUAL CASH</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UNVESTED</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BENEFIT</w:t>
            </w:r>
          </w:p>
        </w:tc>
        <w:tc>
          <w:tcPr>
            <w:tcW w:w="98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CONTINUATION</w:t>
            </w:r>
          </w:p>
        </w:tc>
        <w:tc>
          <w:tcPr>
            <w:tcW w:w="12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CONTINUATION</w:t>
            </w:r>
          </w:p>
        </w:tc>
        <w:tc>
          <w:tcPr>
            <w:tcW w:w="12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BONUS</w:t>
            </w:r>
          </w:p>
        </w:tc>
        <w:tc>
          <w:tcPr>
            <w:tcW w:w="132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(1)</w:t>
            </w:r>
          </w:p>
        </w:tc>
        <w:tc>
          <w:tcPr>
            <w:tcW w:w="130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STOCK UNITS</w:t>
            </w:r>
            <w:r>
              <w:rPr>
                <w:rFonts w:ascii="Arial" w:cs="Arial" w:eastAsia="Arial" w:hAnsi="Arial"/>
                <w:sz w:val="16"/>
                <w:szCs w:val="16"/>
                <w:b w:val="1"/>
                <w:bCs w:val="1"/>
                <w:color w:val="auto"/>
                <w:vertAlign w:val="superscript"/>
              </w:rPr>
              <w:t>(1)</w:t>
            </w:r>
          </w:p>
        </w:tc>
        <w:tc>
          <w:tcPr>
            <w:tcW w:w="12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CONTINUATION</w:t>
            </w: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Brian L. Roberts</w:t>
            </w: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4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14"/>
                <w:szCs w:val="14"/>
                <w:color w:val="auto"/>
              </w:rPr>
              <w:t>Without Cause/With Good Reason</w:t>
            </w:r>
            <w:r>
              <w:rPr>
                <w:rFonts w:ascii="Arial" w:cs="Arial" w:eastAsia="Arial" w:hAnsi="Arial"/>
                <w:sz w:val="23"/>
                <w:szCs w:val="23"/>
                <w:color w:val="auto"/>
                <w:vertAlign w:val="superscript"/>
              </w:rPr>
              <w:t>(2)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7,500,000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22,500,000</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9,748,245</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43,060,724</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34,852,317</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35,176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117,696,462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Death</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9,748,245</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43,060,724</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34,852,317</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211,056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87,872,342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Disability</w:t>
            </w:r>
            <w:r>
              <w:rPr>
                <w:rFonts w:ascii="Arial" w:cs="Arial" w:eastAsia="Arial" w:hAnsi="Arial"/>
                <w:sz w:val="23"/>
                <w:szCs w:val="23"/>
                <w:color w:val="auto"/>
                <w:vertAlign w:val="superscript"/>
              </w:rPr>
              <w:t>(4)</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7,500,000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22,500,000</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9,748,245</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43,060,724</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34,852,317</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117,661,286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43,060,724</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34,852,317</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77,913,041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Michael J. Cavanagh</w:t>
            </w: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4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14"/>
                <w:szCs w:val="14"/>
                <w:color w:val="auto"/>
              </w:rPr>
              <w:t>Without Cause/With Good Reason</w:t>
            </w:r>
            <w:r>
              <w:rPr>
                <w:rFonts w:ascii="Arial" w:cs="Arial" w:eastAsia="Arial" w:hAnsi="Arial"/>
                <w:sz w:val="23"/>
                <w:szCs w:val="23"/>
                <w:color w:val="auto"/>
                <w:vertAlign w:val="superscript"/>
              </w:rPr>
              <w:t>(7)</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4,600,000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6,900,000</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6,900,000</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10,106,156</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5,885,238</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30,096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34,421,490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575,000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6,900,000</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26,721,185</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27,544,502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61,740,687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David N. Watson</w:t>
            </w: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4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14"/>
                <w:szCs w:val="14"/>
                <w:color w:val="auto"/>
              </w:rPr>
              <w:t>Without Cause/With Good Reason</w:t>
            </w:r>
            <w:r>
              <w:rPr>
                <w:rFonts w:ascii="Arial" w:cs="Arial" w:eastAsia="Arial" w:hAnsi="Arial"/>
                <w:sz w:val="23"/>
                <w:szCs w:val="23"/>
                <w:color w:val="auto"/>
                <w:vertAlign w:val="superscript"/>
              </w:rPr>
              <w:t>(7)</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4,600,000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6,900,000</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6,744,231</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4,870,550</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4,007,728</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23,451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27,145,960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575,000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6,744,231</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15,544,286</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17,214,018</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40,077,535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15,544,286</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17,214,018</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32,758,304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2640" w:type="dxa"/>
            <w:vAlign w:val="bottom"/>
          </w:tcPr>
          <w:p>
            <w:pPr>
              <w:spacing w:after="0"/>
              <w:rPr>
                <w:sz w:val="20"/>
                <w:szCs w:val="20"/>
                <w:color w:val="auto"/>
              </w:rPr>
            </w:pPr>
            <w:r>
              <w:rPr>
                <w:rFonts w:ascii="Arial" w:cs="Arial" w:eastAsia="Arial" w:hAnsi="Arial"/>
                <w:sz w:val="14"/>
                <w:szCs w:val="14"/>
                <w:b w:val="1"/>
                <w:bCs w:val="1"/>
                <w:color w:val="auto"/>
              </w:rPr>
              <w:t>54</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6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ACCELERATION/</w:t>
            </w: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CONTINUED</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ACCELERATION/</w:t>
            </w: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VESTING &amp;</w:t>
            </w:r>
          </w:p>
        </w:tc>
        <w:tc>
          <w:tcPr>
            <w:tcW w:w="12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EXERCISABILITY</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CONTINUED</w:t>
            </w: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80" w:type="dxa"/>
            <w:vAlign w:val="bottom"/>
          </w:tcPr>
          <w:p>
            <w:pPr>
              <w:spacing w:after="0"/>
              <w:rPr>
                <w:sz w:val="14"/>
                <w:szCs w:val="14"/>
                <w:color w:val="auto"/>
              </w:rPr>
            </w:pPr>
          </w:p>
        </w:tc>
        <w:tc>
          <w:tcPr>
            <w:tcW w:w="1520" w:type="dxa"/>
            <w:vAlign w:val="bottom"/>
            <w:vMerge w:val="restart"/>
          </w:tcPr>
          <w:p>
            <w:pPr>
              <w:jc w:val="center"/>
              <w:ind w:left="270"/>
              <w:spacing w:after="0"/>
              <w:rPr>
                <w:sz w:val="20"/>
                <w:szCs w:val="20"/>
                <w:color w:val="auto"/>
              </w:rPr>
            </w:pPr>
            <w:r>
              <w:rPr>
                <w:rFonts w:ascii="Arial" w:cs="Arial" w:eastAsia="Arial" w:hAnsi="Arial"/>
                <w:sz w:val="13"/>
                <w:szCs w:val="13"/>
                <w:b w:val="1"/>
                <w:bCs w:val="1"/>
                <w:color w:val="auto"/>
                <w:w w:val="96"/>
              </w:rPr>
              <w:t>BASE SALARY</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ANNUAL</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ACCRUED</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OF UNVESTED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VESTING OF</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4"/>
              </w:rPr>
              <w:t>HEALTH</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CASH BONUS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ANNUAL CASH</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UNVESTED</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BENEFIT</w:t>
            </w:r>
          </w:p>
        </w:tc>
        <w:tc>
          <w:tcPr>
            <w:tcW w:w="90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28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520" w:type="dxa"/>
            <w:vAlign w:val="bottom"/>
          </w:tcPr>
          <w:p>
            <w:pPr>
              <w:jc w:val="center"/>
              <w:ind w:left="290"/>
              <w:spacing w:after="0" w:line="144" w:lineRule="exact"/>
              <w:rPr>
                <w:sz w:val="20"/>
                <w:szCs w:val="20"/>
                <w:color w:val="auto"/>
              </w:rPr>
            </w:pPr>
            <w:r>
              <w:rPr>
                <w:rFonts w:ascii="Arial" w:cs="Arial" w:eastAsia="Arial" w:hAnsi="Arial"/>
                <w:sz w:val="13"/>
                <w:szCs w:val="13"/>
                <w:b w:val="1"/>
                <w:bCs w:val="1"/>
                <w:color w:val="auto"/>
                <w:w w:val="96"/>
              </w:rPr>
              <w:t>CONTINUATION</w:t>
            </w: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CONTINUATION</w:t>
            </w:r>
          </w:p>
        </w:tc>
        <w:tc>
          <w:tcPr>
            <w:tcW w:w="11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BONUS</w:t>
            </w:r>
          </w:p>
        </w:tc>
        <w:tc>
          <w:tcPr>
            <w:tcW w:w="126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(1)</w:t>
            </w:r>
          </w:p>
        </w:tc>
        <w:tc>
          <w:tcPr>
            <w:tcW w:w="122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STOCK UNITS</w:t>
            </w:r>
            <w:r>
              <w:rPr>
                <w:rFonts w:ascii="Arial" w:cs="Arial" w:eastAsia="Arial" w:hAnsi="Arial"/>
                <w:sz w:val="16"/>
                <w:szCs w:val="16"/>
                <w:b w:val="1"/>
                <w:bCs w:val="1"/>
                <w:color w:val="auto"/>
                <w:vertAlign w:val="superscript"/>
              </w:rPr>
              <w:t>(1)</w:t>
            </w: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CONTINUATION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290"/>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Jeffrey Shell</w:t>
            </w:r>
          </w:p>
        </w:tc>
        <w:tc>
          <w:tcPr>
            <w:tcW w:w="1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14"/>
                <w:szCs w:val="14"/>
                <w:color w:val="auto"/>
              </w:rPr>
              <w:t>Without Cause/With Good Reason</w:t>
            </w:r>
            <w:r>
              <w:rPr>
                <w:rFonts w:ascii="Arial" w:cs="Arial" w:eastAsia="Arial" w:hAnsi="Arial"/>
                <w:sz w:val="23"/>
                <w:szCs w:val="23"/>
                <w:color w:val="auto"/>
                <w:vertAlign w:val="superscript"/>
              </w:rPr>
              <w:t>(7)</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5,000,000</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7,500,000</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7,500,000</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1,629,230</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3,432,506</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29,803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25,091,539</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625,000</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7,500,000</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5,808,962</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16,028,645</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29,962,607</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Dana Strong</w:t>
            </w:r>
          </w:p>
        </w:tc>
        <w:tc>
          <w:tcPr>
            <w:tcW w:w="1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8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14"/>
                <w:szCs w:val="14"/>
                <w:color w:val="auto"/>
              </w:rPr>
              <w:t>Without Cause/With Good Reason</w:t>
            </w:r>
            <w:r>
              <w:rPr>
                <w:rFonts w:ascii="Arial" w:cs="Arial" w:eastAsia="Arial" w:hAnsi="Arial"/>
                <w:sz w:val="23"/>
                <w:szCs w:val="23"/>
                <w:color w:val="auto"/>
                <w:vertAlign w:val="superscript"/>
              </w:rPr>
              <w:t>(7)</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4,134,254</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6,201,380</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6,201,380</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1,494,722</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2,139,126</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60,378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20,231,240</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516,782</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6,201,380</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5,581,600</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8,273,296</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20,573,058</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00" w:right="20" w:hanging="292"/>
        <w:spacing w:after="0" w:line="193" w:lineRule="auto"/>
        <w:tabs>
          <w:tab w:leader="none" w:pos="3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Based on the closing market price of a share of our Class A common stock as of December 31, 2021 ($50.33), minus, in the case of stock options, the exercise price. PSUs are also based on the target vesting.</w:t>
      </w:r>
    </w:p>
    <w:p>
      <w:pPr>
        <w:spacing w:after="0" w:line="134" w:lineRule="exact"/>
        <w:rPr>
          <w:rFonts w:ascii="Arial" w:cs="Arial" w:eastAsia="Arial" w:hAnsi="Arial"/>
          <w:sz w:val="24"/>
          <w:szCs w:val="24"/>
          <w:color w:val="auto"/>
          <w:vertAlign w:val="superscript"/>
        </w:rPr>
      </w:pPr>
    </w:p>
    <w:p>
      <w:pPr>
        <w:ind w:left="300" w:right="60" w:hanging="292"/>
        <w:spacing w:after="0" w:line="218" w:lineRule="auto"/>
        <w:tabs>
          <w:tab w:leader="none" w:pos="3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Mr. Roberts’ termination without cause or with good reason would entitle him to (i) payment of his base salary on a monthly basis for three years after the termination date, (ii) payment of his annual cash bonus (appropriately prorated for partial calendar years), assuming full achievement of performance goals, on an annual basis for three years and (iii) vesting of his unvested stock options and stock units in accordance with their terms as if his employment had continued. Mr. Roberts’ receipt of the payments and benefits is subject to his execution of our standard agreement containing certain mutual releases. Mr. Roberts is also entitled to receive a prorated annual cash bonus for the year of his termination, assuming full achievement of the performance goals, and to continued health and welfare benefits for three years after the termination date.</w:t>
      </w:r>
    </w:p>
    <w:p>
      <w:pPr>
        <w:spacing w:after="0" w:line="136" w:lineRule="exact"/>
        <w:rPr>
          <w:rFonts w:ascii="Arial" w:cs="Arial" w:eastAsia="Arial" w:hAnsi="Arial"/>
          <w:sz w:val="24"/>
          <w:szCs w:val="24"/>
          <w:color w:val="auto"/>
          <w:vertAlign w:val="superscript"/>
        </w:rPr>
      </w:pPr>
    </w:p>
    <w:p>
      <w:pPr>
        <w:ind w:left="300" w:right="220" w:hanging="292"/>
        <w:spacing w:after="0" w:line="206" w:lineRule="auto"/>
        <w:tabs>
          <w:tab w:leader="none" w:pos="3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Upon Mr. Roberts’ death, his unvested stock options and stock units will vest in full and his options will remain exercisable for the remainder of their terms. His spouse or his or her estate will receive payment of his annual cash bonus, prorated to reflect the number of days he was employed during the year of his death (assuming full achievement of the performance goals), and his spouse will receive health and welfare benefits during her lifetime.</w:t>
      </w:r>
    </w:p>
    <w:p>
      <w:pPr>
        <w:spacing w:after="0" w:line="134" w:lineRule="exact"/>
        <w:rPr>
          <w:rFonts w:ascii="Arial" w:cs="Arial" w:eastAsia="Arial" w:hAnsi="Arial"/>
          <w:sz w:val="24"/>
          <w:szCs w:val="24"/>
          <w:color w:val="auto"/>
          <w:vertAlign w:val="superscript"/>
        </w:rPr>
      </w:pPr>
    </w:p>
    <w:p>
      <w:pPr>
        <w:ind w:left="300" w:hanging="292"/>
        <w:spacing w:after="0" w:line="218" w:lineRule="auto"/>
        <w:tabs>
          <w:tab w:leader="none" w:pos="3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If Mr. Roberts’ employment is terminated by reason of his disability, we must continue to pay his base salary on a monthly basis for three years, his annual cash bonus (appropriately prorated for partial calendar years), assuming full achievement of performance goals, on an annual basis for three years, and his unvested stock options and stock units will vest in full and his options will remain exercisable for the remainder of their term. In the event of Mr. Roberts’ death prior to the end of such three-year period, no remaining payments will be made. Mr. Roberts is also entitled to receive a prorated annual cash bonus for the year of his termination, assuming full achievement of the performance goals.</w:t>
      </w:r>
    </w:p>
    <w:p>
      <w:pPr>
        <w:spacing w:after="0" w:line="136" w:lineRule="exact"/>
        <w:rPr>
          <w:rFonts w:ascii="Arial" w:cs="Arial" w:eastAsia="Arial" w:hAnsi="Arial"/>
          <w:sz w:val="24"/>
          <w:szCs w:val="24"/>
          <w:color w:val="auto"/>
          <w:vertAlign w:val="superscript"/>
        </w:rPr>
      </w:pPr>
    </w:p>
    <w:p>
      <w:pPr>
        <w:ind w:left="300" w:hanging="292"/>
        <w:spacing w:after="0" w:line="224" w:lineRule="auto"/>
        <w:tabs>
          <w:tab w:leader="none" w:pos="3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Certain senior executives, including our NEOs, are entitled to continued vesting on retirement. For stock option awards granted before 2021, NEOs who reach the age of 62 are entitled to the continued vesting and exercisability of options following termination for (a) 36 and 39 months, respectively, with 10 years of service, (b) 60 and 63 months, respectively, with 15 years of service and (c) 114 and 117 months, respectively, with 20 years of service, provided that no option will be exercisable after the 10th anniversary of the date of grant. For stock units granted before 2021, NEOs who reach the age of 62 are entitled to the continued vesting of stock units following termination for (x) 36 months with 10 years of service, (y) 48 months with 15 years of service and (z) 60 months with 20 years of service. For stock option and PSU awards granted in 2021, NEOs qualify for continued vesting on retirement when the sum of the NEO’s age and completed years of service equals or exceeds 70 (provided that the NEO has reached age 62 and completed 5 years of service).</w:t>
      </w:r>
    </w:p>
    <w:p>
      <w:pPr>
        <w:spacing w:after="0" w:line="136" w:lineRule="exact"/>
        <w:rPr>
          <w:rFonts w:ascii="Arial" w:cs="Arial" w:eastAsia="Arial" w:hAnsi="Arial"/>
          <w:sz w:val="24"/>
          <w:szCs w:val="24"/>
          <w:color w:val="auto"/>
          <w:vertAlign w:val="superscript"/>
        </w:rPr>
      </w:pPr>
    </w:p>
    <w:p>
      <w:pPr>
        <w:ind w:left="300" w:right="100" w:hanging="292"/>
        <w:spacing w:after="0" w:line="218" w:lineRule="auto"/>
        <w:tabs>
          <w:tab w:leader="none" w:pos="3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7" w:lineRule="exact"/>
        <w:rPr>
          <w:sz w:val="20"/>
          <w:szCs w:val="20"/>
          <w:color w:val="auto"/>
        </w:rPr>
      </w:pPr>
    </w:p>
    <w:p>
      <w:pPr>
        <w:ind w:left="300" w:right="40" w:hanging="292"/>
        <w:spacing w:after="0" w:line="228" w:lineRule="auto"/>
        <w:tabs>
          <w:tab w:leader="none" w:pos="30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If we terminate such executive’s employment without cause or the executive terminates with good reason, they will receive their then-current base salary for a period of 24 months. Messrs. Cavanagh and Watson are entitled to receive continued health benefits for a period of 24 months, and Mr. Shell and Ms. Strong are entitled to receive continued health benefits for a period of 18 months. If the executive becomes reemployed, these payments will be reduced by the amount of any compensation earned or received by the executive in respect of such period and we will stop providing health and welfare benefits. Such executive will receive the full (non-prorated) amount of the current year’s annual cash bonus (assuming full achievement of performance goals) and the following year’s target annual cash bonus (prorated for time employed during the year of termination and assuming full achievement of performance goals). Stock options and stock units will continue to vest in accordance with their respective terms for 12 months following termination, and vested stock options will remain exercisable for a period equal to the lesser of 15 months or the end of the stock options’ term. Mr. Roberts and Mr. Watson, who are over the age of 62, are entitled to receive retirement-related compensation as set forth in footnote (5) to this table. The executives’ receipt of the payments and benefits described above are subject to execution of our standard agreement containing certain mutual releases.</w:t>
      </w:r>
    </w:p>
    <w:p>
      <w:pPr>
        <w:spacing w:after="0" w:line="134" w:lineRule="exact"/>
        <w:rPr>
          <w:rFonts w:ascii="Arial" w:cs="Arial" w:eastAsia="Arial" w:hAnsi="Arial"/>
          <w:sz w:val="24"/>
          <w:szCs w:val="24"/>
          <w:color w:val="auto"/>
          <w:vertAlign w:val="superscript"/>
        </w:rPr>
      </w:pPr>
    </w:p>
    <w:p>
      <w:pPr>
        <w:jc w:val="both"/>
        <w:ind w:left="300" w:right="200" w:hanging="292"/>
        <w:spacing w:after="0" w:line="206" w:lineRule="auto"/>
        <w:tabs>
          <w:tab w:leader="none" w:pos="30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If such executive’s employment terminates due to his death or disability, the executive or his or her estate will receive three months of base salary and payment of annual cash bonus, prorated for time employed during the year of such termination (assuming full achievement of performance goals), and stock options and stock units will fully vest, with stock options remaining exercisable for the remainder of their terms.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auto"/>
        </w:rPr>
        <w:t>Equity Compensation Plan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equity plan information as of 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380" w:type="dxa"/>
            <w:vAlign w:val="bottom"/>
            <w:gridSpan w:val="2"/>
          </w:tcPr>
          <w:p>
            <w:pPr>
              <w:jc w:val="center"/>
              <w:ind w:left="6"/>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4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c>
          <w:tcPr>
            <w:tcW w:w="2380" w:type="dxa"/>
            <w:vAlign w:val="bottom"/>
            <w:gridSpan w:val="2"/>
          </w:tcPr>
          <w:p>
            <w:pPr>
              <w:jc w:val="center"/>
              <w:ind w:left="6"/>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48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OF OUTSTANDING</w:t>
            </w:r>
          </w:p>
        </w:tc>
        <w:tc>
          <w:tcPr>
            <w:tcW w:w="2380" w:type="dxa"/>
            <w:vAlign w:val="bottom"/>
            <w:gridSpan w:val="2"/>
          </w:tcPr>
          <w:p>
            <w:pPr>
              <w:jc w:val="center"/>
              <w:ind w:left="26"/>
              <w:spacing w:after="0"/>
              <w:rPr>
                <w:sz w:val="20"/>
                <w:szCs w:val="20"/>
                <w:color w:val="auto"/>
              </w:rPr>
            </w:pPr>
            <w:r>
              <w:rPr>
                <w:rFonts w:ascii="Arial" w:cs="Arial" w:eastAsia="Arial" w:hAnsi="Arial"/>
                <w:sz w:val="14"/>
                <w:szCs w:val="14"/>
                <w:b w:val="1"/>
                <w:bCs w:val="1"/>
                <w:color w:val="auto"/>
              </w:rPr>
              <w:t>FUTURE ISSUANCE UNDER</w:t>
            </w:r>
          </w:p>
        </w:tc>
      </w:tr>
      <w:tr>
        <w:trPr>
          <w:trHeight w:val="159"/>
        </w:trPr>
        <w:tc>
          <w:tcPr>
            <w:tcW w:w="4880" w:type="dxa"/>
            <w:vAlign w:val="bottom"/>
          </w:tcPr>
          <w:p>
            <w:pPr>
              <w:spacing w:after="0"/>
              <w:rPr>
                <w:sz w:val="13"/>
                <w:szCs w:val="13"/>
                <w:color w:val="auto"/>
              </w:rPr>
            </w:pPr>
          </w:p>
        </w:tc>
        <w:tc>
          <w:tcPr>
            <w:tcW w:w="2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BE ISSUED UPON EXERCISE</w:t>
            </w:r>
          </w:p>
        </w:tc>
        <w:tc>
          <w:tcPr>
            <w:tcW w:w="17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OPTIONS, WARRANTS</w:t>
            </w:r>
          </w:p>
        </w:tc>
        <w:tc>
          <w:tcPr>
            <w:tcW w:w="2380" w:type="dxa"/>
            <w:vAlign w:val="bottom"/>
            <w:gridSpan w:val="2"/>
          </w:tcPr>
          <w:p>
            <w:pPr>
              <w:jc w:val="center"/>
              <w:ind w:left="26"/>
              <w:spacing w:after="0" w:line="159" w:lineRule="exact"/>
              <w:rPr>
                <w:sz w:val="20"/>
                <w:szCs w:val="20"/>
                <w:color w:val="auto"/>
              </w:rPr>
            </w:pPr>
            <w:r>
              <w:rPr>
                <w:rFonts w:ascii="Arial" w:cs="Arial" w:eastAsia="Arial" w:hAnsi="Arial"/>
                <w:sz w:val="14"/>
                <w:szCs w:val="14"/>
                <w:b w:val="1"/>
                <w:bCs w:val="1"/>
                <w:color w:val="auto"/>
              </w:rPr>
              <w:t>EQUITY COMPENSATION PLANS</w:t>
            </w:r>
          </w:p>
        </w:tc>
      </w:tr>
      <w:tr>
        <w:trPr>
          <w:trHeight w:val="174"/>
        </w:trPr>
        <w:tc>
          <w:tcPr>
            <w:tcW w:w="48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1760" w:type="dxa"/>
            <w:vAlign w:val="bottom"/>
          </w:tcPr>
          <w:p>
            <w:pPr>
              <w:jc w:val="center"/>
              <w:spacing w:after="0" w:line="174" w:lineRule="exact"/>
              <w:rPr>
                <w:sz w:val="20"/>
                <w:szCs w:val="20"/>
                <w:color w:val="auto"/>
              </w:rPr>
            </w:pPr>
            <w:r>
              <w:rPr>
                <w:rFonts w:ascii="Arial" w:cs="Arial" w:eastAsia="Arial" w:hAnsi="Arial"/>
                <w:sz w:val="13"/>
                <w:szCs w:val="13"/>
                <w:b w:val="1"/>
                <w:bCs w:val="1"/>
                <w:color w:val="auto"/>
              </w:rPr>
              <w:t>AND RIGHTS</w:t>
            </w:r>
            <w:r>
              <w:rPr>
                <w:rFonts w:ascii="Arial" w:cs="Arial" w:eastAsia="Arial" w:hAnsi="Arial"/>
                <w:sz w:val="20"/>
                <w:szCs w:val="20"/>
                <w:b w:val="1"/>
                <w:bCs w:val="1"/>
                <w:color w:val="auto"/>
                <w:vertAlign w:val="superscript"/>
              </w:rPr>
              <w:t>(2)</w:t>
            </w:r>
          </w:p>
        </w:tc>
        <w:tc>
          <w:tcPr>
            <w:tcW w:w="2380" w:type="dxa"/>
            <w:vAlign w:val="bottom"/>
            <w:gridSpan w:val="2"/>
          </w:tcPr>
          <w:p>
            <w:pPr>
              <w:jc w:val="center"/>
              <w:ind w:left="6"/>
              <w:spacing w:after="0"/>
              <w:rPr>
                <w:sz w:val="20"/>
                <w:szCs w:val="20"/>
                <w:color w:val="auto"/>
              </w:rPr>
            </w:pPr>
            <w:r>
              <w:rPr>
                <w:rFonts w:ascii="Arial" w:cs="Arial" w:eastAsia="Arial" w:hAnsi="Arial"/>
                <w:sz w:val="14"/>
                <w:szCs w:val="14"/>
                <w:b w:val="1"/>
                <w:bCs w:val="1"/>
                <w:color w:val="auto"/>
              </w:rPr>
              <w:t>EXCLUDING SECURITIES</w:t>
            </w:r>
          </w:p>
        </w:tc>
      </w:tr>
      <w:tr>
        <w:trPr>
          <w:trHeight w:val="180"/>
        </w:trPr>
        <w:tc>
          <w:tcPr>
            <w:tcW w:w="4880" w:type="dxa"/>
            <w:vAlign w:val="bottom"/>
          </w:tcPr>
          <w:p>
            <w:pPr>
              <w:spacing w:after="0"/>
              <w:rPr>
                <w:sz w:val="15"/>
                <w:szCs w:val="15"/>
                <w:color w:val="auto"/>
              </w:rPr>
            </w:pPr>
          </w:p>
        </w:tc>
        <w:tc>
          <w:tcPr>
            <w:tcW w:w="2240" w:type="dxa"/>
            <w:vAlign w:val="bottom"/>
          </w:tcPr>
          <w:p>
            <w:pPr>
              <w:jc w:val="center"/>
              <w:spacing w:after="0" w:line="181" w:lineRule="exact"/>
              <w:rPr>
                <w:sz w:val="20"/>
                <w:szCs w:val="20"/>
                <w:color w:val="auto"/>
              </w:rPr>
            </w:pPr>
            <w:r>
              <w:rPr>
                <w:rFonts w:ascii="Arial" w:cs="Arial" w:eastAsia="Arial" w:hAnsi="Arial"/>
                <w:sz w:val="13"/>
                <w:szCs w:val="13"/>
                <w:b w:val="1"/>
                <w:bCs w:val="1"/>
                <w:color w:val="auto"/>
              </w:rPr>
              <w:t>WARRANTS AND RIGHTS</w:t>
            </w:r>
            <w:r>
              <w:rPr>
                <w:rFonts w:ascii="Arial" w:cs="Arial" w:eastAsia="Arial" w:hAnsi="Arial"/>
                <w:sz w:val="20"/>
                <w:szCs w:val="20"/>
                <w:b w:val="1"/>
                <w:bCs w:val="1"/>
                <w:color w:val="auto"/>
                <w:vertAlign w:val="superscript"/>
              </w:rPr>
              <w:t>(1)</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380" w:type="dxa"/>
            <w:vAlign w:val="bottom"/>
            <w:gridSpan w:val="2"/>
          </w:tcPr>
          <w:p>
            <w:pPr>
              <w:jc w:val="center"/>
              <w:ind w:left="6"/>
              <w:spacing w:after="0" w:line="181" w:lineRule="exact"/>
              <w:rPr>
                <w:sz w:val="20"/>
                <w:szCs w:val="20"/>
                <w:color w:val="auto"/>
              </w:rPr>
            </w:pPr>
            <w:r>
              <w:rPr>
                <w:rFonts w:ascii="Arial" w:cs="Arial" w:eastAsia="Arial" w:hAnsi="Arial"/>
                <w:sz w:val="13"/>
                <w:szCs w:val="13"/>
                <w:b w:val="1"/>
                <w:bCs w:val="1"/>
                <w:color w:val="auto"/>
              </w:rPr>
              <w:t>REFLECTED IN COLUMN (A)</w:t>
            </w:r>
            <w:r>
              <w:rPr>
                <w:rFonts w:ascii="Arial" w:cs="Arial" w:eastAsia="Arial" w:hAnsi="Arial"/>
                <w:sz w:val="20"/>
                <w:szCs w:val="20"/>
                <w:b w:val="1"/>
                <w:bCs w:val="1"/>
                <w:color w:val="auto"/>
                <w:vertAlign w:val="superscript"/>
              </w:rPr>
              <w:t>(3)</w:t>
            </w:r>
          </w:p>
        </w:tc>
      </w:tr>
      <w:tr>
        <w:trPr>
          <w:trHeight w:val="205"/>
        </w:trPr>
        <w:tc>
          <w:tcPr>
            <w:tcW w:w="4880" w:type="dxa"/>
            <w:vAlign w:val="bottom"/>
          </w:tcPr>
          <w:p>
            <w:pPr>
              <w:ind w:left="60"/>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left="6"/>
              <w:spacing w:after="0"/>
              <w:rPr>
                <w:sz w:val="20"/>
                <w:szCs w:val="20"/>
                <w:color w:val="auto"/>
              </w:rPr>
            </w:pPr>
            <w:r>
              <w:rPr>
                <w:rFonts w:ascii="Arial" w:cs="Arial" w:eastAsia="Arial" w:hAnsi="Arial"/>
                <w:sz w:val="14"/>
                <w:szCs w:val="14"/>
                <w:b w:val="1"/>
                <w:bCs w:val="1"/>
                <w:color w:val="auto"/>
              </w:rPr>
              <w:t>(c)</w:t>
            </w:r>
          </w:p>
        </w:tc>
      </w:tr>
      <w:tr>
        <w:trPr>
          <w:trHeight w:val="239"/>
        </w:trPr>
        <w:tc>
          <w:tcPr>
            <w:tcW w:w="4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224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6"/>
                <w:szCs w:val="16"/>
                <w:color w:val="auto"/>
              </w:rPr>
              <w:t>256,954,530</w:t>
            </w:r>
          </w:p>
        </w:tc>
        <w:tc>
          <w:tcPr>
            <w:tcW w:w="17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6"/>
                <w:szCs w:val="16"/>
                <w:color w:val="auto"/>
              </w:rPr>
              <w:t>40.44</w:t>
            </w:r>
          </w:p>
        </w:tc>
        <w:tc>
          <w:tcPr>
            <w:tcW w:w="236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6"/>
                <w:szCs w:val="16"/>
                <w:color w:val="auto"/>
              </w:rPr>
              <w:t>488,693,199</w:t>
            </w:r>
          </w:p>
        </w:tc>
        <w:tc>
          <w:tcPr>
            <w:tcW w:w="20" w:type="dxa"/>
            <w:vAlign w:val="bottom"/>
          </w:tcPr>
          <w:p>
            <w:pPr>
              <w:spacing w:after="0"/>
              <w:rPr>
                <w:sz w:val="20"/>
                <w:szCs w:val="20"/>
                <w:color w:val="auto"/>
              </w:rPr>
            </w:pPr>
          </w:p>
        </w:tc>
      </w:tr>
      <w:tr>
        <w:trPr>
          <w:trHeight w:val="237"/>
        </w:trPr>
        <w:tc>
          <w:tcPr>
            <w:tcW w:w="4880" w:type="dxa"/>
            <w:vAlign w:val="bottom"/>
          </w:tcPr>
          <w:p>
            <w:pPr>
              <w:ind w:left="6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2240" w:type="dxa"/>
            <w:vAlign w:val="bottom"/>
          </w:tcPr>
          <w:p>
            <w:pPr>
              <w:jc w:val="right"/>
              <w:ind w:right="446"/>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20"/>
                <w:szCs w:val="20"/>
                <w:color w:val="auto"/>
              </w:rPr>
            </w:pPr>
          </w:p>
        </w:tc>
        <w:tc>
          <w:tcPr>
            <w:tcW w:w="23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r>
      <w:tr>
        <w:trPr>
          <w:trHeight w:val="237"/>
        </w:trPr>
        <w:tc>
          <w:tcPr>
            <w:tcW w:w="4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224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6"/>
                <w:szCs w:val="16"/>
                <w:color w:val="auto"/>
              </w:rPr>
              <w:t>256,954,530</w:t>
            </w:r>
          </w:p>
        </w:tc>
        <w:tc>
          <w:tcPr>
            <w:tcW w:w="176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6"/>
                <w:szCs w:val="16"/>
                <w:color w:val="auto"/>
              </w:rPr>
              <w:t>488,693,199</w:t>
            </w:r>
          </w:p>
        </w:tc>
        <w:tc>
          <w:tcPr>
            <w:tcW w:w="20" w:type="dxa"/>
            <w:vAlign w:val="bottom"/>
          </w:tcPr>
          <w:p>
            <w:pPr>
              <w:spacing w:after="0"/>
              <w:rPr>
                <w:sz w:val="20"/>
                <w:szCs w:val="20"/>
                <w:color w:val="auto"/>
              </w:rPr>
            </w:pPr>
          </w:p>
        </w:tc>
      </w:tr>
    </w:tbl>
    <w:p>
      <w:pPr>
        <w:spacing w:after="0" w:line="153" w:lineRule="exact"/>
        <w:rPr>
          <w:sz w:val="20"/>
          <w:szCs w:val="20"/>
          <w:color w:val="auto"/>
        </w:rPr>
      </w:pPr>
    </w:p>
    <w:p>
      <w:pPr>
        <w:ind w:left="300" w:right="220" w:hanging="292"/>
        <w:spacing w:after="0" w:line="206" w:lineRule="auto"/>
        <w:tabs>
          <w:tab w:leader="none" w:pos="30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Includes shares of Class A common stock under the following plans: 2003 Stock Option Plan, 2002 Restricted Stock Plan (under which RSUs and PSUs have been granted), Comcast Corporation 2002 Employee Stock Purchase Plan, Comcast-NBCUniversal 2011 Employee Stock Purchase Plan and 2019 Omnibus Sharesave Plan. Also includes our 2002 and 2005 Deferred Compensation Plans (under which shares of Class A common stock have been credited to participants’ accounts).</w:t>
      </w:r>
    </w:p>
    <w:p>
      <w:pPr>
        <w:spacing w:after="0" w:line="49"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The weighted-average exercise price only reflects stock options under our 2003 Stock Option Plan.</w:t>
      </w:r>
    </w:p>
    <w:p>
      <w:pPr>
        <w:spacing w:after="0" w:line="133" w:lineRule="exact"/>
        <w:rPr>
          <w:rFonts w:ascii="Arial" w:cs="Arial" w:eastAsia="Arial" w:hAnsi="Arial"/>
          <w:sz w:val="24"/>
          <w:szCs w:val="24"/>
          <w:color w:val="auto"/>
          <w:vertAlign w:val="superscript"/>
        </w:rPr>
      </w:pPr>
    </w:p>
    <w:p>
      <w:pPr>
        <w:ind w:left="300" w:right="40" w:hanging="292"/>
        <w:spacing w:after="0" w:line="222" w:lineRule="auto"/>
        <w:tabs>
          <w:tab w:leader="none" w:pos="30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The number of shares available for issuance includes the following number of shares of Class A common stock: 384,544,616 shares available for issuance under the 2003 Stock Option Plan; 74,633,199 shares available for issuance under the 2002 Restricted Stock Plan; 5,627,980 shares available for issuance under the 2019 Omnibus Sharesave Plan; 1,011,970 shares that were issued in connection with the fourth quarter 2021 purchase period under the Comcast Corporation 2002 Employee Stock Purchase Plan and 12,912,446 shares available for issuance under the Comcast Corporation 2002 Employee Stock Purchase Plan; and 280,276 shares that were issued in connection with the fourth quarter 2021 purchase period under the Comcast-NBCUniversal 2011 Employee Stock Purchase Plan and 9,682,712 shares available for issuance under the Comcast-NBCUniversal 2011 Employee Stock Purchase Plan.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CEO Pay Ratio</w:t>
      </w:r>
    </w:p>
    <w:p>
      <w:pPr>
        <w:spacing w:after="0" w:line="23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We are required under SEC rules to provide a pay ratio comparing Mr. Roberts’ 2021 compensation to our median employee’s 2021 compensation (excluding Mr. Roberts). To identify the median employee, we engaged an unaffiliated third-party advisory services firm to conduct a statistical sampling of approximately 192,392 full-time, part-time, seasonal and temporary employees as of December 31, 2021 (which included approximately 61,189 non-U.S. employees) based on comparisons of base wages.</w:t>
      </w:r>
    </w:p>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All of our part-time, seasonal and temporary employees as of December 31, 2021,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estimated that our pay ratio for 2021 is 405 to 1, calculated by dividing Mr. Roberts’ 2021 total compensation set forth in the Summary Compensation Table, adjusted as described below ($33,993,040), by $83,840,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the Company of specified employee benefits provided on a non-discriminatory basis, including group health and welfare benefits and the value of courtesy cable services.</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permitted under SEC rules, we adjusted our total employee population for purposes of identifying our median employee by excluding approximately 1.6% of our employee population as follows (all amounts are approximate): 160 in Brazil; 80 in Canada; 1700 in India; 920 in Ireland; 205 in Mexico; and 60 in Russia.</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27875" cy="664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7875" cy="664210"/>
                    </a:xfrm>
                    <a:prstGeom prst="rect">
                      <a:avLst/>
                    </a:prstGeom>
                    <a:noFill/>
                  </pic:spPr>
                </pic:pic>
              </a:graphicData>
            </a:graphic>
          </wp:anchor>
        </w:drawing>
      </w:r>
    </w:p>
    <w:p>
      <w:pPr>
        <w:spacing w:after="0" w:line="385"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00A1DF"/>
        </w:rPr>
        <w:t>Proposal 3:</w:t>
      </w:r>
      <w:r>
        <w:rPr>
          <w:sz w:val="20"/>
          <w:szCs w:val="20"/>
          <w:color w:val="auto"/>
        </w:rPr>
        <w:tab/>
      </w:r>
      <w:r>
        <w:rPr>
          <w:rFonts w:ascii="Arial" w:cs="Arial" w:eastAsia="Arial" w:hAnsi="Arial"/>
          <w:sz w:val="21"/>
          <w:szCs w:val="21"/>
          <w:color w:val="00A1DF"/>
        </w:rPr>
        <w:t>RATIFICATION OF APPOINTMENT OF INDEPENDENT AUDITORS</w:t>
      </w:r>
    </w:p>
    <w:p>
      <w:pPr>
        <w:spacing w:after="0" w:line="137" w:lineRule="exact"/>
        <w:rPr>
          <w:sz w:val="20"/>
          <w:szCs w:val="20"/>
          <w:color w:val="auto"/>
        </w:rPr>
      </w:pPr>
    </w:p>
    <w:p>
      <w:pPr>
        <w:ind w:left="840" w:right="300"/>
        <w:spacing w:after="0" w:line="296" w:lineRule="auto"/>
        <w:rPr>
          <w:sz w:val="20"/>
          <w:szCs w:val="20"/>
          <w:color w:val="auto"/>
        </w:rPr>
      </w:pPr>
      <w:r>
        <w:rPr>
          <w:rFonts w:ascii="Arial" w:cs="Arial" w:eastAsia="Arial" w:hAnsi="Arial"/>
          <w:sz w:val="16"/>
          <w:szCs w:val="16"/>
          <w:b w:val="1"/>
          <w:bCs w:val="1"/>
          <w:color w:val="auto"/>
        </w:rPr>
        <w:t>Our Board unanimously recommends that shareholders vote “</w:t>
      </w:r>
      <w:r>
        <w:rPr>
          <w:rFonts w:ascii="Arial" w:cs="Arial" w:eastAsia="Arial" w:hAnsi="Arial"/>
          <w:sz w:val="16"/>
          <w:szCs w:val="16"/>
          <w:b w:val="1"/>
          <w:bCs w:val="1"/>
          <w:color w:val="00A1DF"/>
        </w:rPr>
        <w:t>FOR</w:t>
      </w:r>
      <w:r>
        <w:rPr>
          <w:rFonts w:ascii="Arial" w:cs="Arial" w:eastAsia="Arial" w:hAnsi="Arial"/>
          <w:sz w:val="16"/>
          <w:szCs w:val="16"/>
          <w:b w:val="1"/>
          <w:bCs w:val="1"/>
          <w:color w:val="auto"/>
        </w:rPr>
        <w:t>” ratification of the appointment of Deloitte &amp; Touche LLP as our independent auditors.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color w:val="auto"/>
        </w:rPr>
        <w:t>Selection of Independent Registered Public Accounting Firm</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18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Following the Audit Committee’s review of Deloitte’s performance, the Audit Committee appointed Deloitte to serve as our independent auditors for the year ending December 31, 2022. The Audit Committee and our Board recommend that you ratify this appointment, although your ratification is not required. A partner of Deloitte will be present at the annual meeting and will be available to respond to appropriate questions.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Fees of Independent Registered Public Accounting Firm</w:t>
      </w:r>
    </w:p>
    <w:p>
      <w:pPr>
        <w:spacing w:after="0" w:line="23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Set forth below are the fees paid or accrued for the services of Deloitte, the member firms of Deloitte Touche Tohmatsu and their respective affiliates in 2021 and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980" w:type="dxa"/>
            <w:vAlign w:val="bottom"/>
          </w:tcPr>
          <w:p>
            <w:pPr>
              <w:spacing w:after="0"/>
              <w:rPr>
                <w:sz w:val="17"/>
                <w:szCs w:val="17"/>
                <w:color w:val="auto"/>
              </w:rPr>
            </w:pPr>
          </w:p>
        </w:tc>
        <w:tc>
          <w:tcPr>
            <w:tcW w:w="720" w:type="dxa"/>
            <w:vAlign w:val="bottom"/>
            <w:tcBorders>
              <w:bottom w:val="single" w:sz="8" w:color="00001E"/>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00001E"/>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18"/>
        </w:trPr>
        <w:tc>
          <w:tcPr>
            <w:tcW w:w="99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 IN MILLIONS)</w:t>
            </w:r>
          </w:p>
        </w:tc>
      </w:tr>
      <w:tr>
        <w:trPr>
          <w:trHeight w:val="239"/>
        </w:trPr>
        <w:tc>
          <w:tcPr>
            <w:tcW w:w="9980" w:type="dxa"/>
            <w:vAlign w:val="bottom"/>
            <w:tcBorders>
              <w:bottom w:val="single" w:sz="8" w:color="00001E"/>
            </w:tcBorders>
          </w:tcPr>
          <w:p>
            <w:pPr>
              <w:ind w:left="60"/>
              <w:spacing w:after="0"/>
              <w:rPr>
                <w:sz w:val="20"/>
                <w:szCs w:val="20"/>
                <w:color w:val="auto"/>
              </w:rPr>
            </w:pPr>
            <w:r>
              <w:rPr>
                <w:rFonts w:ascii="Arial" w:cs="Arial" w:eastAsia="Arial" w:hAnsi="Arial"/>
                <w:sz w:val="16"/>
                <w:szCs w:val="16"/>
                <w:b w:val="1"/>
                <w:bCs w:val="1"/>
                <w:color w:val="auto"/>
              </w:rPr>
              <w:t>Audit fees</w:t>
            </w:r>
          </w:p>
        </w:tc>
        <w:tc>
          <w:tcPr>
            <w:tcW w:w="720" w:type="dxa"/>
            <w:vAlign w:val="bottom"/>
            <w:tcBorders>
              <w:bottom w:val="single" w:sz="8" w:color="00001E"/>
            </w:tcBorders>
          </w:tcPr>
          <w:p>
            <w:pPr>
              <w:jc w:val="right"/>
              <w:ind w:right="102"/>
              <w:spacing w:after="0"/>
              <w:rPr>
                <w:sz w:val="20"/>
                <w:szCs w:val="20"/>
                <w:color w:val="auto"/>
              </w:rPr>
            </w:pPr>
            <w:r>
              <w:rPr>
                <w:rFonts w:ascii="Arial" w:cs="Arial" w:eastAsia="Arial" w:hAnsi="Arial"/>
                <w:sz w:val="16"/>
                <w:szCs w:val="16"/>
                <w:color w:val="auto"/>
              </w:rPr>
              <w:t>25.1</w:t>
            </w:r>
          </w:p>
        </w:tc>
        <w:tc>
          <w:tcPr>
            <w:tcW w:w="540" w:type="dxa"/>
            <w:vAlign w:val="bottom"/>
            <w:tcBorders>
              <w:bottom w:val="single" w:sz="8" w:color="00001E"/>
            </w:tcBorders>
          </w:tcPr>
          <w:p>
            <w:pPr>
              <w:jc w:val="right"/>
              <w:spacing w:after="0"/>
              <w:rPr>
                <w:sz w:val="20"/>
                <w:szCs w:val="20"/>
                <w:color w:val="auto"/>
              </w:rPr>
            </w:pPr>
            <w:r>
              <w:rPr>
                <w:rFonts w:ascii="Arial" w:cs="Arial" w:eastAsia="Arial" w:hAnsi="Arial"/>
                <w:sz w:val="16"/>
                <w:szCs w:val="16"/>
                <w:color w:val="auto"/>
              </w:rPr>
              <w:t>21.5</w:t>
            </w:r>
          </w:p>
        </w:tc>
      </w:tr>
      <w:tr>
        <w:trPr>
          <w:trHeight w:val="236"/>
        </w:trPr>
        <w:tc>
          <w:tcPr>
            <w:tcW w:w="9980" w:type="dxa"/>
            <w:vAlign w:val="bottom"/>
            <w:tcBorders>
              <w:bottom w:val="single" w:sz="8" w:color="00001E"/>
            </w:tcBorders>
          </w:tcPr>
          <w:p>
            <w:pPr>
              <w:ind w:left="60"/>
              <w:spacing w:after="0"/>
              <w:rPr>
                <w:sz w:val="20"/>
                <w:szCs w:val="20"/>
                <w:color w:val="auto"/>
              </w:rPr>
            </w:pPr>
            <w:r>
              <w:rPr>
                <w:rFonts w:ascii="Arial" w:cs="Arial" w:eastAsia="Arial" w:hAnsi="Arial"/>
                <w:sz w:val="16"/>
                <w:szCs w:val="16"/>
                <w:b w:val="1"/>
                <w:bCs w:val="1"/>
                <w:color w:val="auto"/>
              </w:rPr>
              <w:t>Audit-related fees</w:t>
            </w:r>
          </w:p>
        </w:tc>
        <w:tc>
          <w:tcPr>
            <w:tcW w:w="720" w:type="dxa"/>
            <w:vAlign w:val="bottom"/>
            <w:tcBorders>
              <w:bottom w:val="single" w:sz="8" w:color="00001E"/>
            </w:tcBorders>
          </w:tcPr>
          <w:p>
            <w:pPr>
              <w:jc w:val="right"/>
              <w:ind w:right="102"/>
              <w:spacing w:after="0"/>
              <w:rPr>
                <w:sz w:val="20"/>
                <w:szCs w:val="20"/>
                <w:color w:val="auto"/>
              </w:rPr>
            </w:pPr>
            <w:r>
              <w:rPr>
                <w:rFonts w:ascii="Arial" w:cs="Arial" w:eastAsia="Arial" w:hAnsi="Arial"/>
                <w:sz w:val="16"/>
                <w:szCs w:val="16"/>
                <w:color w:val="auto"/>
              </w:rPr>
              <w:t>1.1</w:t>
            </w:r>
          </w:p>
        </w:tc>
        <w:tc>
          <w:tcPr>
            <w:tcW w:w="540" w:type="dxa"/>
            <w:vAlign w:val="bottom"/>
            <w:tcBorders>
              <w:bottom w:val="single" w:sz="8" w:color="00001E"/>
            </w:tcBorders>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9980" w:type="dxa"/>
            <w:vAlign w:val="bottom"/>
            <w:tcBorders>
              <w:bottom w:val="single" w:sz="8" w:color="00001E"/>
            </w:tcBorders>
          </w:tcPr>
          <w:p>
            <w:pPr>
              <w:ind w:left="60"/>
              <w:spacing w:after="0"/>
              <w:rPr>
                <w:sz w:val="20"/>
                <w:szCs w:val="20"/>
                <w:color w:val="auto"/>
              </w:rPr>
            </w:pPr>
            <w:r>
              <w:rPr>
                <w:rFonts w:ascii="Arial" w:cs="Arial" w:eastAsia="Arial" w:hAnsi="Arial"/>
                <w:sz w:val="16"/>
                <w:szCs w:val="16"/>
                <w:b w:val="1"/>
                <w:bCs w:val="1"/>
                <w:color w:val="auto"/>
              </w:rPr>
              <w:t>Tax fees</w:t>
            </w:r>
          </w:p>
        </w:tc>
        <w:tc>
          <w:tcPr>
            <w:tcW w:w="720" w:type="dxa"/>
            <w:vAlign w:val="bottom"/>
            <w:tcBorders>
              <w:bottom w:val="single" w:sz="8" w:color="00001E"/>
            </w:tcBorders>
          </w:tcPr>
          <w:p>
            <w:pPr>
              <w:jc w:val="right"/>
              <w:ind w:right="102"/>
              <w:spacing w:after="0"/>
              <w:rPr>
                <w:sz w:val="20"/>
                <w:szCs w:val="20"/>
                <w:color w:val="auto"/>
              </w:rPr>
            </w:pPr>
            <w:r>
              <w:rPr>
                <w:rFonts w:ascii="Arial" w:cs="Arial" w:eastAsia="Arial" w:hAnsi="Arial"/>
                <w:sz w:val="16"/>
                <w:szCs w:val="16"/>
                <w:color w:val="auto"/>
              </w:rPr>
              <w:t>1.1</w:t>
            </w:r>
          </w:p>
        </w:tc>
        <w:tc>
          <w:tcPr>
            <w:tcW w:w="540" w:type="dxa"/>
            <w:vAlign w:val="bottom"/>
            <w:tcBorders>
              <w:bottom w:val="single" w:sz="8" w:color="00001E"/>
            </w:tcBorders>
          </w:tcPr>
          <w:p>
            <w:pPr>
              <w:jc w:val="right"/>
              <w:spacing w:after="0"/>
              <w:rPr>
                <w:sz w:val="20"/>
                <w:szCs w:val="20"/>
                <w:color w:val="auto"/>
              </w:rPr>
            </w:pPr>
            <w:r>
              <w:rPr>
                <w:rFonts w:ascii="Arial" w:cs="Arial" w:eastAsia="Arial" w:hAnsi="Arial"/>
                <w:sz w:val="16"/>
                <w:szCs w:val="16"/>
                <w:color w:val="auto"/>
              </w:rPr>
              <w:t>1.6</w:t>
            </w:r>
          </w:p>
        </w:tc>
      </w:tr>
      <w:tr>
        <w:trPr>
          <w:trHeight w:val="236"/>
        </w:trPr>
        <w:tc>
          <w:tcPr>
            <w:tcW w:w="9980" w:type="dxa"/>
            <w:vAlign w:val="bottom"/>
            <w:tcBorders>
              <w:bottom w:val="single" w:sz="8" w:color="00001E"/>
            </w:tcBorders>
          </w:tcPr>
          <w:p>
            <w:pPr>
              <w:ind w:left="60"/>
              <w:spacing w:after="0"/>
              <w:rPr>
                <w:sz w:val="20"/>
                <w:szCs w:val="20"/>
                <w:color w:val="auto"/>
              </w:rPr>
            </w:pPr>
            <w:r>
              <w:rPr>
                <w:rFonts w:ascii="Arial" w:cs="Arial" w:eastAsia="Arial" w:hAnsi="Arial"/>
                <w:sz w:val="16"/>
                <w:szCs w:val="16"/>
                <w:b w:val="1"/>
                <w:bCs w:val="1"/>
                <w:color w:val="auto"/>
              </w:rPr>
              <w:t>All other fees</w:t>
            </w:r>
          </w:p>
        </w:tc>
        <w:tc>
          <w:tcPr>
            <w:tcW w:w="720" w:type="dxa"/>
            <w:vAlign w:val="bottom"/>
            <w:tcBorders>
              <w:bottom w:val="single" w:sz="8" w:color="00001E"/>
            </w:tcBorders>
          </w:tcPr>
          <w:p>
            <w:pPr>
              <w:jc w:val="right"/>
              <w:ind w:right="1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00001E"/>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9980" w:type="dxa"/>
            <w:vAlign w:val="bottom"/>
            <w:tcBorders>
              <w:bottom w:val="single" w:sz="8" w:color="00001E"/>
            </w:tcBorders>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00001E"/>
            </w:tcBorders>
          </w:tcPr>
          <w:p>
            <w:pPr>
              <w:jc w:val="right"/>
              <w:ind w:right="102"/>
              <w:spacing w:after="0"/>
              <w:rPr>
                <w:sz w:val="20"/>
                <w:szCs w:val="20"/>
                <w:color w:val="auto"/>
              </w:rPr>
            </w:pPr>
            <w:r>
              <w:rPr>
                <w:rFonts w:ascii="Arial" w:cs="Arial" w:eastAsia="Arial" w:hAnsi="Arial"/>
                <w:sz w:val="16"/>
                <w:szCs w:val="16"/>
                <w:color w:val="auto"/>
              </w:rPr>
              <w:t>27.4</w:t>
            </w:r>
          </w:p>
        </w:tc>
        <w:tc>
          <w:tcPr>
            <w:tcW w:w="540" w:type="dxa"/>
            <w:vAlign w:val="bottom"/>
            <w:tcBorders>
              <w:bottom w:val="single" w:sz="8" w:color="00001E"/>
            </w:tcBorders>
          </w:tcPr>
          <w:p>
            <w:pPr>
              <w:jc w:val="right"/>
              <w:spacing w:after="0"/>
              <w:rPr>
                <w:sz w:val="20"/>
                <w:szCs w:val="20"/>
                <w:color w:val="auto"/>
              </w:rPr>
            </w:pPr>
            <w:r>
              <w:rPr>
                <w:rFonts w:ascii="Arial" w:cs="Arial" w:eastAsia="Arial" w:hAnsi="Arial"/>
                <w:sz w:val="16"/>
                <w:szCs w:val="16"/>
                <w:color w:val="auto"/>
              </w:rPr>
              <w:t>24.3</w:t>
            </w:r>
          </w:p>
        </w:tc>
      </w:tr>
    </w:tbl>
    <w:p>
      <w:pPr>
        <w:spacing w:after="0" w:line="20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regulatory or contractual requirements.</w:t>
      </w:r>
    </w:p>
    <w:p>
      <w:pPr>
        <w:spacing w:after="0" w:line="17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Audit-related fees consisted of fees paid or accrued for financial due diligence services and attestation services related to contractual and regulatory compliance.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Tax fees consisted of fees paid or accrued for domestic and foreign tax compliance services, including review of tax returns and tax examination assistance.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fees paid or accrued in 2021 and 2020 for tax planning.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Other fees included fees paid or accrued for subscription services.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auto"/>
        </w:rPr>
        <w:t>Preapproval Policy of Audit Committee of Services Performed by Independent Auditors</w:t>
      </w:r>
    </w:p>
    <w:p>
      <w:pPr>
        <w:spacing w:after="0" w:line="23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58" w:lineRule="exact"/>
        <w:rPr>
          <w:sz w:val="20"/>
          <w:szCs w:val="20"/>
          <w:color w:val="auto"/>
        </w:rPr>
      </w:pPr>
    </w:p>
    <w:p>
      <w:pPr>
        <w:spacing w:after="0"/>
        <w:rPr>
          <w:sz w:val="20"/>
          <w:szCs w:val="20"/>
          <w:color w:val="auto"/>
        </w:rPr>
      </w:pPr>
      <w:r>
        <w:rPr>
          <w:rFonts w:ascii="Arial" w:cs="Arial" w:eastAsia="Arial" w:hAnsi="Arial"/>
          <w:sz w:val="29"/>
          <w:szCs w:val="29"/>
          <w:b w:val="1"/>
          <w:bCs w:val="1"/>
          <w:color w:val="00A1DF"/>
        </w:rPr>
        <w:t>Report of the Audit Committee</w:t>
      </w:r>
    </w:p>
    <w:p>
      <w:pPr>
        <w:spacing w:after="0" w:line="24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The Audit Committee (as used in this section, “we” or “our”) is composed solely of independent directors meeting the requirements of the applicable rules of the SEC and The Nasdaq Stock Market LLC. Each member also is financially literate for audit committee purposes under the Nasdaq rules, and the Board has concluded that Jeffrey A. Honickman and Maritza G. Montiel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6"/>
          <w:szCs w:val="16"/>
          <w:i w:val="1"/>
          <w:iCs w:val="1"/>
          <w:color w:val="00A1DF"/>
        </w:rPr>
        <w:t>www.cmcsa.com</w:t>
      </w:r>
      <w:r>
        <w:rPr>
          <w:rFonts w:ascii="Arial" w:cs="Arial" w:eastAsia="Arial" w:hAnsi="Arial"/>
          <w:sz w:val="16"/>
          <w:szCs w:val="16"/>
          <w:color w:val="auto"/>
        </w:rPr>
        <w:t>.</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178" w:lineRule="exact"/>
        <w:rPr>
          <w:sz w:val="20"/>
          <w:szCs w:val="20"/>
          <w:color w:val="auto"/>
        </w:rPr>
      </w:pPr>
    </w:p>
    <w:p>
      <w:pPr>
        <w:jc w:val="both"/>
        <w:ind w:right="660"/>
        <w:spacing w:after="0" w:line="266" w:lineRule="auto"/>
        <w:rPr>
          <w:sz w:val="20"/>
          <w:szCs w:val="20"/>
          <w:color w:val="auto"/>
        </w:rPr>
      </w:pPr>
      <w:r>
        <w:rPr>
          <w:rFonts w:ascii="Arial" w:cs="Arial" w:eastAsia="Arial" w:hAnsi="Arial"/>
          <w:sz w:val="16"/>
          <w:szCs w:val="16"/>
          <w:color w:val="auto"/>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critical audit matters identified during the course of the audit and other matters required to be discussed by applicable Public Company Accounting Oversight Board (“PCAOB”) and SEC rules.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180"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required to be discussed by the applicable requirements of the PCAOB and SEC.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17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Based on the reviews and discussions referred to above, we recommended to the Board, and the Board approved, that the audited consolidated financial statements be included in Comcast’s Annual Report on Form 10-K for the year ended December 31, 2021, filed with the SEC.</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as in prior years, we, along with Comcast’s management and internal auditors, reviewed Deloitte’s performance as part of our consideration of whether to appoint the firm as independent auditors for 2022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2022 and are recommending that Comcast’s shareholders ratify this appointment.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1DF"/>
        </w:rPr>
        <w:t>Members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Jeffrey A. Honickman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Naomi M. Bergman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Maritza G. Montiel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Asuka Nakahara</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Proposals</w:t>
      </w:r>
    </w:p>
    <w:p>
      <w:pPr>
        <w:spacing w:after="0" w:line="24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received the following shareholder proposals. To be voted upon at our 2022 annual meeting of shareholders, the proponent of each proposal, or a representative of the proponent qualified under Pennsylvania law, must be present at the meeting to present the proposal. We provide the name and address of each proponent, including any co-filer(s), below. We will promptly supply the number of shares of our Class A common stock or, if not available, the market value of our Class A common stock held by any proponent (including any co-filer(s)), upon oral or written request to the Secretary.</w:t>
      </w:r>
    </w:p>
    <w:p>
      <w:pPr>
        <w:spacing w:after="0" w:line="17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Other than adding a brief title, we have included the text of each proposal and the shareholder’s supporting statement. Following each proposal, we explain why our Board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27875" cy="664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7875" cy="664210"/>
                    </a:xfrm>
                    <a:prstGeom prst="rect">
                      <a:avLst/>
                    </a:prstGeom>
                    <a:noFill/>
                  </pic:spPr>
                </pic:pic>
              </a:graphicData>
            </a:graphic>
          </wp:anchor>
        </w:drawing>
      </w:r>
    </w:p>
    <w:p>
      <w:pPr>
        <w:spacing w:after="0" w:line="283"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00A1DF"/>
        </w:rPr>
        <w:t>Proposal 4:</w:t>
      </w:r>
      <w:r>
        <w:rPr>
          <w:sz w:val="20"/>
          <w:szCs w:val="20"/>
          <w:color w:val="auto"/>
        </w:rPr>
        <w:tab/>
      </w:r>
      <w:r>
        <w:rPr>
          <w:rFonts w:ascii="Arial" w:cs="Arial" w:eastAsia="Arial" w:hAnsi="Arial"/>
          <w:sz w:val="21"/>
          <w:szCs w:val="21"/>
          <w:color w:val="00A1DF"/>
        </w:rPr>
        <w:t>SHAREHOLDER PROPOSAL TO REPORT ON CHARITABLE DONATIONS</w:t>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Our Board unanimously recommends that shareholders vote “AGAINST” this shareholder proposal.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 and supporting statement were submitted by National Legal and Policy Center, 107 Park Washington Court, Falls Church, VA 22046.</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00A1DF"/>
        </w:rPr>
        <w:t>Supporting Statement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Request for Charitable Donation Disclosure</w:t>
      </w:r>
    </w:p>
    <w:p>
      <w:pPr>
        <w:spacing w:after="0" w:line="22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RESOLVED: The shareholders request that Comcast Corporation (“Company”) provide a report, published on the company’s website and updated semi-annually – and omitting proprietary information and at reasonable cost – that discloses, itemizes and quantifies all Company charitable donations, aggregated by recipient name &amp; address each year for contributions that exceed $999 annually.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This report shall include:</w:t>
      </w:r>
    </w:p>
    <w:p>
      <w:pPr>
        <w:spacing w:after="0" w:line="221" w:lineRule="exact"/>
        <w:rPr>
          <w:sz w:val="20"/>
          <w:szCs w:val="20"/>
          <w:color w:val="auto"/>
        </w:rPr>
      </w:pPr>
    </w:p>
    <w:p>
      <w:pPr>
        <w:ind w:left="480" w:right="180" w:hanging="283"/>
        <w:spacing w:after="0" w:line="286"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Monetary and non-monetary contributions made to non-profit organizations operating under Section 501(c)(3) and 501(c)(4) of the Internal Revenue Code, and any other public or private charitable organization;</w:t>
      </w:r>
    </w:p>
    <w:p>
      <w:pPr>
        <w:spacing w:after="0" w:line="128" w:lineRule="exact"/>
        <w:rPr>
          <w:rFonts w:ascii="Arial" w:cs="Arial" w:eastAsia="Arial" w:hAnsi="Arial"/>
          <w:sz w:val="16"/>
          <w:szCs w:val="16"/>
          <w:color w:val="auto"/>
        </w:rPr>
      </w:pPr>
    </w:p>
    <w:p>
      <w:pPr>
        <w:ind w:left="480" w:hanging="283"/>
        <w:spacing w:after="0"/>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Policies and procedures for charitable contributions (both direct and indirect) made with corporate assets;</w:t>
      </w:r>
    </w:p>
    <w:p>
      <w:pPr>
        <w:spacing w:after="0" w:line="194" w:lineRule="exact"/>
        <w:rPr>
          <w:rFonts w:ascii="Arial" w:cs="Arial" w:eastAsia="Arial" w:hAnsi="Arial"/>
          <w:sz w:val="16"/>
          <w:szCs w:val="16"/>
          <w:color w:val="auto"/>
        </w:rPr>
      </w:pPr>
    </w:p>
    <w:p>
      <w:pPr>
        <w:ind w:left="480" w:hanging="283"/>
        <w:spacing w:after="0"/>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Rationale for each of the charitable contributions.</w:t>
      </w:r>
    </w:p>
    <w:p>
      <w:pPr>
        <w:spacing w:after="0" w:line="22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SUPPORTING STATEMENT: Comcast Corporation’s assets belong to its shareholders. The expenditure or distribution of corporate assets, including charitable contributions, should be consistent with shareholder interests. Accordingly, the Company’s policies and procedures for charitable contributions should be disclosed to shareholders.</w:t>
      </w:r>
    </w:p>
    <w:p>
      <w:pPr>
        <w:spacing w:after="0" w:line="17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Company executives exercise wide discretion over the use of corporate assets for charitable purposes. Absent a system of transparency and accountability for charitable contributions, Company executives may use Company assets for objectives that are not shared by and may be inimical to the interests of the Company and its shareholders.</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Current disclosure is insufficient to allow the Company’s Board, its shareholders, and its current and prospective customers to fully evaluate the charitable use of corporate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There is currently no single source providing shareholders the information sought by this resolution.</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00A1DF"/>
        </w:rPr>
        <w:t>Company Response to Shareholder Proposal</w:t>
      </w:r>
    </w:p>
    <w:p>
      <w:pPr>
        <w:spacing w:after="0" w:line="23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Comcast strives to positively affect the communities where our employees, customers and audiences live and work through charitable giving, reporting on this community impact giving annually. As we have outlined in our 2021 Impact Report, as a company uniquely positioned to inform, entertain and empower, we seek to bring together diverse communities and inspire our employees, customers and audiences to make a positive social impact.</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For example, as set forth in our 2021 Impact Report</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145" w:lineRule="exact"/>
        <w:rPr>
          <w:sz w:val="20"/>
          <w:szCs w:val="20"/>
          <w:color w:val="auto"/>
        </w:rPr>
      </w:pPr>
    </w:p>
    <w:p>
      <w:pPr>
        <w:ind w:left="440" w:right="420" w:hanging="243"/>
        <w:spacing w:after="0" w:line="286" w:lineRule="auto"/>
        <w:tabs>
          <w:tab w:leader="none" w:pos="440" w:val="left"/>
        </w:tabs>
        <w:numPr>
          <w:ilvl w:val="0"/>
          <w:numId w:val="67"/>
        </w:numPr>
        <w:rPr>
          <w:rFonts w:ascii="Arial" w:cs="Arial" w:eastAsia="Arial" w:hAnsi="Arial"/>
          <w:sz w:val="16"/>
          <w:szCs w:val="16"/>
          <w:color w:val="00A1DF"/>
        </w:rPr>
      </w:pPr>
      <w:r>
        <w:rPr>
          <w:rFonts w:ascii="Arial" w:cs="Arial" w:eastAsia="Arial" w:hAnsi="Arial"/>
          <w:sz w:val="16"/>
          <w:szCs w:val="16"/>
          <w:color w:val="auto"/>
        </w:rPr>
        <w:t>In 2020, we invested $496 million in the communities where we operate through cash and in-kind donations, including donations of $31 million to organizations led by and serving people of color and $5 million to organizations led by and serving women.</w:t>
      </w:r>
    </w:p>
    <w:p>
      <w:pPr>
        <w:spacing w:after="0" w:line="128" w:lineRule="exact"/>
        <w:rPr>
          <w:rFonts w:ascii="Arial" w:cs="Arial" w:eastAsia="Arial" w:hAnsi="Arial"/>
          <w:sz w:val="16"/>
          <w:szCs w:val="16"/>
          <w:color w:val="00A1DF"/>
        </w:rPr>
      </w:pPr>
    </w:p>
    <w:p>
      <w:pPr>
        <w:ind w:left="440" w:right="140" w:hanging="243"/>
        <w:spacing w:after="0" w:line="266" w:lineRule="auto"/>
        <w:tabs>
          <w:tab w:leader="none" w:pos="440" w:val="left"/>
        </w:tabs>
        <w:numPr>
          <w:ilvl w:val="0"/>
          <w:numId w:val="67"/>
        </w:numPr>
        <w:rPr>
          <w:rFonts w:ascii="Arial" w:cs="Arial" w:eastAsia="Arial" w:hAnsi="Arial"/>
          <w:sz w:val="16"/>
          <w:szCs w:val="16"/>
          <w:color w:val="00A1DF"/>
        </w:rPr>
      </w:pPr>
      <w:r>
        <w:rPr>
          <w:rFonts w:ascii="Arial" w:cs="Arial" w:eastAsia="Arial" w:hAnsi="Arial"/>
          <w:sz w:val="16"/>
          <w:szCs w:val="16"/>
          <w:color w:val="auto"/>
        </w:rPr>
        <w:t>Comcast also empowers employees to give back to their communities by matching their contributions to eligible, tax-exempt charitable organizations dollar-for-dollar up to $1,000 annually. In 2020, 6,400 employees participated in the matching gift program, generating over $5 million donated to approximately 5,600 non-profit organizations recommended by employees.</w:t>
      </w:r>
    </w:p>
    <w:p>
      <w:pPr>
        <w:spacing w:after="0" w:line="17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top of our existing community impact giving efforts, in 2020, we announced an incremental multi-year $100 million commitment to help advance social justice and equality. We provided an update in 2021 on our progress toward this initiative</w:t>
      </w:r>
      <w:r>
        <w:rPr>
          <w:rFonts w:ascii="Arial" w:cs="Arial" w:eastAsia="Arial" w:hAnsi="Arial"/>
          <w:sz w:val="26"/>
          <w:szCs w:val="26"/>
          <w:color w:val="auto"/>
          <w:vertAlign w:val="superscript"/>
        </w:rPr>
        <w:t>(2)</w:t>
      </w:r>
      <w:r>
        <w:rPr>
          <w:rFonts w:ascii="Arial" w:cs="Arial" w:eastAsia="Arial" w:hAnsi="Arial"/>
          <w:sz w:val="16"/>
          <w:szCs w:val="16"/>
          <w:color w:val="auto"/>
        </w:rPr>
        <w:t>, which we are well on track to fulfill by the end of 2022.</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the Comcast NBCUniversal Foundation is committed to supporting the interests and needs of our diverse communities, and invests in programs that serve diverse individuals seeking equitable access to the advantages of technology and digital skills that lead to improved economic mobility. Like all private foundations, the Comcast NBCUniversal Foundation is required to annually file IRS Form 990-PF, which provides information on its mission, programs and finances, as well as a list of the names of each recipient of its grants and contributions, fundraising or investments, the purpose of such grants and contributions, and the dollar amount received by each recipient.</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sum, we believe that our charitable donations benefit the communities where we operate, which in turn benefits our company and our shareholders. We report on these efforts with sufficient detail to provide shareholders with enough information to evaluate our programs and approach to giving. The effort to create a report – twice a year – for every contribution that is $999 or more would require us to incur unnecessary expenses to produce a report that provides no material incremental benefit to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reasons set forth above, our Board unanimously recommends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0712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15"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 xml:space="preserve">Available at: </w:t>
      </w:r>
      <w:r>
        <w:rPr>
          <w:rFonts w:ascii="Arial" w:cs="Arial" w:eastAsia="Arial" w:hAnsi="Arial"/>
          <w:sz w:val="14"/>
          <w:szCs w:val="14"/>
          <w:i w:val="1"/>
          <w:iCs w:val="1"/>
          <w:color w:val="auto"/>
        </w:rPr>
        <w:t>https://corporate.comcast.com/impact/report/2021</w:t>
      </w:r>
      <w:r>
        <w:rPr>
          <w:rFonts w:ascii="Arial" w:cs="Arial" w:eastAsia="Arial" w:hAnsi="Arial"/>
          <w:sz w:val="14"/>
          <w:szCs w:val="14"/>
          <w:color w:val="auto"/>
        </w:rPr>
        <w:t>.</w:t>
      </w:r>
    </w:p>
    <w:p>
      <w:pPr>
        <w:spacing w:after="0" w:line="127" w:lineRule="exact"/>
        <w:rPr>
          <w:rFonts w:ascii="Arial" w:cs="Arial" w:eastAsia="Arial" w:hAnsi="Arial"/>
          <w:sz w:val="24"/>
          <w:szCs w:val="24"/>
          <w:color w:val="auto"/>
          <w:vertAlign w:val="superscript"/>
        </w:rPr>
      </w:pPr>
    </w:p>
    <w:p>
      <w:pPr>
        <w:ind w:left="300" w:hanging="292"/>
        <w:spacing w:after="0" w:line="186" w:lineRule="auto"/>
        <w:tabs>
          <w:tab w:leader="none" w:pos="300" w:val="left"/>
        </w:tabs>
        <w:numPr>
          <w:ilvl w:val="0"/>
          <w:numId w:val="68"/>
        </w:numPr>
        <w:rPr>
          <w:rFonts w:ascii="Arial" w:cs="Arial" w:eastAsia="Arial" w:hAnsi="Arial"/>
          <w:sz w:val="22"/>
          <w:szCs w:val="22"/>
          <w:color w:val="auto"/>
          <w:vertAlign w:val="superscript"/>
        </w:rPr>
      </w:pPr>
      <w:r>
        <w:rPr>
          <w:rFonts w:ascii="Arial" w:cs="Arial" w:eastAsia="Arial" w:hAnsi="Arial"/>
          <w:sz w:val="13"/>
          <w:szCs w:val="13"/>
          <w:color w:val="auto"/>
        </w:rPr>
        <w:t xml:space="preserve">Available at: </w:t>
      </w:r>
      <w:r>
        <w:rPr>
          <w:rFonts w:ascii="Arial" w:cs="Arial" w:eastAsia="Arial" w:hAnsi="Arial"/>
          <w:sz w:val="13"/>
          <w:szCs w:val="13"/>
          <w:i w:val="1"/>
          <w:iCs w:val="1"/>
          <w:color w:val="auto"/>
        </w:rPr>
        <w:t>https://update.comcast.com/wp-content/uploads/sites/33/dlm_uploads/2021/05/Update-on-our-commitment-compressed.pdf</w:t>
      </w:r>
      <w:r>
        <w:rPr>
          <w:rFonts w:ascii="Arial" w:cs="Arial" w:eastAsia="Arial" w:hAnsi="Arial"/>
          <w:sz w:val="13"/>
          <w:szCs w:val="13"/>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27875" cy="664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7875" cy="664210"/>
                    </a:xfrm>
                    <a:prstGeom prst="rect">
                      <a:avLst/>
                    </a:prstGeom>
                    <a:noFill/>
                  </pic:spPr>
                </pic:pic>
              </a:graphicData>
            </a:graphic>
          </wp:anchor>
        </w:drawing>
      </w:r>
    </w:p>
    <w:p>
      <w:pPr>
        <w:spacing w:after="0" w:line="355" w:lineRule="exact"/>
        <w:rPr>
          <w:sz w:val="20"/>
          <w:szCs w:val="20"/>
          <w:color w:val="auto"/>
        </w:rPr>
      </w:pPr>
    </w:p>
    <w:p>
      <w:pPr>
        <w:ind w:left="180"/>
        <w:spacing w:after="0"/>
        <w:tabs>
          <w:tab w:leader="none" w:pos="1440" w:val="left"/>
        </w:tabs>
        <w:rPr>
          <w:sz w:val="20"/>
          <w:szCs w:val="20"/>
          <w:color w:val="auto"/>
        </w:rPr>
      </w:pPr>
      <w:r>
        <w:rPr>
          <w:rFonts w:ascii="Arial" w:cs="Arial" w:eastAsia="Arial" w:hAnsi="Arial"/>
          <w:sz w:val="22"/>
          <w:szCs w:val="22"/>
          <w:color w:val="00A1DF"/>
        </w:rPr>
        <w:t>Proposal 5:</w:t>
      </w:r>
      <w:r>
        <w:rPr>
          <w:sz w:val="20"/>
          <w:szCs w:val="20"/>
          <w:color w:val="auto"/>
        </w:rPr>
        <w:tab/>
      </w:r>
      <w:r>
        <w:rPr>
          <w:rFonts w:ascii="Arial" w:cs="Arial" w:eastAsia="Arial" w:hAnsi="Arial"/>
          <w:sz w:val="21"/>
          <w:szCs w:val="21"/>
          <w:color w:val="00A1DF"/>
        </w:rPr>
        <w:t>SHAREHOLDER PROPOSAL TO PERFORM INDEPENDENT RACIAL EQUITY AUDIT</w:t>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Our Board unanimously recommends that shareholders vote “AGAINST” this shareholder proposal.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 and supporting statement were submitted by the SEIU Master Trust, 1800 Massachusetts Ave NW, Suite 301, Washington, D.C.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20036.</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00A1DF"/>
        </w:rPr>
        <w:t>Supporting Statement</w:t>
      </w:r>
    </w:p>
    <w:p>
      <w:pPr>
        <w:spacing w:after="0" w:line="23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RESOLVED that shareholders of Comcast Corporation (“Comcast”) urge the Board of Directors to oversee an independent racial equity audit analyzing Comcast’s adverse impacts on nonwhite stakeholders and communities of color. Input from civil rights organizations, employees, and customers should be considered in determining the specific matters to be analyzed.</w:t>
      </w:r>
    </w:p>
    <w:p>
      <w:pPr>
        <w:spacing w:after="0" w:line="17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 report on the audit, prepared at reasonable cost and omitting confidential or proprietary information, should be publicly disclosed on Comcast’s website.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SUPPORTING STATEMENT</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High-profile police killings of Black people have galvanized the movement for racial justice. That movement, together with the disproportionate impacts of the COVID-19 pandemic, have focused the attention of the media, the public and policy makers on systemic racism, racialized violence and inequities in employment, health care, and the criminal justice system.</w:t>
      </w:r>
    </w:p>
    <w:p>
      <w:pPr>
        <w:spacing w:after="0" w:line="17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In 2020, Comcast announced plans to allocate $100 million in cash and advertising to advance programs aimed at inequality against “any race, ethnicity, gender identity, sexual orientation or ability.”</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Comcast also announced “diversity, equity and inclusion workforce initiatives.”</w:t>
      </w:r>
      <w:r>
        <w:rPr>
          <w:rFonts w:ascii="Arial" w:cs="Arial" w:eastAsia="Arial" w:hAnsi="Arial"/>
          <w:sz w:val="26"/>
          <w:szCs w:val="26"/>
          <w:color w:val="auto"/>
          <w:vertAlign w:val="superscript"/>
        </w:rPr>
        <w:t>(2)</w:t>
      </w:r>
    </w:p>
    <w:p>
      <w:pPr>
        <w:spacing w:after="0" w:line="4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These steps are laudable, but we believe that a racial equity audit remains necessary to help identify, prioritize, remedy, and avoid adverse impacts on nonwhite stakeholders and communities of color.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According to its EEO-1 data, only 6% of Comcast executives/senior officers are Black, compared to 18.6% of the remaining workforce.</w:t>
      </w:r>
      <w:r>
        <w:rPr>
          <w:rFonts w:ascii="Arial" w:cs="Arial" w:eastAsia="Arial" w:hAnsi="Arial"/>
          <w:sz w:val="26"/>
          <w:szCs w:val="26"/>
          <w:color w:val="auto"/>
          <w:vertAlign w:val="superscript"/>
        </w:rPr>
        <w:t>(3)</w:t>
      </w:r>
    </w:p>
    <w:p>
      <w:pPr>
        <w:spacing w:after="0" w:line="145" w:lineRule="exact"/>
        <w:rPr>
          <w:sz w:val="20"/>
          <w:szCs w:val="20"/>
          <w:color w:val="auto"/>
        </w:rPr>
      </w:pPr>
    </w:p>
    <w:p>
      <w:pPr>
        <w:jc w:val="both"/>
        <w:ind w:right="220"/>
        <w:spacing w:after="0" w:line="252" w:lineRule="auto"/>
        <w:rPr>
          <w:sz w:val="20"/>
          <w:szCs w:val="20"/>
          <w:color w:val="auto"/>
        </w:rPr>
      </w:pPr>
      <w:r>
        <w:rPr>
          <w:rFonts w:ascii="Arial" w:cs="Arial" w:eastAsia="Arial" w:hAnsi="Arial"/>
          <w:sz w:val="16"/>
          <w:szCs w:val="16"/>
          <w:color w:val="auto"/>
        </w:rPr>
        <w:t>In October 2020, Comcast entered into a conciliation agreement with the U.S. Labor Department to resolve allegations of pay discrimination against Black and Latino employees after a routine audit found discrimination against Black employees in the engineer and program project management functions and Hispanic employees in the marketing and strategic planning development functions. Comcast denied the allegations, but agreed to back pay and interest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plus salary adjustments.</w:t>
      </w:r>
      <w:r>
        <w:rPr>
          <w:rFonts w:ascii="Arial" w:cs="Arial" w:eastAsia="Arial" w:hAnsi="Arial"/>
          <w:sz w:val="26"/>
          <w:szCs w:val="26"/>
          <w:color w:val="auto"/>
          <w:vertAlign w:val="superscript"/>
        </w:rPr>
        <w:t>(4)</w:t>
      </w:r>
    </w:p>
    <w:p>
      <w:pPr>
        <w:spacing w:after="0" w:line="133"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In 2020, Comcast settled a lawsuit with television producer Byron Allen, who alleged that Comcast refused to offer his TV channels in its cable bundles because he’s Black. The settlement gained Allen various benefits, including carriage for three of his channels in Comcast’s Xfinity packages.</w:t>
      </w:r>
      <w:r>
        <w:rPr>
          <w:rFonts w:ascii="Arial" w:cs="Arial" w:eastAsia="Arial" w:hAnsi="Arial"/>
          <w:sz w:val="26"/>
          <w:szCs w:val="26"/>
          <w:color w:val="auto"/>
          <w:vertAlign w:val="superscript"/>
        </w:rPr>
        <w:t>(5)</w:t>
      </w:r>
    </w:p>
    <w:p>
      <w:pPr>
        <w:spacing w:after="0" w:line="46" w:lineRule="exact"/>
        <w:rPr>
          <w:sz w:val="20"/>
          <w:szCs w:val="20"/>
          <w:color w:val="auto"/>
        </w:rPr>
      </w:pPr>
    </w:p>
    <w:p>
      <w:pPr>
        <w:ind w:right="160"/>
        <w:spacing w:after="0" w:line="218" w:lineRule="auto"/>
        <w:rPr>
          <w:sz w:val="20"/>
          <w:szCs w:val="20"/>
          <w:color w:val="auto"/>
        </w:rPr>
      </w:pPr>
      <w:r>
        <w:rPr>
          <w:rFonts w:ascii="Arial" w:cs="Arial" w:eastAsia="Arial" w:hAnsi="Arial"/>
          <w:sz w:val="16"/>
          <w:szCs w:val="16"/>
          <w:color w:val="auto"/>
        </w:rPr>
        <w:t>During the 2020 election cycle, Comcast gave $755,000 to members of Congress who voted to overturn the results of the presidential election,</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an action some viewed as an “attack on the voting rights of people of color.”</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Although Comcast paused such donations, PACs affiliated with trade associations of which it is a member have continued to donate.</w:t>
      </w:r>
      <w:r>
        <w:rPr>
          <w:rFonts w:ascii="Arial" w:cs="Arial" w:eastAsia="Arial" w:hAnsi="Arial"/>
          <w:sz w:val="26"/>
          <w:szCs w:val="26"/>
          <w:color w:val="auto"/>
          <w:vertAlign w:val="superscript"/>
        </w:rPr>
        <w:t>(8)</w:t>
      </w:r>
    </w:p>
    <w:p>
      <w:pPr>
        <w:spacing w:after="0" w:line="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2021 study revealed that from 2015 through 2020 Comcast was a leading corporate donor to state lawmakers who support legislation that can discriminate against minorities by making it more difficult to vote.</w:t>
      </w:r>
      <w:r>
        <w:rPr>
          <w:rFonts w:ascii="Arial" w:cs="Arial" w:eastAsia="Arial" w:hAnsi="Arial"/>
          <w:sz w:val="26"/>
          <w:szCs w:val="26"/>
          <w:color w:val="auto"/>
          <w:vertAlign w:val="superscript"/>
        </w:rPr>
        <w:t>(9)</w:t>
      </w:r>
    </w:p>
    <w:p>
      <w:pPr>
        <w:spacing w:after="0" w:line="4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urge Comcast to assess its behavior through a racial equity lens in order to obtain a complete picture of how it contributes to, and could help dismantle, systemic racism.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0712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35"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i w:val="1"/>
          <w:iCs w:val="1"/>
          <w:color w:val="auto"/>
        </w:rPr>
        <w:t>https://variety.com/2020/biz/news/comcast-100-million-injustice-inequality-1234627621/</w:t>
      </w:r>
    </w:p>
    <w:p>
      <w:pPr>
        <w:ind w:left="300" w:hanging="292"/>
        <w:spacing w:after="0" w:line="187" w:lineRule="auto"/>
        <w:tabs>
          <w:tab w:leader="none" w:pos="30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i w:val="1"/>
          <w:iCs w:val="1"/>
          <w:color w:val="auto"/>
        </w:rPr>
        <w:t>https://www.cmcsa.com/static-files/c49ca903-422b-49a9-8d42-91241478c06e</w:t>
      </w:r>
    </w:p>
    <w:p>
      <w:pPr>
        <w:ind w:left="300" w:hanging="292"/>
        <w:spacing w:after="0" w:line="187" w:lineRule="auto"/>
        <w:tabs>
          <w:tab w:leader="none" w:pos="30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i w:val="1"/>
          <w:iCs w:val="1"/>
          <w:color w:val="auto"/>
        </w:rPr>
        <w:t>https://cmcsa.gcs-web.com/static-files/1d6d3ef6-d2d4-4c13-b452-7917b90e0032</w:t>
      </w:r>
    </w:p>
    <w:p>
      <w:pPr>
        <w:ind w:left="300" w:hanging="292"/>
        <w:spacing w:after="0" w:line="187" w:lineRule="auto"/>
        <w:tabs>
          <w:tab w:leader="none" w:pos="30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color w:val="auto"/>
        </w:rPr>
        <w:t>“U.S Department of Labor and Comcast Corp. Reach Agreement to Resolve Alleged Pay Discrimination,” DOL, 10/14/20</w:t>
      </w:r>
    </w:p>
    <w:p>
      <w:pPr>
        <w:ind w:left="300" w:hanging="292"/>
        <w:spacing w:after="0" w:line="187" w:lineRule="auto"/>
        <w:tabs>
          <w:tab w:leader="none" w:pos="30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color w:val="auto"/>
        </w:rPr>
        <w:t>Meg James, “Byron Allen, Comcast settled long-running battle over alleged racism,” LA Times, June 11, 2020.</w:t>
      </w:r>
    </w:p>
    <w:p>
      <w:pPr>
        <w:ind w:left="300" w:hanging="292"/>
        <w:spacing w:after="0" w:line="187" w:lineRule="auto"/>
        <w:tabs>
          <w:tab w:leader="none" w:pos="30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i w:val="1"/>
          <w:iCs w:val="1"/>
          <w:color w:val="auto"/>
        </w:rPr>
        <w:t>https://edition.cnn.com/interactive/2021/01/business/corporate-pac-suspensions/</w:t>
      </w:r>
    </w:p>
    <w:p>
      <w:pPr>
        <w:ind w:left="300" w:hanging="292"/>
        <w:spacing w:after="0" w:line="187" w:lineRule="auto"/>
        <w:tabs>
          <w:tab w:leader="none" w:pos="30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i w:val="1"/>
          <w:iCs w:val="1"/>
          <w:color w:val="auto"/>
        </w:rPr>
        <w:t>https://www.nytimes.com/2021/01/15/us/politics/lankford-apology-election-biden.html</w:t>
      </w:r>
    </w:p>
    <w:p>
      <w:pPr>
        <w:ind w:left="300" w:right="340" w:hanging="292"/>
        <w:spacing w:after="0" w:line="182" w:lineRule="auto"/>
        <w:tabs>
          <w:tab w:leader="none" w:pos="30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i w:val="1"/>
          <w:iCs w:val="1"/>
          <w:color w:val="auto"/>
        </w:rPr>
        <w:t>https://update.comcast.com/wp-content/uploads/sites/33/dlm_uploads/2021/06/Trade-Associations-and-Other-501c6-and-501c4-Organization-Disclosure.pdf; see also, https://www.fec.gov/data/committee/C00082040/?tab=spending</w:t>
      </w:r>
    </w:p>
    <w:p>
      <w:pPr>
        <w:spacing w:after="0" w:line="1" w:lineRule="exact"/>
        <w:rPr>
          <w:rFonts w:ascii="Arial" w:cs="Arial" w:eastAsia="Arial" w:hAnsi="Arial"/>
          <w:sz w:val="23"/>
          <w:szCs w:val="23"/>
          <w:color w:val="auto"/>
          <w:vertAlign w:val="superscript"/>
        </w:rPr>
      </w:pPr>
    </w:p>
    <w:p>
      <w:pPr>
        <w:ind w:left="300" w:right="200" w:hanging="292"/>
        <w:spacing w:after="0" w:line="185" w:lineRule="auto"/>
        <w:tabs>
          <w:tab w:leader="none" w:pos="30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i w:val="1"/>
          <w:iCs w:val="1"/>
          <w:color w:val="auto"/>
        </w:rPr>
        <w:t>https://www.citizen.org/article/corporate-sponsors-of-voter-suppression-state-lawmakers-50-million/; https://www.washingtonpost.com/ politics/2021/07/22/voting-georgia-donations/</w:t>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A1DF"/>
        </w:rPr>
        <w:t>Company Response to Shareholder Proposal</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Comcast has a long-standing commitment to diversity, equity and inclusion (“DE&amp;I”), including racial equity. Since our founding in 1963, our core values have been rooted in improving the communities where our employees, customers and audiences live and work. Today, those values, including upholding our commitment to DE&amp;I within both our workforce and the communities we serve, are embedded in our culture and governance.</w:t>
      </w:r>
    </w:p>
    <w:p>
      <w:pPr>
        <w:spacing w:after="0" w:line="171"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 xml:space="preserve">Although we share the proponent’s intent to advance racial equity, our Board recommends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because we feel it does not take into account, and would divert management’s attention and significant resources away from, the extensive efforts and investments we are already making in DE&amp;I and racial equity.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we discuss in more detail below:</w:t>
      </w:r>
    </w:p>
    <w:p>
      <w:pPr>
        <w:spacing w:after="0" w:line="221" w:lineRule="exact"/>
        <w:rPr>
          <w:sz w:val="20"/>
          <w:szCs w:val="20"/>
          <w:color w:val="auto"/>
        </w:rPr>
      </w:pPr>
    </w:p>
    <w:p>
      <w:pPr>
        <w:ind w:left="460" w:right="40" w:hanging="250"/>
        <w:spacing w:after="0" w:line="252" w:lineRule="auto"/>
        <w:tabs>
          <w:tab w:leader="none" w:pos="460" w:val="left"/>
        </w:tabs>
        <w:numPr>
          <w:ilvl w:val="0"/>
          <w:numId w:val="70"/>
        </w:numPr>
        <w:rPr>
          <w:rFonts w:ascii="Arial" w:cs="Arial" w:eastAsia="Arial" w:hAnsi="Arial"/>
          <w:sz w:val="16"/>
          <w:szCs w:val="16"/>
          <w:color w:val="00A1DF"/>
        </w:rPr>
      </w:pPr>
      <w:r>
        <w:rPr>
          <w:rFonts w:ascii="Arial" w:cs="Arial" w:eastAsia="Arial" w:hAnsi="Arial"/>
          <w:sz w:val="16"/>
          <w:szCs w:val="16"/>
          <w:b w:val="1"/>
          <w:bCs w:val="1"/>
          <w:color w:val="auto"/>
        </w:rPr>
        <w:t xml:space="preserve">Our ongoing commitments to DE&amp;I already reflect – and will continue to reflect – recommendations from our external DE&amp;I Advisory Council, as well as other third-party advisors, partners and employees, on ways to further improve and prioritize our efforts. </w:t>
      </w:r>
      <w:r>
        <w:rPr>
          <w:rFonts w:ascii="Arial" w:cs="Arial" w:eastAsia="Arial" w:hAnsi="Arial"/>
          <w:sz w:val="16"/>
          <w:szCs w:val="16"/>
          <w:color w:val="auto"/>
        </w:rPr>
        <w:t>Because we</w:t>
      </w:r>
      <w:r>
        <w:rPr>
          <w:rFonts w:ascii="Arial" w:cs="Arial" w:eastAsia="Arial" w:hAnsi="Arial"/>
          <w:sz w:val="16"/>
          <w:szCs w:val="16"/>
          <w:b w:val="1"/>
          <w:bCs w:val="1"/>
          <w:color w:val="auto"/>
        </w:rPr>
        <w:t xml:space="preserve"> </w:t>
      </w:r>
      <w:r>
        <w:rPr>
          <w:rFonts w:ascii="Arial" w:cs="Arial" w:eastAsia="Arial" w:hAnsi="Arial"/>
          <w:sz w:val="16"/>
          <w:szCs w:val="16"/>
          <w:color w:val="auto"/>
        </w:rPr>
        <w:t>take this work so seriously, our management team is supported by a 14-member external DE&amp;I Advisory Council of business, academic, political and civil rights leaders from Black and African American, Latino, Asian American and Pacific Islander, Indigenous People and Native American, People with Disabilities and LGBTQ+ communities. Among its members are leaders of the National Urban League, UnidosUS, National Action Network, Asian Americans Advancing Justice and GLAAD, to name a few. The DE&amp;I Advisory Council helps us prioritize and identify opportunities in critical DE&amp;I focus areas – both in connection with our workforce and our external impacts – and facilitates open communication on our development, monitoring and evaluation of these focus areas – most of which are reported in our 2021 Impact Report.</w:t>
      </w:r>
    </w:p>
    <w:p>
      <w:pPr>
        <w:spacing w:after="0" w:line="209" w:lineRule="exact"/>
        <w:rPr>
          <w:rFonts w:ascii="Arial" w:cs="Arial" w:eastAsia="Arial" w:hAnsi="Arial"/>
          <w:sz w:val="16"/>
          <w:szCs w:val="16"/>
          <w:color w:val="00A1DF"/>
        </w:rPr>
      </w:pPr>
    </w:p>
    <w:p>
      <w:pPr>
        <w:ind w:left="460" w:right="20" w:hanging="250"/>
        <w:spacing w:after="0" w:line="259" w:lineRule="auto"/>
        <w:tabs>
          <w:tab w:leader="none" w:pos="460" w:val="left"/>
        </w:tabs>
        <w:numPr>
          <w:ilvl w:val="0"/>
          <w:numId w:val="70"/>
        </w:numPr>
        <w:rPr>
          <w:rFonts w:ascii="Arial" w:cs="Arial" w:eastAsia="Arial" w:hAnsi="Arial"/>
          <w:sz w:val="16"/>
          <w:szCs w:val="16"/>
          <w:color w:val="00A1DF"/>
        </w:rPr>
      </w:pPr>
      <w:r>
        <w:rPr>
          <w:rFonts w:ascii="Arial" w:cs="Arial" w:eastAsia="Arial" w:hAnsi="Arial"/>
          <w:sz w:val="16"/>
          <w:szCs w:val="16"/>
          <w:b w:val="1"/>
          <w:bCs w:val="1"/>
          <w:color w:val="auto"/>
        </w:rPr>
        <w:t xml:space="preserve">We are actively using our resources – our people, programming and platforms – to shed light on systemic racial equity issues and work toward solutions in areas where we can have a meaningful and measurable impact. </w:t>
      </w:r>
      <w:r>
        <w:rPr>
          <w:rFonts w:ascii="Arial" w:cs="Arial" w:eastAsia="Arial" w:hAnsi="Arial"/>
          <w:sz w:val="16"/>
          <w:szCs w:val="16"/>
          <w:color w:val="auto"/>
        </w:rPr>
        <w:t>Our DE&amp;I efforts span a wide range of racial equity-related</w:t>
      </w:r>
      <w:r>
        <w:rPr>
          <w:rFonts w:ascii="Arial" w:cs="Arial" w:eastAsia="Arial" w:hAnsi="Arial"/>
          <w:sz w:val="16"/>
          <w:szCs w:val="16"/>
          <w:b w:val="1"/>
          <w:bCs w:val="1"/>
          <w:color w:val="auto"/>
        </w:rPr>
        <w:t xml:space="preserve"> </w:t>
      </w:r>
      <w:r>
        <w:rPr>
          <w:rFonts w:ascii="Arial" w:cs="Arial" w:eastAsia="Arial" w:hAnsi="Arial"/>
          <w:sz w:val="16"/>
          <w:szCs w:val="16"/>
          <w:color w:val="auto"/>
        </w:rPr>
        <w:t>initiatives and impacts, including the diversity of our workforce, our efforts to address the digital divide, our focus on creating and distributing content to amplify diverse voices, and the support of diverse suppliers and the communities where we do business.</w:t>
      </w:r>
    </w:p>
    <w:p>
      <w:pPr>
        <w:spacing w:after="0" w:line="204" w:lineRule="exact"/>
        <w:rPr>
          <w:rFonts w:ascii="Arial" w:cs="Arial" w:eastAsia="Arial" w:hAnsi="Arial"/>
          <w:sz w:val="16"/>
          <w:szCs w:val="16"/>
          <w:color w:val="00A1DF"/>
        </w:rPr>
      </w:pPr>
    </w:p>
    <w:p>
      <w:pPr>
        <w:ind w:left="460" w:hanging="250"/>
        <w:spacing w:after="0" w:line="252" w:lineRule="auto"/>
        <w:tabs>
          <w:tab w:leader="none" w:pos="460" w:val="left"/>
        </w:tabs>
        <w:numPr>
          <w:ilvl w:val="0"/>
          <w:numId w:val="70"/>
        </w:numPr>
        <w:rPr>
          <w:rFonts w:ascii="Arial" w:cs="Arial" w:eastAsia="Arial" w:hAnsi="Arial"/>
          <w:sz w:val="16"/>
          <w:szCs w:val="16"/>
          <w:color w:val="00A1DF"/>
        </w:rPr>
      </w:pPr>
      <w:r>
        <w:rPr>
          <w:rFonts w:ascii="Arial" w:cs="Arial" w:eastAsia="Arial" w:hAnsi="Arial"/>
          <w:sz w:val="16"/>
          <w:szCs w:val="16"/>
          <w:b w:val="1"/>
          <w:bCs w:val="1"/>
          <w:color w:val="auto"/>
        </w:rPr>
        <w:t xml:space="preserve">Our Board is dedicated to overseeing and supporting management’s efforts to advance our DE&amp;I priorities, including racial equity. </w:t>
      </w:r>
      <w:r>
        <w:rPr>
          <w:rFonts w:ascii="Arial" w:cs="Arial" w:eastAsia="Arial" w:hAnsi="Arial"/>
          <w:sz w:val="16"/>
          <w:szCs w:val="16"/>
          <w:color w:val="auto"/>
        </w:rPr>
        <w:t>Our full</w:t>
      </w:r>
      <w:r>
        <w:rPr>
          <w:rFonts w:ascii="Arial" w:cs="Arial" w:eastAsia="Arial" w:hAnsi="Arial"/>
          <w:sz w:val="16"/>
          <w:szCs w:val="16"/>
          <w:b w:val="1"/>
          <w:bCs w:val="1"/>
          <w:color w:val="auto"/>
        </w:rPr>
        <w:t xml:space="preserve"> </w:t>
      </w:r>
      <w:r>
        <w:rPr>
          <w:rFonts w:ascii="Arial" w:cs="Arial" w:eastAsia="Arial" w:hAnsi="Arial"/>
          <w:sz w:val="16"/>
          <w:szCs w:val="16"/>
          <w:color w:val="auto"/>
        </w:rPr>
        <w:t>Board, with specific support primarily from our Governance and Corporate Responsibility Committee, has oversight of our DE&amp;I strategy and programs. Our governance structure is further strengthened by the leadership of our Chief Diversity Officer, who reports to our Chairman and CEO and sits outside of our human resources department to focus her efforts on our critical DE&amp;I focus areas relating to both our workforce and our external impacts. Our Chief Diversity Officer is further supported and informed by the external DE&amp;I Advisory Council, third-party consultants and input from our employees obtained from a variety of sources, including our nine employee resource groups (“ERGs”) for Asian Pacific American, Black, People with Disabilities, LGBTQ+, Hispanic/Latino, Veteran, Young Professional, Women and Indigenous employees, internal DE&amp;I councils throughout our company and employee engagement surveys.</w:t>
      </w:r>
    </w:p>
    <w:p>
      <w:pPr>
        <w:spacing w:after="0" w:line="209" w:lineRule="exact"/>
        <w:rPr>
          <w:rFonts w:ascii="Arial" w:cs="Arial" w:eastAsia="Arial" w:hAnsi="Arial"/>
          <w:sz w:val="16"/>
          <w:szCs w:val="16"/>
          <w:color w:val="00A1DF"/>
        </w:rPr>
      </w:pPr>
    </w:p>
    <w:p>
      <w:pPr>
        <w:ind w:left="460" w:right="40" w:hanging="250"/>
        <w:spacing w:after="0" w:line="259" w:lineRule="auto"/>
        <w:tabs>
          <w:tab w:leader="none" w:pos="460" w:val="left"/>
        </w:tabs>
        <w:numPr>
          <w:ilvl w:val="0"/>
          <w:numId w:val="70"/>
        </w:numPr>
        <w:rPr>
          <w:rFonts w:ascii="Arial" w:cs="Arial" w:eastAsia="Arial" w:hAnsi="Arial"/>
          <w:sz w:val="16"/>
          <w:szCs w:val="16"/>
          <w:color w:val="00A1DF"/>
        </w:rPr>
      </w:pPr>
      <w:r>
        <w:rPr>
          <w:rFonts w:ascii="Arial" w:cs="Arial" w:eastAsia="Arial" w:hAnsi="Arial"/>
          <w:sz w:val="16"/>
          <w:szCs w:val="16"/>
          <w:b w:val="1"/>
          <w:bCs w:val="1"/>
          <w:color w:val="auto"/>
        </w:rPr>
        <w:t xml:space="preserve">We are committed to transparency, and our increasingly granular public reporting provides stakeholders with disclosure necessary to monitor and track our progress. </w:t>
      </w:r>
      <w:r>
        <w:rPr>
          <w:rFonts w:ascii="Arial" w:cs="Arial" w:eastAsia="Arial" w:hAnsi="Arial"/>
          <w:sz w:val="16"/>
          <w:szCs w:val="16"/>
          <w:color w:val="auto"/>
        </w:rPr>
        <w:t>We have provided public reporting on our DE&amp;I efforts and progress for over ten years. We are committed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continued evolution of this reporting, including through additional disclosure aligned with the Sustainability Accounting Standards Board standards and public disclosure of our EEO-1 reports.</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strongly believe that the independent audit called for in this proposal is overly prescriptive in its scope and would not be meaningfully additive to our existing processes or disclosure. At the same time, we believe that the lack of details and any real consensus as to what specifically the ‘audit’ would seek to review, evaluate or accomplish for this purpose could significantly distract our company from executing toward our core DE&amp;I and racial equity efforts. As a result, we believe shareholders would be better served with our resources being used to further deepen our extensive DE&amp;I and racial equity efforts (outlined in more detail below), rather than diverting management attention and significant resources to an external audit.</w:t>
      </w:r>
    </w:p>
    <w:p>
      <w:pPr>
        <w:spacing w:after="0" w:line="180"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 xml:space="preserve">We are proud of the progress we have made and the transparency we provide, and we believe that our processes and actions fully respond to the spirit of the proposal. As a result, our Board believes that the proponent’s requested independent audit is not in the best interests of our shareholders and recommends that shareholders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Our ongoing commitments to DE&amp;I already reflect – and will continue to reflect – recommendations from our external DE&amp;I Advisory Committee, as well as other external third-party advisors, partners and our employees, on ways to further improve and prioritize our efforts.</w:t>
      </w:r>
    </w:p>
    <w:p>
      <w:pPr>
        <w:spacing w:after="0" w:line="14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Realizing that outside perspectives are needed to further strengthen and deepen our DE&amp;I programs, we believe we have a unique governance structure in that we are guided by an external DE&amp;I Advisory Council that provides advice regarding our core DE&amp;I initiatives to help ensure accountability and drive progress across matters relating to both our workforce and our external impacts.</w:t>
      </w:r>
    </w:p>
    <w:p>
      <w:pPr>
        <w:spacing w:after="0" w:line="171" w:lineRule="exact"/>
        <w:rPr>
          <w:sz w:val="20"/>
          <w:szCs w:val="20"/>
          <w:color w:val="auto"/>
        </w:rPr>
      </w:pPr>
    </w:p>
    <w:p>
      <w:pPr>
        <w:jc w:val="both"/>
        <w:ind w:left="260" w:right="180" w:hanging="252"/>
        <w:spacing w:after="0" w:line="266" w:lineRule="auto"/>
        <w:tabs>
          <w:tab w:leader="none" w:pos="260" w:val="left"/>
        </w:tabs>
        <w:numPr>
          <w:ilvl w:val="0"/>
          <w:numId w:val="71"/>
        </w:numPr>
        <w:rPr>
          <w:rFonts w:ascii="Arial" w:cs="Arial" w:eastAsia="Arial" w:hAnsi="Arial"/>
          <w:sz w:val="16"/>
          <w:szCs w:val="16"/>
          <w:color w:val="00A1DF"/>
        </w:rPr>
      </w:pPr>
      <w:r>
        <w:rPr>
          <w:rFonts w:ascii="Arial" w:cs="Arial" w:eastAsia="Arial" w:hAnsi="Arial"/>
          <w:sz w:val="16"/>
          <w:szCs w:val="16"/>
          <w:color w:val="auto"/>
        </w:rPr>
        <w:t>The external DE&amp;I Advisory Council includes 14 external business, academic, political and civil rights leaders from Black and African American, Latino, Asian American and Pacific Islander, Indigenous People and Native American, People with Disabilities and LGBTQ+ communities. Among its members are leaders of the National Urban League, UnidosUS, National Action Network, Asian Americans Advancing Justice and GLAAD, to name a few.</w:t>
      </w:r>
    </w:p>
    <w:p>
      <w:pPr>
        <w:spacing w:after="0" w:line="144" w:lineRule="exact"/>
        <w:rPr>
          <w:rFonts w:ascii="Arial" w:cs="Arial" w:eastAsia="Arial" w:hAnsi="Arial"/>
          <w:sz w:val="16"/>
          <w:szCs w:val="16"/>
          <w:color w:val="00A1DF"/>
        </w:rPr>
      </w:pPr>
    </w:p>
    <w:p>
      <w:pPr>
        <w:ind w:left="260" w:right="280" w:hanging="252"/>
        <w:spacing w:after="0" w:line="293" w:lineRule="auto"/>
        <w:tabs>
          <w:tab w:leader="none" w:pos="260" w:val="left"/>
        </w:tabs>
        <w:numPr>
          <w:ilvl w:val="0"/>
          <w:numId w:val="71"/>
        </w:numPr>
        <w:rPr>
          <w:rFonts w:ascii="Arial" w:cs="Arial" w:eastAsia="Arial" w:hAnsi="Arial"/>
          <w:sz w:val="16"/>
          <w:szCs w:val="16"/>
          <w:color w:val="00A1DF"/>
        </w:rPr>
      </w:pPr>
      <w:r>
        <w:rPr>
          <w:rFonts w:ascii="Arial" w:cs="Arial" w:eastAsia="Arial" w:hAnsi="Arial"/>
          <w:sz w:val="16"/>
          <w:szCs w:val="16"/>
          <w:color w:val="auto"/>
        </w:rPr>
        <w:t>Our inaugural external DE&amp;I Advisory Council helped us identify the following five critical DE&amp;I focus areas: workforce, programming/content, supplier diversity, governance and community impact giving. Progress within each of these focus areas is publicly reported in our 2021 Impact Report</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17" w:lineRule="exact"/>
        <w:rPr>
          <w:rFonts w:ascii="Arial" w:cs="Arial" w:eastAsia="Arial" w:hAnsi="Arial"/>
          <w:sz w:val="16"/>
          <w:szCs w:val="16"/>
          <w:color w:val="00A1DF"/>
        </w:rPr>
      </w:pPr>
    </w:p>
    <w:p>
      <w:pPr>
        <w:ind w:left="260" w:right="40" w:hanging="252"/>
        <w:spacing w:after="0" w:line="286" w:lineRule="auto"/>
        <w:tabs>
          <w:tab w:leader="none" w:pos="260" w:val="left"/>
        </w:tabs>
        <w:numPr>
          <w:ilvl w:val="0"/>
          <w:numId w:val="71"/>
        </w:numPr>
        <w:rPr>
          <w:rFonts w:ascii="Arial" w:cs="Arial" w:eastAsia="Arial" w:hAnsi="Arial"/>
          <w:sz w:val="16"/>
          <w:szCs w:val="16"/>
          <w:color w:val="00A1DF"/>
        </w:rPr>
      </w:pPr>
      <w:r>
        <w:rPr>
          <w:rFonts w:ascii="Arial" w:cs="Arial" w:eastAsia="Arial" w:hAnsi="Arial"/>
          <w:sz w:val="16"/>
          <w:szCs w:val="16"/>
          <w:color w:val="auto"/>
        </w:rPr>
        <w:t>The DE&amp;I Advisory Council also receives confidential reports and briefings on our progress toward these DE&amp;I focus areas so it can better facilitate open communication on their development, monitoring and evaluation.</w:t>
      </w:r>
    </w:p>
    <w:p>
      <w:pPr>
        <w:spacing w:after="0" w:line="128" w:lineRule="exact"/>
        <w:rPr>
          <w:rFonts w:ascii="Arial" w:cs="Arial" w:eastAsia="Arial" w:hAnsi="Arial"/>
          <w:sz w:val="16"/>
          <w:szCs w:val="16"/>
          <w:color w:val="00A1DF"/>
        </w:rPr>
      </w:pPr>
    </w:p>
    <w:p>
      <w:pPr>
        <w:ind w:left="260" w:right="40" w:hanging="252"/>
        <w:spacing w:after="0" w:line="259" w:lineRule="auto"/>
        <w:tabs>
          <w:tab w:leader="none" w:pos="260" w:val="left"/>
        </w:tabs>
        <w:numPr>
          <w:ilvl w:val="0"/>
          <w:numId w:val="71"/>
        </w:numPr>
        <w:rPr>
          <w:rFonts w:ascii="Arial" w:cs="Arial" w:eastAsia="Arial" w:hAnsi="Arial"/>
          <w:sz w:val="16"/>
          <w:szCs w:val="16"/>
          <w:color w:val="00A1DF"/>
        </w:rPr>
      </w:pPr>
      <w:r>
        <w:rPr>
          <w:rFonts w:ascii="Arial" w:cs="Arial" w:eastAsia="Arial" w:hAnsi="Arial"/>
          <w:sz w:val="16"/>
          <w:szCs w:val="16"/>
          <w:color w:val="auto"/>
        </w:rPr>
        <w:t>The DE&amp;I Advisory Council operates as a formal body with a set of governing policies and procedures. Our Chief Diversity Officer and management present to Council members on a quarterly basis on various topics across our businesses. Council members serve a two-year term, and no member may serve for more than three successive terms. In identifying Council members, we seek to maintain an intersectional council with a diversity of strengths, backgrounds, perspectives and communities represented.</w:t>
      </w:r>
    </w:p>
    <w:p>
      <w:pPr>
        <w:spacing w:after="0" w:line="143" w:lineRule="exact"/>
        <w:rPr>
          <w:rFonts w:ascii="Arial" w:cs="Arial" w:eastAsia="Arial" w:hAnsi="Arial"/>
          <w:sz w:val="16"/>
          <w:szCs w:val="16"/>
          <w:color w:val="00A1DF"/>
        </w:rPr>
      </w:pPr>
    </w:p>
    <w:p>
      <w:pPr>
        <w:ind w:left="260" w:hanging="252"/>
        <w:spacing w:after="0"/>
        <w:tabs>
          <w:tab w:leader="none" w:pos="260" w:val="left"/>
        </w:tabs>
        <w:numPr>
          <w:ilvl w:val="0"/>
          <w:numId w:val="71"/>
        </w:numPr>
        <w:rPr>
          <w:rFonts w:ascii="Arial" w:cs="Arial" w:eastAsia="Arial" w:hAnsi="Arial"/>
          <w:sz w:val="32"/>
          <w:szCs w:val="32"/>
          <w:color w:val="00A1DF"/>
          <w:vertAlign w:val="superscript"/>
        </w:rPr>
      </w:pPr>
      <w:r>
        <w:rPr>
          <w:rFonts w:ascii="Arial" w:cs="Arial" w:eastAsia="Arial" w:hAnsi="Arial"/>
          <w:sz w:val="16"/>
          <w:szCs w:val="16"/>
          <w:color w:val="auto"/>
        </w:rPr>
        <w:t>For more information on the DE&amp;I Advisory Council, see our Statement Regarding our Diversity, Equity and Inclusion Initiatives.</w:t>
      </w:r>
      <w:r>
        <w:rPr>
          <w:rFonts w:ascii="Arial" w:cs="Arial" w:eastAsia="Arial" w:hAnsi="Arial"/>
          <w:sz w:val="26"/>
          <w:szCs w:val="26"/>
          <w:color w:val="auto"/>
          <w:vertAlign w:val="superscript"/>
        </w:rPr>
        <w:t>(2)</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In addition:</w:t>
      </w:r>
    </w:p>
    <w:p>
      <w:pPr>
        <w:spacing w:after="0" w:line="221" w:lineRule="exact"/>
        <w:rPr>
          <w:sz w:val="20"/>
          <w:szCs w:val="20"/>
          <w:color w:val="auto"/>
        </w:rPr>
      </w:pPr>
    </w:p>
    <w:p>
      <w:pPr>
        <w:ind w:left="260" w:right="120" w:hanging="252"/>
        <w:spacing w:after="0" w:line="286" w:lineRule="auto"/>
        <w:tabs>
          <w:tab w:leader="none" w:pos="260" w:val="left"/>
        </w:tabs>
        <w:numPr>
          <w:ilvl w:val="0"/>
          <w:numId w:val="72"/>
        </w:numPr>
        <w:rPr>
          <w:rFonts w:ascii="Arial" w:cs="Arial" w:eastAsia="Arial" w:hAnsi="Arial"/>
          <w:sz w:val="16"/>
          <w:szCs w:val="16"/>
          <w:color w:val="00A1DF"/>
        </w:rPr>
      </w:pPr>
      <w:r>
        <w:rPr>
          <w:rFonts w:ascii="Arial" w:cs="Arial" w:eastAsia="Arial" w:hAnsi="Arial"/>
          <w:sz w:val="16"/>
          <w:szCs w:val="16"/>
          <w:color w:val="auto"/>
        </w:rPr>
        <w:t>We routinely partner with third parties, such as leading DE&amp;I consultants as well as schools and community-based organizations, to help identify causes of inequity, particularly relating to the digital divide.</w:t>
      </w:r>
    </w:p>
    <w:p>
      <w:pPr>
        <w:spacing w:after="0" w:line="128" w:lineRule="exact"/>
        <w:rPr>
          <w:rFonts w:ascii="Arial" w:cs="Arial" w:eastAsia="Arial" w:hAnsi="Arial"/>
          <w:sz w:val="16"/>
          <w:szCs w:val="16"/>
          <w:color w:val="00A1DF"/>
        </w:rPr>
      </w:pPr>
    </w:p>
    <w:p>
      <w:pPr>
        <w:ind w:left="260" w:right="200" w:hanging="252"/>
        <w:spacing w:after="0" w:line="286" w:lineRule="auto"/>
        <w:tabs>
          <w:tab w:leader="none" w:pos="260" w:val="left"/>
        </w:tabs>
        <w:numPr>
          <w:ilvl w:val="0"/>
          <w:numId w:val="72"/>
        </w:numPr>
        <w:rPr>
          <w:rFonts w:ascii="Arial" w:cs="Arial" w:eastAsia="Arial" w:hAnsi="Arial"/>
          <w:sz w:val="16"/>
          <w:szCs w:val="16"/>
          <w:color w:val="00A1DF"/>
        </w:rPr>
      </w:pPr>
      <w:r>
        <w:rPr>
          <w:rFonts w:ascii="Arial" w:cs="Arial" w:eastAsia="Arial" w:hAnsi="Arial"/>
          <w:sz w:val="16"/>
          <w:szCs w:val="16"/>
          <w:color w:val="auto"/>
        </w:rPr>
        <w:t>Our extensive network of ERGs, as well as input from third-party advisors and results of employee engagement surveys, helps us identify and prioritize certain workplace and culture-related initiatives and impacts.</w:t>
      </w:r>
    </w:p>
    <w:p>
      <w:pPr>
        <w:spacing w:after="0" w:line="15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are actively using our resources – our people, programming and platforms – to shed light on systemic racial equity issues and work toward solutions in areas where we can have a meaningful and measurable impact.</w:t>
      </w:r>
    </w:p>
    <w:p>
      <w:pPr>
        <w:spacing w:after="0" w:line="14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DE&amp;I efforts focus on areas where we believe we can make the most impact given the nature of our business. Our most recent 2021 Impact Report highlights some of the ways that we are working to build, and rebuild, stronger and more inclusive communities to make a positive difference and how we try to do what’s right for our employees, customers, viewers and the world. These focus areas include: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Workforce</w:t>
      </w:r>
    </w:p>
    <w:p>
      <w:pPr>
        <w:spacing w:after="0" w:line="219"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We believe that a diverse, equitable and inclusive company helps to foster creativity, innovation and success. We embrace diversity of background, perspective, culture and experience throughout our business. For example:</w:t>
      </w:r>
    </w:p>
    <w:p>
      <w:pPr>
        <w:spacing w:after="0" w:line="156" w:lineRule="exact"/>
        <w:rPr>
          <w:sz w:val="20"/>
          <w:szCs w:val="20"/>
          <w:color w:val="auto"/>
        </w:rPr>
      </w:pPr>
    </w:p>
    <w:p>
      <w:pPr>
        <w:ind w:left="260" w:right="100" w:hanging="252"/>
        <w:spacing w:after="0" w:line="266" w:lineRule="auto"/>
        <w:tabs>
          <w:tab w:leader="none" w:pos="260"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Since our first public report over ten years ago, we have made progress in representation of people of color in management. As of the end of 2021, people of color represented 29.4% of our director-level employees and 23.8% of our vice president-level and above employees, compared to 19.1% and 15.6%, respectively, at the end of 2010.</w:t>
      </w:r>
    </w:p>
    <w:p>
      <w:pPr>
        <w:spacing w:after="0" w:line="144" w:lineRule="exact"/>
        <w:rPr>
          <w:rFonts w:ascii="Arial" w:cs="Arial" w:eastAsia="Arial" w:hAnsi="Arial"/>
          <w:sz w:val="16"/>
          <w:szCs w:val="16"/>
          <w:color w:val="00A1DF"/>
        </w:rPr>
      </w:pPr>
    </w:p>
    <w:p>
      <w:pPr>
        <w:jc w:val="both"/>
        <w:ind w:left="260" w:right="20" w:hanging="252"/>
        <w:spacing w:after="0" w:line="266" w:lineRule="auto"/>
        <w:tabs>
          <w:tab w:leader="none" w:pos="260"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We offer a variety of training programs and initiatives focused on creating a more inclusive workplace culture. These efforts include company-wide forums like our DE&amp;I speaker series which is designed to educate, inspire dialogue and foster employee engagement through a curated experience anchored by external scholars, authors and thought leaders focusing on a variety of DE&amp;I topics.</w:t>
      </w:r>
    </w:p>
    <w:p>
      <w:pPr>
        <w:spacing w:after="0" w:line="144" w:lineRule="exact"/>
        <w:rPr>
          <w:rFonts w:ascii="Arial" w:cs="Arial" w:eastAsia="Arial" w:hAnsi="Arial"/>
          <w:sz w:val="16"/>
          <w:szCs w:val="16"/>
          <w:color w:val="00A1DF"/>
        </w:rPr>
      </w:pPr>
    </w:p>
    <w:p>
      <w:pPr>
        <w:ind w:left="260" w:hanging="252"/>
        <w:spacing w:after="0"/>
        <w:tabs>
          <w:tab w:leader="none" w:pos="260"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We support nine ERGs with 35,000 members in over 200 chapters.</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We have engaged third-party consultants to review and evaluate workforce-related programs and recommend opportunities for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712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88" w:lineRule="exact"/>
        <w:rPr>
          <w:sz w:val="20"/>
          <w:szCs w:val="20"/>
          <w:color w:val="auto"/>
        </w:rPr>
      </w:pPr>
    </w:p>
    <w:p>
      <w:pPr>
        <w:ind w:left="300" w:hanging="292"/>
        <w:spacing w:after="0"/>
        <w:tabs>
          <w:tab w:leader="none" w:pos="30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 xml:space="preserve">Available at </w:t>
      </w:r>
      <w:r>
        <w:rPr>
          <w:rFonts w:ascii="Arial" w:cs="Arial" w:eastAsia="Arial" w:hAnsi="Arial"/>
          <w:sz w:val="14"/>
          <w:szCs w:val="14"/>
          <w:i w:val="1"/>
          <w:iCs w:val="1"/>
          <w:color w:val="auto"/>
        </w:rPr>
        <w:t>https://corporate.comcast.com/impact/report/2021</w:t>
      </w:r>
      <w:r>
        <w:rPr>
          <w:rFonts w:ascii="Arial" w:cs="Arial" w:eastAsia="Arial" w:hAnsi="Arial"/>
          <w:sz w:val="14"/>
          <w:szCs w:val="14"/>
          <w:color w:val="auto"/>
        </w:rPr>
        <w:t>.</w:t>
      </w:r>
    </w:p>
    <w:p>
      <w:pPr>
        <w:spacing w:after="0" w:line="127" w:lineRule="exact"/>
        <w:rPr>
          <w:rFonts w:ascii="Arial" w:cs="Arial" w:eastAsia="Arial" w:hAnsi="Arial"/>
          <w:sz w:val="24"/>
          <w:szCs w:val="24"/>
          <w:color w:val="auto"/>
          <w:vertAlign w:val="superscript"/>
        </w:rPr>
      </w:pPr>
    </w:p>
    <w:p>
      <w:pPr>
        <w:ind w:left="300" w:hanging="292"/>
        <w:spacing w:after="0" w:line="186" w:lineRule="auto"/>
        <w:tabs>
          <w:tab w:leader="none" w:pos="300" w:val="left"/>
        </w:tabs>
        <w:numPr>
          <w:ilvl w:val="0"/>
          <w:numId w:val="74"/>
        </w:numPr>
        <w:rPr>
          <w:rFonts w:ascii="Arial" w:cs="Arial" w:eastAsia="Arial" w:hAnsi="Arial"/>
          <w:sz w:val="22"/>
          <w:szCs w:val="22"/>
          <w:color w:val="auto"/>
          <w:vertAlign w:val="superscript"/>
        </w:rPr>
      </w:pPr>
      <w:r>
        <w:rPr>
          <w:rFonts w:ascii="Arial" w:cs="Arial" w:eastAsia="Arial" w:hAnsi="Arial"/>
          <w:sz w:val="13"/>
          <w:szCs w:val="13"/>
          <w:color w:val="auto"/>
        </w:rPr>
        <w:t xml:space="preserve">Available at </w:t>
      </w:r>
      <w:r>
        <w:rPr>
          <w:rFonts w:ascii="Arial" w:cs="Arial" w:eastAsia="Arial" w:hAnsi="Arial"/>
          <w:sz w:val="13"/>
          <w:szCs w:val="13"/>
          <w:i w:val="1"/>
          <w:iCs w:val="1"/>
          <w:color w:val="auto"/>
        </w:rPr>
        <w:t>https://www.cmcsa.com/static-files/c49ca903-422b-49a9-8d42-91241478c06e</w:t>
      </w:r>
      <w:r>
        <w:rPr>
          <w:rFonts w:ascii="Arial" w:cs="Arial" w:eastAsia="Arial" w:hAnsi="Arial"/>
          <w:sz w:val="13"/>
          <w:szCs w:val="13"/>
          <w:color w:val="auto"/>
        </w:rPr>
        <w:t>.</w:t>
      </w:r>
    </w:p>
    <w:p>
      <w:pPr>
        <w:spacing w:after="0" w:line="1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 Equity</w:t>
      </w:r>
    </w:p>
    <w:p>
      <w:pPr>
        <w:spacing w:after="0" w:line="21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Comcast has long been at the forefront of addressing digital inequities, including through Internet Essentials, which we believe is the nation’s largest and most comprehensive internet adoption program for low-income families. Over the past decade, we have continued to innovate and expand the eligibility requirements for this program, connecting a cumulative total of over 10 million low-income Americans to the internet.</w:t>
      </w:r>
    </w:p>
    <w:p>
      <w:pPr>
        <w:spacing w:after="0" w:line="171" w:lineRule="exact"/>
        <w:rPr>
          <w:sz w:val="20"/>
          <w:szCs w:val="20"/>
          <w:color w:val="auto"/>
        </w:rPr>
      </w:pPr>
    </w:p>
    <w:p>
      <w:pPr>
        <w:ind w:left="260" w:hanging="252"/>
        <w:spacing w:after="0" w:line="259" w:lineRule="auto"/>
        <w:tabs>
          <w:tab w:leader="none" w:pos="260" w:val="left"/>
        </w:tabs>
        <w:numPr>
          <w:ilvl w:val="0"/>
          <w:numId w:val="75"/>
        </w:numPr>
        <w:rPr>
          <w:rFonts w:ascii="Arial" w:cs="Arial" w:eastAsia="Arial" w:hAnsi="Arial"/>
          <w:sz w:val="16"/>
          <w:szCs w:val="16"/>
          <w:color w:val="00A1DF"/>
        </w:rPr>
      </w:pPr>
      <w:r>
        <w:rPr>
          <w:rFonts w:ascii="Arial" w:cs="Arial" w:eastAsia="Arial" w:hAnsi="Arial"/>
          <w:sz w:val="16"/>
          <w:szCs w:val="16"/>
          <w:color w:val="auto"/>
        </w:rPr>
        <w:t>When we launched Internet Essentials in 2011, it was available only to families of school-aged children eligible to participate in the National School Lunch Program. Over the past decade, we have continued to expand the reach of this program to cover even more individuals, with eligibility today including households that receive public housing assistance, Medicaid, Supplemental Nutrition Assistance benefits (SNAP), Social Security Income (SSI), Federal Pell Grants and various other benefit programs.</w:t>
      </w:r>
    </w:p>
    <w:p>
      <w:pPr>
        <w:spacing w:after="0" w:line="150" w:lineRule="exact"/>
        <w:rPr>
          <w:rFonts w:ascii="Arial" w:cs="Arial" w:eastAsia="Arial" w:hAnsi="Arial"/>
          <w:sz w:val="16"/>
          <w:szCs w:val="16"/>
          <w:color w:val="00A1DF"/>
        </w:rPr>
      </w:pPr>
    </w:p>
    <w:p>
      <w:pPr>
        <w:ind w:left="260" w:right="60" w:hanging="252"/>
        <w:spacing w:after="0" w:line="259" w:lineRule="auto"/>
        <w:tabs>
          <w:tab w:leader="none" w:pos="260" w:val="left"/>
        </w:tabs>
        <w:numPr>
          <w:ilvl w:val="0"/>
          <w:numId w:val="75"/>
        </w:numPr>
        <w:rPr>
          <w:rFonts w:ascii="Arial" w:cs="Arial" w:eastAsia="Arial" w:hAnsi="Arial"/>
          <w:sz w:val="16"/>
          <w:szCs w:val="16"/>
          <w:color w:val="00A1DF"/>
        </w:rPr>
      </w:pPr>
      <w:r>
        <w:rPr>
          <w:rFonts w:ascii="Arial" w:cs="Arial" w:eastAsia="Arial" w:hAnsi="Arial"/>
          <w:sz w:val="16"/>
          <w:szCs w:val="16"/>
          <w:color w:val="auto"/>
        </w:rPr>
        <w:t>While the cost of Internet Essentials has remained flat at $9.95 a month since 2011, we have consistently increased its speeds, which now has a 50 Mbps download speed. With our participation in the federal government’s broadband benefits programs that enable qualifying low-income customers to apply a financial subsidy to our broadband services, customers can receive our Internet Essentials service or our new enhanced Internet Essentials Plus service with twice the download speed – up to 100 Mbps – effectively for free.</w:t>
      </w:r>
    </w:p>
    <w:p>
      <w:pPr>
        <w:spacing w:after="0" w:line="150" w:lineRule="exact"/>
        <w:rPr>
          <w:rFonts w:ascii="Arial" w:cs="Arial" w:eastAsia="Arial" w:hAnsi="Arial"/>
          <w:sz w:val="16"/>
          <w:szCs w:val="16"/>
          <w:color w:val="00A1DF"/>
        </w:rPr>
      </w:pPr>
    </w:p>
    <w:p>
      <w:pPr>
        <w:ind w:left="260" w:right="20" w:hanging="252"/>
        <w:spacing w:after="0" w:line="266" w:lineRule="auto"/>
        <w:tabs>
          <w:tab w:leader="none" w:pos="260" w:val="left"/>
        </w:tabs>
        <w:numPr>
          <w:ilvl w:val="0"/>
          <w:numId w:val="75"/>
        </w:numPr>
        <w:rPr>
          <w:rFonts w:ascii="Arial" w:cs="Arial" w:eastAsia="Arial" w:hAnsi="Arial"/>
          <w:sz w:val="16"/>
          <w:szCs w:val="16"/>
          <w:color w:val="00A1DF"/>
        </w:rPr>
      </w:pPr>
      <w:r>
        <w:rPr>
          <w:rFonts w:ascii="Arial" w:cs="Arial" w:eastAsia="Arial" w:hAnsi="Arial"/>
          <w:sz w:val="16"/>
          <w:szCs w:val="16"/>
          <w:color w:val="auto"/>
        </w:rPr>
        <w:t>To respond to the challenges presented by the global pandemic, among other things, we provided new Internet Essentials customers with 60 days of free service, made our 1.5 million public Wi-Fi hotspots available for free, waived bad-debt program eligibility and created affordable and flexible payment plans to allow customers and small businesses to retain their services.</w:t>
      </w:r>
    </w:p>
    <w:p>
      <w:pPr>
        <w:spacing w:after="0" w:line="17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Over the past two years, we have launched our new Internet Essentials Partnership Program, which focuses on enabling cities, school districts and community-based organizations to connect large numbers of students to broadband access at home. To date, we have collaborated with hundreds of schools and organizations across the country. We also have helped bridge the digital divide through digital skills training initiatives to unlock opportunities and new career pathways in media and technology – both through our own training programs and through partnerships with leading organizations that provide support and resources necessary for success, such as Per Scholas and Genesys Works.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part of our ongoing commitment to help connect low-income families to the internet, in 2020 we launched our “Lift Zones” effort to create more than 1,000 WiFi-connected Lift Zones in community centers nationwide. Lift Zones are designed to complement our Internet Essentials program and help students participate in remote learning who, for a variety of reasons (including homelessness or housing insecurity issues), are otherwise unable to participate in educational opportunities and the digital economy.</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realize that more work still needs to be done to expand our digital equity initiatives and that we alone cannot solve the problem. That is why we enlisted the support of a leading consultancy to help evaluate the barriers to broadband adoption and how we and others can work together to bridge the digital divide. We have actively sponsored and participated in the federal government’s broadband benefits programs to provide discounted internet service to those in need, namely the Emergency Broadband Benefit program that launched in May 2021 to immediately enable qualifying low-income customers to apply a financial subsidy to any tier of our broadband services, including Internet Essentials, and its successor, the longer-term Affordable Connectivity Program that launched at the end of 2021. We also participate in federal, state and local programs designed to fund the expansion of broadband to unserved Americans and extend our world class network to new areas where reliable, high-speed internet services had previously been unavailable.</w:t>
      </w:r>
    </w:p>
    <w:p>
      <w:pPr>
        <w:spacing w:after="0" w:line="18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We are serious about closing the digital divide and working with the cable industry, schools, governments, nonprofits, businesses and communities to remedy the many issues that act as barriers to broadband access in the home.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Programming</w:t>
      </w:r>
    </w:p>
    <w:p>
      <w:pPr>
        <w:spacing w:after="0" w:line="21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strive to have diverse perspectives that resonate with a wide range of audiences in our programming at NBCUniversal and in the content we distribute on our Xfinity platforms.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have created opportunities in front of and behind the camera, including by offering a wide range of programs designed to build a diverse pipeline of talent, including directors, writers, actors, music composers and journalists. We regularly report on the percentage of people of color represented on air and behind the camera. For example, in 2021, people of color represented 36.4% of film talent on screen and 47.6% of on-air talent at our news assets, as well as 17.2% of film talent behind the camera and 35.1% of talent behind the camera at our news assets.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We have developed programs that seek to build additional opportunities for diverse talent, including the following examples:</w:t>
      </w:r>
    </w:p>
    <w:p>
      <w:pPr>
        <w:spacing w:after="0" w:line="221" w:lineRule="exact"/>
        <w:rPr>
          <w:sz w:val="20"/>
          <w:szCs w:val="20"/>
          <w:color w:val="auto"/>
        </w:rPr>
      </w:pPr>
    </w:p>
    <w:p>
      <w:pPr>
        <w:ind w:left="260" w:right="620" w:hanging="252"/>
        <w:spacing w:after="0" w:line="286" w:lineRule="auto"/>
        <w:tabs>
          <w:tab w:leader="none" w:pos="260" w:val="left"/>
        </w:tabs>
        <w:numPr>
          <w:ilvl w:val="0"/>
          <w:numId w:val="76"/>
        </w:numPr>
        <w:rPr>
          <w:rFonts w:ascii="Arial" w:cs="Arial" w:eastAsia="Arial" w:hAnsi="Arial"/>
          <w:sz w:val="16"/>
          <w:szCs w:val="16"/>
          <w:color w:val="00A1DF"/>
        </w:rPr>
      </w:pPr>
      <w:r>
        <w:rPr>
          <w:rFonts w:ascii="Arial" w:cs="Arial" w:eastAsia="Arial" w:hAnsi="Arial"/>
          <w:sz w:val="16"/>
          <w:szCs w:val="16"/>
          <w:color w:val="auto"/>
        </w:rPr>
        <w:t>NBCUniversal launched an innovative, multiplatform journalism training and development program for students at Historically Black Colleges and Universities and diverse-serving institutions, as well as a multi-year $3.5 million scholarship fund for underrepresented students.</w:t>
      </w:r>
    </w:p>
    <w:p>
      <w:pPr>
        <w:spacing w:after="0" w:line="128" w:lineRule="exact"/>
        <w:rPr>
          <w:rFonts w:ascii="Arial" w:cs="Arial" w:eastAsia="Arial" w:hAnsi="Arial"/>
          <w:sz w:val="16"/>
          <w:szCs w:val="16"/>
          <w:color w:val="00A1DF"/>
        </w:rPr>
      </w:pPr>
    </w:p>
    <w:p>
      <w:pPr>
        <w:ind w:left="260" w:right="20" w:hanging="252"/>
        <w:spacing w:after="0" w:line="286" w:lineRule="auto"/>
        <w:tabs>
          <w:tab w:leader="none" w:pos="260" w:val="left"/>
        </w:tabs>
        <w:numPr>
          <w:ilvl w:val="0"/>
          <w:numId w:val="76"/>
        </w:numPr>
        <w:rPr>
          <w:rFonts w:ascii="Arial" w:cs="Arial" w:eastAsia="Arial" w:hAnsi="Arial"/>
          <w:sz w:val="16"/>
          <w:szCs w:val="16"/>
          <w:color w:val="00A1DF"/>
        </w:rPr>
      </w:pPr>
      <w:r>
        <w:rPr>
          <w:rFonts w:ascii="Arial" w:cs="Arial" w:eastAsia="Arial" w:hAnsi="Arial"/>
          <w:sz w:val="16"/>
          <w:szCs w:val="16"/>
          <w:color w:val="auto"/>
        </w:rPr>
        <w:t>NBCUniversal created a fellowship program awarding diverse documentary filmmakers grants to support feature-length nonfiction films highlighting social issues and identities, with seven groundbreaking filmmakers named in 2021 for the first inaugural fellowship.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Through our media platforms, we have worked to amplify diverse voices and cultures. For example:</w:t>
      </w:r>
    </w:p>
    <w:p>
      <w:pPr>
        <w:spacing w:after="0" w:line="194" w:lineRule="exact"/>
        <w:rPr>
          <w:sz w:val="20"/>
          <w:szCs w:val="20"/>
          <w:color w:val="auto"/>
        </w:rPr>
      </w:pPr>
    </w:p>
    <w:p>
      <w:pPr>
        <w:ind w:left="260" w:right="60" w:hanging="252"/>
        <w:spacing w:after="0" w:line="259" w:lineRule="auto"/>
        <w:tabs>
          <w:tab w:leader="none" w:pos="260"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Our Cable Communications division has created a vast ecosystem of diverse content on Xfinity, including curated On Demand destinations. Among the content included is the “Black Experience,” which gives viewers access to Black entertainment programming with collections of stories that showcase the breadth of Black culture, endorsed by the African American Film Critics Association, and the “¡Mi gente, presente!” curated collection of bilingual and bicultural content to celebrate Hispanic Heritage month.</w:t>
      </w:r>
    </w:p>
    <w:p>
      <w:pPr>
        <w:spacing w:after="0" w:line="150" w:lineRule="exact"/>
        <w:rPr>
          <w:rFonts w:ascii="Arial" w:cs="Arial" w:eastAsia="Arial" w:hAnsi="Arial"/>
          <w:sz w:val="16"/>
          <w:szCs w:val="16"/>
          <w:color w:val="00A1DF"/>
        </w:rPr>
      </w:pPr>
    </w:p>
    <w:p>
      <w:pPr>
        <w:ind w:left="260" w:right="440" w:hanging="252"/>
        <w:spacing w:after="0" w:line="286" w:lineRule="auto"/>
        <w:tabs>
          <w:tab w:leader="none" w:pos="260"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NBCUniversal’s ‘The More You Know’ series of public service announcements have kept audiences informed and educated on issues that include a campaign to speak out against systemic racism and speaking up for social justice, equality and equity.</w:t>
      </w:r>
    </w:p>
    <w:p>
      <w:pPr>
        <w:spacing w:after="0" w:line="128" w:lineRule="exact"/>
        <w:rPr>
          <w:rFonts w:ascii="Arial" w:cs="Arial" w:eastAsia="Arial" w:hAnsi="Arial"/>
          <w:sz w:val="16"/>
          <w:szCs w:val="16"/>
          <w:color w:val="00A1DF"/>
        </w:rPr>
      </w:pPr>
    </w:p>
    <w:p>
      <w:pPr>
        <w:ind w:left="260" w:right="40" w:hanging="252"/>
        <w:spacing w:after="0" w:line="286" w:lineRule="auto"/>
        <w:tabs>
          <w:tab w:leader="none" w:pos="260"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NBCUniversal’s ‘Plan Your Vote’ campaign provided much needed voting information for the 2020 elections, including comprehensive resources for voter planning though an interactive, state-by-state guide — which also was translated into Spanish and amplified by our Telemundo network.</w:t>
      </w:r>
    </w:p>
    <w:p>
      <w:pPr>
        <w:spacing w:after="0" w:line="128" w:lineRule="exact"/>
        <w:rPr>
          <w:rFonts w:ascii="Arial" w:cs="Arial" w:eastAsia="Arial" w:hAnsi="Arial"/>
          <w:sz w:val="16"/>
          <w:szCs w:val="16"/>
          <w:color w:val="00A1DF"/>
        </w:rPr>
      </w:pPr>
    </w:p>
    <w:p>
      <w:pPr>
        <w:ind w:left="260" w:right="260" w:hanging="252"/>
        <w:spacing w:after="0" w:line="286" w:lineRule="auto"/>
        <w:tabs>
          <w:tab w:leader="none" w:pos="260"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NBC News programs aired ‘The Racism Virus’, a streaming special on the stark rise in anti-Asian discrimination and hate attacks occurring nationwide and how the Asian community is coping, the psychological and economic toll of discrimination and how to bring a sense of belonging and unity again.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Supplier Diversity and Small Business Support</w:t>
      </w:r>
    </w:p>
    <w:p>
      <w:pPr>
        <w:spacing w:after="0" w:line="21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have long maintained a supplier diversity program designed to promote, increase and improve the participation of diverse businesses within our corporate supply chain. We have been a member of the Billion Dollar Roundtable, a top-level corporate advocacy organization that promotes supply chain diversity, since 2015. We were the first media and technology company to be inducted for attaining $1 billion or more in annual Tier I (direct supplier) supply chain diversity spend, and have spent at least $3 billion each year with diverse suppliers during the past 5 years. In 2021, we spent over $4.3 billion with diverse Tier 1 vendors (with direct purchases from approximately 3,250 diverse suppliers) and over $390 million with diverse Tier 2 subcontractors. Since 2011, we have spent over $30 billion with diverse suppliers.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Over the past two years, we have separately expanded our efforts to support small business diversity:</w:t>
      </w:r>
    </w:p>
    <w:p>
      <w:pPr>
        <w:spacing w:after="0" w:line="221" w:lineRule="exact"/>
        <w:rPr>
          <w:sz w:val="20"/>
          <w:szCs w:val="20"/>
          <w:color w:val="auto"/>
        </w:rPr>
      </w:pPr>
    </w:p>
    <w:p>
      <w:pPr>
        <w:ind w:left="260" w:right="620" w:hanging="252"/>
        <w:spacing w:after="0" w:line="286" w:lineRule="auto"/>
        <w:tabs>
          <w:tab w:leader="none" w:pos="260" w:val="left"/>
        </w:tabs>
        <w:numPr>
          <w:ilvl w:val="0"/>
          <w:numId w:val="78"/>
        </w:numPr>
        <w:rPr>
          <w:rFonts w:ascii="Arial" w:cs="Arial" w:eastAsia="Arial" w:hAnsi="Arial"/>
          <w:sz w:val="16"/>
          <w:szCs w:val="16"/>
          <w:color w:val="00A1DF"/>
        </w:rPr>
      </w:pPr>
      <w:r>
        <w:rPr>
          <w:rFonts w:ascii="Arial" w:cs="Arial" w:eastAsia="Arial" w:hAnsi="Arial"/>
          <w:sz w:val="16"/>
          <w:szCs w:val="16"/>
          <w:color w:val="auto"/>
        </w:rPr>
        <w:t>Our Comcast RISE program, which was launched in 2020 in connection with our $100 million social justice initiative, has helped over 6,700 small businesses owned by people of color in 590 cities across 34 states through grants, marketing and technology resources.</w:t>
      </w:r>
    </w:p>
    <w:p>
      <w:pPr>
        <w:spacing w:after="0" w:line="128" w:lineRule="exact"/>
        <w:rPr>
          <w:rFonts w:ascii="Arial" w:cs="Arial" w:eastAsia="Arial" w:hAnsi="Arial"/>
          <w:sz w:val="16"/>
          <w:szCs w:val="16"/>
          <w:color w:val="00A1DF"/>
        </w:rPr>
      </w:pPr>
    </w:p>
    <w:p>
      <w:pPr>
        <w:ind w:left="260" w:right="20" w:hanging="252"/>
        <w:spacing w:after="0" w:line="286" w:lineRule="auto"/>
        <w:tabs>
          <w:tab w:leader="none" w:pos="260" w:val="left"/>
        </w:tabs>
        <w:numPr>
          <w:ilvl w:val="0"/>
          <w:numId w:val="78"/>
        </w:numPr>
        <w:rPr>
          <w:rFonts w:ascii="Arial" w:cs="Arial" w:eastAsia="Arial" w:hAnsi="Arial"/>
          <w:sz w:val="16"/>
          <w:szCs w:val="16"/>
          <w:color w:val="00A1DF"/>
        </w:rPr>
      </w:pPr>
      <w:r>
        <w:rPr>
          <w:rFonts w:ascii="Arial" w:cs="Arial" w:eastAsia="Arial" w:hAnsi="Arial"/>
          <w:sz w:val="16"/>
          <w:szCs w:val="16"/>
          <w:color w:val="auto"/>
        </w:rPr>
        <w:t>We invested $25 million in the Seibert Williams Shank Clear Vision Impact Fund, a diverse-led and diverse-serving financial institution that provides direct support to local community businesses.</w:t>
      </w:r>
    </w:p>
    <w:p>
      <w:pPr>
        <w:spacing w:after="0" w:line="128" w:lineRule="exact"/>
        <w:rPr>
          <w:rFonts w:ascii="Arial" w:cs="Arial" w:eastAsia="Arial" w:hAnsi="Arial"/>
          <w:sz w:val="16"/>
          <w:szCs w:val="16"/>
          <w:color w:val="00A1DF"/>
        </w:rPr>
      </w:pPr>
    </w:p>
    <w:p>
      <w:pPr>
        <w:jc w:val="both"/>
        <w:ind w:left="260" w:right="380" w:hanging="252"/>
        <w:spacing w:after="0" w:line="266" w:lineRule="auto"/>
        <w:tabs>
          <w:tab w:leader="none" w:pos="260" w:val="left"/>
        </w:tabs>
        <w:numPr>
          <w:ilvl w:val="0"/>
          <w:numId w:val="78"/>
        </w:numPr>
        <w:rPr>
          <w:rFonts w:ascii="Arial" w:cs="Arial" w:eastAsia="Arial" w:hAnsi="Arial"/>
          <w:sz w:val="16"/>
          <w:szCs w:val="16"/>
          <w:color w:val="00A1DF"/>
        </w:rPr>
      </w:pPr>
      <w:r>
        <w:rPr>
          <w:rFonts w:ascii="Arial" w:cs="Arial" w:eastAsia="Arial" w:hAnsi="Arial"/>
          <w:sz w:val="16"/>
          <w:szCs w:val="16"/>
          <w:color w:val="auto"/>
        </w:rPr>
        <w:t>We invested $10 million in the Inclusiv Racial Equity and Resilience Investment Fund, which is aimed at building equity in credit unions led by and/or serving people of color in an effort to help increase lending to people of color-owned businesses, homeowners and consumers by providing financial opportunities to traditionally underserved and underbanked communities.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is dedicated to overseeing and supporting management’s efforts to advance our DE&amp;I priorities, including racial equity.</w:t>
      </w:r>
    </w:p>
    <w:p>
      <w:pPr>
        <w:spacing w:after="0" w:line="21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commitment to DE&amp;I starts at the top, with our Board. As a whole and through its committees, our Board oversees and assesses our priority areas, efforts and progress on DE&amp;I matters.</w:t>
      </w:r>
    </w:p>
    <w:p>
      <w:pPr>
        <w:spacing w:after="0" w:line="1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Governance and Corporate Responsibility Committee, pursuant to its charter, reviews and assesses significant social issues, risks and trends, including with respect to DE&amp;I matters affecting our workforce and our external impacts. In 2021, for example, this Committee reviewed:</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6"/>
          <w:szCs w:val="16"/>
          <w:color w:val="00A1DF"/>
        </w:rPr>
      </w:pPr>
      <w:r>
        <w:rPr>
          <w:rFonts w:ascii="Arial" w:cs="Arial" w:eastAsia="Arial" w:hAnsi="Arial"/>
          <w:sz w:val="16"/>
          <w:szCs w:val="16"/>
          <w:color w:val="auto"/>
        </w:rPr>
        <w:t>Our workforce-related DE&amp;I efforts, including hiring, promotion and retention statistics broken down by detailed demographic categories.</w:t>
      </w:r>
    </w:p>
    <w:p>
      <w:pPr>
        <w:spacing w:after="0" w:line="194" w:lineRule="exact"/>
        <w:rPr>
          <w:rFonts w:ascii="Arial" w:cs="Arial" w:eastAsia="Arial" w:hAnsi="Arial"/>
          <w:sz w:val="16"/>
          <w:szCs w:val="16"/>
          <w:color w:val="00A1DF"/>
        </w:rPr>
      </w:pPr>
    </w:p>
    <w:p>
      <w:pPr>
        <w:ind w:left="260" w:hanging="252"/>
        <w:spacing w:after="0" w:line="286" w:lineRule="auto"/>
        <w:tabs>
          <w:tab w:leader="none" w:pos="260" w:val="left"/>
        </w:tabs>
        <w:numPr>
          <w:ilvl w:val="0"/>
          <w:numId w:val="79"/>
        </w:numPr>
        <w:rPr>
          <w:rFonts w:ascii="Arial" w:cs="Arial" w:eastAsia="Arial" w:hAnsi="Arial"/>
          <w:sz w:val="16"/>
          <w:szCs w:val="16"/>
          <w:color w:val="00A1DF"/>
        </w:rPr>
      </w:pPr>
      <w:r>
        <w:rPr>
          <w:rFonts w:ascii="Arial" w:cs="Arial" w:eastAsia="Arial" w:hAnsi="Arial"/>
          <w:sz w:val="16"/>
          <w:szCs w:val="16"/>
          <w:color w:val="auto"/>
        </w:rPr>
        <w:t>Opportunities identified by an outside consultant, which had reviewed extensive workforce data and conducted employee interviews and focus groups, to further progress our DE&amp;I efforts relating to Comcast Cable’s workforce, our largest workforce.</w:t>
      </w:r>
    </w:p>
    <w:p>
      <w:pPr>
        <w:spacing w:after="0" w:line="128" w:lineRule="exact"/>
        <w:rPr>
          <w:rFonts w:ascii="Arial" w:cs="Arial" w:eastAsia="Arial" w:hAnsi="Arial"/>
          <w:sz w:val="16"/>
          <w:szCs w:val="16"/>
          <w:color w:val="00A1DF"/>
        </w:rPr>
      </w:pPr>
    </w:p>
    <w:p>
      <w:pPr>
        <w:ind w:left="260" w:hanging="252"/>
        <w:spacing w:after="0"/>
        <w:tabs>
          <w:tab w:leader="none" w:pos="260" w:val="left"/>
        </w:tabs>
        <w:numPr>
          <w:ilvl w:val="0"/>
          <w:numId w:val="79"/>
        </w:numPr>
        <w:rPr>
          <w:rFonts w:ascii="Arial" w:cs="Arial" w:eastAsia="Arial" w:hAnsi="Arial"/>
          <w:sz w:val="16"/>
          <w:szCs w:val="16"/>
          <w:color w:val="00A1DF"/>
        </w:rPr>
      </w:pPr>
      <w:r>
        <w:rPr>
          <w:rFonts w:ascii="Arial" w:cs="Arial" w:eastAsia="Arial" w:hAnsi="Arial"/>
          <w:sz w:val="16"/>
          <w:szCs w:val="16"/>
          <w:color w:val="auto"/>
        </w:rPr>
        <w:t>Information about the diverse programming we create and distribute, and our annual spend with diverse suppliers.</w:t>
      </w:r>
    </w:p>
    <w:p>
      <w:pPr>
        <w:spacing w:after="0" w:line="194" w:lineRule="exact"/>
        <w:rPr>
          <w:rFonts w:ascii="Arial" w:cs="Arial" w:eastAsia="Arial" w:hAnsi="Arial"/>
          <w:sz w:val="16"/>
          <w:szCs w:val="16"/>
          <w:color w:val="00A1DF"/>
        </w:rPr>
      </w:pPr>
    </w:p>
    <w:p>
      <w:pPr>
        <w:ind w:left="260" w:right="140" w:hanging="252"/>
        <w:spacing w:after="0" w:line="286" w:lineRule="auto"/>
        <w:tabs>
          <w:tab w:leader="none" w:pos="260" w:val="left"/>
        </w:tabs>
        <w:numPr>
          <w:ilvl w:val="0"/>
          <w:numId w:val="79"/>
        </w:numPr>
        <w:rPr>
          <w:rFonts w:ascii="Arial" w:cs="Arial" w:eastAsia="Arial" w:hAnsi="Arial"/>
          <w:sz w:val="16"/>
          <w:szCs w:val="16"/>
          <w:color w:val="00A1DF"/>
        </w:rPr>
      </w:pPr>
      <w:r>
        <w:rPr>
          <w:rFonts w:ascii="Arial" w:cs="Arial" w:eastAsia="Arial" w:hAnsi="Arial"/>
          <w:sz w:val="16"/>
          <w:szCs w:val="16"/>
          <w:color w:val="auto"/>
        </w:rPr>
        <w:t>Our progress toward the incremental $100 million pledge we made in 2020 to advance social justice and equality, with a focus on communities of color, which we are well on track to fulfill by the end of 2022.</w:t>
      </w:r>
    </w:p>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Our Compensation and Human Capital Committee, pursuant to its charter, reviews our programs and strategies related to human capital management, including with respect to employee engagement. In 2021, for example, it reviewed the results of our employee engagement survey, which showed that across our company, employees viewed our DE&amp;I-related workforce efforts very favorably, with upward trends compared to prior years in nearly all instances.</w:t>
      </w:r>
    </w:p>
    <w:p>
      <w:pPr>
        <w:spacing w:after="0" w:line="1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addition, our Board and senior management team are committed to, and management is incentivized through our executive compensation program to create, a strong workplace culture with values of integrity and respect and to foster our company’s DE&amp;I and digital equity efforts.</w:t>
      </w:r>
    </w:p>
    <w:p>
      <w:pPr>
        <w:spacing w:after="0" w:line="15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Chief Diversity Officer leads our DE&amp;I efforts across our company, developing and executing our DE&amp;I corporate strategy, and reports on these matters at least twice a year to our Board or its committees. Our Chief Diversity Officer reports to our Chairman and CEO and sits outside of our human resources department to focus her efforts on our critical DE&amp;I focus areas relating to both our workforce and our external impacts.</w:t>
      </w:r>
    </w:p>
    <w:p>
      <w:pPr>
        <w:spacing w:after="0" w:line="17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are committed to transparency, and our increasingly granular public reporting provides stakeholders with disclosure necessary to monitor and track our progress.</w:t>
      </w:r>
    </w:p>
    <w:p>
      <w:pPr>
        <w:spacing w:after="0" w:line="14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We have published annual reports tracking our DE&amp;I initiatives and progress for over a decade. We also disclose information on these matters on our ESG Reporting website at </w:t>
      </w:r>
      <w:r>
        <w:rPr>
          <w:rFonts w:ascii="Arial" w:cs="Arial" w:eastAsia="Arial" w:hAnsi="Arial"/>
          <w:sz w:val="16"/>
          <w:szCs w:val="16"/>
          <w:i w:val="1"/>
          <w:iCs w:val="1"/>
          <w:color w:val="00A1DF"/>
        </w:rPr>
        <w:t>https://www.cmcsa.com/esg-reporting</w:t>
      </w:r>
      <w:r>
        <w:rPr>
          <w:rFonts w:ascii="Arial" w:cs="Arial" w:eastAsia="Arial" w:hAnsi="Arial"/>
          <w:sz w:val="16"/>
          <w:szCs w:val="16"/>
          <w:color w:val="auto"/>
        </w:rPr>
        <w:t xml:space="preserve">, as well as in the “Impact” section of our website at </w:t>
      </w:r>
      <w:r>
        <w:rPr>
          <w:rFonts w:ascii="Arial" w:cs="Arial" w:eastAsia="Arial" w:hAnsi="Arial"/>
          <w:sz w:val="16"/>
          <w:szCs w:val="16"/>
          <w:i w:val="1"/>
          <w:iCs w:val="1"/>
          <w:color w:val="00A1DF"/>
        </w:rPr>
        <w:t>www.comcastcorporation.com</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This disclosure includes:</w:t>
      </w:r>
    </w:p>
    <w:p>
      <w:pPr>
        <w:spacing w:after="0" w:line="221" w:lineRule="exact"/>
        <w:rPr>
          <w:sz w:val="20"/>
          <w:szCs w:val="20"/>
          <w:color w:val="auto"/>
        </w:rPr>
      </w:pPr>
    </w:p>
    <w:p>
      <w:pPr>
        <w:ind w:left="260" w:right="220" w:hanging="252"/>
        <w:spacing w:after="0" w:line="259" w:lineRule="auto"/>
        <w:tabs>
          <w:tab w:leader="none" w:pos="260" w:val="left"/>
        </w:tabs>
        <w:numPr>
          <w:ilvl w:val="0"/>
          <w:numId w:val="80"/>
        </w:numPr>
        <w:rPr>
          <w:rFonts w:ascii="Arial" w:cs="Arial" w:eastAsia="Arial" w:hAnsi="Arial"/>
          <w:sz w:val="16"/>
          <w:szCs w:val="16"/>
          <w:color w:val="00A1DF"/>
        </w:rPr>
      </w:pPr>
      <w:r>
        <w:rPr>
          <w:rFonts w:ascii="Arial" w:cs="Arial" w:eastAsia="Arial" w:hAnsi="Arial"/>
          <w:sz w:val="16"/>
          <w:szCs w:val="16"/>
          <w:color w:val="auto"/>
        </w:rPr>
        <w:t>Our 2021 Impact Report, which provides information on our critical DE&amp;I focus areas, including our digital equity efforts. It includes statistics on total workforce and new hire data, in each case broken down by gender and specific people of color categories (Asian American, Black, Indigenous, Latino and two or more races) and by specific leadership levels (executive leadership team, vice presidents and above, directors and managers), as well as data on our programming content, supplier diversity and community impact activities.</w:t>
      </w:r>
    </w:p>
    <w:p>
      <w:pPr>
        <w:spacing w:after="0" w:line="150" w:lineRule="exact"/>
        <w:rPr>
          <w:rFonts w:ascii="Arial" w:cs="Arial" w:eastAsia="Arial" w:hAnsi="Arial"/>
          <w:sz w:val="16"/>
          <w:szCs w:val="16"/>
          <w:color w:val="00A1DF"/>
        </w:rPr>
      </w:pPr>
    </w:p>
    <w:p>
      <w:pPr>
        <w:ind w:left="260" w:hanging="252"/>
        <w:spacing w:after="0"/>
        <w:tabs>
          <w:tab w:leader="none" w:pos="260" w:val="left"/>
        </w:tabs>
        <w:numPr>
          <w:ilvl w:val="0"/>
          <w:numId w:val="80"/>
        </w:numPr>
        <w:rPr>
          <w:rFonts w:ascii="Arial" w:cs="Arial" w:eastAsia="Arial" w:hAnsi="Arial"/>
          <w:sz w:val="16"/>
          <w:szCs w:val="16"/>
          <w:color w:val="00A1DF"/>
        </w:rPr>
      </w:pPr>
      <w:r>
        <w:rPr>
          <w:rFonts w:ascii="Arial" w:cs="Arial" w:eastAsia="Arial" w:hAnsi="Arial"/>
          <w:sz w:val="16"/>
          <w:szCs w:val="16"/>
          <w:color w:val="auto"/>
        </w:rPr>
        <w:t>An update in 2021 on progress toward our $100 million commitment to advance social justice and equality.</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80"/>
        </w:numPr>
        <w:rPr>
          <w:rFonts w:ascii="Arial" w:cs="Arial" w:eastAsia="Arial" w:hAnsi="Arial"/>
          <w:sz w:val="16"/>
          <w:szCs w:val="16"/>
          <w:color w:val="00A1DF"/>
        </w:rPr>
      </w:pPr>
      <w:r>
        <w:rPr>
          <w:rFonts w:ascii="Arial" w:cs="Arial" w:eastAsia="Arial" w:hAnsi="Arial"/>
          <w:sz w:val="16"/>
          <w:szCs w:val="16"/>
          <w:color w:val="auto"/>
        </w:rPr>
        <w:t>Our consolidated EEO-1 report for 2020, which presents another view of our workforce diversity data in a standardized framework.</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80"/>
        </w:numPr>
        <w:rPr>
          <w:rFonts w:ascii="Arial" w:cs="Arial" w:eastAsia="Arial" w:hAnsi="Arial"/>
          <w:sz w:val="16"/>
          <w:szCs w:val="16"/>
          <w:color w:val="00A1DF"/>
        </w:rPr>
      </w:pPr>
      <w:r>
        <w:rPr>
          <w:rFonts w:ascii="Arial" w:cs="Arial" w:eastAsia="Arial" w:hAnsi="Arial"/>
          <w:sz w:val="16"/>
          <w:szCs w:val="16"/>
          <w:color w:val="auto"/>
        </w:rPr>
        <w:t>Our 2021 Internet Essential Progress Report, which provides information on our long-standing commitment to and progress on our digital equity efforts.</w:t>
      </w:r>
    </w:p>
    <w:p>
      <w:pPr>
        <w:spacing w:after="0" w:line="194" w:lineRule="exact"/>
        <w:rPr>
          <w:rFonts w:ascii="Arial" w:cs="Arial" w:eastAsia="Arial" w:hAnsi="Arial"/>
          <w:sz w:val="16"/>
          <w:szCs w:val="16"/>
          <w:color w:val="00A1DF"/>
        </w:rPr>
      </w:pPr>
    </w:p>
    <w:p>
      <w:pPr>
        <w:ind w:left="260" w:right="20" w:hanging="252"/>
        <w:spacing w:after="0" w:line="286" w:lineRule="auto"/>
        <w:tabs>
          <w:tab w:leader="none" w:pos="260" w:val="left"/>
        </w:tabs>
        <w:numPr>
          <w:ilvl w:val="0"/>
          <w:numId w:val="80"/>
        </w:numPr>
        <w:rPr>
          <w:rFonts w:ascii="Arial" w:cs="Arial" w:eastAsia="Arial" w:hAnsi="Arial"/>
          <w:sz w:val="16"/>
          <w:szCs w:val="16"/>
          <w:color w:val="00A1DF"/>
        </w:rPr>
      </w:pPr>
      <w:r>
        <w:rPr>
          <w:rFonts w:ascii="Arial" w:cs="Arial" w:eastAsia="Arial" w:hAnsi="Arial"/>
          <w:sz w:val="16"/>
          <w:szCs w:val="16"/>
          <w:color w:val="auto"/>
        </w:rPr>
        <w:t>Our Statement Regarding our Diversity, Equity and Inclusion Initiatives, which further describes how our DE&amp;I efforts are discussed and assessed by our Board and its committees and the external DE&amp;I Advisory Council.</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reasons set forth above, our Board unanimously recommends AGAINST this proposal.</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27875" cy="818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27875" cy="818515"/>
                    </a:xfrm>
                    <a:prstGeom prst="rect">
                      <a:avLst/>
                    </a:prstGeom>
                    <a:noFill/>
                  </pic:spPr>
                </pic:pic>
              </a:graphicData>
            </a:graphic>
          </wp:anchor>
        </w:drawing>
      </w:r>
    </w:p>
    <w:p>
      <w:pPr>
        <w:spacing w:after="0" w:line="355" w:lineRule="exact"/>
        <w:rPr>
          <w:sz w:val="20"/>
          <w:szCs w:val="20"/>
          <w:color w:val="auto"/>
        </w:rPr>
      </w:pPr>
    </w:p>
    <w:p>
      <w:pPr>
        <w:ind w:left="1440" w:right="1100" w:hanging="1259"/>
        <w:spacing w:after="0" w:line="259" w:lineRule="auto"/>
        <w:rPr>
          <w:sz w:val="20"/>
          <w:szCs w:val="20"/>
          <w:color w:val="auto"/>
        </w:rPr>
      </w:pPr>
      <w:r>
        <w:rPr>
          <w:rFonts w:ascii="Arial" w:cs="Arial" w:eastAsia="Arial" w:hAnsi="Arial"/>
          <w:sz w:val="22"/>
          <w:szCs w:val="22"/>
          <w:color w:val="00A1DF"/>
        </w:rPr>
        <w:t>Proposal 6: SHAREHOLDER PROPOSAL TO REPORT ON RISKS OF OMITTING “VIEWPOINT” AND “IDEOLOGY” FROM EEO POLICY</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Our Board unanimously recommends that shareholders vote “AGAINST” this shareholder proposal.</w:t>
      </w:r>
    </w:p>
    <w:p>
      <w:pPr>
        <w:spacing w:after="0" w:line="200" w:lineRule="exact"/>
        <w:rPr>
          <w:sz w:val="20"/>
          <w:szCs w:val="20"/>
          <w:color w:val="auto"/>
        </w:rPr>
      </w:pP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proposal and supporting statement were submitted by the National Center for Public Policy Research, 20 F Street NW, Suite 700, Washington, D.C. 20001.</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00A1DF"/>
        </w:rPr>
        <w:t>Supporting Statement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EEO POLICY RISK REPORT</w:t>
      </w:r>
    </w:p>
    <w:p>
      <w:pPr>
        <w:spacing w:after="0" w:line="221"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Comcast Corporation (“Comcast”) issue a public report detailing the potential risks associated with omitting</w:t>
      </w:r>
      <w:r>
        <w:rPr>
          <w:rFonts w:ascii="Arial" w:cs="Arial" w:eastAsia="Arial" w:hAnsi="Arial"/>
          <w:sz w:val="16"/>
          <w:szCs w:val="16"/>
          <w:b w:val="1"/>
          <w:bCs w:val="1"/>
          <w:color w:val="auto"/>
        </w:rPr>
        <w:t xml:space="preserve"> </w:t>
      </w:r>
      <w:r>
        <w:rPr>
          <w:rFonts w:ascii="Arial" w:cs="Arial" w:eastAsia="Arial" w:hAnsi="Arial"/>
          <w:sz w:val="16"/>
          <w:szCs w:val="16"/>
          <w:color w:val="auto"/>
        </w:rPr>
        <w:t>“viewpoint” and “ideology” from its written equal employment opportunity (EEO) policy. The report should be available within a reasonable timeframe, prepared at a reasonable expense and omit proprietary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SUPPORTING STATEMENT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Comcast does not explicitly prohibit discrimination based on viewpoint or ideology in its written EEO policy.</w:t>
      </w:r>
    </w:p>
    <w:p>
      <w:pPr>
        <w:spacing w:after="0" w:line="221"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Comcast’s lack of a company-wide best practice EEO policy sends mixed signals to company employees and prospective employees and calls into question the extent to which individuals are protected due to inconsistent state policies and the absence of federal protection for partisan activities. Approximately half of Americans live and work in a jurisdiction with no legal protections if their employer takes action against them for their political activities or discriminates on the basis of viewpoint in the workplace.</w:t>
      </w:r>
    </w:p>
    <w:p>
      <w:pPr>
        <w:spacing w:after="0" w:line="17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Companies with inclusive policies are better able to recruit the most talented employees from a broad labor pool, resolve complaints internally to avoid costly litigation or reputational damage, and minimize employee turnover. Moreover, inclusive policies contribute to more efficient human capital management by eliminating the need to maintain different policies in different locations.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is ample evidence that individuals with conservative viewpoints may face discrimination at Comcast.</w:t>
      </w:r>
    </w:p>
    <w:p>
      <w:pPr>
        <w:spacing w:after="0" w:line="221" w:lineRule="exact"/>
        <w:rPr>
          <w:sz w:val="20"/>
          <w:szCs w:val="20"/>
          <w:color w:val="auto"/>
        </w:rPr>
      </w:pPr>
    </w:p>
    <w:p>
      <w:pPr>
        <w:ind w:right="100"/>
        <w:spacing w:after="0" w:line="214" w:lineRule="auto"/>
        <w:rPr>
          <w:sz w:val="20"/>
          <w:szCs w:val="20"/>
          <w:color w:val="auto"/>
        </w:rPr>
      </w:pPr>
      <w:r>
        <w:rPr>
          <w:rFonts w:ascii="Arial" w:cs="Arial" w:eastAsia="Arial" w:hAnsi="Arial"/>
          <w:sz w:val="16"/>
          <w:szCs w:val="16"/>
          <w:color w:val="auto"/>
        </w:rPr>
        <w:t>Comcast’s most outward-facing properties are the NBC network, including its news channels and sites. These are substantially biased against center/right thought in ways that both suggest that the bias stretches backward through the Company and also in ways that cause it to offend potential customers,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fall</w:t>
      </w:r>
    </w:p>
    <w:p>
      <w:pPr>
        <w:spacing w:after="0" w:line="1" w:lineRule="exact"/>
        <w:rPr>
          <w:sz w:val="20"/>
          <w:szCs w:val="20"/>
          <w:color w:val="auto"/>
        </w:rPr>
      </w:pPr>
    </w:p>
    <w:p>
      <w:pPr>
        <w:ind w:right="240"/>
        <w:spacing w:after="0" w:line="222" w:lineRule="auto"/>
        <w:rPr>
          <w:sz w:val="20"/>
          <w:szCs w:val="20"/>
          <w:color w:val="auto"/>
        </w:rPr>
      </w:pPr>
      <w:r>
        <w:rPr>
          <w:rFonts w:ascii="Arial" w:cs="Arial" w:eastAsia="Arial" w:hAnsi="Arial"/>
          <w:sz w:val="16"/>
          <w:szCs w:val="16"/>
          <w:color w:val="auto"/>
        </w:rPr>
        <w:t>away from best practices in the industry,</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endanger employees,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risk litigation and other needless expenses,</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and otherwise pose financial and reputational risks. All of these risks could be diminished or avoided altogether if the Company were to provide protections against viewpoint discrimination that allowed employees of diverse viewpoints to warn the Company of the risks associated with ideologically blinkered behaviors.</w:t>
      </w:r>
    </w:p>
    <w:p>
      <w:pPr>
        <w:spacing w:after="0" w:line="19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Presently, shareholders are unable to evaluate how Comcast prevents discrimination towards employees based on their ideology or viewpoint, mitigates employee concerns of potential discrimination, and ensures a respectful and supportive work atmosphere that bolsters employee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0712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29" w:lineRule="exact"/>
        <w:rPr>
          <w:sz w:val="20"/>
          <w:szCs w:val="20"/>
          <w:color w:val="auto"/>
        </w:rPr>
      </w:pPr>
    </w:p>
    <w:p>
      <w:pPr>
        <w:ind w:left="260" w:hanging="252"/>
        <w:spacing w:after="0" w:line="206" w:lineRule="auto"/>
        <w:tabs>
          <w:tab w:leader="none" w:pos="26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 xml:space="preserve">See, e.g., </w:t>
      </w:r>
      <w:r>
        <w:rPr>
          <w:rFonts w:ascii="Arial" w:cs="Arial" w:eastAsia="Arial" w:hAnsi="Arial"/>
          <w:sz w:val="14"/>
          <w:szCs w:val="14"/>
          <w:i w:val="1"/>
          <w:iCs w:val="1"/>
          <w:color w:val="auto"/>
        </w:rPr>
        <w:t>https://www.breitbart.com/sports/2021/08/03/nolte-viewership-ratings-woke-olympics-continue-crash/; https://www.breitbart.com/the-media/2021/07/21/nolte-far-left-today-show-ratings-crater-30-year-low/; http://theeconomiccollapseblog.com/now-they-are-saying-that-the-repubIican-party-is-the-1-national-security-threat-to-the-united-states-of-america/; https://www.thedailybeast.com/inside-shepard-smiths-post-fox-news-crash-on-cnbc; https://freebeacon.com/media/wallace-walloped-by-ratings-nosedive/</w:t>
      </w:r>
    </w:p>
    <w:p>
      <w:pPr>
        <w:spacing w:after="0" w:line="134" w:lineRule="exact"/>
        <w:rPr>
          <w:rFonts w:ascii="Arial" w:cs="Arial" w:eastAsia="Arial" w:hAnsi="Arial"/>
          <w:sz w:val="24"/>
          <w:szCs w:val="24"/>
          <w:color w:val="auto"/>
          <w:vertAlign w:val="superscript"/>
        </w:rPr>
      </w:pPr>
    </w:p>
    <w:p>
      <w:pPr>
        <w:ind w:left="260" w:right="500" w:hanging="252"/>
        <w:spacing w:after="0" w:line="206" w:lineRule="auto"/>
        <w:tabs>
          <w:tab w:leader="none" w:pos="26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 xml:space="preserve">See, e.g., </w:t>
      </w:r>
      <w:r>
        <w:rPr>
          <w:rFonts w:ascii="Arial" w:cs="Arial" w:eastAsia="Arial" w:hAnsi="Arial"/>
          <w:sz w:val="14"/>
          <w:szCs w:val="14"/>
          <w:i w:val="1"/>
          <w:iCs w:val="1"/>
          <w:color w:val="auto"/>
        </w:rPr>
        <w:t>https://greenwald.substack.com/p/video-transcript-the-real-disinformation; https://townhaIl.com/tipsheet/spencerbrown/2021/12/01/body-cam-footage-from-kenosha-casts-doubt-on-nbcs-claims-about-following-rittenhouse-jurors-n2599895; https://hotair.com/ed-morrissey/2021/11/18/breaking-judge-boots-msnbc-from-rittenhouse-trial-over-jury-tracking-attempt-n430130; https://greenwald.substack.com/p/a-court-ruled-rachel-maddows-viewers</w:t>
      </w:r>
    </w:p>
    <w:p>
      <w:pPr>
        <w:spacing w:after="0" w:line="49" w:lineRule="exact"/>
        <w:rPr>
          <w:rFonts w:ascii="Arial" w:cs="Arial" w:eastAsia="Arial" w:hAnsi="Arial"/>
          <w:sz w:val="24"/>
          <w:szCs w:val="24"/>
          <w:color w:val="auto"/>
          <w:vertAlign w:val="superscript"/>
        </w:rPr>
      </w:pPr>
    </w:p>
    <w:p>
      <w:pPr>
        <w:ind w:left="260" w:hanging="252"/>
        <w:spacing w:after="0"/>
        <w:tabs>
          <w:tab w:leader="none" w:pos="26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 xml:space="preserve">See, e.g., </w:t>
      </w:r>
      <w:r>
        <w:rPr>
          <w:rFonts w:ascii="Arial" w:cs="Arial" w:eastAsia="Arial" w:hAnsi="Arial"/>
          <w:sz w:val="14"/>
          <w:szCs w:val="14"/>
          <w:i w:val="1"/>
          <w:iCs w:val="1"/>
          <w:color w:val="auto"/>
        </w:rPr>
        <w:t>https://news.yahoo.com/nbc-crew-robbed-oakland-124839098.html</w:t>
      </w:r>
    </w:p>
    <w:p>
      <w:pPr>
        <w:spacing w:after="0" w:line="133" w:lineRule="exact"/>
        <w:rPr>
          <w:rFonts w:ascii="Arial" w:cs="Arial" w:eastAsia="Arial" w:hAnsi="Arial"/>
          <w:sz w:val="24"/>
          <w:szCs w:val="24"/>
          <w:color w:val="auto"/>
          <w:vertAlign w:val="superscript"/>
        </w:rPr>
      </w:pPr>
    </w:p>
    <w:p>
      <w:pPr>
        <w:ind w:left="260" w:right="360" w:hanging="252"/>
        <w:spacing w:after="0" w:line="213" w:lineRule="auto"/>
        <w:tabs>
          <w:tab w:leader="none" w:pos="26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 xml:space="preserve">See, e.g., </w:t>
      </w:r>
      <w:r>
        <w:rPr>
          <w:rFonts w:ascii="Arial" w:cs="Arial" w:eastAsia="Arial" w:hAnsi="Arial"/>
          <w:sz w:val="14"/>
          <w:szCs w:val="14"/>
          <w:i w:val="1"/>
          <w:iCs w:val="1"/>
          <w:color w:val="auto"/>
        </w:rPr>
        <w:t>https://www.washingtonexaminer.com/washington-secrets/liberal-media-scream-chuck-todd-calls-parent-led-opposition-to-criticaI-race-theory-fake;</w:t>
      </w:r>
      <w:r>
        <w:rPr>
          <w:rFonts w:ascii="Arial" w:cs="Arial" w:eastAsia="Arial" w:hAnsi="Arial"/>
          <w:sz w:val="14"/>
          <w:szCs w:val="14"/>
          <w:color w:val="auto"/>
        </w:rPr>
        <w:t xml:space="preserve"> </w:t>
      </w:r>
      <w:r>
        <w:rPr>
          <w:rFonts w:ascii="Arial" w:cs="Arial" w:eastAsia="Arial" w:hAnsi="Arial"/>
          <w:sz w:val="14"/>
          <w:szCs w:val="14"/>
          <w:i w:val="1"/>
          <w:iCs w:val="1"/>
          <w:color w:val="auto"/>
        </w:rPr>
        <w:t>https://townhall.com/tipsheet/spencerbrown/2021/12/01/body-cam-footage-from-kenosha-casts-doubt-on-nbcs-claims-about-following-rittenhouse-jurors-n2599895; https://hotair.com/ed-morrissey/2021/11/18/breaking-judge-boots-msnbc-from-rittenhouse-trial-over-jury-tracking-attempt-n430130; https://greenwald.substack.com/p/a-court-ruled-rachel-maddows-viewers</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Without an inclusive EEO policy, Comcast may be sacrificing competitive advantages relative to peers while simultaneously increasing company and shareholder exposure to reputational and financial risks.</w:t>
      </w:r>
    </w:p>
    <w:p>
      <w:pPr>
        <w:spacing w:after="0" w:line="15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recommend that the report evaluate risks including, but not limited to, negative effects on employee hiring and retention, as well as litigation risks from conflicting state and company anti-discrimination policies.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00A1DF"/>
        </w:rPr>
        <w:t>Company Response to Shareholder Proposal</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recognize that our employees hold a wide range of political viewpoints, and we respect that diversity of thought as long as its expression is consistent with applicable law and our company’s policies. As set forth in our Code of Conduct, “respect for each other” is one of our core values. We are committed to a culture of fairness, respect and inclusion that drives us to value and embrace differences, including with respect to political affiliation.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current company policies and practices already make clear that diverse viewpoints are not only respected but encouraged. We are committed to creating a culture that is safe and accessible for all and that affirms different perspectives. Our recent employee engagement survey results have confirmed that the vast majority of our employees believe that their managers encourage an environment where different perspectives are valued and that there is an equal opportunity to have a successful career at Comcast regardless of differences or background.</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Given our existing policies and practices, we do not believe that adding ‘viewpoint’ or ‘ideology’ to our equal employment opportunity policy is in the best interests of our shareholders. Our equal employment policy prohibits discrimination and harassment based on protected characteristics such as race, color, religion, creed, ethnicity, national origin or ancestry, citizenship or immigration status, sex, sexual orientation, gender, gender identity or expression, and any other characteristic protected by law. This latter protection would include any state or local law that prohibits an employer from taking action based on an employee’s political affiliation or political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 a result, we do not believe that implementing this proposal is in the best interests of our company or our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reasons set forth above, our Board unanimously recommends AGAINST this proposal.</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27875" cy="9728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27875" cy="972820"/>
                    </a:xfrm>
                    <a:prstGeom prst="rect">
                      <a:avLst/>
                    </a:prstGeom>
                    <a:noFill/>
                  </pic:spPr>
                </pic:pic>
              </a:graphicData>
            </a:graphic>
          </wp:anchor>
        </w:drawing>
      </w:r>
    </w:p>
    <w:p>
      <w:pPr>
        <w:spacing w:after="0" w:line="355" w:lineRule="exact"/>
        <w:rPr>
          <w:sz w:val="20"/>
          <w:szCs w:val="20"/>
          <w:color w:val="auto"/>
        </w:rPr>
      </w:pPr>
    </w:p>
    <w:p>
      <w:pPr>
        <w:ind w:left="1440" w:right="480" w:hanging="1259"/>
        <w:spacing w:after="0" w:line="245" w:lineRule="auto"/>
        <w:tabs>
          <w:tab w:leader="none" w:pos="1420" w:val="left"/>
        </w:tabs>
        <w:rPr>
          <w:sz w:val="20"/>
          <w:szCs w:val="20"/>
          <w:color w:val="auto"/>
        </w:rPr>
      </w:pPr>
      <w:r>
        <w:rPr>
          <w:rFonts w:ascii="Arial" w:cs="Arial" w:eastAsia="Arial" w:hAnsi="Arial"/>
          <w:sz w:val="22"/>
          <w:szCs w:val="22"/>
          <w:color w:val="00A1DF"/>
        </w:rPr>
        <w:t>Proposal 7:</w:t>
        <w:tab/>
        <w:t>SHAREHOLDER PROPOSAL TO CONDUCT AND PUBLICLY RELEASE THE RESULTS OF AN INDEPENDENT INVESTIGATION INTO THE EFFECTIVENESS OF SEXUAL HARASSMENT POLICIES</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Our Board unanimously recommends that shareholders vote “AGAINST” this shareholder proposal.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 and supporting statement were submitted by Dorrit Lowsen, c/o Arjuna Capital, 1 Elm Street, Manchester, MA 01944.</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00A1DF"/>
        </w:rPr>
        <w:t>Supporting Statement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SEXUAL HARASSMENT</w:t>
      </w:r>
    </w:p>
    <w:p>
      <w:pPr>
        <w:spacing w:after="0" w:line="22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Comcast and its subsidiaries are under intense public scrutiny for an alleged failure to protect employees from sexual harassment, hold those</w:t>
      </w:r>
      <w:r>
        <w:rPr>
          <w:rFonts w:ascii="Arial" w:cs="Arial" w:eastAsia="Arial" w:hAnsi="Arial"/>
          <w:sz w:val="16"/>
          <w:szCs w:val="16"/>
          <w:b w:val="1"/>
          <w:bCs w:val="1"/>
          <w:color w:val="auto"/>
        </w:rPr>
        <w:t xml:space="preserve"> </w:t>
      </w:r>
      <w:r>
        <w:rPr>
          <w:rFonts w:ascii="Arial" w:cs="Arial" w:eastAsia="Arial" w:hAnsi="Arial"/>
          <w:sz w:val="16"/>
          <w:szCs w:val="16"/>
          <w:color w:val="auto"/>
        </w:rPr>
        <w:t>culpable accountable, and report transparently. NBC attracted global attention when it fired “Today” host Matt Lauer for ongoing workplace sexual harassment. In 2019, Ronan Farrow alleged Comcast covered up accusations against Lauer. NBC News’ digital editorial staff formed a union soon after, noting “serious questions” about the company’s treatment of women and people of color, management of workplace sexual misconduct, and “opaque” procedures for “exposing powerful predators.”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Failure to provide a safe workplace extends to Comcast call centers, where employees described a hostile culture of sexual harassment. In 2018, Comcast fired three call center employees who filed complaints. Fear of retaliation in reporting harassment is of concern. A U.S. Equal Employment Opportunity Commission study found that 75 percent of employees reporting harassment experienced retaliation and 87 to 94 percent of harassment victims did not file complaints.</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Controversy has focused on NBC’s insistence on conducting an internal investigation led by management, rather than independent advisors. The Council of Institutional Investors states best practice sexual harassment investigation should involve “non-conflicted outside firms”. Six 2020 presidential candidates called on the Democratic National Committee to demand Comcast conduct an independent investigation into its toxic culture.</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Workplace harassment can result in higher turnover, lower productivity, increased absenteeism, and higher sick leave costs, harming shareholder value. A recent academic study found companies with the highest incidences of sexual harassment underperform the U.S. stock market by 19.9 percent the subsequent year. Companies that experienced a high number of allegations also saw a decline in Return on Equity of 10.9 percent, and labor costs rose 7 percent. A Harvard Business Review study found a single sexual harassment claim can make a company seem less equitable and would “be enough to dramatically shape public perception of a company and elicit perceptions of structural unfairness.”</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While Comcast has conducted prior investigations into sexual harassment allegations, it has failed to report transparently on any independent investigation to employees and investors. To avoid legal and reputational risk and maintain shareholder value, Comcast must create a culture of accountability and transparency, protecting employees from harassment and discrimination.</w:t>
      </w:r>
    </w:p>
    <w:p>
      <w:pPr>
        <w:spacing w:after="0" w:line="17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urge the Board of Directors to release a transparency report (at reasonable expense, omitting confidential or privileged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shareholders assessing the effectiveness of the company’s workplace sexual harassment policies, including the results of a comprehensive, independent audit/investigation, analysis of policies and practices, and commitments to create a safe, inclusive work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Proponents suggest the report be published annually and summarize:</w:t>
      </w:r>
    </w:p>
    <w:p>
      <w:pPr>
        <w:spacing w:after="0" w:line="221" w:lineRule="exact"/>
        <w:rPr>
          <w:sz w:val="20"/>
          <w:szCs w:val="20"/>
          <w:color w:val="auto"/>
        </w:rPr>
      </w:pPr>
    </w:p>
    <w:p>
      <w:pPr>
        <w:ind w:left="260" w:hanging="252"/>
        <w:spacing w:after="0"/>
        <w:tabs>
          <w:tab w:leader="none" w:pos="260"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Effectiveness of sexual harassment and gender discrimination policies, trainings, and measures</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Results of any independent investigation into employee or executive level allegations</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Steps taken (or that could be taken) to hold employees and executives accountable</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Number of sexual harassment cases investigated and the resolution</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A1DF"/>
        </w:rPr>
        <w:t>Company Response to Shareholder Proposal</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culture of our company is built on integrity, and one of our core values is our respect for each other. We are committed to a culture of fairness, respect and inclusion within our leadership and our workforce. We are clear that harassment and discrimination are not tolerated in any form. We take any allegation of harassment and/or discrimination seriously, investigate it, take action as appropriate and seek ways to continuously strengthen our compliance program. Underscoring our commitment to creating a respectful work environment, the Governance and Corporate Responsibility Committee of our Board oversees, monitors and receives reports on harassment and discrimination in the workplace.</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It is important to note that this proposal does not request that we conduct an investigation into any specific allegation of sexual harassment. Instead, it seeks an independent investigation and report on the effectiveness of our sexual harassment policies and it requests that we conduct this independent audit/investigation and publish a report every year. As such, the very essence of this request already is deeply embedded in our day-to-day business. We devote significant time and resources in the ordinary course of our business to combat harassment and discrimination of any type and have a robust process to help identify, manage and mitigate risks relating to sexual and other types of harassment with appropriate Board oversight. In addition, in recognizing the importance of transparency, many of our policies, practices and procedures, and efforts and enhancements made to further combat these issues, are publicly disclosed. As a result, as discussed in greater detail below, we believe shareholders would be better served with our resources being used to continue building on the significant enhancements we have undertaken across our workplace to combat harassment and discrimination. An external independent investigation will divert management’s attention and significant resources toward responding to, and preparing documents for, an external investigation team, unnecessarily pulling focus from our extensive ongoing efforts to maintain and further entrench a respectful working environment.</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 similar form of this proposal from the proponent has appeared in our 2020 and 2021 proxy statements, and both times, over a majority of our shareholders did not support the proposal. While the specific request has been reworded, the substance of the proposal remains unchanged – requesting that we undertake an independent investigation into, and provide a report on, our workplace sexual harassment policies and practices.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 xml:space="preserve">Our Board continues to believe that the proponent’s requested independent investigation and associated report are not in the best interests of our shareholders and recommends that shareholders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Specifically, while we unequivocally share the proponent’s underlying concerns about sexual harassment in the workplace, we do not believe it is necessary or appropriate to override the Board’s and management’s established roles in overseeing and managing the Company’s strong commitments in this space by mandating an independent investigation, for the reasons summarized below.</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strong, existing company policies, practices and procedures that prohibit all forms of harassment, discrimination and retaliation.</w:t>
      </w:r>
    </w:p>
    <w:p>
      <w:pPr>
        <w:spacing w:after="0" w:line="219" w:lineRule="exact"/>
        <w:rPr>
          <w:sz w:val="20"/>
          <w:szCs w:val="20"/>
          <w:color w:val="auto"/>
        </w:rPr>
      </w:pPr>
    </w:p>
    <w:p>
      <w:pPr>
        <w:ind w:left="260" w:right="20" w:hanging="252"/>
        <w:spacing w:after="0" w:line="259" w:lineRule="auto"/>
        <w:tabs>
          <w:tab w:leader="none" w:pos="260" w:val="left"/>
        </w:tabs>
        <w:numPr>
          <w:ilvl w:val="0"/>
          <w:numId w:val="83"/>
        </w:numPr>
        <w:rPr>
          <w:rFonts w:ascii="Arial" w:cs="Arial" w:eastAsia="Arial" w:hAnsi="Arial"/>
          <w:sz w:val="16"/>
          <w:szCs w:val="16"/>
          <w:color w:val="00A1DF"/>
        </w:rPr>
      </w:pPr>
      <w:r>
        <w:rPr>
          <w:rFonts w:ascii="Arial" w:cs="Arial" w:eastAsia="Arial" w:hAnsi="Arial"/>
          <w:sz w:val="16"/>
          <w:szCs w:val="16"/>
          <w:b w:val="1"/>
          <w:bCs w:val="1"/>
          <w:color w:val="auto"/>
        </w:rPr>
        <w:t xml:space="preserve">Company Policies. </w:t>
      </w:r>
      <w:r>
        <w:rPr>
          <w:rFonts w:ascii="Arial" w:cs="Arial" w:eastAsia="Arial" w:hAnsi="Arial"/>
          <w:sz w:val="16"/>
          <w:szCs w:val="16"/>
          <w:color w:val="auto"/>
        </w:rPr>
        <w:t>We have strong, clearly defined and widely communicated policies that prohibit all forms of harassment and discrimination, sexual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as well as other inappropriate conduct that does not rise to the level of harassment or discrimination under the law. Our Code of Conduct, which our Board approves, is available under “Corporate Governance” in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auto"/>
        </w:rPr>
        <w:t>. We also maintain policies prohibiting retaliation against employees who in good faith raise a concern or assist in an investigation.</w:t>
      </w:r>
    </w:p>
    <w:p>
      <w:pPr>
        <w:spacing w:after="0" w:line="150" w:lineRule="exact"/>
        <w:rPr>
          <w:rFonts w:ascii="Arial" w:cs="Arial" w:eastAsia="Arial" w:hAnsi="Arial"/>
          <w:sz w:val="16"/>
          <w:szCs w:val="16"/>
          <w:color w:val="00A1DF"/>
        </w:rPr>
      </w:pPr>
    </w:p>
    <w:p>
      <w:pPr>
        <w:ind w:left="260" w:right="60" w:hanging="252"/>
        <w:spacing w:after="0" w:line="256" w:lineRule="auto"/>
        <w:tabs>
          <w:tab w:leader="none" w:pos="260" w:val="left"/>
        </w:tabs>
        <w:numPr>
          <w:ilvl w:val="0"/>
          <w:numId w:val="83"/>
        </w:numPr>
        <w:rPr>
          <w:rFonts w:ascii="Arial" w:cs="Arial" w:eastAsia="Arial" w:hAnsi="Arial"/>
          <w:sz w:val="16"/>
          <w:szCs w:val="16"/>
          <w:color w:val="00A1DF"/>
        </w:rPr>
      </w:pPr>
      <w:r>
        <w:rPr>
          <w:rFonts w:ascii="Arial" w:cs="Arial" w:eastAsia="Arial" w:hAnsi="Arial"/>
          <w:sz w:val="16"/>
          <w:szCs w:val="16"/>
          <w:b w:val="1"/>
          <w:bCs w:val="1"/>
          <w:color w:val="auto"/>
        </w:rPr>
        <w:t xml:space="preserve">Complaint Reporting and Employee Hotlines. </w:t>
      </w:r>
      <w:r>
        <w:rPr>
          <w:rFonts w:ascii="Arial" w:cs="Arial" w:eastAsia="Arial" w:hAnsi="Arial"/>
          <w:sz w:val="16"/>
          <w:szCs w:val="16"/>
          <w:color w:val="auto"/>
        </w:rPr>
        <w:t>We are committed to creating an environment where employees feel comfortable speaking up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fear of retaliation—we encourage and expect those who witness discriminatory, harassing, offensive, abusive, threatening or retaliatory conduct or other behavior inconsistent with a respectful workplace to speak up, and require that supervisors do so. We foster an open reporting environment that makes it easy for employees to ask questions, raise concerns and speak up—whether it relates to harassment, discrimination, retaliation or any other suspected illegal or unethical conduct.</w:t>
      </w:r>
    </w:p>
    <w:p>
      <w:pPr>
        <w:spacing w:after="0" w:line="152" w:lineRule="exact"/>
        <w:rPr>
          <w:rFonts w:ascii="Arial" w:cs="Arial" w:eastAsia="Arial" w:hAnsi="Arial"/>
          <w:sz w:val="16"/>
          <w:szCs w:val="16"/>
          <w:color w:val="00A1DF"/>
        </w:rPr>
      </w:pPr>
    </w:p>
    <w:p>
      <w:pPr>
        <w:ind w:left="500" w:right="120" w:hanging="249"/>
        <w:spacing w:after="0" w:line="256" w:lineRule="auto"/>
        <w:tabs>
          <w:tab w:leader="none" w:pos="500" w:val="left"/>
        </w:tabs>
        <w:numPr>
          <w:ilvl w:val="1"/>
          <w:numId w:val="83"/>
        </w:numPr>
        <w:rPr>
          <w:rFonts w:ascii="Arial" w:cs="Arial" w:eastAsia="Arial" w:hAnsi="Arial"/>
          <w:sz w:val="16"/>
          <w:szCs w:val="16"/>
          <w:color w:val="00A1DF"/>
        </w:rPr>
      </w:pPr>
      <w:r>
        <w:rPr>
          <w:rFonts w:ascii="Arial" w:cs="Arial" w:eastAsia="Arial" w:hAnsi="Arial"/>
          <w:sz w:val="16"/>
          <w:szCs w:val="16"/>
          <w:color w:val="auto"/>
        </w:rPr>
        <w:t>We have effective and well-communicated channels in place for employees to report concerns. We encourage employees to raise concerns about harassment or discrimination to their manager or any other local leader, their HR representative, or a member of the legal department. Employees may also raise such concerns through the Comcast NBCUniversal Listens and Sky Listens global helplines and an online portal, which are managed by an independent third-party company and are available 24/7 to report a concern. Notably, employees may report concerns anonymously through these hotlines where legally permissible. Once reported, concerns are promptly routed to the appropriate personnel and investigated.</w:t>
      </w:r>
    </w:p>
    <w:p>
      <w:pPr>
        <w:spacing w:after="0" w:line="152" w:lineRule="exact"/>
        <w:rPr>
          <w:rFonts w:ascii="Arial" w:cs="Arial" w:eastAsia="Arial" w:hAnsi="Arial"/>
          <w:sz w:val="16"/>
          <w:szCs w:val="16"/>
          <w:color w:val="00A1DF"/>
        </w:rPr>
      </w:pPr>
    </w:p>
    <w:p>
      <w:pPr>
        <w:ind w:left="500" w:right="440" w:hanging="249"/>
        <w:spacing w:after="0" w:line="286" w:lineRule="auto"/>
        <w:tabs>
          <w:tab w:leader="none" w:pos="500" w:val="left"/>
        </w:tabs>
        <w:numPr>
          <w:ilvl w:val="1"/>
          <w:numId w:val="83"/>
        </w:numPr>
        <w:rPr>
          <w:rFonts w:ascii="Arial" w:cs="Arial" w:eastAsia="Arial" w:hAnsi="Arial"/>
          <w:sz w:val="16"/>
          <w:szCs w:val="16"/>
          <w:color w:val="00A1DF"/>
        </w:rPr>
      </w:pPr>
      <w:r>
        <w:rPr>
          <w:rFonts w:ascii="Arial" w:cs="Arial" w:eastAsia="Arial" w:hAnsi="Arial"/>
          <w:sz w:val="16"/>
          <w:szCs w:val="16"/>
          <w:color w:val="auto"/>
        </w:rPr>
        <w:t>A violation of the Code of Conduct or a Company policy (including our anti-retaliation policy) may result in disciplinary action, up to and including termination of employment, regardless of an employee’s title or tenure.</w:t>
      </w:r>
    </w:p>
    <w:p>
      <w:pPr>
        <w:spacing w:after="0" w:line="128" w:lineRule="exact"/>
        <w:rPr>
          <w:rFonts w:ascii="Arial" w:cs="Arial" w:eastAsia="Arial" w:hAnsi="Arial"/>
          <w:sz w:val="16"/>
          <w:szCs w:val="16"/>
          <w:color w:val="00A1DF"/>
        </w:rPr>
      </w:pPr>
    </w:p>
    <w:p>
      <w:pPr>
        <w:ind w:left="500" w:right="60" w:hanging="249"/>
        <w:spacing w:after="0" w:line="266" w:lineRule="auto"/>
        <w:tabs>
          <w:tab w:leader="none" w:pos="500" w:val="left"/>
        </w:tabs>
        <w:numPr>
          <w:ilvl w:val="1"/>
          <w:numId w:val="83"/>
        </w:numPr>
        <w:rPr>
          <w:rFonts w:ascii="Arial" w:cs="Arial" w:eastAsia="Arial" w:hAnsi="Arial"/>
          <w:sz w:val="16"/>
          <w:szCs w:val="16"/>
          <w:color w:val="00A1DF"/>
        </w:rPr>
      </w:pPr>
      <w:r>
        <w:rPr>
          <w:rFonts w:ascii="Arial" w:cs="Arial" w:eastAsia="Arial" w:hAnsi="Arial"/>
          <w:sz w:val="16"/>
          <w:szCs w:val="16"/>
          <w:color w:val="auto"/>
        </w:rPr>
        <w:t>Importantly, the vast majority of our employees, as shown in our employee engagement survey results, are aware of how to report ethical concerns or observed misconduct, believe they can report such matters without fear of retaliation, and believe that we will address misconduct or behavior deemed to be unethical.</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left="260" w:right="340" w:hanging="252"/>
        <w:spacing w:after="0" w:line="256" w:lineRule="auto"/>
        <w:tabs>
          <w:tab w:leader="none" w:pos="260" w:val="left"/>
        </w:tabs>
        <w:numPr>
          <w:ilvl w:val="0"/>
          <w:numId w:val="84"/>
        </w:numPr>
        <w:rPr>
          <w:rFonts w:ascii="Arial" w:cs="Arial" w:eastAsia="Arial" w:hAnsi="Arial"/>
          <w:sz w:val="16"/>
          <w:szCs w:val="16"/>
          <w:color w:val="00A1DF"/>
        </w:rPr>
      </w:pPr>
      <w:r>
        <w:rPr>
          <w:rFonts w:ascii="Arial" w:cs="Arial" w:eastAsia="Arial" w:hAnsi="Arial"/>
          <w:sz w:val="16"/>
          <w:szCs w:val="16"/>
          <w:b w:val="1"/>
          <w:bCs w:val="1"/>
          <w:color w:val="auto"/>
        </w:rPr>
        <w:t xml:space="preserve">Training Programs and Communications. </w:t>
      </w:r>
      <w:r>
        <w:rPr>
          <w:rFonts w:ascii="Arial" w:cs="Arial" w:eastAsia="Arial" w:hAnsi="Arial"/>
          <w:sz w:val="16"/>
          <w:szCs w:val="16"/>
          <w:color w:val="auto"/>
        </w:rPr>
        <w:t>We have developed comprehensive and mandatory training programs to educate employees about our</w:t>
      </w:r>
      <w:r>
        <w:rPr>
          <w:rFonts w:ascii="Arial" w:cs="Arial" w:eastAsia="Arial" w:hAnsi="Arial"/>
          <w:sz w:val="16"/>
          <w:szCs w:val="16"/>
          <w:b w:val="1"/>
          <w:bCs w:val="1"/>
          <w:color w:val="auto"/>
        </w:rPr>
        <w:t xml:space="preserve"> </w:t>
      </w:r>
      <w:r>
        <w:rPr>
          <w:rFonts w:ascii="Arial" w:cs="Arial" w:eastAsia="Arial" w:hAnsi="Arial"/>
          <w:sz w:val="16"/>
          <w:szCs w:val="16"/>
          <w:color w:val="auto"/>
        </w:rPr>
        <w:t>Code of Conduct and our harassment and discrimination policies and procedures, including training on our anti-retaliation policy and how to report concerns. We regularly review our harassment and discrimination training offerings with the goal that the content remains effective. Employee communications and intranet content across our business units establish “tone from the top” on our company’s culture and regularly raise awareness about how to speak up.</w:t>
      </w:r>
    </w:p>
    <w:p>
      <w:pPr>
        <w:spacing w:after="0" w:line="152" w:lineRule="exact"/>
        <w:rPr>
          <w:rFonts w:ascii="Arial" w:cs="Arial" w:eastAsia="Arial" w:hAnsi="Arial"/>
          <w:sz w:val="16"/>
          <w:szCs w:val="16"/>
          <w:color w:val="00A1DF"/>
        </w:rPr>
      </w:pPr>
    </w:p>
    <w:p>
      <w:pPr>
        <w:ind w:left="260" w:right="180" w:hanging="252"/>
        <w:spacing w:after="0" w:line="254" w:lineRule="auto"/>
        <w:tabs>
          <w:tab w:leader="none" w:pos="260" w:val="left"/>
        </w:tabs>
        <w:numPr>
          <w:ilvl w:val="0"/>
          <w:numId w:val="84"/>
        </w:numPr>
        <w:rPr>
          <w:rFonts w:ascii="Arial" w:cs="Arial" w:eastAsia="Arial" w:hAnsi="Arial"/>
          <w:sz w:val="16"/>
          <w:szCs w:val="16"/>
          <w:color w:val="00A1DF"/>
        </w:rPr>
      </w:pPr>
      <w:r>
        <w:rPr>
          <w:rFonts w:ascii="Arial" w:cs="Arial" w:eastAsia="Arial" w:hAnsi="Arial"/>
          <w:sz w:val="16"/>
          <w:szCs w:val="16"/>
          <w:b w:val="1"/>
          <w:bCs w:val="1"/>
          <w:color w:val="auto"/>
        </w:rPr>
        <w:t xml:space="preserve">Compliance Team Oversight and Internal Investigation Processes. </w:t>
      </w:r>
      <w:r>
        <w:rPr>
          <w:rFonts w:ascii="Arial" w:cs="Arial" w:eastAsia="Arial" w:hAnsi="Arial"/>
          <w:sz w:val="16"/>
          <w:szCs w:val="16"/>
          <w:color w:val="auto"/>
        </w:rPr>
        <w:t>Our legal, compliance and human resources teams design our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and practices with a view toward enabling our employees to recognize the importance of behaving respectfully toward each other and encouraging them to come forward if they believe that they have been subject to, or become aware of, inappropriate behavior. We treat allegations with care and have internal investigation teams that handle investigations into any alleged wrongdoing and oversee remediation activities, including disciplinary action, as appropriate. We continually assess our policies, procedures and practices, including with a view toward how they can be further enhanced to protect against future incidents or wrongdoing.</w:t>
      </w:r>
    </w:p>
    <w:p>
      <w:pPr>
        <w:spacing w:after="0" w:line="154" w:lineRule="exact"/>
        <w:rPr>
          <w:rFonts w:ascii="Arial" w:cs="Arial" w:eastAsia="Arial" w:hAnsi="Arial"/>
          <w:sz w:val="16"/>
          <w:szCs w:val="16"/>
          <w:color w:val="00A1DF"/>
        </w:rPr>
      </w:pPr>
    </w:p>
    <w:p>
      <w:pPr>
        <w:ind w:left="500" w:right="20" w:hanging="249"/>
        <w:spacing w:after="0" w:line="253" w:lineRule="auto"/>
        <w:tabs>
          <w:tab w:leader="none" w:pos="500" w:val="left"/>
        </w:tabs>
        <w:numPr>
          <w:ilvl w:val="1"/>
          <w:numId w:val="84"/>
        </w:numPr>
        <w:rPr>
          <w:rFonts w:ascii="Arial" w:cs="Arial" w:eastAsia="Arial" w:hAnsi="Arial"/>
          <w:sz w:val="16"/>
          <w:szCs w:val="16"/>
          <w:color w:val="00A1DF"/>
        </w:rPr>
      </w:pPr>
      <w:r>
        <w:rPr>
          <w:rFonts w:ascii="Arial" w:cs="Arial" w:eastAsia="Arial" w:hAnsi="Arial"/>
          <w:sz w:val="16"/>
          <w:szCs w:val="16"/>
          <w:color w:val="auto"/>
        </w:rPr>
        <w:t>The proposal references the allegations of sexual harassment in our NBC News Division dating back to 2017. As previously described in our 2020 and 2021 proxy statements, NBCUniversal conducted a comprehensive internal investigation and culture assessment. The investigation team was led by NBCUniversal’s General Counsel, independent of NBC News and composed of persons outside of the News Division, and two outside law firms were consulted. The results of this investigation and culture assessment were not only reported to and discussed with our Board, but also were publicly released. In response to that investigation’s findings and to bolster our long-standing policies, procedures and practices, the publicly released report outlines how we strengthened our policies, procedures and practices, including trainings, related to allegations of sexual harassment and similar misconduct.</w:t>
      </w:r>
    </w:p>
    <w:p>
      <w:pPr>
        <w:spacing w:after="0" w:line="154" w:lineRule="exact"/>
        <w:rPr>
          <w:rFonts w:ascii="Arial" w:cs="Arial" w:eastAsia="Arial" w:hAnsi="Arial"/>
          <w:sz w:val="16"/>
          <w:szCs w:val="16"/>
          <w:color w:val="00A1DF"/>
        </w:rPr>
      </w:pPr>
    </w:p>
    <w:p>
      <w:pPr>
        <w:jc w:val="both"/>
        <w:ind w:left="500" w:right="140" w:hanging="249"/>
        <w:spacing w:after="0" w:line="259" w:lineRule="auto"/>
        <w:tabs>
          <w:tab w:leader="none" w:pos="500" w:val="left"/>
        </w:tabs>
        <w:numPr>
          <w:ilvl w:val="1"/>
          <w:numId w:val="84"/>
        </w:numPr>
        <w:rPr>
          <w:rFonts w:ascii="Arial" w:cs="Arial" w:eastAsia="Arial" w:hAnsi="Arial"/>
          <w:sz w:val="16"/>
          <w:szCs w:val="16"/>
          <w:color w:val="00A1DF"/>
        </w:rPr>
      </w:pPr>
      <w:r>
        <w:rPr>
          <w:rFonts w:ascii="Arial" w:cs="Arial" w:eastAsia="Arial" w:hAnsi="Arial"/>
          <w:sz w:val="16"/>
          <w:szCs w:val="16"/>
          <w:color w:val="auto"/>
        </w:rPr>
        <w:t>We have tracked significant improvements in our employee engagement survey results for the media businesses of NBCUniversal over the past five years, which we believe is due to our extensive remediation efforts. In particular, between 2017 and 2021, our employee engagement survey results reflect a 20 percentile increase in the number of these employees who believe that NBCUniversal will address misconduct or behavior deemed to be unethical.</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is dedicated to overseeing and supporting management’s efforts to combat harassment and discrimination.</w:t>
      </w:r>
    </w:p>
    <w:p>
      <w:pPr>
        <w:spacing w:after="0" w:line="219" w:lineRule="exact"/>
        <w:rPr>
          <w:sz w:val="20"/>
          <w:szCs w:val="20"/>
          <w:color w:val="auto"/>
        </w:rPr>
      </w:pPr>
    </w:p>
    <w:p>
      <w:pPr>
        <w:ind w:left="260" w:right="100" w:hanging="252"/>
        <w:spacing w:after="0" w:line="254" w:lineRule="auto"/>
        <w:tabs>
          <w:tab w:leader="none" w:pos="2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Senior management and our Board oversee our efforts to combat harassment and discrimination of all forms. To further underscore the Board’s commitment to such oversight and to further strengthen our compliance program, in 2020 we consolidated Board oversight of harassment and discrimination issues with the Governance and Corporate Responsibility Committee and updated its charter to reflect this oversight. This Committee oversees, monitors and receives reports on harassment and discrimination in the workplace, including with respect to the general handling of allegations of harassment and discrimination received by our company. In addition, this Committee would be informed if there were ever any allegation or investigation into a serious claim of harassment or discrimination involving one of our executive officers.</w:t>
      </w:r>
    </w:p>
    <w:p>
      <w:pPr>
        <w:spacing w:after="0" w:line="154" w:lineRule="exact"/>
        <w:rPr>
          <w:rFonts w:ascii="Arial" w:cs="Arial" w:eastAsia="Arial" w:hAnsi="Arial"/>
          <w:sz w:val="16"/>
          <w:szCs w:val="16"/>
          <w:color w:val="00A1DF"/>
        </w:rPr>
      </w:pPr>
    </w:p>
    <w:p>
      <w:pPr>
        <w:ind w:left="260" w:right="40" w:hanging="252"/>
        <w:spacing w:after="0" w:line="286" w:lineRule="auto"/>
        <w:tabs>
          <w:tab w:leader="none" w:pos="2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Our Board, through its committees, also receives periodic reports on our Comcast NBCUniversal Listens and Sky Listens programs and on our employee engagement surveys.</w:t>
      </w:r>
    </w:p>
    <w:p>
      <w:pPr>
        <w:spacing w:after="0" w:line="128" w:lineRule="exact"/>
        <w:rPr>
          <w:rFonts w:ascii="Arial" w:cs="Arial" w:eastAsia="Arial" w:hAnsi="Arial"/>
          <w:sz w:val="16"/>
          <w:szCs w:val="16"/>
          <w:color w:val="00A1DF"/>
        </w:rPr>
      </w:pPr>
    </w:p>
    <w:p>
      <w:pPr>
        <w:ind w:left="260" w:right="220" w:hanging="252"/>
        <w:spacing w:after="0" w:line="286" w:lineRule="auto"/>
        <w:tabs>
          <w:tab w:leader="none" w:pos="2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Our Board and senior management team are committed to, and management is incentivized through our executive compensation program to create, a strong workplace culture with values of integrity and respect and to foster our company’s diversity, equity and inclusion (“DE&amp;I”) efforts.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Looking ahead, we will seek ways to continuously strengthen our compliance program.</w:t>
      </w:r>
    </w:p>
    <w:p>
      <w:pPr>
        <w:spacing w:after="0" w:line="21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We will continue to take any allegation of harassment or discrimination seriously, investigate it, take appropriate action and seek ways to continuously strengthen our compliance program.</w:t>
      </w:r>
    </w:p>
    <w:p>
      <w:pPr>
        <w:spacing w:after="0" w:line="156"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We are committed to creating an engaged workforce through proactive listening and constructive dialogue. We believe that our employees value our workplace culture and recognize us as an employer of choice.</w:t>
      </w:r>
    </w:p>
    <w:p>
      <w:pPr>
        <w:spacing w:after="0" w:line="156"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 xml:space="preserve">Over the years, our company and our talented team have been recognized by numerous organizations and publications for leadership in a variety of areas, including many third-party recognitions relating to our human capital management and DE&amp;I initiatives that can be found under “Awards &amp; Recognition” on our website at </w:t>
      </w:r>
      <w:r>
        <w:rPr>
          <w:rFonts w:ascii="Arial" w:cs="Arial" w:eastAsia="Arial" w:hAnsi="Arial"/>
          <w:sz w:val="16"/>
          <w:szCs w:val="16"/>
          <w:i w:val="1"/>
          <w:iCs w:val="1"/>
          <w:color w:val="00A1DF"/>
        </w:rPr>
        <w:t>www.comcastcorporation.com</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reasons set forth above, our Board unanimously recommends AGAINST this proposal.</w:t>
      </w: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27875" cy="818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27875" cy="818515"/>
                    </a:xfrm>
                    <a:prstGeom prst="rect">
                      <a:avLst/>
                    </a:prstGeom>
                    <a:noFill/>
                  </pic:spPr>
                </pic:pic>
              </a:graphicData>
            </a:graphic>
          </wp:anchor>
        </w:drawing>
      </w:r>
    </w:p>
    <w:p>
      <w:pPr>
        <w:spacing w:after="0" w:line="355" w:lineRule="exact"/>
        <w:rPr>
          <w:sz w:val="20"/>
          <w:szCs w:val="20"/>
          <w:color w:val="auto"/>
        </w:rPr>
      </w:pPr>
    </w:p>
    <w:p>
      <w:pPr>
        <w:ind w:left="1440" w:right="160" w:hanging="1259"/>
        <w:spacing w:after="0" w:line="259" w:lineRule="auto"/>
        <w:rPr>
          <w:sz w:val="20"/>
          <w:szCs w:val="20"/>
          <w:color w:val="auto"/>
        </w:rPr>
      </w:pPr>
      <w:r>
        <w:rPr>
          <w:rFonts w:ascii="Arial" w:cs="Arial" w:eastAsia="Arial" w:hAnsi="Arial"/>
          <w:sz w:val="22"/>
          <w:szCs w:val="22"/>
          <w:color w:val="00A1DF"/>
        </w:rPr>
        <w:t>Proposal 8: SHAREHOLDER PROPOSAL TO REPORT ON HOW RETIREMENT PLAN OPTIONS ALIGN WITH COMPANY CLIMATE GOALS</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Our Board unanimously recommends that shareholders vote “AGAINST” this shareholder proposal.</w:t>
      </w:r>
    </w:p>
    <w:p>
      <w:pPr>
        <w:spacing w:after="0" w:line="200" w:lineRule="exact"/>
        <w:rPr>
          <w:sz w:val="20"/>
          <w:szCs w:val="20"/>
          <w:color w:val="auto"/>
        </w:rPr>
      </w:pPr>
    </w:p>
    <w:p>
      <w:pPr>
        <w:spacing w:after="0" w:line="2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proposal and supporting statement were submitted by The Elizabeth Kantor Trust U/A DTD 3/11/1993, 348 Cumberland Street, San Francisco, CA 94114, and John &amp; Shari Behnke Rev Trust (S), 3701 E Valley Street, Seattle, WA 98112.</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00A1DF"/>
        </w:rPr>
        <w:t>Supporting Statement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Shareholders applaud Comcast for adopting ambitious operational climate goals:</w:t>
      </w:r>
    </w:p>
    <w:p>
      <w:pPr>
        <w:spacing w:after="0" w:line="214"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32"/>
          <w:szCs w:val="32"/>
          <w:color w:val="00A1DF"/>
          <w:vertAlign w:val="superscript"/>
        </w:rPr>
      </w:pPr>
      <w:r>
        <w:rPr>
          <w:rFonts w:ascii="Arial" w:cs="Arial" w:eastAsia="Arial" w:hAnsi="Arial"/>
          <w:sz w:val="16"/>
          <w:szCs w:val="16"/>
          <w:color w:val="auto"/>
        </w:rPr>
        <w:t>Recently setting the ambitious goal of being carbon neutral by 2035 in Scope 1 and 2 emissions across entire global operations.</w:t>
      </w:r>
      <w:r>
        <w:rPr>
          <w:rFonts w:ascii="Arial" w:cs="Arial" w:eastAsia="Arial" w:hAnsi="Arial"/>
          <w:sz w:val="26"/>
          <w:szCs w:val="26"/>
          <w:color w:val="auto"/>
          <w:vertAlign w:val="superscript"/>
        </w:rPr>
        <w:t>(1)</w:t>
      </w:r>
    </w:p>
    <w:p>
      <w:pPr>
        <w:spacing w:after="0" w:line="73" w:lineRule="exact"/>
        <w:rPr>
          <w:rFonts w:ascii="Arial" w:cs="Arial" w:eastAsia="Arial" w:hAnsi="Arial"/>
          <w:sz w:val="32"/>
          <w:szCs w:val="32"/>
          <w:color w:val="00A1DF"/>
          <w:vertAlign w:val="superscript"/>
        </w:rPr>
      </w:pPr>
    </w:p>
    <w:p>
      <w:pPr>
        <w:ind w:left="260" w:hanging="252"/>
        <w:spacing w:after="0"/>
        <w:tabs>
          <w:tab w:leader="none" w:pos="26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Committing to purchasing 100% renewable energy for cable facilities and network operations in Houston, Texas.</w:t>
      </w:r>
    </w:p>
    <w:p>
      <w:pPr>
        <w:spacing w:after="0" w:line="170" w:lineRule="exact"/>
        <w:rPr>
          <w:rFonts w:ascii="Arial" w:cs="Arial" w:eastAsia="Arial" w:hAnsi="Arial"/>
          <w:sz w:val="16"/>
          <w:szCs w:val="16"/>
          <w:color w:val="00A1DF"/>
        </w:rPr>
      </w:pPr>
    </w:p>
    <w:p>
      <w:pPr>
        <w:ind w:left="260" w:hanging="252"/>
        <w:spacing w:after="0"/>
        <w:tabs>
          <w:tab w:leader="none" w:pos="260" w:val="left"/>
        </w:tabs>
        <w:numPr>
          <w:ilvl w:val="0"/>
          <w:numId w:val="86"/>
        </w:numPr>
        <w:rPr>
          <w:rFonts w:ascii="Arial" w:cs="Arial" w:eastAsia="Arial" w:hAnsi="Arial"/>
          <w:sz w:val="32"/>
          <w:szCs w:val="32"/>
          <w:color w:val="00A1DF"/>
          <w:vertAlign w:val="superscript"/>
        </w:rPr>
      </w:pPr>
      <w:r>
        <w:rPr>
          <w:rFonts w:ascii="Arial" w:cs="Arial" w:eastAsia="Arial" w:hAnsi="Arial"/>
          <w:sz w:val="16"/>
          <w:szCs w:val="16"/>
          <w:color w:val="auto"/>
        </w:rPr>
        <w:t>Installing fuel efficiency software in 17,500 of cable vans and trucks between 2016 and 2018.</w:t>
      </w:r>
      <w:r>
        <w:rPr>
          <w:rFonts w:ascii="Arial" w:cs="Arial" w:eastAsia="Arial" w:hAnsi="Arial"/>
          <w:sz w:val="26"/>
          <w:szCs w:val="26"/>
          <w:color w:val="auto"/>
          <w:vertAlign w:val="superscript"/>
        </w:rPr>
        <w:t>(2)</w:t>
      </w:r>
    </w:p>
    <w:p>
      <w:pPr>
        <w:spacing w:after="0" w:line="8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While the Company has made significant efforts to address climate change across its operations, data from Securities and Exchange Commission (SEC) filings demonstrates misalignment between the Company’s sustainability goals and investment options offered through the Comcast Corporation Retirement-Investment Plan.</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Every investment fund offered by the Comcast retirement plan, including the default option (holding 52% of employee investments), contains major oil and gas, fossil-fired utilities, coal, pipelines, oil field services, or companies in the agribusiness sector with deforestation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253365</wp:posOffset>
            </wp:positionV>
            <wp:extent cx="1543050" cy="1491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193" w:lineRule="auto"/>
        <w:rPr>
          <w:sz w:val="20"/>
          <w:szCs w:val="20"/>
          <w:color w:val="auto"/>
        </w:rPr>
      </w:pPr>
      <w:r>
        <w:rPr>
          <w:rFonts w:ascii="Arial" w:cs="Arial" w:eastAsia="Arial" w:hAnsi="Arial"/>
          <w:sz w:val="16"/>
          <w:szCs w:val="16"/>
          <w:color w:val="auto"/>
        </w:rPr>
        <w:t xml:space="preserve">A recent scorecard, produced by investor representative As You Sow, shows that the Comcast retirement plan default option is rated poor due to significant </w:t>
      </w:r>
      <w:r>
        <w:rPr>
          <w:rFonts w:ascii="Arial" w:cs="Arial" w:eastAsia="Arial" w:hAnsi="Arial"/>
          <w:sz w:val="14"/>
          <w:szCs w:val="14"/>
          <w:color w:val="FFFFFF"/>
        </w:rPr>
        <w:t xml:space="preserve">Comcast Corporation Employee Savings Master Trust </w:t>
      </w:r>
      <w:r>
        <w:rPr>
          <w:rFonts w:ascii="Arial" w:cs="Arial" w:eastAsia="Arial" w:hAnsi="Arial"/>
          <w:sz w:val="13"/>
          <w:szCs w:val="13"/>
          <w:color w:val="FFFFFF"/>
        </w:rPr>
        <w:t>Default option Vanguard Target Retirement Funds Series Update Dec 2021Fossil Fuels, PoorDeforestation, Poor</w:t>
      </w:r>
      <w:r>
        <w:rPr>
          <w:rFonts w:ascii="Arial" w:cs="Arial" w:eastAsia="Arial" w:hAnsi="Arial"/>
          <w:sz w:val="14"/>
          <w:szCs w:val="14"/>
          <w:color w:val="FFFFFF"/>
        </w:rPr>
        <w:t xml:space="preserve"> </w:t>
      </w:r>
      <w:r>
        <w:rPr>
          <w:rFonts w:ascii="Arial" w:cs="Arial" w:eastAsia="Arial" w:hAnsi="Arial"/>
          <w:sz w:val="16"/>
          <w:szCs w:val="16"/>
          <w:color w:val="000000"/>
        </w:rPr>
        <w:t>investments in fossil fuel companies and companies with deforestation risk.</w:t>
      </w:r>
      <w:r>
        <w:rPr>
          <w:rFonts w:ascii="Arial" w:cs="Arial" w:eastAsia="Arial" w:hAnsi="Arial"/>
          <w:sz w:val="13"/>
          <w:szCs w:val="13"/>
          <w:color w:val="000000"/>
        </w:rPr>
        <w:t>(3)</w:t>
      </w:r>
    </w:p>
    <w:p>
      <w:pPr>
        <w:spacing w:after="0" w:line="19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Comcast’s retirement plan currently offers no diversified equity funds that are low carbon, defined as intentionally avoiding investments in fossil fuels companies, companies with deforestation risk, and companies with high carbon emissions. It offers zero funds screened for environmental/social impact.</w:t>
      </w:r>
    </w:p>
    <w:p>
      <w:pPr>
        <w:spacing w:after="0" w:line="15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As a result of these limited options, the vast majority of the $15.1 billion employee retirement dollars invested through the Comcast Corporation Employee Savings Plans Master Trust as of December 2020</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was invested in funds rated poorly on carbon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0712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33"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i w:val="1"/>
          <w:iCs w:val="1"/>
          <w:color w:val="auto"/>
        </w:rPr>
        <w:t>https://update.comcast.com/wp-content/uploads/sites/33/dlm_uploads/2021/06/Comcast-Impact-Report-FIN3.pdf</w:t>
      </w:r>
    </w:p>
    <w:p>
      <w:pPr>
        <w:spacing w:after="0" w:line="127" w:lineRule="exact"/>
        <w:rPr>
          <w:rFonts w:ascii="Arial" w:cs="Arial" w:eastAsia="Arial" w:hAnsi="Arial"/>
          <w:sz w:val="24"/>
          <w:szCs w:val="24"/>
          <w:color w:val="auto"/>
          <w:vertAlign w:val="superscript"/>
        </w:rPr>
      </w:pPr>
    </w:p>
    <w:p>
      <w:pPr>
        <w:ind w:left="300" w:hanging="292"/>
        <w:spacing w:after="0" w:line="186" w:lineRule="auto"/>
        <w:tabs>
          <w:tab w:leader="none" w:pos="300" w:val="left"/>
        </w:tabs>
        <w:numPr>
          <w:ilvl w:val="0"/>
          <w:numId w:val="87"/>
        </w:numPr>
        <w:rPr>
          <w:rFonts w:ascii="Arial" w:cs="Arial" w:eastAsia="Arial" w:hAnsi="Arial"/>
          <w:sz w:val="22"/>
          <w:szCs w:val="22"/>
          <w:color w:val="auto"/>
          <w:vertAlign w:val="superscript"/>
        </w:rPr>
      </w:pPr>
      <w:r>
        <w:rPr>
          <w:rFonts w:ascii="Arial" w:cs="Arial" w:eastAsia="Arial" w:hAnsi="Arial"/>
          <w:sz w:val="13"/>
          <w:szCs w:val="13"/>
          <w:i w:val="1"/>
          <w:iCs w:val="1"/>
          <w:color w:val="auto"/>
        </w:rPr>
        <w:t>https://corporate.comcast.com/values/report/2019/sustainability/drive-to-zero-emissions</w:t>
      </w:r>
    </w:p>
    <w:p>
      <w:pPr>
        <w:spacing w:after="0" w:line="127" w:lineRule="exact"/>
        <w:rPr>
          <w:rFonts w:ascii="Arial" w:cs="Arial" w:eastAsia="Arial" w:hAnsi="Arial"/>
          <w:sz w:val="22"/>
          <w:szCs w:val="22"/>
          <w:color w:val="auto"/>
          <w:vertAlign w:val="superscript"/>
        </w:rPr>
      </w:pPr>
    </w:p>
    <w:p>
      <w:pPr>
        <w:ind w:left="300" w:hanging="292"/>
        <w:spacing w:after="0" w:line="186" w:lineRule="auto"/>
        <w:tabs>
          <w:tab w:leader="none" w:pos="300" w:val="left"/>
        </w:tabs>
        <w:numPr>
          <w:ilvl w:val="0"/>
          <w:numId w:val="87"/>
        </w:numPr>
        <w:rPr>
          <w:rFonts w:ascii="Arial" w:cs="Arial" w:eastAsia="Arial" w:hAnsi="Arial"/>
          <w:sz w:val="22"/>
          <w:szCs w:val="22"/>
          <w:color w:val="auto"/>
          <w:vertAlign w:val="superscript"/>
        </w:rPr>
      </w:pPr>
      <w:r>
        <w:rPr>
          <w:rFonts w:ascii="Arial" w:cs="Arial" w:eastAsia="Arial" w:hAnsi="Arial"/>
          <w:sz w:val="13"/>
          <w:szCs w:val="13"/>
          <w:i w:val="1"/>
          <w:iCs w:val="1"/>
          <w:color w:val="auto"/>
        </w:rPr>
        <w:t>https://investyourvalues.org/retirement-plans/comcast</w:t>
      </w:r>
    </w:p>
    <w:p>
      <w:pPr>
        <w:spacing w:after="0" w:line="127" w:lineRule="exact"/>
        <w:rPr>
          <w:rFonts w:ascii="Arial" w:cs="Arial" w:eastAsia="Arial" w:hAnsi="Arial"/>
          <w:sz w:val="22"/>
          <w:szCs w:val="22"/>
          <w:color w:val="auto"/>
          <w:vertAlign w:val="superscript"/>
        </w:rPr>
      </w:pPr>
    </w:p>
    <w:p>
      <w:pPr>
        <w:ind w:left="300" w:hanging="292"/>
        <w:spacing w:after="0" w:line="186" w:lineRule="auto"/>
        <w:tabs>
          <w:tab w:leader="none" w:pos="300" w:val="left"/>
        </w:tabs>
        <w:numPr>
          <w:ilvl w:val="0"/>
          <w:numId w:val="87"/>
        </w:numPr>
        <w:rPr>
          <w:rFonts w:ascii="Arial" w:cs="Arial" w:eastAsia="Arial" w:hAnsi="Arial"/>
          <w:sz w:val="22"/>
          <w:szCs w:val="22"/>
          <w:color w:val="auto"/>
          <w:vertAlign w:val="superscript"/>
        </w:rPr>
      </w:pPr>
      <w:r>
        <w:rPr>
          <w:rFonts w:ascii="Arial" w:cs="Arial" w:eastAsia="Arial" w:hAnsi="Arial"/>
          <w:sz w:val="13"/>
          <w:szCs w:val="13"/>
          <w:i w:val="1"/>
          <w:iCs w:val="1"/>
          <w:color w:val="auto"/>
        </w:rPr>
        <w:t>https://investyourvalues.org/files/comcast/comcast-master-trust-form-5500-filing-2020.pdf</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Comcast’s investment in high carbon companies through its retirement plan choices directly contradicts the climate reduction actions it has committed to take in its operations, creating cognitive dissonance and reputational risk. This may also make it more difficult to retain employees who are increasingly concerned about catastrophic climate impacts. The climate impact of continuing to choose high carbon retirement plan investments options over low carbon choices raises red flags for the Company’s reputation.</w:t>
      </w:r>
    </w:p>
    <w:p>
      <w:pPr>
        <w:spacing w:after="0" w:line="17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 xml:space="preserve">BE IT RESOLVED: </w:t>
      </w:r>
      <w:r>
        <w:rPr>
          <w:rFonts w:ascii="Arial" w:cs="Arial" w:eastAsia="Arial" w:hAnsi="Arial"/>
          <w:sz w:val="16"/>
          <w:szCs w:val="16"/>
          <w:color w:val="auto"/>
        </w:rPr>
        <w:t>Shareholders request the Board, at reasonable expense and excluding proprietary information, prepare a report reviewing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retirement plan options with the board’s assessment of how the Company’s current retirement plan options align with its climate action goals.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Proponent suggests the report include, at Board discretion:</w:t>
      </w:r>
    </w:p>
    <w:p>
      <w:pPr>
        <w:spacing w:after="0" w:line="221" w:lineRule="exact"/>
        <w:rPr>
          <w:sz w:val="20"/>
          <w:szCs w:val="20"/>
          <w:color w:val="auto"/>
        </w:rPr>
      </w:pPr>
    </w:p>
    <w:p>
      <w:pPr>
        <w:ind w:left="260" w:right="20" w:hanging="252"/>
        <w:spacing w:after="0" w:line="286" w:lineRule="auto"/>
        <w:tabs>
          <w:tab w:leader="none" w:pos="260" w:val="left"/>
        </w:tabs>
        <w:numPr>
          <w:ilvl w:val="0"/>
          <w:numId w:val="88"/>
        </w:numPr>
        <w:rPr>
          <w:rFonts w:ascii="Arial" w:cs="Arial" w:eastAsia="Arial" w:hAnsi="Arial"/>
          <w:sz w:val="16"/>
          <w:szCs w:val="16"/>
          <w:color w:val="00A1DF"/>
        </w:rPr>
      </w:pPr>
      <w:r>
        <w:rPr>
          <w:rFonts w:ascii="Arial" w:cs="Arial" w:eastAsia="Arial" w:hAnsi="Arial"/>
          <w:sz w:val="16"/>
          <w:szCs w:val="16"/>
          <w:color w:val="auto"/>
        </w:rPr>
        <w:t>How Comcast could provide employees with more sustainable investment options such as a default option that is better aligned with global and Company climate goals;</w:t>
      </w:r>
    </w:p>
    <w:p>
      <w:pPr>
        <w:spacing w:after="0" w:line="128" w:lineRule="exact"/>
        <w:rPr>
          <w:rFonts w:ascii="Arial" w:cs="Arial" w:eastAsia="Arial" w:hAnsi="Arial"/>
          <w:sz w:val="16"/>
          <w:szCs w:val="16"/>
          <w:color w:val="00A1DF"/>
        </w:rPr>
      </w:pPr>
    </w:p>
    <w:p>
      <w:pPr>
        <w:ind w:left="260" w:hanging="252"/>
        <w:spacing w:after="0"/>
        <w:tabs>
          <w:tab w:leader="none" w:pos="260" w:val="left"/>
        </w:tabs>
        <w:numPr>
          <w:ilvl w:val="0"/>
          <w:numId w:val="88"/>
        </w:numPr>
        <w:rPr>
          <w:rFonts w:ascii="Arial" w:cs="Arial" w:eastAsia="Arial" w:hAnsi="Arial"/>
          <w:sz w:val="16"/>
          <w:szCs w:val="16"/>
          <w:color w:val="00A1DF"/>
        </w:rPr>
      </w:pPr>
      <w:r>
        <w:rPr>
          <w:rFonts w:ascii="Arial" w:cs="Arial" w:eastAsia="Arial" w:hAnsi="Arial"/>
          <w:sz w:val="16"/>
          <w:szCs w:val="16"/>
          <w:color w:val="auto"/>
        </w:rPr>
        <w:t>If the Board does not intend to include additional low carbon investment options in its employee retirement plan, a statement of the basis for its decision.</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00A1DF"/>
        </w:rPr>
        <w:t>Company Response to Shareholder Proposal</w:t>
      </w:r>
    </w:p>
    <w:p>
      <w:pPr>
        <w:spacing w:after="0" w:line="23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proposal’s request appears to be based on a flawed understanding of the basic fiduciary requirements that underpin investment options in U.S. retirement plans. As is customary for large retirement plans, we have an internal management investment committee that serves as our retirement plans’ fiduciary which, with the assistance of professional third-party advisors, is responsible for the administrative duties of selecting and monitoring our retirement plans’ investment options.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fact, U.S. law mandates that a responsible plan fiduciary select retirement plan investment options “solely” in the interest of plan participants and beneficiaries. According to the U.S. Department of Labor, the federal agency that interprets and enforces federal pension law, a retirement plan fiduciary that selects plan investments may not (i) subordinate the interests of participants and beneficiaries in their retirement income or financial benefits under retirement plans to other objectives or (ii) sacrifice investment return or take on additional investment risk to promote goals unrelated to the retirement plan and its participants and beneficiaries. Accordingly, the selection of the 401(k) investment options by the responsible plan fiduciary must be made independently from our environmental sustainability leadership and operational climate goals.</w:t>
      </w:r>
    </w:p>
    <w:p>
      <w:pPr>
        <w:spacing w:after="0" w:line="18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recognize that the investment objectives and investment horizons of individuals participating in our retirement plans and saving for retirement may vary significantly. The fundamental request of this proposal, however, would seek to impose a specific and uniform set of non-economic goals, promoted by Comcast and set for reasons completely outside of any specific financial planning or investment considerations, on all of our retirement plan participants and beneficiaries. There is no connection—and in fact under the law there cannot be a connection—between our climate action goals or other company values and the selection of investment funds made available under our retirement plans. This proposal is misguided in seeking to connect the two.</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reasons set forth above, our Board unanimously recommends AGAINST this proposal.</w:t>
      </w: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about Stock Ownership</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color w:val="00A1DF"/>
        </w:rPr>
        <w:t>Outstanding Shares and Voting Rights</w:t>
      </w:r>
    </w:p>
    <w:p>
      <w:pPr>
        <w:spacing w:after="0" w:line="18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At the close of business on April 4, 2022, the record date, we had outstanding 4,470,570,372 shares of Class A common stock and 9,444,375 shares of Class B common stock.</w:t>
      </w:r>
    </w:p>
    <w:p>
      <w:pPr>
        <w:spacing w:after="0" w:line="10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On each matter to be voted on, the holders of Class A common stock and Class B common stock will vote together. As of the record date, each holder of Class A common stock is entitled to 0.0634 votes per share and each holder of Class B common stock is entitled to 15 votes per share.</w:t>
      </w:r>
    </w:p>
    <w:p>
      <w:pPr>
        <w:spacing w:after="0" w:line="10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12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Withheld votes in regard to the election of directors, abstentions and broker nonvotes count for quorum purposes, but have no effect on the outcome of the proposals.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00A1DF"/>
        </w:rPr>
        <w:t>Principal Shareholders</w:t>
      </w:r>
    </w:p>
    <w:p>
      <w:pPr>
        <w:spacing w:after="0" w:line="180"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This table sets forth information as of December 31, 2021 about persons we know to beneficially own more than 5% of any class of our voting common stock.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7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PERCENT</w:t>
            </w:r>
          </w:p>
        </w:tc>
      </w:tr>
      <w:tr>
        <w:trPr>
          <w:trHeight w:val="192"/>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TITLE OF VOTING CLASS</w:t>
            </w:r>
          </w:p>
        </w:tc>
        <w:tc>
          <w:tcPr>
            <w:tcW w:w="50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NAME AND ADDRESS OF BENEFICIAL OWNER</w:t>
            </w:r>
          </w:p>
        </w:tc>
        <w:tc>
          <w:tcPr>
            <w:tcW w:w="2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BENEFICIALLY OWNED</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OF CLASS</w:t>
            </w:r>
          </w:p>
        </w:tc>
      </w:tr>
      <w:tr>
        <w:trPr>
          <w:trHeight w:val="203"/>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Class A common stock</w:t>
            </w:r>
          </w:p>
        </w:tc>
        <w:tc>
          <w:tcPr>
            <w:tcW w:w="5060" w:type="dxa"/>
            <w:vAlign w:val="bottom"/>
          </w:tcPr>
          <w:p>
            <w:pPr>
              <w:ind w:left="760"/>
              <w:spacing w:after="0"/>
              <w:rPr>
                <w:sz w:val="20"/>
                <w:szCs w:val="20"/>
                <w:color w:val="auto"/>
              </w:rPr>
            </w:pPr>
            <w:r>
              <w:rPr>
                <w:rFonts w:ascii="Arial" w:cs="Arial" w:eastAsia="Arial" w:hAnsi="Arial"/>
                <w:sz w:val="16"/>
                <w:szCs w:val="16"/>
                <w:color w:val="auto"/>
              </w:rPr>
              <w:t>The Vanguard Group</w:t>
            </w:r>
          </w:p>
        </w:tc>
        <w:tc>
          <w:tcPr>
            <w:tcW w:w="2740" w:type="dxa"/>
            <w:vAlign w:val="bottom"/>
          </w:tcPr>
          <w:p>
            <w:pPr>
              <w:jc w:val="right"/>
              <w:ind w:right="48"/>
              <w:spacing w:after="0" w:line="202" w:lineRule="exact"/>
              <w:rPr>
                <w:sz w:val="20"/>
                <w:szCs w:val="20"/>
                <w:color w:val="auto"/>
              </w:rPr>
            </w:pPr>
            <w:r>
              <w:rPr>
                <w:rFonts w:ascii="Arial" w:cs="Arial" w:eastAsia="Arial" w:hAnsi="Arial"/>
                <w:sz w:val="15"/>
                <w:szCs w:val="15"/>
                <w:color w:val="auto"/>
              </w:rPr>
              <w:t>396,613,344</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7"/>
                <w:szCs w:val="17"/>
                <w:color w:val="auto"/>
              </w:rPr>
            </w:pPr>
          </w:p>
        </w:tc>
      </w:tr>
      <w:tr>
        <w:trPr>
          <w:trHeight w:val="203"/>
        </w:trPr>
        <w:tc>
          <w:tcPr>
            <w:tcW w:w="260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100 Vanguard Blvd., Malvern, PA 19355</w:t>
            </w:r>
          </w:p>
        </w:tc>
        <w:tc>
          <w:tcPr>
            <w:tcW w:w="2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Class A common stock</w:t>
            </w:r>
          </w:p>
        </w:tc>
        <w:tc>
          <w:tcPr>
            <w:tcW w:w="5060" w:type="dxa"/>
            <w:vAlign w:val="bottom"/>
          </w:tcPr>
          <w:p>
            <w:pPr>
              <w:ind w:left="760"/>
              <w:spacing w:after="0"/>
              <w:rPr>
                <w:sz w:val="20"/>
                <w:szCs w:val="20"/>
                <w:color w:val="auto"/>
              </w:rPr>
            </w:pPr>
            <w:r>
              <w:rPr>
                <w:rFonts w:ascii="Arial" w:cs="Arial" w:eastAsia="Arial" w:hAnsi="Arial"/>
                <w:sz w:val="16"/>
                <w:szCs w:val="16"/>
                <w:color w:val="auto"/>
              </w:rPr>
              <w:t>BlackRock, Inc.</w:t>
            </w:r>
          </w:p>
        </w:tc>
        <w:tc>
          <w:tcPr>
            <w:tcW w:w="2740" w:type="dxa"/>
            <w:vAlign w:val="bottom"/>
          </w:tcPr>
          <w:p>
            <w:pPr>
              <w:jc w:val="right"/>
              <w:ind w:right="48"/>
              <w:spacing w:after="0" w:line="195" w:lineRule="exact"/>
              <w:rPr>
                <w:sz w:val="20"/>
                <w:szCs w:val="20"/>
                <w:color w:val="auto"/>
              </w:rPr>
            </w:pPr>
            <w:r>
              <w:rPr>
                <w:rFonts w:ascii="Arial" w:cs="Arial" w:eastAsia="Arial" w:hAnsi="Arial"/>
                <w:sz w:val="14"/>
                <w:szCs w:val="14"/>
                <w:color w:val="auto"/>
              </w:rPr>
              <w:t>313,915,209</w:t>
            </w:r>
            <w:r>
              <w:rPr>
                <w:rFonts w:ascii="Arial" w:cs="Arial" w:eastAsia="Arial" w:hAnsi="Arial"/>
                <w:sz w:val="22"/>
                <w:szCs w:val="22"/>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r>
      <w:tr>
        <w:trPr>
          <w:trHeight w:val="203"/>
        </w:trPr>
        <w:tc>
          <w:tcPr>
            <w:tcW w:w="260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55 East 52nd Street, New York, NY 10055</w:t>
            </w:r>
          </w:p>
        </w:tc>
        <w:tc>
          <w:tcPr>
            <w:tcW w:w="2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Class B common stock</w:t>
            </w:r>
          </w:p>
        </w:tc>
        <w:tc>
          <w:tcPr>
            <w:tcW w:w="5060" w:type="dxa"/>
            <w:vAlign w:val="bottom"/>
          </w:tcPr>
          <w:p>
            <w:pPr>
              <w:ind w:left="760"/>
              <w:spacing w:after="0"/>
              <w:rPr>
                <w:sz w:val="20"/>
                <w:szCs w:val="20"/>
                <w:color w:val="auto"/>
              </w:rPr>
            </w:pPr>
            <w:r>
              <w:rPr>
                <w:rFonts w:ascii="Arial" w:cs="Arial" w:eastAsia="Arial" w:hAnsi="Arial"/>
                <w:sz w:val="16"/>
                <w:szCs w:val="16"/>
                <w:color w:val="auto"/>
              </w:rPr>
              <w:t>Brian L. Roberts</w:t>
            </w:r>
          </w:p>
        </w:tc>
        <w:tc>
          <w:tcPr>
            <w:tcW w:w="2740" w:type="dxa"/>
            <w:vAlign w:val="bottom"/>
          </w:tcPr>
          <w:p>
            <w:pPr>
              <w:jc w:val="right"/>
              <w:ind w:right="48"/>
              <w:spacing w:after="0" w:line="195" w:lineRule="exact"/>
              <w:rPr>
                <w:sz w:val="20"/>
                <w:szCs w:val="20"/>
                <w:color w:val="auto"/>
              </w:rPr>
            </w:pPr>
            <w:r>
              <w:rPr>
                <w:rFonts w:ascii="Arial" w:cs="Arial" w:eastAsia="Arial" w:hAnsi="Arial"/>
                <w:sz w:val="14"/>
                <w:szCs w:val="14"/>
                <w:color w:val="auto"/>
              </w:rPr>
              <w:t>9,444,375</w:t>
            </w:r>
            <w:r>
              <w:rPr>
                <w:rFonts w:ascii="Arial" w:cs="Arial" w:eastAsia="Arial" w:hAnsi="Arial"/>
                <w:sz w:val="22"/>
                <w:szCs w:val="22"/>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2"/>
        </w:trPr>
        <w:tc>
          <w:tcPr>
            <w:tcW w:w="260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One Comcast Center, Philadelphia, PA 19103</w:t>
            </w:r>
          </w:p>
        </w:tc>
        <w:tc>
          <w:tcPr>
            <w:tcW w:w="2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53" w:lineRule="exact"/>
        <w:rPr>
          <w:sz w:val="20"/>
          <w:szCs w:val="20"/>
          <w:color w:val="auto"/>
        </w:rPr>
      </w:pPr>
    </w:p>
    <w:p>
      <w:pPr>
        <w:ind w:left="300" w:right="20" w:hanging="292"/>
        <w:spacing w:after="0" w:line="206" w:lineRule="auto"/>
        <w:tabs>
          <w:tab w:leader="none" w:pos="30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This information is based upon a Schedule 13G/A filing with the SEC on February 9, 2022 made by The Vanguard Group setting forth information as of December 31, 2021. The Vanguard Group disclosed having sole voting power over 0 shares of our Class A common stock, shared voting power over 7,230,908 shares of our Class A common stock, sole dispositive power over 378,196,696 shares of our Class A common stock and shared dispositive power over 18,416,648 shares of our Class A common stock.</w:t>
      </w:r>
    </w:p>
    <w:p>
      <w:pPr>
        <w:spacing w:after="0" w:line="134" w:lineRule="exact"/>
        <w:rPr>
          <w:rFonts w:ascii="Arial" w:cs="Arial" w:eastAsia="Arial" w:hAnsi="Arial"/>
          <w:sz w:val="24"/>
          <w:szCs w:val="24"/>
          <w:color w:val="auto"/>
          <w:vertAlign w:val="superscript"/>
        </w:rPr>
      </w:pPr>
    </w:p>
    <w:p>
      <w:pPr>
        <w:ind w:left="300" w:right="380" w:hanging="292"/>
        <w:spacing w:after="0" w:line="206" w:lineRule="auto"/>
        <w:tabs>
          <w:tab w:leader="none" w:pos="30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This information is based upon a Schedule 13G/A filing with the SEC on March 11, 2022 made by BlackRock, Inc. setting forth information as of December 31, 2021. BlackRock, Inc. disclosed having sole voting power over 272,426,492 shares of our Class A common stock and sole dispositive power over 313,915,209 shares of our Class A common stock</w:t>
      </w:r>
    </w:p>
    <w:p>
      <w:pPr>
        <w:spacing w:after="0" w:line="134" w:lineRule="exact"/>
        <w:rPr>
          <w:rFonts w:ascii="Arial" w:cs="Arial" w:eastAsia="Arial" w:hAnsi="Arial"/>
          <w:sz w:val="24"/>
          <w:szCs w:val="24"/>
          <w:color w:val="auto"/>
          <w:vertAlign w:val="superscript"/>
        </w:rPr>
      </w:pPr>
    </w:p>
    <w:p>
      <w:pPr>
        <w:ind w:left="300" w:right="180" w:hanging="292"/>
        <w:spacing w:after="0" w:line="222" w:lineRule="auto"/>
        <w:tabs>
          <w:tab w:leader="none" w:pos="30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Includes 9,039,663 shares of Class B common stock owned by a limited liability company of which Mr. Roberts is the managing member and 404,712 shares of Class B common stock owned by certain family trusts of which Mr. Roberts and/or his descendants are the beneficiaries. The shares of Class B common stock beneficially owned by Mr. Roberts represent 33 1/3%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and Executive Officers.”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A1DF"/>
        </w:rPr>
        <w:t>Security Ownership of Directors and Executive Officers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This table sets forth information as of March 1, 2022 about the amount of common stock beneficially owned by (i) our current directors (all of whom, other than Ms. Bergman, are also director nominees), (ii) the NEOs listed in “Executive Compensation Tables – Summary Compensation Table” and (iii) our directors and executive officers as a group. No shares of common stock held by our directors or executive officers are held in margin accounts or have been hedged or pledged.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58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AMOUNT BENEFICIALLY</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8"/>
        </w:trPr>
        <w:tc>
          <w:tcPr>
            <w:tcW w:w="6940" w:type="dxa"/>
            <w:vAlign w:val="bottom"/>
          </w:tcPr>
          <w:p>
            <w:pPr>
              <w:spacing w:after="0"/>
              <w:rPr>
                <w:sz w:val="19"/>
                <w:szCs w:val="19"/>
                <w:color w:val="auto"/>
              </w:rPr>
            </w:pPr>
          </w:p>
        </w:tc>
        <w:tc>
          <w:tcPr>
            <w:tcW w:w="2360" w:type="dxa"/>
            <w:vAlign w:val="bottom"/>
            <w:tcBorders>
              <w:bottom w:val="single" w:sz="8" w:color="auto"/>
            </w:tcBorders>
            <w:gridSpan w:val="2"/>
          </w:tcPr>
          <w:p>
            <w:pPr>
              <w:jc w:val="right"/>
              <w:ind w:right="760"/>
              <w:spacing w:after="0" w:line="229" w:lineRule="exact"/>
              <w:rPr>
                <w:sz w:val="20"/>
                <w:szCs w:val="20"/>
                <w:color w:val="auto"/>
              </w:rPr>
            </w:pPr>
            <w:r>
              <w:rPr>
                <w:rFonts w:ascii="Arial" w:cs="Arial" w:eastAsia="Arial" w:hAnsi="Arial"/>
                <w:sz w:val="14"/>
                <w:szCs w:val="14"/>
                <w:b w:val="1"/>
                <w:bCs w:val="1"/>
                <w:color w:val="auto"/>
              </w:rPr>
              <w:t>OWNED</w:t>
            </w:r>
            <w:r>
              <w:rPr>
                <w:rFonts w:ascii="Arial" w:cs="Arial" w:eastAsia="Arial" w:hAnsi="Arial"/>
                <w:sz w:val="23"/>
                <w:szCs w:val="23"/>
                <w:b w:val="1"/>
                <w:bCs w:val="1"/>
                <w:color w:val="auto"/>
                <w:vertAlign w:val="superscript"/>
              </w:rPr>
              <w:t>(1)</w:t>
            </w:r>
          </w:p>
        </w:tc>
        <w:tc>
          <w:tcPr>
            <w:tcW w:w="220" w:type="dxa"/>
            <w:vAlign w:val="bottom"/>
          </w:tcPr>
          <w:p>
            <w:pPr>
              <w:spacing w:after="0"/>
              <w:rPr>
                <w:sz w:val="19"/>
                <w:szCs w:val="19"/>
                <w:color w:val="auto"/>
              </w:rPr>
            </w:pPr>
          </w:p>
        </w:tc>
        <w:tc>
          <w:tcPr>
            <w:tcW w:w="1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PERCENT OF CLASS</w:t>
            </w:r>
          </w:p>
        </w:tc>
      </w:tr>
      <w:tr>
        <w:trPr>
          <w:trHeight w:val="243"/>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tcBorders>
              <w:bottom w:val="single" w:sz="8" w:color="auto"/>
            </w:tcBorders>
          </w:tcPr>
          <w:p>
            <w:pPr>
              <w:jc w:val="right"/>
              <w:ind w:right="41"/>
              <w:spacing w:after="0" w:line="236" w:lineRule="exact"/>
              <w:rPr>
                <w:sz w:val="20"/>
                <w:szCs w:val="20"/>
                <w:color w:val="auto"/>
              </w:rPr>
            </w:pPr>
            <w:r>
              <w:rPr>
                <w:rFonts w:ascii="Arial" w:cs="Arial" w:eastAsia="Arial" w:hAnsi="Arial"/>
                <w:sz w:val="14"/>
                <w:szCs w:val="14"/>
                <w:b w:val="1"/>
                <w:bCs w:val="1"/>
                <w:color w:val="auto"/>
              </w:rPr>
              <w:t>CLASS A</w:t>
            </w:r>
            <w:r>
              <w:rPr>
                <w:rFonts w:ascii="Arial" w:cs="Arial" w:eastAsia="Arial" w:hAnsi="Arial"/>
                <w:sz w:val="23"/>
                <w:szCs w:val="23"/>
                <w:b w:val="1"/>
                <w:bCs w:val="1"/>
                <w:color w:val="auto"/>
                <w:vertAlign w:val="superscript"/>
              </w:rPr>
              <w:t>(2)</w:t>
            </w:r>
          </w:p>
        </w:tc>
        <w:tc>
          <w:tcPr>
            <w:tcW w:w="13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CLASS B</w:t>
            </w:r>
          </w:p>
        </w:tc>
        <w:tc>
          <w:tcPr>
            <w:tcW w:w="900" w:type="dxa"/>
            <w:vAlign w:val="bottom"/>
            <w:tcBorders>
              <w:bottom w:val="single" w:sz="8" w:color="auto"/>
            </w:tcBorders>
          </w:tcPr>
          <w:p>
            <w:pPr>
              <w:jc w:val="right"/>
              <w:ind w:right="40"/>
              <w:spacing w:after="0" w:line="236" w:lineRule="exact"/>
              <w:rPr>
                <w:sz w:val="20"/>
                <w:szCs w:val="20"/>
                <w:color w:val="auto"/>
              </w:rPr>
            </w:pPr>
            <w:r>
              <w:rPr>
                <w:rFonts w:ascii="Arial" w:cs="Arial" w:eastAsia="Arial" w:hAnsi="Arial"/>
                <w:sz w:val="14"/>
                <w:szCs w:val="14"/>
                <w:b w:val="1"/>
                <w:bCs w:val="1"/>
                <w:color w:val="auto"/>
                <w:w w:val="94"/>
              </w:rPr>
              <w:t>CLASS A</w:t>
            </w:r>
            <w:r>
              <w:rPr>
                <w:rFonts w:ascii="Arial" w:cs="Arial" w:eastAsia="Arial" w:hAnsi="Arial"/>
                <w:sz w:val="23"/>
                <w:szCs w:val="23"/>
                <w:b w:val="1"/>
                <w:bCs w:val="1"/>
                <w:color w:val="auto"/>
                <w:w w:val="94"/>
                <w:vertAlign w:val="superscript"/>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r>
      <w:tr>
        <w:trPr>
          <w:trHeight w:val="239"/>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Kenneth J. Bacon</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33,269</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81"/>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Madeline S. Bell</w:t>
            </w:r>
          </w:p>
        </w:tc>
        <w:tc>
          <w:tcPr>
            <w:tcW w:w="1240" w:type="dxa"/>
            <w:vAlign w:val="bottom"/>
            <w:tcBorders>
              <w:bottom w:val="single" w:sz="8" w:color="auto"/>
            </w:tcBorders>
          </w:tcPr>
          <w:p>
            <w:pPr>
              <w:jc w:val="right"/>
              <w:ind w:right="181"/>
              <w:spacing w:after="0" w:line="281" w:lineRule="exact"/>
              <w:rPr>
                <w:sz w:val="20"/>
                <w:szCs w:val="20"/>
                <w:color w:val="auto"/>
              </w:rPr>
            </w:pPr>
            <w:r>
              <w:rPr>
                <w:rFonts w:ascii="Arial" w:cs="Arial" w:eastAsia="Arial" w:hAnsi="Arial"/>
                <w:sz w:val="16"/>
                <w:szCs w:val="16"/>
                <w:color w:val="auto"/>
              </w:rPr>
              <w:t>37,920</w:t>
            </w:r>
            <w:r>
              <w:rPr>
                <w:rFonts w:ascii="Arial" w:cs="Arial" w:eastAsia="Arial" w:hAnsi="Arial"/>
                <w:sz w:val="26"/>
                <w:szCs w:val="26"/>
                <w:color w:val="auto"/>
                <w:vertAlign w:val="superscript"/>
              </w:rPr>
              <w:t>(3)</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7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Naomi M. Bergman</w:t>
            </w:r>
          </w:p>
        </w:tc>
        <w:tc>
          <w:tcPr>
            <w:tcW w:w="1240" w:type="dxa"/>
            <w:vAlign w:val="bottom"/>
            <w:tcBorders>
              <w:bottom w:val="single" w:sz="8" w:color="auto"/>
            </w:tcBorders>
          </w:tcPr>
          <w:p>
            <w:pPr>
              <w:jc w:val="right"/>
              <w:ind w:right="181"/>
              <w:spacing w:after="0" w:line="277" w:lineRule="exact"/>
              <w:rPr>
                <w:sz w:val="20"/>
                <w:szCs w:val="20"/>
                <w:color w:val="auto"/>
              </w:rPr>
            </w:pPr>
            <w:r>
              <w:rPr>
                <w:rFonts w:ascii="Arial" w:cs="Arial" w:eastAsia="Arial" w:hAnsi="Arial"/>
                <w:sz w:val="16"/>
                <w:szCs w:val="16"/>
                <w:color w:val="auto"/>
              </w:rPr>
              <w:t>21,923</w:t>
            </w:r>
            <w:r>
              <w:rPr>
                <w:rFonts w:ascii="Arial" w:cs="Arial" w:eastAsia="Arial" w:hAnsi="Arial"/>
                <w:sz w:val="26"/>
                <w:szCs w:val="26"/>
                <w:color w:val="auto"/>
                <w:vertAlign w:val="superscript"/>
              </w:rPr>
              <w:t>(4)</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7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Edward D. Breen</w:t>
            </w:r>
          </w:p>
        </w:tc>
        <w:tc>
          <w:tcPr>
            <w:tcW w:w="1240" w:type="dxa"/>
            <w:vAlign w:val="bottom"/>
            <w:tcBorders>
              <w:bottom w:val="single" w:sz="8" w:color="auto"/>
            </w:tcBorders>
          </w:tcPr>
          <w:p>
            <w:pPr>
              <w:jc w:val="right"/>
              <w:ind w:right="181"/>
              <w:spacing w:after="0" w:line="277" w:lineRule="exact"/>
              <w:rPr>
                <w:sz w:val="20"/>
                <w:szCs w:val="20"/>
                <w:color w:val="auto"/>
              </w:rPr>
            </w:pPr>
            <w:r>
              <w:rPr>
                <w:rFonts w:ascii="Arial" w:cs="Arial" w:eastAsia="Arial" w:hAnsi="Arial"/>
                <w:sz w:val="16"/>
                <w:szCs w:val="16"/>
                <w:color w:val="auto"/>
              </w:rPr>
              <w:t>126,934</w:t>
            </w:r>
            <w:r>
              <w:rPr>
                <w:rFonts w:ascii="Arial" w:cs="Arial" w:eastAsia="Arial" w:hAnsi="Arial"/>
                <w:sz w:val="26"/>
                <w:szCs w:val="26"/>
                <w:color w:val="auto"/>
                <w:vertAlign w:val="superscript"/>
              </w:rPr>
              <w:t>(5)</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7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Michael J. Cavanagh</w:t>
            </w:r>
          </w:p>
        </w:tc>
        <w:tc>
          <w:tcPr>
            <w:tcW w:w="1240" w:type="dxa"/>
            <w:vAlign w:val="bottom"/>
            <w:tcBorders>
              <w:bottom w:val="single" w:sz="8" w:color="auto"/>
            </w:tcBorders>
          </w:tcPr>
          <w:p>
            <w:pPr>
              <w:jc w:val="right"/>
              <w:ind w:right="181"/>
              <w:spacing w:after="0" w:line="277" w:lineRule="exact"/>
              <w:rPr>
                <w:sz w:val="20"/>
                <w:szCs w:val="20"/>
                <w:color w:val="auto"/>
              </w:rPr>
            </w:pPr>
            <w:r>
              <w:rPr>
                <w:rFonts w:ascii="Arial" w:cs="Arial" w:eastAsia="Arial" w:hAnsi="Arial"/>
                <w:sz w:val="16"/>
                <w:szCs w:val="16"/>
                <w:color w:val="auto"/>
              </w:rPr>
              <w:t>2,870,235</w:t>
            </w:r>
            <w:r>
              <w:rPr>
                <w:rFonts w:ascii="Arial" w:cs="Arial" w:eastAsia="Arial" w:hAnsi="Arial"/>
                <w:sz w:val="26"/>
                <w:szCs w:val="26"/>
                <w:color w:val="auto"/>
                <w:vertAlign w:val="superscript"/>
              </w:rPr>
              <w:t>(6)</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33"/>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Gerald L. Hassell</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173,272</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81"/>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Jeffrey A. Honickman</w:t>
            </w:r>
          </w:p>
        </w:tc>
        <w:tc>
          <w:tcPr>
            <w:tcW w:w="1240" w:type="dxa"/>
            <w:vAlign w:val="bottom"/>
            <w:tcBorders>
              <w:bottom w:val="single" w:sz="8" w:color="auto"/>
            </w:tcBorders>
          </w:tcPr>
          <w:p>
            <w:pPr>
              <w:jc w:val="right"/>
              <w:ind w:right="181"/>
              <w:spacing w:after="0" w:line="281" w:lineRule="exact"/>
              <w:rPr>
                <w:sz w:val="20"/>
                <w:szCs w:val="20"/>
                <w:color w:val="auto"/>
              </w:rPr>
            </w:pPr>
            <w:r>
              <w:rPr>
                <w:rFonts w:ascii="Arial" w:cs="Arial" w:eastAsia="Arial" w:hAnsi="Arial"/>
                <w:sz w:val="16"/>
                <w:szCs w:val="16"/>
                <w:color w:val="auto"/>
              </w:rPr>
              <w:t>338,025</w:t>
            </w:r>
            <w:r>
              <w:rPr>
                <w:rFonts w:ascii="Arial" w:cs="Arial" w:eastAsia="Arial" w:hAnsi="Arial"/>
                <w:sz w:val="26"/>
                <w:szCs w:val="26"/>
                <w:color w:val="auto"/>
                <w:vertAlign w:val="superscript"/>
              </w:rPr>
              <w:t>(7)</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7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Maritza G. Montiel</w:t>
            </w:r>
          </w:p>
        </w:tc>
        <w:tc>
          <w:tcPr>
            <w:tcW w:w="1240" w:type="dxa"/>
            <w:vAlign w:val="bottom"/>
            <w:tcBorders>
              <w:bottom w:val="single" w:sz="8" w:color="auto"/>
            </w:tcBorders>
          </w:tcPr>
          <w:p>
            <w:pPr>
              <w:jc w:val="right"/>
              <w:ind w:right="181"/>
              <w:spacing w:after="0" w:line="277" w:lineRule="exact"/>
              <w:rPr>
                <w:sz w:val="20"/>
                <w:szCs w:val="20"/>
                <w:color w:val="auto"/>
              </w:rPr>
            </w:pPr>
            <w:r>
              <w:rPr>
                <w:rFonts w:ascii="Arial" w:cs="Arial" w:eastAsia="Arial" w:hAnsi="Arial"/>
                <w:sz w:val="16"/>
                <w:szCs w:val="16"/>
                <w:color w:val="auto"/>
              </w:rPr>
              <w:t>13,783</w:t>
            </w:r>
            <w:r>
              <w:rPr>
                <w:rFonts w:ascii="Arial" w:cs="Arial" w:eastAsia="Arial" w:hAnsi="Arial"/>
                <w:sz w:val="26"/>
                <w:szCs w:val="26"/>
                <w:color w:val="auto"/>
                <w:vertAlign w:val="superscript"/>
              </w:rPr>
              <w:t>(8)</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33"/>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Asuka Nakahara</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46,087</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81"/>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David C. Novak</w:t>
            </w:r>
          </w:p>
        </w:tc>
        <w:tc>
          <w:tcPr>
            <w:tcW w:w="1240" w:type="dxa"/>
            <w:vAlign w:val="bottom"/>
            <w:tcBorders>
              <w:bottom w:val="single" w:sz="8" w:color="auto"/>
            </w:tcBorders>
          </w:tcPr>
          <w:p>
            <w:pPr>
              <w:jc w:val="right"/>
              <w:ind w:right="181"/>
              <w:spacing w:after="0" w:line="281" w:lineRule="exact"/>
              <w:rPr>
                <w:sz w:val="20"/>
                <w:szCs w:val="20"/>
                <w:color w:val="auto"/>
              </w:rPr>
            </w:pPr>
            <w:r>
              <w:rPr>
                <w:rFonts w:ascii="Arial" w:cs="Arial" w:eastAsia="Arial" w:hAnsi="Arial"/>
                <w:sz w:val="16"/>
                <w:szCs w:val="16"/>
                <w:color w:val="auto"/>
              </w:rPr>
              <w:t>367,871</w:t>
            </w:r>
            <w:r>
              <w:rPr>
                <w:rFonts w:ascii="Arial" w:cs="Arial" w:eastAsia="Arial" w:hAnsi="Arial"/>
                <w:sz w:val="26"/>
                <w:szCs w:val="26"/>
                <w:color w:val="auto"/>
                <w:vertAlign w:val="superscript"/>
              </w:rPr>
              <w:t>(9)</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7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Brian L. Roberts</w:t>
            </w:r>
          </w:p>
        </w:tc>
        <w:tc>
          <w:tcPr>
            <w:tcW w:w="1240" w:type="dxa"/>
            <w:vAlign w:val="bottom"/>
            <w:tcBorders>
              <w:bottom w:val="single" w:sz="8" w:color="auto"/>
            </w:tcBorders>
          </w:tcPr>
          <w:p>
            <w:pPr>
              <w:jc w:val="right"/>
              <w:ind w:right="101"/>
              <w:spacing w:after="0" w:line="277" w:lineRule="exact"/>
              <w:rPr>
                <w:sz w:val="20"/>
                <w:szCs w:val="20"/>
                <w:color w:val="auto"/>
              </w:rPr>
            </w:pPr>
            <w:r>
              <w:rPr>
                <w:rFonts w:ascii="Arial" w:cs="Arial" w:eastAsia="Arial" w:hAnsi="Arial"/>
                <w:sz w:val="16"/>
                <w:szCs w:val="16"/>
                <w:color w:val="auto"/>
                <w:w w:val="93"/>
              </w:rPr>
              <w:t>32,009,716</w:t>
            </w:r>
            <w:r>
              <w:rPr>
                <w:rFonts w:ascii="Arial" w:cs="Arial" w:eastAsia="Arial" w:hAnsi="Arial"/>
                <w:sz w:val="26"/>
                <w:szCs w:val="26"/>
                <w:color w:val="auto"/>
                <w:w w:val="93"/>
                <w:vertAlign w:val="superscript"/>
              </w:rPr>
              <w:t>(10)</w:t>
            </w:r>
          </w:p>
        </w:tc>
        <w:tc>
          <w:tcPr>
            <w:tcW w:w="1120" w:type="dxa"/>
            <w:vAlign w:val="bottom"/>
            <w:tcBorders>
              <w:bottom w:val="single" w:sz="8" w:color="auto"/>
            </w:tcBorders>
          </w:tcPr>
          <w:p>
            <w:pPr>
              <w:jc w:val="right"/>
              <w:spacing w:after="0" w:line="277" w:lineRule="exact"/>
              <w:rPr>
                <w:sz w:val="20"/>
                <w:szCs w:val="20"/>
                <w:color w:val="auto"/>
              </w:rPr>
            </w:pPr>
            <w:r>
              <w:rPr>
                <w:rFonts w:ascii="Arial" w:cs="Arial" w:eastAsia="Arial" w:hAnsi="Arial"/>
                <w:sz w:val="16"/>
                <w:szCs w:val="16"/>
                <w:color w:val="auto"/>
              </w:rPr>
              <w:t>9,444,375</w:t>
            </w:r>
            <w:r>
              <w:rPr>
                <w:rFonts w:ascii="Arial" w:cs="Arial" w:eastAsia="Arial" w:hAnsi="Arial"/>
                <w:sz w:val="26"/>
                <w:szCs w:val="26"/>
                <w:color w:val="auto"/>
                <w:vertAlign w:val="superscript"/>
              </w:rPr>
              <w:t>(11)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277" w:lineRule="exact"/>
              <w:rPr>
                <w:sz w:val="20"/>
                <w:szCs w:val="20"/>
                <w:color w:val="auto"/>
              </w:rPr>
            </w:pPr>
            <w:r>
              <w:rPr>
                <w:rFonts w:ascii="Arial" w:cs="Arial" w:eastAsia="Arial" w:hAnsi="Arial"/>
                <w:sz w:val="16"/>
                <w:szCs w:val="16"/>
                <w:color w:val="auto"/>
              </w:rPr>
              <w:t>100%</w:t>
            </w:r>
            <w:r>
              <w:rPr>
                <w:rFonts w:ascii="Arial" w:cs="Arial" w:eastAsia="Arial" w:hAnsi="Arial"/>
                <w:sz w:val="26"/>
                <w:szCs w:val="26"/>
                <w:color w:val="auto"/>
                <w:vertAlign w:val="superscript"/>
              </w:rPr>
              <w:t>(11)</w:t>
            </w:r>
          </w:p>
        </w:tc>
      </w:tr>
      <w:tr>
        <w:trPr>
          <w:trHeight w:val="233"/>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Jeff Shell</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720,907</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3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Dana Strong</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321,264</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81"/>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David N. Watson</w:t>
            </w:r>
          </w:p>
        </w:tc>
        <w:tc>
          <w:tcPr>
            <w:tcW w:w="1240" w:type="dxa"/>
            <w:vAlign w:val="bottom"/>
            <w:tcBorders>
              <w:bottom w:val="single" w:sz="8" w:color="auto"/>
            </w:tcBorders>
          </w:tcPr>
          <w:p>
            <w:pPr>
              <w:jc w:val="right"/>
              <w:ind w:right="101"/>
              <w:spacing w:after="0" w:line="281" w:lineRule="exact"/>
              <w:rPr>
                <w:sz w:val="20"/>
                <w:szCs w:val="20"/>
                <w:color w:val="auto"/>
              </w:rPr>
            </w:pPr>
            <w:r>
              <w:rPr>
                <w:rFonts w:ascii="Arial" w:cs="Arial" w:eastAsia="Arial" w:hAnsi="Arial"/>
                <w:sz w:val="16"/>
                <w:szCs w:val="16"/>
                <w:color w:val="auto"/>
              </w:rPr>
              <w:t>2,671,915</w:t>
            </w:r>
            <w:r>
              <w:rPr>
                <w:rFonts w:ascii="Arial" w:cs="Arial" w:eastAsia="Arial" w:hAnsi="Arial"/>
                <w:sz w:val="26"/>
                <w:szCs w:val="26"/>
                <w:color w:val="auto"/>
                <w:vertAlign w:val="superscript"/>
              </w:rPr>
              <w:t>(12)</w:t>
            </w: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r>
      <w:tr>
        <w:trPr>
          <w:trHeight w:val="237"/>
        </w:trPr>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All directors and executive officers as a group (17 persons)</w:t>
            </w:r>
          </w:p>
        </w:tc>
        <w:tc>
          <w:tcPr>
            <w:tcW w:w="1240" w:type="dxa"/>
            <w:vAlign w:val="bottom"/>
            <w:tcBorders>
              <w:bottom w:val="single" w:sz="8" w:color="auto"/>
            </w:tcBorders>
          </w:tcPr>
          <w:p>
            <w:pPr>
              <w:jc w:val="right"/>
              <w:ind w:right="101"/>
              <w:spacing w:after="0" w:line="236" w:lineRule="exact"/>
              <w:rPr>
                <w:sz w:val="20"/>
                <w:szCs w:val="20"/>
                <w:color w:val="auto"/>
              </w:rPr>
            </w:pPr>
            <w:r>
              <w:rPr>
                <w:rFonts w:ascii="Arial" w:cs="Arial" w:eastAsia="Arial" w:hAnsi="Arial"/>
                <w:sz w:val="16"/>
                <w:szCs w:val="16"/>
                <w:color w:val="auto"/>
                <w:w w:val="93"/>
              </w:rPr>
              <w:t>40,182,892</w:t>
            </w:r>
            <w:r>
              <w:rPr>
                <w:rFonts w:ascii="Arial" w:cs="Arial" w:eastAsia="Arial" w:hAnsi="Arial"/>
                <w:sz w:val="26"/>
                <w:szCs w:val="26"/>
                <w:color w:val="auto"/>
                <w:w w:val="93"/>
                <w:vertAlign w:val="superscript"/>
              </w:rPr>
              <w:t>(13)</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9,444,375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100%</w:t>
            </w:r>
          </w:p>
        </w:tc>
      </w:tr>
    </w:tbl>
    <w:p>
      <w:pPr>
        <w:spacing w:after="0" w:line="153" w:lineRule="exact"/>
        <w:rPr>
          <w:sz w:val="20"/>
          <w:szCs w:val="20"/>
          <w:color w:val="auto"/>
        </w:rPr>
      </w:pPr>
    </w:p>
    <w:p>
      <w:pPr>
        <w:ind w:left="380" w:hanging="372"/>
        <w:spacing w:after="0"/>
        <w:tabs>
          <w:tab w:leader="none" w:pos="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 than 1% of the outstanding shares of the applicable class.</w:t>
      </w:r>
    </w:p>
    <w:p>
      <w:pPr>
        <w:spacing w:after="0" w:line="77"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Beneficial ownership as reported in the above table has been determined in accordance with Rule 13d-3 under the Exchange Act.</w:t>
      </w:r>
    </w:p>
    <w:p>
      <w:pPr>
        <w:spacing w:after="0" w:line="133" w:lineRule="exact"/>
        <w:rPr>
          <w:rFonts w:ascii="Arial" w:cs="Arial" w:eastAsia="Arial" w:hAnsi="Arial"/>
          <w:sz w:val="24"/>
          <w:szCs w:val="24"/>
          <w:color w:val="auto"/>
          <w:vertAlign w:val="superscript"/>
        </w:rPr>
      </w:pPr>
    </w:p>
    <w:p>
      <w:pPr>
        <w:ind w:left="380" w:right="520" w:hanging="372"/>
        <w:spacing w:after="0" w:line="193" w:lineRule="auto"/>
        <w:tabs>
          <w:tab w:leader="none" w:pos="38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Includes beneficial ownership of the following number of shares for which the following persons hold options exercisable on or within 60 days of March 1, 2022: Mr. Cavanagh, 2,492,308; Mr. Roberts, 5,356,210; Mr. Shell, 263,202; Ms. Strong 227,211; Mr. Watson, 1,646,785; and all executive officers as a group, 10,273,706.</w:t>
      </w:r>
    </w:p>
    <w:p>
      <w:pPr>
        <w:spacing w:after="0" w:line="134" w:lineRule="exact"/>
        <w:rPr>
          <w:rFonts w:ascii="Arial" w:cs="Arial" w:eastAsia="Arial" w:hAnsi="Arial"/>
          <w:sz w:val="24"/>
          <w:szCs w:val="24"/>
          <w:color w:val="auto"/>
          <w:vertAlign w:val="superscript"/>
        </w:rPr>
      </w:pPr>
    </w:p>
    <w:p>
      <w:pPr>
        <w:ind w:left="380" w:right="200"/>
        <w:spacing w:after="0" w:line="285" w:lineRule="auto"/>
        <w:rPr>
          <w:rFonts w:ascii="Arial" w:cs="Arial" w:eastAsia="Arial" w:hAnsi="Arial"/>
          <w:sz w:val="24"/>
          <w:szCs w:val="24"/>
          <w:color w:val="auto"/>
          <w:vertAlign w:val="superscript"/>
        </w:rPr>
      </w:pPr>
      <w:r>
        <w:rPr>
          <w:rFonts w:ascii="Arial" w:cs="Arial" w:eastAsia="Arial" w:hAnsi="Arial"/>
          <w:sz w:val="14"/>
          <w:szCs w:val="14"/>
          <w:color w:val="auto"/>
        </w:rPr>
        <w:t>Includes beneficial ownership of the following number of shares underlying stock units held by the following persons that vest on or within 60 days of March 1, 2022: Mr. Cavanagh, 136,687; Mr. Roberts, 170,923; Mr. Shell, 62,999; Ms. Strong, 17,934; Mr. Watson, 95,001; and all executive officers as a group, 557,371.</w:t>
      </w:r>
    </w:p>
    <w:p>
      <w:pPr>
        <w:spacing w:after="0" w:line="103" w:lineRule="exact"/>
        <w:rPr>
          <w:rFonts w:ascii="Arial" w:cs="Arial" w:eastAsia="Arial" w:hAnsi="Arial"/>
          <w:sz w:val="24"/>
          <w:szCs w:val="24"/>
          <w:color w:val="auto"/>
          <w:vertAlign w:val="superscript"/>
        </w:rPr>
      </w:pPr>
    </w:p>
    <w:p>
      <w:pPr>
        <w:ind w:left="380" w:right="200"/>
        <w:spacing w:after="0" w:line="285" w:lineRule="auto"/>
        <w:rPr>
          <w:rFonts w:ascii="Arial" w:cs="Arial" w:eastAsia="Arial" w:hAnsi="Arial"/>
          <w:sz w:val="24"/>
          <w:szCs w:val="24"/>
          <w:color w:val="auto"/>
          <w:vertAlign w:val="superscript"/>
        </w:rPr>
      </w:pPr>
      <w:r>
        <w:rPr>
          <w:rFonts w:ascii="Arial" w:cs="Arial" w:eastAsia="Arial" w:hAnsi="Arial"/>
          <w:sz w:val="14"/>
          <w:szCs w:val="14"/>
          <w:color w:val="auto"/>
        </w:rPr>
        <w:t>Includes the following number of shares that will be paid at a future date in stock under our deferred compensation plans for the following persons: Ms. Bell, 33,400; Ms. Bergman, 14,723; Mr. Breen, 2,110; Mr. Hassell, 168,562; Mr. Honickman, 216,742; Ms. Montiel, 12,985; Mr. Nakahara, 41,895; and Mr. Novak, 38,321.</w:t>
      </w:r>
    </w:p>
    <w:p>
      <w:pPr>
        <w:spacing w:after="0" w:line="17" w:lineRule="exact"/>
        <w:rPr>
          <w:rFonts w:ascii="Arial" w:cs="Arial" w:eastAsia="Arial" w:hAnsi="Arial"/>
          <w:sz w:val="24"/>
          <w:szCs w:val="24"/>
          <w:color w:val="auto"/>
          <w:vertAlign w:val="superscript"/>
        </w:rPr>
      </w:pPr>
    </w:p>
    <w:p>
      <w:pPr>
        <w:ind w:left="380" w:hanging="372"/>
        <w:spacing w:after="0"/>
        <w:tabs>
          <w:tab w:leader="none" w:pos="38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Includes 2,200 shares held jointly by her and her spouse and 400 shares held by her spouse.</w:t>
      </w:r>
    </w:p>
    <w:p>
      <w:pPr>
        <w:spacing w:after="0" w:line="127"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Ms. Bergman is not a nominee for director at our 2022 annual meeting. Includes 300 shares held by a family trust.</w:t>
      </w:r>
    </w:p>
    <w:p>
      <w:pPr>
        <w:spacing w:after="0" w:line="127" w:lineRule="exact"/>
        <w:rPr>
          <w:rFonts w:ascii="Arial" w:cs="Arial" w:eastAsia="Arial" w:hAnsi="Arial"/>
          <w:sz w:val="22"/>
          <w:szCs w:val="22"/>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101,140 shares held by a grantor retained annuity trust of which he is a trustee.</w:t>
      </w:r>
    </w:p>
    <w:p>
      <w:pPr>
        <w:spacing w:after="0" w:line="127" w:lineRule="exact"/>
        <w:rPr>
          <w:rFonts w:ascii="Arial" w:cs="Arial" w:eastAsia="Arial" w:hAnsi="Arial"/>
          <w:sz w:val="22"/>
          <w:szCs w:val="22"/>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238,540 shares and 1,167,777 shares underlying options held by a trust of which his spouse is a trustee.</w:t>
      </w:r>
    </w:p>
    <w:p>
      <w:pPr>
        <w:spacing w:after="0" w:line="127" w:lineRule="exact"/>
        <w:rPr>
          <w:rFonts w:ascii="Arial" w:cs="Arial" w:eastAsia="Arial" w:hAnsi="Arial"/>
          <w:sz w:val="22"/>
          <w:szCs w:val="22"/>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20,000 shares held by a grantor trust of which he is a trustee.</w:t>
      </w:r>
    </w:p>
    <w:p>
      <w:pPr>
        <w:spacing w:after="0" w:line="127" w:lineRule="exact"/>
        <w:rPr>
          <w:rFonts w:ascii="Arial" w:cs="Arial" w:eastAsia="Arial" w:hAnsi="Arial"/>
          <w:sz w:val="22"/>
          <w:szCs w:val="22"/>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425 shares held in an individual retirement account.</w:t>
      </w:r>
    </w:p>
    <w:p>
      <w:pPr>
        <w:spacing w:after="0" w:line="127" w:lineRule="exact"/>
        <w:rPr>
          <w:rFonts w:ascii="Arial" w:cs="Arial" w:eastAsia="Arial" w:hAnsi="Arial"/>
          <w:sz w:val="22"/>
          <w:szCs w:val="22"/>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500 shares held by family trusts.</w:t>
      </w:r>
    </w:p>
    <w:p>
      <w:pPr>
        <w:spacing w:after="0" w:line="133" w:lineRule="exact"/>
        <w:rPr>
          <w:rFonts w:ascii="Arial" w:cs="Arial" w:eastAsia="Arial" w:hAnsi="Arial"/>
          <w:sz w:val="22"/>
          <w:szCs w:val="22"/>
          <w:color w:val="auto"/>
          <w:vertAlign w:val="superscript"/>
        </w:rPr>
      </w:pPr>
    </w:p>
    <w:p>
      <w:pPr>
        <w:ind w:left="380" w:right="160" w:hanging="372"/>
        <w:spacing w:after="0" w:line="213" w:lineRule="auto"/>
        <w:tabs>
          <w:tab w:leader="none" w:pos="38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Includes 286,044 shares owned by his spouse; 480 shares owned by his daughter; 1,438,016 shares owned by a family charitable foundation of which his spouse is a trustee; 13,712,646 shares owned by limited liability companies of which he is the managing member; and 7,404,817 shares owned by certain family trusts. Does not include shares of Class A common stock issuable upon conversion of Class B common stock beneficially owned by him; if he were to convert the Class B common stock into Class A common stock, he would beneficially own approximately 1% of the Class A common stock.</w:t>
      </w:r>
    </w:p>
    <w:p>
      <w:pPr>
        <w:spacing w:after="0" w:line="50" w:lineRule="exact"/>
        <w:rPr>
          <w:rFonts w:ascii="Arial" w:cs="Arial" w:eastAsia="Arial" w:hAnsi="Arial"/>
          <w:sz w:val="24"/>
          <w:szCs w:val="24"/>
          <w:color w:val="auto"/>
          <w:vertAlign w:val="superscript"/>
        </w:rPr>
      </w:pPr>
    </w:p>
    <w:p>
      <w:pPr>
        <w:ind w:left="380" w:hanging="372"/>
        <w:spacing w:after="0"/>
        <w:tabs>
          <w:tab w:leader="none" w:pos="38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See footnote (3) under “— Principal Shareholders” above.</w:t>
      </w:r>
    </w:p>
    <w:p>
      <w:pPr>
        <w:spacing w:after="0" w:line="127"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140 shares owned by his spouse; 5,328 shares owned by his children; and 440,842 shares held in family trusts.</w:t>
      </w:r>
    </w:p>
    <w:p>
      <w:pPr>
        <w:spacing w:after="0" w:line="127" w:lineRule="exact"/>
        <w:rPr>
          <w:rFonts w:ascii="Arial" w:cs="Arial" w:eastAsia="Arial" w:hAnsi="Arial"/>
          <w:sz w:val="22"/>
          <w:szCs w:val="22"/>
          <w:color w:val="auto"/>
          <w:vertAlign w:val="superscript"/>
        </w:rPr>
      </w:pPr>
    </w:p>
    <w:p>
      <w:pPr>
        <w:ind w:left="380" w:hanging="372"/>
        <w:spacing w:after="0" w:line="186" w:lineRule="auto"/>
        <w:tabs>
          <w:tab w:leader="none" w:pos="38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Includes 25 shares held by a family trust.</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A1DF"/>
        </w:rPr>
        <w:t>Delinquent Section 16(a) Reports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Based on our review of such reports and written representations from the individuals required to file the reports, we believe that all filings required to be made by our reporting persons for 2021 were made on a timely basis, other than a late Form 4 filing on behalf of each of Thomas J. Reid and Jeffrey Shell with respect to two and three transactions, respectively, that were subsequently reported.</w:t>
      </w:r>
    </w:p>
    <w:p>
      <w:pPr>
        <w:spacing w:after="0" w:line="2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of Directors</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00A1DF"/>
        </w:rPr>
        <w:t>Director Compensation Program</w:t>
      </w:r>
    </w:p>
    <w:p>
      <w:pPr>
        <w:spacing w:after="0" w:line="18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From time to time, the Compensation and Human Capital Committee directs an independent compensation consultant to provide analyses with respect to various nonemployee director compensation data. Korn Ferry last provided this analysis in 2021. For 2021, our nonemployee directors received annual compensation as follows:</w:t>
      </w:r>
    </w:p>
    <w:p>
      <w:pPr>
        <w:spacing w:after="0" w:line="112"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00A1DF"/>
        </w:rPr>
        <w:t>DIRECTOR FEES</w:t>
      </w:r>
      <w:r>
        <w:rPr>
          <w:sz w:val="20"/>
          <w:szCs w:val="20"/>
          <w:color w:val="auto"/>
        </w:rPr>
        <w:tab/>
      </w:r>
      <w:r>
        <w:rPr>
          <w:rFonts w:ascii="Arial" w:cs="Arial" w:eastAsia="Arial" w:hAnsi="Arial"/>
          <w:sz w:val="17"/>
          <w:szCs w:val="17"/>
          <w:color w:val="00A1DF"/>
        </w:rPr>
        <w:t>COMMITTEE MEMBERSHIP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6858000" cy="1791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0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FFFFFF"/>
        </w:rPr>
        <w:t xml:space="preserve">Annual Retainer FMV of Annual Grant of Shares of CMCSA $110,000 $195,000 </w:t>
      </w:r>
      <w:r>
        <w:rPr>
          <w:rFonts w:ascii="Arial" w:cs="Arial" w:eastAsia="Arial" w:hAnsi="Arial"/>
          <w:sz w:val="10"/>
          <w:szCs w:val="10"/>
          <w:color w:val="FFFFFF"/>
        </w:rPr>
        <w:t>Audit Committee Compensation and Human Capital Committee Governance and Corporate</w:t>
      </w:r>
      <w:r>
        <w:rPr>
          <w:rFonts w:ascii="Arial" w:cs="Arial" w:eastAsia="Arial" w:hAnsi="Arial"/>
          <w:sz w:val="11"/>
          <w:szCs w:val="11"/>
          <w:color w:val="FFFFFF"/>
        </w:rPr>
        <w:t xml:space="preserve"> </w:t>
      </w:r>
      <w:r>
        <w:rPr>
          <w:rFonts w:ascii="Arial" w:cs="Arial" w:eastAsia="Arial" w:hAnsi="Arial"/>
          <w:sz w:val="17"/>
          <w:szCs w:val="17"/>
          <w:color w:val="FFFFFF"/>
          <w:vertAlign w:val="superscript"/>
        </w:rPr>
        <w:t>Responsibility</w:t>
      </w:r>
      <w:r>
        <w:rPr>
          <w:rFonts w:ascii="Arial" w:cs="Arial" w:eastAsia="Arial" w:hAnsi="Arial"/>
          <w:sz w:val="12"/>
          <w:szCs w:val="12"/>
          <w:color w:val="000000"/>
        </w:rPr>
        <w:t>Theannual retainer</w:t>
      </w:r>
      <w:r>
        <w:rPr>
          <w:rFonts w:ascii="Arial" w:cs="Arial" w:eastAsia="Arial" w:hAnsi="Arial"/>
          <w:sz w:val="17"/>
          <w:szCs w:val="17"/>
          <w:color w:val="FFFFFF"/>
          <w:vertAlign w:val="superscript"/>
        </w:rPr>
        <w:t>Committee</w:t>
      </w:r>
      <w:r>
        <w:rPr>
          <w:rFonts w:ascii="Arial" w:cs="Arial" w:eastAsia="Arial" w:hAnsi="Arial"/>
          <w:sz w:val="12"/>
          <w:szCs w:val="12"/>
          <w:color w:val="000000"/>
        </w:rPr>
        <w:t>may</w:t>
      </w:r>
      <w:r>
        <w:rPr>
          <w:rFonts w:ascii="Arial" w:cs="Arial" w:eastAsia="Arial" w:hAnsi="Arial"/>
          <w:sz w:val="17"/>
          <w:szCs w:val="17"/>
          <w:color w:val="FFFFFF"/>
          <w:vertAlign w:val="superscript"/>
        </w:rPr>
        <w:t>$40,000</w:t>
      </w:r>
      <w:r>
        <w:rPr>
          <w:rFonts w:ascii="Arial" w:cs="Arial" w:eastAsia="Arial" w:hAnsi="Arial"/>
          <w:sz w:val="12"/>
          <w:szCs w:val="12"/>
          <w:color w:val="000000"/>
        </w:rPr>
        <w:t>bereceived,</w:t>
      </w:r>
      <w:r>
        <w:rPr>
          <w:rFonts w:ascii="Arial" w:cs="Arial" w:eastAsia="Arial" w:hAnsi="Arial"/>
          <w:sz w:val="17"/>
          <w:szCs w:val="17"/>
          <w:color w:val="FFFFFF"/>
          <w:vertAlign w:val="superscript"/>
        </w:rPr>
        <w:t>$15,000$15,000</w:t>
      </w:r>
      <w:r>
        <w:rPr>
          <w:rFonts w:ascii="Arial" w:cs="Arial" w:eastAsia="Arial" w:hAnsi="Arial"/>
          <w:sz w:val="12"/>
          <w:szCs w:val="12"/>
          <w:color w:val="000000"/>
        </w:rPr>
        <w:t xml:space="preserve">atthe </w:t>
      </w:r>
      <w:r>
        <w:rPr>
          <w:rFonts w:ascii="Arial" w:cs="Arial" w:eastAsia="Arial" w:hAnsi="Arial"/>
          <w:sz w:val="17"/>
          <w:szCs w:val="17"/>
          <w:color w:val="FFFFFF"/>
          <w:vertAlign w:val="superscript"/>
        </w:rPr>
        <w:t>$</w:t>
      </w:r>
      <w:r>
        <w:rPr>
          <w:rFonts w:ascii="Arial" w:cs="Arial" w:eastAsia="Arial" w:hAnsi="Arial"/>
          <w:sz w:val="12"/>
          <w:szCs w:val="12"/>
          <w:color w:val="000000"/>
        </w:rPr>
        <w:t>election</w:t>
      </w:r>
      <w:r>
        <w:rPr>
          <w:rFonts w:ascii="Arial" w:cs="Arial" w:eastAsia="Arial" w:hAnsi="Arial"/>
          <w:sz w:val="17"/>
          <w:szCs w:val="17"/>
          <w:color w:val="FFFFFF"/>
          <w:vertAlign w:val="superscript"/>
        </w:rPr>
        <w:t>12,500$40,000</w:t>
      </w:r>
      <w:r>
        <w:rPr>
          <w:rFonts w:ascii="Arial" w:cs="Arial" w:eastAsia="Arial" w:hAnsi="Arial"/>
          <w:sz w:val="12"/>
          <w:szCs w:val="12"/>
          <w:color w:val="000000"/>
        </w:rPr>
        <w:t xml:space="preserve">ofthe </w:t>
      </w:r>
      <w:r>
        <w:rPr>
          <w:rFonts w:ascii="Arial" w:cs="Arial" w:eastAsia="Arial" w:hAnsi="Arial"/>
          <w:sz w:val="17"/>
          <w:szCs w:val="17"/>
          <w:color w:val="FFFFFF"/>
          <w:vertAlign w:val="superscript"/>
        </w:rPr>
        <w:t>$</w:t>
      </w:r>
      <w:r>
        <w:rPr>
          <w:rFonts w:ascii="Arial" w:cs="Arial" w:eastAsia="Arial" w:hAnsi="Arial"/>
          <w:sz w:val="12"/>
          <w:szCs w:val="12"/>
          <w:color w:val="000000"/>
        </w:rPr>
        <w:t>nonemployee</w:t>
      </w:r>
      <w:r>
        <w:rPr>
          <w:rFonts w:ascii="Arial" w:cs="Arial" w:eastAsia="Arial" w:hAnsi="Arial"/>
          <w:sz w:val="17"/>
          <w:szCs w:val="17"/>
          <w:color w:val="FFFFFF"/>
          <w:vertAlign w:val="superscript"/>
        </w:rPr>
        <w:t>20,000ChairMemb</w:t>
      </w:r>
      <w:r>
        <w:rPr>
          <w:rFonts w:ascii="Arial" w:cs="Arial" w:eastAsia="Arial" w:hAnsi="Arial"/>
          <w:sz w:val="12"/>
          <w:szCs w:val="12"/>
          <w:color w:val="000000"/>
        </w:rPr>
        <w:t>director</w:t>
      </w:r>
      <w:r>
        <w:rPr>
          <w:rFonts w:ascii="Arial" w:cs="Arial" w:eastAsia="Arial" w:hAnsi="Arial"/>
          <w:sz w:val="17"/>
          <w:szCs w:val="17"/>
          <w:color w:val="FFFFFF"/>
          <w:vertAlign w:val="superscript"/>
        </w:rPr>
        <w:t>r</w:t>
      </w:r>
      <w:r>
        <w:rPr>
          <w:rFonts w:ascii="Arial" w:cs="Arial" w:eastAsia="Arial" w:hAnsi="Arial"/>
          <w:sz w:val="12"/>
          <w:szCs w:val="12"/>
          <w:color w:val="000000"/>
        </w:rPr>
        <w:t>, in shares of Class A common stock, the receipt of which may be deferred</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in whole or in part. The receipt of the annual stock grant (which is fully vested upon grant) also may be deferred in whole or in part under our restricted stock plan. Any fees received by a director may be deferred in whole or in part under our deferred compensation plans. Deferred fees must be invested notionally in a third-party mutual or exchange fund or our Class A common stock fund (with dividends being reinvested in Comcast stock).</w:t>
      </w:r>
    </w:p>
    <w:p>
      <w:pPr>
        <w:spacing w:after="0" w:line="12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A director emeritus receives an annual cash payment equal to the fair market value of our annual stock grant and the same annual Board retainer as provided above for nonemployee directors for the first year of service and remains eligible for participation in our deferred compensation plans for the first two years of service.</w:t>
      </w:r>
    </w:p>
    <w:p>
      <w:pPr>
        <w:spacing w:after="0" w:line="117"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Nonemployee directors and directors emeritus are reimbursed for travel expenses for meetings attended and are provided with our high-speed internet, video, voice and home security and automation services at two residences, if in our service areas, at no cost during the time they serve, and for five years thereafter.</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0A1DF"/>
        </w:rPr>
        <w:t>Director Stock Ownership Policy</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includes 60% of any deferred shares. In determining compliance, the Compensation and Human Capital Committee may consider any noncompliance that occurs solely or primarily as a result of a decline in the market price of our stock. All nonemployee directors satisfied the requirements of our stock ownership policy in 2021.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A1DF"/>
        </w:rPr>
        <w:t>Director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specified information regarding the compensation of our nonemployee directors in 2021. No information is provided for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Roberts, who is an employee director and does not receive compensation for his services as a director.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4320" w:type="dxa"/>
            <w:vAlign w:val="bottom"/>
          </w:tcPr>
          <w:p>
            <w:pPr>
              <w:jc w:val="center"/>
              <w:ind w:left="3262"/>
              <w:spacing w:after="0"/>
              <w:rPr>
                <w:sz w:val="20"/>
                <w:szCs w:val="20"/>
                <w:color w:val="auto"/>
              </w:rPr>
            </w:pPr>
            <w:r>
              <w:rPr>
                <w:rFonts w:ascii="Arial" w:cs="Arial" w:eastAsia="Arial" w:hAnsi="Arial"/>
                <w:sz w:val="14"/>
                <w:szCs w:val="14"/>
                <w:b w:val="1"/>
                <w:bCs w:val="1"/>
                <w:color w:val="auto"/>
              </w:rPr>
              <w:t>FEES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4320" w:type="dxa"/>
            <w:vAlign w:val="bottom"/>
          </w:tcPr>
          <w:p>
            <w:pPr>
              <w:jc w:val="center"/>
              <w:ind w:left="3262"/>
              <w:spacing w:after="0"/>
              <w:rPr>
                <w:sz w:val="20"/>
                <w:szCs w:val="20"/>
                <w:color w:val="auto"/>
              </w:rPr>
            </w:pPr>
            <w:r>
              <w:rPr>
                <w:rFonts w:ascii="Arial" w:cs="Arial" w:eastAsia="Arial" w:hAnsi="Arial"/>
                <w:sz w:val="14"/>
                <w:szCs w:val="14"/>
                <w:b w:val="1"/>
                <w:bCs w:val="1"/>
                <w:color w:val="auto"/>
              </w:rPr>
              <w:t>EARNED</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9"/>
        </w:trPr>
        <w:tc>
          <w:tcPr>
            <w:tcW w:w="5200" w:type="dxa"/>
            <w:vAlign w:val="bottom"/>
          </w:tcPr>
          <w:p>
            <w:pPr>
              <w:spacing w:after="0"/>
              <w:rPr>
                <w:sz w:val="13"/>
                <w:szCs w:val="13"/>
                <w:color w:val="auto"/>
              </w:rPr>
            </w:pPr>
          </w:p>
        </w:tc>
        <w:tc>
          <w:tcPr>
            <w:tcW w:w="4320" w:type="dxa"/>
            <w:vAlign w:val="bottom"/>
          </w:tcPr>
          <w:p>
            <w:pPr>
              <w:jc w:val="center"/>
              <w:ind w:left="3262"/>
              <w:spacing w:after="0" w:line="159" w:lineRule="exact"/>
              <w:rPr>
                <w:sz w:val="20"/>
                <w:szCs w:val="20"/>
                <w:color w:val="auto"/>
              </w:rPr>
            </w:pPr>
            <w:r>
              <w:rPr>
                <w:rFonts w:ascii="Arial" w:cs="Arial" w:eastAsia="Arial" w:hAnsi="Arial"/>
                <w:sz w:val="14"/>
                <w:szCs w:val="14"/>
                <w:b w:val="1"/>
                <w:bCs w:val="1"/>
                <w:color w:val="auto"/>
                <w:w w:val="99"/>
              </w:rPr>
              <w:t>OR PAID</w:t>
            </w:r>
          </w:p>
        </w:tc>
        <w:tc>
          <w:tcPr>
            <w:tcW w:w="1020" w:type="dxa"/>
            <w:vAlign w:val="bottom"/>
          </w:tcPr>
          <w:p>
            <w:pPr>
              <w:jc w:val="right"/>
              <w:ind w:right="181"/>
              <w:spacing w:after="0" w:line="159" w:lineRule="exact"/>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3"/>
                <w:szCs w:val="13"/>
                <w:color w:val="auto"/>
              </w:rPr>
            </w:pPr>
          </w:p>
        </w:tc>
      </w:tr>
      <w:tr>
        <w:trPr>
          <w:trHeight w:val="192"/>
        </w:trPr>
        <w:tc>
          <w:tcPr>
            <w:tcW w:w="5200" w:type="dxa"/>
            <w:vAlign w:val="bottom"/>
          </w:tcPr>
          <w:p>
            <w:pPr>
              <w:spacing w:after="0"/>
              <w:rPr>
                <w:sz w:val="16"/>
                <w:szCs w:val="16"/>
                <w:color w:val="auto"/>
              </w:rPr>
            </w:pPr>
          </w:p>
        </w:tc>
        <w:tc>
          <w:tcPr>
            <w:tcW w:w="4320" w:type="dxa"/>
            <w:vAlign w:val="bottom"/>
          </w:tcPr>
          <w:p>
            <w:pPr>
              <w:jc w:val="right"/>
              <w:ind w:right="42"/>
              <w:spacing w:after="0" w:line="192" w:lineRule="exact"/>
              <w:rPr>
                <w:sz w:val="20"/>
                <w:szCs w:val="20"/>
                <w:color w:val="auto"/>
              </w:rPr>
            </w:pPr>
            <w:r>
              <w:rPr>
                <w:rFonts w:ascii="Arial" w:cs="Arial" w:eastAsia="Arial" w:hAnsi="Arial"/>
                <w:sz w:val="14"/>
                <w:szCs w:val="14"/>
                <w:b w:val="1"/>
                <w:bCs w:val="1"/>
                <w:color w:val="auto"/>
              </w:rPr>
              <w:t>IN CASH</w:t>
            </w:r>
            <w:r>
              <w:rPr>
                <w:rFonts w:ascii="Arial" w:cs="Arial" w:eastAsia="Arial" w:hAnsi="Arial"/>
                <w:sz w:val="22"/>
                <w:szCs w:val="22"/>
                <w:b w:val="1"/>
                <w:bCs w:val="1"/>
                <w:color w:val="auto"/>
                <w:vertAlign w:val="superscript"/>
              </w:rPr>
              <w:t>(1)</w:t>
            </w:r>
          </w:p>
        </w:tc>
        <w:tc>
          <w:tcPr>
            <w:tcW w:w="1020" w:type="dxa"/>
            <w:vAlign w:val="bottom"/>
          </w:tcPr>
          <w:p>
            <w:pPr>
              <w:jc w:val="right"/>
              <w:ind w:right="41"/>
              <w:spacing w:after="0" w:line="192"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2"/>
                <w:szCs w:val="22"/>
                <w:b w:val="1"/>
                <w:bCs w:val="1"/>
                <w:color w:val="auto"/>
                <w:vertAlign w:val="superscript"/>
              </w:rPr>
              <w:t>(2)</w:t>
            </w:r>
          </w:p>
        </w:tc>
        <w:tc>
          <w:tcPr>
            <w:tcW w:w="700" w:type="dxa"/>
            <w:vAlign w:val="bottom"/>
          </w:tcPr>
          <w:p>
            <w:pPr>
              <w:jc w:val="center"/>
              <w:ind w:left="41"/>
              <w:spacing w:after="0"/>
              <w:rPr>
                <w:sz w:val="20"/>
                <w:szCs w:val="20"/>
                <w:color w:val="auto"/>
              </w:rPr>
            </w:pPr>
            <w:r>
              <w:rPr>
                <w:rFonts w:ascii="Arial" w:cs="Arial" w:eastAsia="Arial" w:hAnsi="Arial"/>
                <w:sz w:val="14"/>
                <w:szCs w:val="14"/>
                <w:b w:val="1"/>
                <w:bCs w:val="1"/>
                <w:color w:val="auto"/>
                <w:w w:val="98"/>
              </w:rPr>
              <w:t>TOTAL</w:t>
            </w:r>
          </w:p>
        </w:tc>
      </w:tr>
      <w:tr>
        <w:trPr>
          <w:trHeight w:val="205"/>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4320" w:type="dxa"/>
            <w:vAlign w:val="bottom"/>
            <w:tcBorders>
              <w:bottom w:val="single" w:sz="8" w:color="auto"/>
            </w:tcBorders>
          </w:tcPr>
          <w:p>
            <w:pPr>
              <w:jc w:val="center"/>
              <w:ind w:left="326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w:t>
            </w:r>
          </w:p>
        </w:tc>
      </w:tr>
      <w:tr>
        <w:trPr>
          <w:trHeight w:val="239"/>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Kenneth J. Bacon</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130,000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325,017</w:t>
            </w:r>
          </w:p>
        </w:tc>
      </w:tr>
      <w:tr>
        <w:trPr>
          <w:trHeight w:val="237"/>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Madeline S. Bell</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122,500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317,517</w:t>
            </w:r>
          </w:p>
        </w:tc>
      </w:tr>
      <w:tr>
        <w:trPr>
          <w:trHeight w:val="281"/>
        </w:trPr>
        <w:tc>
          <w:tcPr>
            <w:tcW w:w="5200" w:type="dxa"/>
            <w:vAlign w:val="bottom"/>
            <w:tcBorders>
              <w:bottom w:val="single" w:sz="8" w:color="auto"/>
            </w:tcBorders>
          </w:tcPr>
          <w:p>
            <w:pPr>
              <w:ind w:left="60"/>
              <w:spacing w:after="0" w:line="281" w:lineRule="exact"/>
              <w:rPr>
                <w:sz w:val="20"/>
                <w:szCs w:val="20"/>
                <w:color w:val="auto"/>
              </w:rPr>
            </w:pPr>
            <w:r>
              <w:rPr>
                <w:rFonts w:ascii="Arial" w:cs="Arial" w:eastAsia="Arial" w:hAnsi="Arial"/>
                <w:sz w:val="16"/>
                <w:szCs w:val="16"/>
                <w:b w:val="1"/>
                <w:bCs w:val="1"/>
                <w:color w:val="auto"/>
              </w:rPr>
              <w:t>Naomi M. Bergman</w:t>
            </w:r>
            <w:r>
              <w:rPr>
                <w:rFonts w:ascii="Arial" w:cs="Arial" w:eastAsia="Arial" w:hAnsi="Arial"/>
                <w:sz w:val="26"/>
                <w:szCs w:val="26"/>
                <w:b w:val="1"/>
                <w:bCs w:val="1"/>
                <w:color w:val="auto"/>
                <w:vertAlign w:val="superscript"/>
              </w:rPr>
              <w:t>(3)</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320,017</w:t>
            </w:r>
          </w:p>
        </w:tc>
      </w:tr>
      <w:tr>
        <w:trPr>
          <w:trHeight w:val="233"/>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Edward D. Breen</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150,000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345,017</w:t>
            </w:r>
          </w:p>
        </w:tc>
      </w:tr>
      <w:tr>
        <w:trPr>
          <w:trHeight w:val="237"/>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Gerald L. Hassell</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320,017</w:t>
            </w:r>
          </w:p>
        </w:tc>
      </w:tr>
      <w:tr>
        <w:trPr>
          <w:trHeight w:val="237"/>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Jeffrey A. Honickman</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162,500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357,517</w:t>
            </w:r>
          </w:p>
        </w:tc>
      </w:tr>
      <w:tr>
        <w:trPr>
          <w:trHeight w:val="237"/>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Maritza G. Montiel</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320,017</w:t>
            </w:r>
          </w:p>
        </w:tc>
      </w:tr>
      <w:tr>
        <w:trPr>
          <w:trHeight w:val="236"/>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Asuka Nakahara</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320,017</w:t>
            </w:r>
          </w:p>
        </w:tc>
      </w:tr>
      <w:tr>
        <w:trPr>
          <w:trHeight w:val="237"/>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David C. Novak</w:t>
            </w:r>
          </w:p>
        </w:tc>
        <w:tc>
          <w:tcPr>
            <w:tcW w:w="4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125,000</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195,017</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320,017</w:t>
            </w:r>
          </w:p>
        </w:tc>
      </w:tr>
    </w:tbl>
    <w:p>
      <w:pPr>
        <w:spacing w:after="0" w:line="153" w:lineRule="exact"/>
        <w:rPr>
          <w:sz w:val="20"/>
          <w:szCs w:val="20"/>
          <w:color w:val="auto"/>
        </w:rPr>
      </w:pPr>
    </w:p>
    <w:p>
      <w:pPr>
        <w:ind w:left="300" w:right="80" w:hanging="292"/>
        <w:spacing w:after="0" w:line="206" w:lineRule="auto"/>
        <w:tabs>
          <w:tab w:leader="none" w:pos="30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This column represents all cash retainers and meeting fees earned by our nonemployee directors in 2021, regardless of whether such amounts were deferred or elected to be received in shares of our Class A common stock. Refer to footnote (2) of the Security Ownership of Directors and Executive Officers table for information on shares deferred by directors.</w:t>
      </w:r>
    </w:p>
    <w:p>
      <w:pPr>
        <w:spacing w:after="0" w:line="134" w:lineRule="exact"/>
        <w:rPr>
          <w:rFonts w:ascii="Arial" w:cs="Arial" w:eastAsia="Arial" w:hAnsi="Arial"/>
          <w:sz w:val="24"/>
          <w:szCs w:val="24"/>
          <w:color w:val="auto"/>
          <w:vertAlign w:val="superscript"/>
        </w:rPr>
      </w:pPr>
    </w:p>
    <w:p>
      <w:pPr>
        <w:ind w:left="300" w:right="260" w:hanging="292"/>
        <w:spacing w:after="0" w:line="213" w:lineRule="auto"/>
        <w:tabs>
          <w:tab w:leader="none" w:pos="30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amounts in this column represent the aggregate grant date fair value for each award of shares of Class A common stock granted in 2021, in accordance with FASB ASC Topic 718. The amounts in this column were calculated using the valuation assumptions discussed in the “Share-Based Compensation” footnote to the financial statements in our Annual Report on Form 10-K for the year ended December 31, 2021. The amounts were determined by multiplying the Class A common stock closing price on November 22, 2021 by the number of shares subject to the grant.</w:t>
      </w:r>
    </w:p>
    <w:p>
      <w:pPr>
        <w:spacing w:after="0" w:line="50"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Ms. Bergman is not a nominee for director at our 2022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Related Party Transactions Policy and Certain Transactions</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Chief Legal Officer of any proposed transaction involving us in which such person has a direct or indirect material interest. The proposed transaction is then reviewed by either the independent members of our Board as a whole, the Governance and Corporate Responsibility Committee or the Audit Committee to determine whether the proposed transaction is a related party transaction under our policy. In reviewing any related party transaction, the independent members of the Board as a whole, the Governance and Corporate Responsibility Committee or the Audit Committee will determine whether or not to approve or ratify the transaction based on all relevant facts and circumstances, including the following:</w:t>
      </w:r>
    </w:p>
    <w:p>
      <w:pPr>
        <w:spacing w:after="0" w:line="129"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the materiality and character of the related person’s interest in the transaction;</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the commercial reasonableness of the terms of the transaction;</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the benefit and perceived benefit, or lack thereof, to our company;</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the opportunity costs of alternate transactions; and</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the actual or apparent conflict of interest of the related person.</w:t>
      </w:r>
    </w:p>
    <w:p>
      <w:pPr>
        <w:spacing w:after="0" w:line="172" w:lineRule="exact"/>
        <w:rPr>
          <w:sz w:val="20"/>
          <w:szCs w:val="20"/>
          <w:color w:val="auto"/>
        </w:rPr>
      </w:pPr>
    </w:p>
    <w:p>
      <w:pPr>
        <w:ind w:left="946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transactions policy is posted under “Corporate Governance” in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A1DF"/>
        </w:rPr>
        <w:t>Related Party Transactions</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connection with Mr. Roberts’ use of an aircraft he leases from a third party, we have agreed to provide various operational services for the aircraft for Mr. Roberts and his immediate family members, including by providing pilots and performing general operational and maintenance services. Pursuant to this agreement, Mr. Roberts is responsible for reimbursing us for the costs we incur in operating and maintaining the aircraft. For 2021, Mr. Roberts paid us an aggregate of approximately $360,000 related to this agreement.</w:t>
      </w:r>
    </w:p>
    <w:p>
      <w:pPr>
        <w:spacing w:after="0" w:line="12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Mr. Roberts’ son is an employee of Comcast Spectacor, one of our business units. He received approximately $616,000 in compensation from us and also participated in our employee benefit plans on the same basis as other similarly situated employees in 2021.</w:t>
      </w:r>
    </w:p>
    <w:p>
      <w:pPr>
        <w:spacing w:after="0" w:line="1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As previously disclosed in the proxy statement for our 2021 annual meeting of shareholders, we entered into an arm’s-length transaction in 2021 relating to the purchase of condominium units from an LLC controlled by Mr. Roberts and his wife for use as additional suites for a hotel we own.</w:t>
      </w: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00A1DF"/>
        </w:rPr>
        <w:t>Who May Vote</w:t>
      </w:r>
    </w:p>
    <w:p>
      <w:pPr>
        <w:spacing w:after="0" w:line="27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Holders of record of Class A and Class B common stock of Comcast at the close of business on April 4, 2022 may vote at the annual meeting of shareholders. The Notice of Internet Availability of Proxy Materials (the “Notice”) is being mailed, and this proxy statement is being made available, to our shareholders beginning on or about April 22, 2022.</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0A1DF"/>
        </w:rPr>
        <w:t>Participating and Voting at the Meeting</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Attendance at the meeting for purposes of voting and asking questions is limited to shareholders of record on April 4, 2022.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If you encounter any difficulties accessing the virtual meeting, please call the technical support number that will be posted on the meeting login page. If there are any technical issues in convening or hosting the meeting, we will promptly post information to the Investors section of our website at </w:t>
      </w:r>
      <w:r>
        <w:rPr>
          <w:rFonts w:ascii="Arial" w:cs="Arial" w:eastAsia="Arial" w:hAnsi="Arial"/>
          <w:sz w:val="16"/>
          <w:szCs w:val="16"/>
          <w:i w:val="1"/>
          <w:iCs w:val="1"/>
          <w:color w:val="00A1DF"/>
        </w:rPr>
        <w:t>www.cmcsa.com</w:t>
      </w:r>
      <w:r>
        <w:rPr>
          <w:rFonts w:ascii="Arial" w:cs="Arial" w:eastAsia="Arial" w:hAnsi="Arial"/>
          <w:sz w:val="16"/>
          <w:szCs w:val="16"/>
          <w:color w:val="auto"/>
        </w:rPr>
        <w:t>, including information on when the meeting will be reconvened. If your shares are held in the name of your bank, brokerage firm or other nominee and you have any questions about your control number, please contact the bank, brokerage firm or other nominee that holds your shares.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A1DF"/>
        </w:rPr>
        <w:t>Conduct of the Meeting</w:t>
      </w:r>
    </w:p>
    <w:p>
      <w:pPr>
        <w:spacing w:after="0" w:line="180"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Chairman of our Board (or any other person designated by our Board) has broad authority to conduct the annual meeting of shareholders in an orderly manner. This authority includes establishing rules of conduct, which will be available at the meeting online, for shareholders who wish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 Questions may be submitted during the meeting in the online question box provided at the meeting.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A1DF"/>
        </w:rPr>
        <w:t>How to Vote</w:t>
      </w:r>
    </w:p>
    <w:p>
      <w:pPr>
        <w:spacing w:after="0" w:line="18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You may vote at the meeting or by proxy before the meeting. We recommend that you vote by proxy even if you plan to participate in the meeting. You can always change your vote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00A1DF"/>
        </w:rPr>
        <w:t>How Proxies Work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is asking for your proxy. Giving us your proxy means you authorize us to vote your shares at the meeting in the manner you direct.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may vote for all, some or none of our director candidates. You also may vote for or against the other proposals or abstain from voting.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You can vote by proxy before the meeting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183515</wp:posOffset>
            </wp:positionV>
            <wp:extent cx="29146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158115</wp:posOffset>
            </wp:positionV>
            <wp:extent cx="282575" cy="231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2575" cy="23177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w:t>
      </w:r>
    </w:p>
    <w:p>
      <w:pPr>
        <w:spacing w:after="0" w:line="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i w:val="1"/>
          <w:iCs w:val="1"/>
          <w:color w:val="00A1DF"/>
        </w:rPr>
        <w:t>www.proxyvote.com</w:t>
      </w:r>
      <w:r>
        <w:rPr>
          <w:rFonts w:ascii="Arial" w:cs="Arial" w:eastAsia="Arial" w:hAnsi="Arial"/>
          <w:sz w:val="16"/>
          <w:szCs w:val="16"/>
          <w:color w:val="auto"/>
        </w:rPr>
        <w:t xml:space="preserve"> or scan the QR code on your Notice or proxy card with a smartphone or tablet, and then follow the instructions outlined on the secure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w:t>
      </w:r>
    </w:p>
    <w:p>
      <w:pPr>
        <w:spacing w:after="0" w:line="4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Complete, sign and date your proxy card and return it in the enclosed envelope.</w:t>
      </w:r>
    </w:p>
    <w:p>
      <w:pPr>
        <w:spacing w:after="0" w:line="869" w:lineRule="exact"/>
        <w:rPr>
          <w:sz w:val="20"/>
          <w:szCs w:val="20"/>
          <w:color w:val="auto"/>
        </w:rPr>
      </w:pPr>
    </w:p>
    <w:p>
      <w:pPr>
        <w:sectPr>
          <w:pgSz w:w="11900" w:h="16838" w:orient="portrait"/>
          <w:cols w:equalWidth="0" w:num="3">
            <w:col w:w="3640" w:space="200"/>
            <w:col w:w="3960" w:space="180"/>
            <w:col w:w="3260"/>
          </w:cols>
          <w:pgMar w:left="320" w:top="130" w:right="339" w:bottom="1440" w:gutter="0" w:footer="0" w:header="0"/>
          <w:type w:val="continuous"/>
        </w:sectPr>
      </w:pPr>
    </w:p>
    <w:p>
      <w:pPr>
        <w:spacing w:after="0"/>
        <w:rPr>
          <w:sz w:val="20"/>
          <w:szCs w:val="20"/>
          <w:color w:val="auto"/>
        </w:rPr>
      </w:pPr>
      <w:r>
        <w:rPr>
          <w:rFonts w:ascii="Arial" w:cs="Arial" w:eastAsia="Arial" w:hAnsi="Arial"/>
          <w:sz w:val="16"/>
          <w:szCs w:val="16"/>
          <w:color w:val="auto"/>
        </w:rPr>
        <w:t>If you vote via the internet or by telephone, your vote must be received by 11:59 p.m. Eastern Time on May 31, 2022.</w:t>
      </w:r>
    </w:p>
    <w:p>
      <w:pPr>
        <w:spacing w:after="0" w:line="16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If your shares are held in the name of your bank, brokerage firm or other nominee, please follow the voting instructions you received from your bank, brokerage firm or other nominee.</w:t>
      </w:r>
    </w:p>
    <w:p>
      <w:pPr>
        <w:spacing w:after="0" w:line="102"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auto"/>
        </w:rPr>
        <w:t>If you give us your signed proxy but do not specify how to vote, we will vote your shares (i) in favor of (a) the director candidates, (b) the approval, on an advisory basis, of our executive compensation and (c) the ratification of the appointment of our independent auditors; and (ii) against each of the shareholder proposals.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color w:val="00A1DF"/>
        </w:rPr>
        <w:t>Matters to be Presented</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0A1DF"/>
        </w:rPr>
        <w:t>Revoking a Proxy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before it is voted by:</w:t>
      </w:r>
    </w:p>
    <w:p>
      <w:pPr>
        <w:spacing w:after="0" w:line="167"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submitting a new proxy with a later date, including a proxy given via the internet or by telephone;</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notifying our Secretary in writing before the meeting at the address given below; or</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voting in person at the meeting.</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color w:val="00A1DF"/>
        </w:rPr>
        <w:t>Notice of Electronic Availability of Proxy Materials</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Pursuant to the rules of the SEC, we are making this proxy statement and our Annual Report on Form 10-K available to our shareholders electronically via the internet. In compliance with this e-proxy process, on or about April 22, 2022,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A1DF"/>
        </w:rPr>
        <w:t>Additional Information on the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you have questions or would like more information about the annual meeting of shareholders, you can contact us in any of the following ways: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Pr>
          <w:p>
            <w:pPr>
              <w:spacing w:after="0"/>
              <w:rPr>
                <w:sz w:val="20"/>
                <w:szCs w:val="20"/>
                <w:color w:val="auto"/>
              </w:rPr>
            </w:pPr>
            <w:r>
              <w:rPr>
                <w:rFonts w:ascii="Arial" w:cs="Arial" w:eastAsia="Arial" w:hAnsi="Arial"/>
                <w:sz w:val="16"/>
                <w:szCs w:val="16"/>
                <w:color w:val="00A1DF"/>
              </w:rPr>
              <w:t>●</w:t>
            </w:r>
          </w:p>
        </w:tc>
        <w:tc>
          <w:tcPr>
            <w:tcW w:w="15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Via the internet:</w:t>
            </w:r>
          </w:p>
        </w:tc>
        <w:tc>
          <w:tcPr>
            <w:tcW w:w="4500" w:type="dxa"/>
            <w:vAlign w:val="bottom"/>
          </w:tcPr>
          <w:p>
            <w:pPr>
              <w:ind w:left="200"/>
              <w:spacing w:after="0"/>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i w:val="1"/>
                <w:iCs w:val="1"/>
                <w:color w:val="00A1DF"/>
              </w:rPr>
              <w:t>www.proxyvote.com</w:t>
            </w:r>
            <w:r>
              <w:rPr>
                <w:rFonts w:ascii="Arial" w:cs="Arial" w:eastAsia="Arial" w:hAnsi="Arial"/>
                <w:sz w:val="16"/>
                <w:szCs w:val="16"/>
                <w:color w:val="auto"/>
              </w:rPr>
              <w:t xml:space="preserve"> or scan the QR code on your</w:t>
            </w:r>
          </w:p>
        </w:tc>
        <w:tc>
          <w:tcPr>
            <w:tcW w:w="1580" w:type="dxa"/>
            <w:vAlign w:val="bottom"/>
          </w:tcPr>
          <w:p>
            <w:pPr>
              <w:ind w:left="300"/>
              <w:spacing w:after="0"/>
              <w:rPr>
                <w:sz w:val="20"/>
                <w:szCs w:val="20"/>
                <w:color w:val="auto"/>
              </w:rPr>
            </w:pPr>
            <w:r>
              <w:rPr>
                <w:rFonts w:ascii="Arial" w:cs="Arial" w:eastAsia="Arial" w:hAnsi="Arial"/>
                <w:sz w:val="16"/>
                <w:szCs w:val="16"/>
                <w:color w:val="00A1DF"/>
              </w:rPr>
              <w:t xml:space="preserve">●  </w:t>
            </w:r>
            <w:r>
              <w:rPr>
                <w:rFonts w:ascii="Arial" w:cs="Arial" w:eastAsia="Arial" w:hAnsi="Arial"/>
                <w:sz w:val="16"/>
                <w:szCs w:val="16"/>
                <w:b w:val="1"/>
                <w:bCs w:val="1"/>
                <w:i w:val="1"/>
                <w:iCs w:val="1"/>
                <w:color w:val="000000"/>
              </w:rPr>
              <w:t>By writing:</w:t>
            </w:r>
          </w:p>
        </w:tc>
        <w:tc>
          <w:tcPr>
            <w:tcW w:w="2100" w:type="dxa"/>
            <w:vAlign w:val="bottom"/>
          </w:tcPr>
          <w:p>
            <w:pPr>
              <w:ind w:left="180"/>
              <w:spacing w:after="0"/>
              <w:rPr>
                <w:sz w:val="20"/>
                <w:szCs w:val="20"/>
                <w:color w:val="auto"/>
              </w:rPr>
            </w:pPr>
            <w:r>
              <w:rPr>
                <w:rFonts w:ascii="Arial" w:cs="Arial" w:eastAsia="Arial" w:hAnsi="Arial"/>
                <w:sz w:val="16"/>
                <w:szCs w:val="16"/>
                <w:color w:val="auto"/>
              </w:rPr>
              <w:t>Thomas J. Reid, Secretary</w:t>
            </w:r>
          </w:p>
        </w:tc>
      </w:tr>
      <w:tr>
        <w:trPr>
          <w:trHeight w:val="189"/>
        </w:trPr>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Notice or proxy card with a smartphone or tablet.</w:t>
            </w:r>
          </w:p>
        </w:tc>
        <w:tc>
          <w:tcPr>
            <w:tcW w:w="1580" w:type="dxa"/>
            <w:vAlign w:val="bottom"/>
          </w:tcPr>
          <w:p>
            <w:pPr>
              <w:spacing w:after="0"/>
              <w:rPr>
                <w:sz w:val="16"/>
                <w:szCs w:val="16"/>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Comcast Corporation</w:t>
            </w:r>
          </w:p>
        </w:tc>
      </w:tr>
      <w:tr>
        <w:trPr>
          <w:trHeight w:val="189"/>
        </w:trPr>
        <w:tc>
          <w:tcPr>
            <w:tcW w:w="180" w:type="dxa"/>
            <w:vAlign w:val="bottom"/>
          </w:tcPr>
          <w:p>
            <w:pPr>
              <w:spacing w:after="0"/>
              <w:rPr>
                <w:sz w:val="20"/>
                <w:szCs w:val="20"/>
                <w:color w:val="auto"/>
              </w:rPr>
            </w:pPr>
            <w:r>
              <w:rPr>
                <w:rFonts w:ascii="Arial" w:cs="Arial" w:eastAsia="Arial" w:hAnsi="Arial"/>
                <w:sz w:val="16"/>
                <w:szCs w:val="16"/>
                <w:color w:val="00A1DF"/>
              </w:rPr>
              <w:t>●</w:t>
            </w:r>
          </w:p>
        </w:tc>
        <w:tc>
          <w:tcPr>
            <w:tcW w:w="15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By telephone:</w:t>
            </w:r>
          </w:p>
        </w:tc>
        <w:tc>
          <w:tcPr>
            <w:tcW w:w="4500" w:type="dxa"/>
            <w:vAlign w:val="bottom"/>
          </w:tcPr>
          <w:p>
            <w:pPr>
              <w:ind w:left="200"/>
              <w:spacing w:after="0"/>
              <w:rPr>
                <w:sz w:val="20"/>
                <w:szCs w:val="20"/>
                <w:color w:val="auto"/>
              </w:rPr>
            </w:pPr>
            <w:r>
              <w:rPr>
                <w:rFonts w:ascii="Arial" w:cs="Arial" w:eastAsia="Arial" w:hAnsi="Arial"/>
                <w:sz w:val="16"/>
                <w:szCs w:val="16"/>
                <w:color w:val="auto"/>
              </w:rPr>
              <w:t>Call toll free 1-866-281-2100</w:t>
            </w:r>
          </w:p>
        </w:tc>
        <w:tc>
          <w:tcPr>
            <w:tcW w:w="1580" w:type="dxa"/>
            <w:vAlign w:val="bottom"/>
          </w:tcPr>
          <w:p>
            <w:pPr>
              <w:spacing w:after="0"/>
              <w:rPr>
                <w:sz w:val="16"/>
                <w:szCs w:val="16"/>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One Comcast Center</w:t>
            </w:r>
          </w:p>
        </w:tc>
      </w:tr>
      <w:tr>
        <w:trPr>
          <w:trHeight w:val="215"/>
        </w:trPr>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Philadelphia, PA 19103</w:t>
            </w:r>
          </w:p>
        </w:tc>
      </w:tr>
    </w:tbl>
    <w:p>
      <w:pPr>
        <w:spacing w:after="0"/>
        <w:rPr>
          <w:sz w:val="20"/>
          <w:szCs w:val="20"/>
          <w:color w:val="auto"/>
        </w:rPr>
      </w:pPr>
      <w:r>
        <w:rPr>
          <w:rFonts w:ascii="Arial" w:cs="Arial" w:eastAsia="Arial" w:hAnsi="Arial"/>
          <w:sz w:val="25"/>
          <w:szCs w:val="25"/>
          <w:color w:val="00A1DF"/>
        </w:rPr>
        <w:t>Shareholder Proposals for Next Year</w:t>
      </w:r>
    </w:p>
    <w:p>
      <w:pPr>
        <w:spacing w:after="0" w:line="15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Any shareholder proposals intended to be presented at our 2023 annual meeting of shareholders and considered for inclusion in our proxy materials under Rule 14a-8 under the Exchange Act (“Rule 14a-8”) must be received no later than the close of business on December 23, 2022 and must comply with the procedures and requirements of Rule 14a-8. Shareholder proposals failing to comply with the procedures of Rule 14a-8 under the Exchange Act will be excluded. If the date of our 2023 annual meeting is more than 30 days from June 1, 2023, we will publicly announce a different submission deadline from that set forth above, in compliance with SEC rules.</w:t>
      </w:r>
    </w:p>
    <w:p>
      <w:pPr>
        <w:spacing w:after="0" w:line="12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Any shareholder proposals (other than those proposals seeking to nominate directors) that are intended to be presented at the annual meeting of shareholders in 2023 but not to be included in our proxy materials must comply with the advance notice provision in Section 2.09 of our by-laws. If we call the 2023 annual meeting of shareholders for a date between May 2, 2023 and July 1, 2023, we must receive notice of the proposal at the mailing address given on page 82 on or after February 1, 2023 and no later than March 3, 2023. If we call the 2023 annual meeting of shareholders for any other date, we must receive notice of the proposal no later than the close of business on the tenth day following the day we mailed notice of, or announced publicly, the date of the meeting, whichever occurs first. If notice is not received by March 3, 2023 (or the close of business on the tenth day following the day we mail notice of, or announce publicly, the date of our 2023 annual meeting of shareholders, if such meeting is not called for a date between May 2, 2023 and July 1, 2023), the shareholder proposals will be deemed “untimely.”</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Shareholders who wish to nominate directors for election must comply with the procedures described under “Corporate Governance and Board Matters — Board of Directors Nominees — Director Nominations — Shareholder Nominees.”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All shareholder proposals should be directed to Thomas J. Reid, Secretary, Comcast Corporation, at our mailing address given on page 82.</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color w:val="00A1DF"/>
        </w:rPr>
        <w:t>Solicitation of Proxies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$32,500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00A1DF"/>
        </w:rPr>
        <w:t>Electronic Access to Proxy Materials and Annual Report on Form 10-K</w:t>
      </w:r>
    </w:p>
    <w:p>
      <w:pPr>
        <w:spacing w:after="0" w:line="1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Shareholders can access this proxy statement and our Annual Report on Form 10-K via the internet at </w:t>
      </w:r>
      <w:r>
        <w:rPr>
          <w:rFonts w:ascii="Arial" w:cs="Arial" w:eastAsia="Arial" w:hAnsi="Arial"/>
          <w:sz w:val="16"/>
          <w:szCs w:val="16"/>
          <w:i w:val="1"/>
          <w:iCs w:val="1"/>
          <w:color w:val="00A1DF"/>
        </w:rPr>
        <w:t>www.proxyvote.com</w:t>
      </w:r>
      <w:r>
        <w:rPr>
          <w:rFonts w:ascii="Arial" w:cs="Arial" w:eastAsia="Arial" w:hAnsi="Arial"/>
          <w:sz w:val="16"/>
          <w:szCs w:val="16"/>
          <w:color w:val="auto"/>
        </w:rPr>
        <w:t xml:space="preserve"> or by scanning the QR code on the Notice or proxy card with a smartphone or tablet, and then following the instructions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D/B/A EQ Shareowner Services (“EQ Shareowner Services”), at 1-888-883-8903 or P.O. Box 64854, St. Paul, MN 55164-0854 or sign on to your account at </w:t>
      </w:r>
      <w:r>
        <w:rPr>
          <w:rFonts w:ascii="Arial" w:cs="Arial" w:eastAsia="Arial" w:hAnsi="Arial"/>
          <w:sz w:val="16"/>
          <w:szCs w:val="16"/>
          <w:i w:val="1"/>
          <w:iCs w:val="1"/>
          <w:color w:val="00A1DF"/>
        </w:rPr>
        <w:t>https://www.shareowneronline.com/comcast</w:t>
      </w:r>
      <w:r>
        <w:rPr>
          <w:rFonts w:ascii="Arial" w:cs="Arial" w:eastAsia="Arial" w:hAnsi="Arial"/>
          <w:sz w:val="16"/>
          <w:szCs w:val="16"/>
          <w:color w:val="auto"/>
        </w:rPr>
        <w:t>. You may update your electronic address by contacting EQ Shareowner Services.</w:t>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0A1DF"/>
        </w:rPr>
        <w:t>Important Notice Regarding Delivery of Shareholder Documents</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117"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6"/>
          <w:szCs w:val="16"/>
          <w:color w:val="00A1DF"/>
        </w:rPr>
      </w:pPr>
      <w:r>
        <w:rPr>
          <w:rFonts w:ascii="Arial" w:cs="Arial" w:eastAsia="Arial" w:hAnsi="Arial"/>
          <w:sz w:val="16"/>
          <w:szCs w:val="16"/>
          <w:color w:val="auto"/>
        </w:rPr>
        <w:t>you have the same address as other shareholders registered on our books;</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5"/>
        </w:numPr>
        <w:rPr>
          <w:rFonts w:ascii="Arial" w:cs="Arial" w:eastAsia="Arial" w:hAnsi="Arial"/>
          <w:sz w:val="16"/>
          <w:szCs w:val="16"/>
          <w:color w:val="00A1DF"/>
        </w:rPr>
      </w:pPr>
      <w:r>
        <w:rPr>
          <w:rFonts w:ascii="Arial" w:cs="Arial" w:eastAsia="Arial" w:hAnsi="Arial"/>
          <w:sz w:val="16"/>
          <w:szCs w:val="16"/>
          <w:color w:val="auto"/>
        </w:rPr>
        <w:t>you have the same last name as the other shareholders; and</w:t>
      </w:r>
    </w:p>
    <w:p>
      <w:pPr>
        <w:spacing w:after="0" w:line="194" w:lineRule="exact"/>
        <w:rPr>
          <w:rFonts w:ascii="Arial" w:cs="Arial" w:eastAsia="Arial" w:hAnsi="Arial"/>
          <w:sz w:val="16"/>
          <w:szCs w:val="16"/>
          <w:color w:val="00A1DF"/>
        </w:rPr>
      </w:pPr>
    </w:p>
    <w:p>
      <w:pPr>
        <w:ind w:left="260" w:hanging="252"/>
        <w:spacing w:after="0"/>
        <w:tabs>
          <w:tab w:leader="none" w:pos="260" w:val="left"/>
        </w:tabs>
        <w:numPr>
          <w:ilvl w:val="0"/>
          <w:numId w:val="95"/>
        </w:numPr>
        <w:rPr>
          <w:rFonts w:ascii="Arial" w:cs="Arial" w:eastAsia="Arial" w:hAnsi="Arial"/>
          <w:sz w:val="16"/>
          <w:szCs w:val="16"/>
          <w:color w:val="00A1DF"/>
        </w:rPr>
      </w:pPr>
      <w:r>
        <w:rPr>
          <w:rFonts w:ascii="Arial" w:cs="Arial" w:eastAsia="Arial" w:hAnsi="Arial"/>
          <w:sz w:val="16"/>
          <w:szCs w:val="16"/>
          <w:color w:val="auto"/>
        </w:rPr>
        <w:t>your address is a residential address or post office box.</w:t>
      </w:r>
    </w:p>
    <w:p>
      <w:pPr>
        <w:spacing w:after="0" w:line="167" w:lineRule="exact"/>
        <w:rPr>
          <w:sz w:val="20"/>
          <w:szCs w:val="20"/>
          <w:color w:val="auto"/>
        </w:rPr>
      </w:pPr>
    </w:p>
    <w:p>
      <w:pPr>
        <w:ind w:right="1360"/>
        <w:spacing w:after="0" w:line="457" w:lineRule="auto"/>
        <w:rPr>
          <w:sz w:val="20"/>
          <w:szCs w:val="20"/>
          <w:color w:val="auto"/>
        </w:rPr>
      </w:pPr>
      <w:r>
        <w:rPr>
          <w:rFonts w:ascii="Arial" w:cs="Arial" w:eastAsia="Arial" w:hAnsi="Arial"/>
          <w:sz w:val="16"/>
          <w:szCs w:val="16"/>
          <w:color w:val="auto"/>
        </w:rPr>
        <w:t xml:space="preserve">If you meet this criteria, you are eligible for householding and the following terms apply. If you are not eligible, please disregard this notice. </w:t>
      </w:r>
      <w:r>
        <w:rPr>
          <w:rFonts w:ascii="Arial" w:cs="Arial" w:eastAsia="Arial" w:hAnsi="Arial"/>
          <w:sz w:val="16"/>
          <w:szCs w:val="16"/>
          <w:b w:val="1"/>
          <w:bCs w:val="1"/>
          <w:color w:val="auto"/>
        </w:rPr>
        <w:t>How do I consent to, or discontinue, the householding process of receiving just one set of annual disclosure materials?</w:t>
      </w:r>
    </w:p>
    <w:p>
      <w:pPr>
        <w:spacing w:after="0" w:line="1"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1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Appendix A: Reconciliations of Non-GAAP Financial Measures</w:t>
      </w:r>
    </w:p>
    <w:p>
      <w:pPr>
        <w:spacing w:after="0" w:line="3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26"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2019, 2020 and 2021 are set forth in “Item 7: Management’s Discussion and Analysis of Financial Condition and Results of Operations – Non-GAAP Financial Measures” on page 52 of our Annual Report on Form 10-K for the year ended December 31, 2021, as filed with the SEC on February 2, 2022 (the “10-K”).</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Constant currency and constant currency growth rates are calculated by comparing the prior year results adjusted to reflect the average exchange rates from the current year rather than the actual exchange rates that were in effect during the respective prior year. Additional information and a reconciliation of Sky’s constant currency revenue and Adjusted EBITDA growth rates for 2021 is set forth in “Item 7: Management’s Discussion and Analysis of Financial Condition and Results of Operations – Non-GAAP Financial Measures” on pages 52-53 of the 10-K.</w:t>
      </w:r>
    </w:p>
    <w:p>
      <w:pPr>
        <w:spacing w:after="0" w:line="12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42" w:lineRule="exact"/>
        <w:rPr>
          <w:sz w:val="20"/>
          <w:szCs w:val="20"/>
          <w:color w:val="auto"/>
        </w:rPr>
      </w:pPr>
    </w:p>
    <w:p>
      <w:pPr>
        <w:ind w:right="2740"/>
        <w:spacing w:after="0" w:line="255" w:lineRule="auto"/>
        <w:rPr>
          <w:sz w:val="20"/>
          <w:szCs w:val="20"/>
          <w:color w:val="auto"/>
        </w:rPr>
      </w:pPr>
      <w:r>
        <w:rPr>
          <w:rFonts w:ascii="Arial" w:cs="Arial" w:eastAsia="Arial" w:hAnsi="Arial"/>
          <w:sz w:val="18"/>
          <w:szCs w:val="18"/>
          <w:b w:val="1"/>
          <w:bCs w:val="1"/>
          <w:color w:val="00A1DF"/>
        </w:rPr>
        <w:t xml:space="preserve">RECONCILIATION FROM NET CASH PROVIDED BY OPERATING ACTIVITIES TO FREE CASH FLOW </w:t>
      </w:r>
      <w:r>
        <w:rPr>
          <w:rFonts w:ascii="Arial" w:cs="Arial" w:eastAsia="Arial" w:hAnsi="Arial"/>
          <w:sz w:val="18"/>
          <w:szCs w:val="18"/>
          <w:color w:val="000000"/>
        </w:rPr>
        <w:t>($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60" w:type="dxa"/>
            <w:vAlign w:val="bottom"/>
          </w:tcPr>
          <w:p>
            <w:pPr>
              <w:spacing w:after="0"/>
              <w:rPr>
                <w:sz w:val="19"/>
                <w:szCs w:val="19"/>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245"/>
        </w:trPr>
        <w:tc>
          <w:tcPr>
            <w:tcW w:w="87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39"/>
        </w:trPr>
        <w:tc>
          <w:tcPr>
            <w:tcW w:w="8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Net cash provided by operating activities</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29,146</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24,737</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25,697</w:t>
            </w:r>
          </w:p>
        </w:tc>
      </w:tr>
      <w:tr>
        <w:trPr>
          <w:trHeight w:val="234"/>
        </w:trPr>
        <w:tc>
          <w:tcPr>
            <w:tcW w:w="8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Capital expenditures</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(9,174)</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(9,179)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(9,953)</w:t>
            </w:r>
          </w:p>
        </w:tc>
      </w:tr>
      <w:tr>
        <w:trPr>
          <w:trHeight w:val="237"/>
        </w:trPr>
        <w:tc>
          <w:tcPr>
            <w:tcW w:w="8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Cash paid for capitalized software and other intangible assets</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(2,883)</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w:t>
            </w:r>
          </w:p>
        </w:tc>
      </w:tr>
      <w:tr>
        <w:trPr>
          <w:trHeight w:val="236"/>
        </w:trPr>
        <w:tc>
          <w:tcPr>
            <w:tcW w:w="8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Adjustments related to legal settlements</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r>
      <w:tr>
        <w:trPr>
          <w:trHeight w:val="239"/>
        </w:trPr>
        <w:tc>
          <w:tcPr>
            <w:tcW w:w="8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Free Cash Flow</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17,089</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13,280</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13,394</w:t>
            </w:r>
          </w:p>
        </w:tc>
      </w:tr>
    </w:tbl>
    <w:p>
      <w:pPr>
        <w:spacing w:after="0" w:line="15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Appendix B: Nasdaq Board Diversity Matrix</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240" w:type="dxa"/>
            <w:vAlign w:val="bottom"/>
            <w:tcBorders>
              <w:left w:val="single" w:sz="8" w:color="00A1DF"/>
            </w:tcBorders>
            <w:shd w:val="clear" w:color="auto" w:fill="00A1DF"/>
          </w:tcPr>
          <w:p>
            <w:pPr>
              <w:spacing w:after="0"/>
              <w:rPr>
                <w:sz w:val="21"/>
                <w:szCs w:val="21"/>
                <w:color w:val="auto"/>
              </w:rPr>
            </w:pPr>
          </w:p>
        </w:tc>
        <w:tc>
          <w:tcPr>
            <w:tcW w:w="4200" w:type="dxa"/>
            <w:vAlign w:val="bottom"/>
            <w:gridSpan w:val="2"/>
            <w:shd w:val="clear" w:color="auto" w:fill="00A1DF"/>
          </w:tcPr>
          <w:p>
            <w:pPr>
              <w:ind w:left="600"/>
              <w:spacing w:after="0"/>
              <w:rPr>
                <w:sz w:val="20"/>
                <w:szCs w:val="20"/>
                <w:color w:val="auto"/>
              </w:rPr>
            </w:pPr>
            <w:r>
              <w:rPr>
                <w:rFonts w:ascii="Arial" w:cs="Arial" w:eastAsia="Arial" w:hAnsi="Arial"/>
                <w:sz w:val="14"/>
                <w:szCs w:val="14"/>
                <w:b w:val="1"/>
                <w:bCs w:val="1"/>
                <w:color w:val="FFFFFF"/>
              </w:rPr>
              <w:t>BOARD DIVERSITY MATRIX (AS OF APRIL 22, 2022)</w:t>
            </w:r>
          </w:p>
        </w:tc>
        <w:tc>
          <w:tcPr>
            <w:tcW w:w="100" w:type="dxa"/>
            <w:vAlign w:val="bottom"/>
            <w:tcBorders>
              <w:right w:val="single" w:sz="8" w:color="00A1DF"/>
            </w:tcBorders>
            <w:shd w:val="clear" w:color="auto" w:fill="00A1DF"/>
          </w:tcPr>
          <w:p>
            <w:pPr>
              <w:spacing w:after="0"/>
              <w:rPr>
                <w:sz w:val="21"/>
                <w:szCs w:val="21"/>
                <w:color w:val="auto"/>
              </w:rPr>
            </w:pPr>
          </w:p>
        </w:tc>
        <w:tc>
          <w:tcPr>
            <w:tcW w:w="3700" w:type="dxa"/>
            <w:vAlign w:val="bottom"/>
            <w:tcBorders>
              <w:right w:val="single" w:sz="8" w:color="00A1DF"/>
            </w:tcBorders>
            <w:shd w:val="clear" w:color="auto" w:fill="00A1DF"/>
          </w:tcPr>
          <w:p>
            <w:pPr>
              <w:spacing w:after="0"/>
              <w:rPr>
                <w:sz w:val="21"/>
                <w:szCs w:val="21"/>
                <w:color w:val="auto"/>
              </w:rPr>
            </w:pPr>
          </w:p>
        </w:tc>
      </w:tr>
      <w:tr>
        <w:trPr>
          <w:trHeight w:val="239"/>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auto"/>
              </w:rPr>
              <w:t>Total Number of Directors</w:t>
            </w: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spacing w:after="0"/>
              <w:rPr>
                <w:sz w:val="20"/>
                <w:szCs w:val="20"/>
                <w:color w:val="auto"/>
              </w:rPr>
            </w:pPr>
          </w:p>
        </w:tc>
        <w:tc>
          <w:tcPr>
            <w:tcW w:w="3800" w:type="dxa"/>
            <w:vAlign w:val="bottom"/>
            <w:tcBorders>
              <w:bottom w:val="single" w:sz="8" w:color="00A1DF"/>
              <w:right w:val="single" w:sz="8" w:color="00A1DF"/>
            </w:tcBorders>
            <w:gridSpan w:val="2"/>
          </w:tcPr>
          <w:p>
            <w:pPr>
              <w:jc w:val="right"/>
              <w:ind w:right="3479"/>
              <w:spacing w:after="0"/>
              <w:rPr>
                <w:sz w:val="20"/>
                <w:szCs w:val="20"/>
                <w:color w:val="auto"/>
              </w:rPr>
            </w:pPr>
            <w:r>
              <w:rPr>
                <w:rFonts w:ascii="Arial" w:cs="Arial" w:eastAsia="Arial" w:hAnsi="Arial"/>
                <w:sz w:val="16"/>
                <w:szCs w:val="16"/>
                <w:b w:val="1"/>
                <w:bCs w:val="1"/>
                <w:color w:val="auto"/>
              </w:rPr>
              <w:t>10</w:t>
            </w:r>
          </w:p>
        </w:tc>
      </w:tr>
      <w:tr>
        <w:trPr>
          <w:trHeight w:val="237"/>
        </w:trPr>
        <w:tc>
          <w:tcPr>
            <w:tcW w:w="3240" w:type="dxa"/>
            <w:vAlign w:val="bottom"/>
            <w:tcBorders>
              <w:left w:val="single" w:sz="8" w:color="00A1DF"/>
              <w:bottom w:val="single" w:sz="8" w:color="00A1DF"/>
            </w:tcBorders>
          </w:tcPr>
          <w:p>
            <w:pPr>
              <w:spacing w:after="0"/>
              <w:rPr>
                <w:sz w:val="20"/>
                <w:szCs w:val="20"/>
                <w:color w:val="auto"/>
              </w:rPr>
            </w:pP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ind w:left="1500"/>
              <w:spacing w:after="0"/>
              <w:rPr>
                <w:sz w:val="20"/>
                <w:szCs w:val="20"/>
                <w:color w:val="auto"/>
              </w:rPr>
            </w:pPr>
            <w:r>
              <w:rPr>
                <w:rFonts w:ascii="Arial" w:cs="Arial" w:eastAsia="Arial" w:hAnsi="Arial"/>
                <w:sz w:val="16"/>
                <w:szCs w:val="16"/>
                <w:b w:val="1"/>
                <w:bCs w:val="1"/>
                <w:color w:val="auto"/>
              </w:rPr>
              <w:t>Female</w:t>
            </w:r>
          </w:p>
        </w:tc>
        <w:tc>
          <w:tcPr>
            <w:tcW w:w="100" w:type="dxa"/>
            <w:vAlign w:val="bottom"/>
            <w:tcBorders>
              <w:bottom w:val="single" w:sz="8" w:color="00A1DF"/>
              <w:right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jc w:val="right"/>
              <w:ind w:right="1599"/>
              <w:spacing w:after="0"/>
              <w:rPr>
                <w:sz w:val="20"/>
                <w:szCs w:val="20"/>
                <w:color w:val="auto"/>
              </w:rPr>
            </w:pPr>
            <w:r>
              <w:rPr>
                <w:rFonts w:ascii="Arial" w:cs="Arial" w:eastAsia="Arial" w:hAnsi="Arial"/>
                <w:sz w:val="16"/>
                <w:szCs w:val="16"/>
                <w:b w:val="1"/>
                <w:bCs w:val="1"/>
                <w:color w:val="auto"/>
              </w:rPr>
              <w:t>Male</w:t>
            </w:r>
          </w:p>
        </w:tc>
      </w:tr>
      <w:tr>
        <w:trPr>
          <w:trHeight w:val="236"/>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auto"/>
              </w:rPr>
              <w:t>Part I: Gender Identity</w:t>
            </w:r>
          </w:p>
        </w:tc>
        <w:tc>
          <w:tcPr>
            <w:tcW w:w="720" w:type="dxa"/>
            <w:vAlign w:val="bottom"/>
            <w:tcBorders>
              <w:bottom w:val="single" w:sz="8" w:color="00A1DF"/>
            </w:tcBorders>
          </w:tcPr>
          <w:p>
            <w:pPr>
              <w:spacing w:after="0"/>
              <w:rPr>
                <w:sz w:val="20"/>
                <w:szCs w:val="20"/>
                <w:color w:val="auto"/>
              </w:rPr>
            </w:pPr>
          </w:p>
        </w:tc>
        <w:tc>
          <w:tcPr>
            <w:tcW w:w="3480" w:type="dxa"/>
            <w:vAlign w:val="bottom"/>
            <w:tcBorders>
              <w:bottom w:val="single" w:sz="8" w:color="00A1DF"/>
            </w:tcBorders>
          </w:tcPr>
          <w:p>
            <w:pPr>
              <w:spacing w:after="0"/>
              <w:rPr>
                <w:sz w:val="20"/>
                <w:szCs w:val="20"/>
                <w:color w:val="auto"/>
              </w:rPr>
            </w:pPr>
          </w:p>
        </w:tc>
        <w:tc>
          <w:tcPr>
            <w:tcW w:w="100" w:type="dxa"/>
            <w:vAlign w:val="bottom"/>
            <w:tcBorders>
              <w:bottom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spacing w:after="0"/>
              <w:rPr>
                <w:sz w:val="20"/>
                <w:szCs w:val="20"/>
                <w:color w:val="auto"/>
              </w:rPr>
            </w:pPr>
          </w:p>
        </w:tc>
      </w:tr>
      <w:tr>
        <w:trPr>
          <w:trHeight w:val="234"/>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color w:val="auto"/>
              </w:rPr>
              <w:t>Directors</w:t>
            </w: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Borders>
              <w:bottom w:val="single" w:sz="8" w:color="00A1DF"/>
              <w:right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6"/>
                <w:szCs w:val="16"/>
                <w:color w:val="auto"/>
                <w:w w:val="89"/>
              </w:rPr>
              <w:t>7</w:t>
            </w:r>
          </w:p>
        </w:tc>
      </w:tr>
      <w:tr>
        <w:trPr>
          <w:trHeight w:val="239"/>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auto"/>
              </w:rPr>
              <w:t>Part II: Demographic Background</w:t>
            </w:r>
          </w:p>
        </w:tc>
        <w:tc>
          <w:tcPr>
            <w:tcW w:w="720" w:type="dxa"/>
            <w:vAlign w:val="bottom"/>
            <w:tcBorders>
              <w:bottom w:val="single" w:sz="8" w:color="00A1DF"/>
            </w:tcBorders>
          </w:tcPr>
          <w:p>
            <w:pPr>
              <w:spacing w:after="0"/>
              <w:rPr>
                <w:sz w:val="20"/>
                <w:szCs w:val="20"/>
                <w:color w:val="auto"/>
              </w:rPr>
            </w:pPr>
          </w:p>
        </w:tc>
        <w:tc>
          <w:tcPr>
            <w:tcW w:w="3480" w:type="dxa"/>
            <w:vAlign w:val="bottom"/>
            <w:tcBorders>
              <w:bottom w:val="single" w:sz="8" w:color="00A1DF"/>
            </w:tcBorders>
          </w:tcPr>
          <w:p>
            <w:pPr>
              <w:spacing w:after="0"/>
              <w:rPr>
                <w:sz w:val="20"/>
                <w:szCs w:val="20"/>
                <w:color w:val="auto"/>
              </w:rPr>
            </w:pPr>
          </w:p>
        </w:tc>
        <w:tc>
          <w:tcPr>
            <w:tcW w:w="100" w:type="dxa"/>
            <w:vAlign w:val="bottom"/>
            <w:tcBorders>
              <w:bottom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spacing w:after="0"/>
              <w:rPr>
                <w:sz w:val="20"/>
                <w:szCs w:val="20"/>
                <w:color w:val="auto"/>
              </w:rPr>
            </w:pPr>
          </w:p>
        </w:tc>
      </w:tr>
      <w:tr>
        <w:trPr>
          <w:trHeight w:val="234"/>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color w:val="auto"/>
              </w:rPr>
              <w:t>African American or Black</w:t>
            </w: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00A1DF"/>
              <w:right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6"/>
                <w:szCs w:val="16"/>
                <w:color w:val="auto"/>
                <w:w w:val="89"/>
              </w:rPr>
              <w:t>1</w:t>
            </w:r>
          </w:p>
        </w:tc>
      </w:tr>
      <w:tr>
        <w:trPr>
          <w:trHeight w:val="237"/>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color w:val="auto"/>
              </w:rPr>
              <w:t>Asian</w:t>
            </w: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00A1DF"/>
              <w:right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color w:val="auto"/>
              </w:rPr>
              <w:t>Hispanic or Latinx</w:t>
            </w: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Borders>
              <w:bottom w:val="single" w:sz="8" w:color="00A1DF"/>
              <w:right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240" w:type="dxa"/>
            <w:vAlign w:val="bottom"/>
            <w:tcBorders>
              <w:left w:val="single" w:sz="8" w:color="00A1DF"/>
              <w:bottom w:val="single" w:sz="8" w:color="00A1DF"/>
            </w:tcBorders>
          </w:tcPr>
          <w:p>
            <w:pPr>
              <w:ind w:left="80"/>
              <w:spacing w:after="0"/>
              <w:rPr>
                <w:sz w:val="20"/>
                <w:szCs w:val="20"/>
                <w:color w:val="auto"/>
              </w:rPr>
            </w:pPr>
            <w:r>
              <w:rPr>
                <w:rFonts w:ascii="Arial" w:cs="Arial" w:eastAsia="Arial" w:hAnsi="Arial"/>
                <w:sz w:val="16"/>
                <w:szCs w:val="16"/>
                <w:color w:val="auto"/>
              </w:rPr>
              <w:t>White</w:t>
            </w:r>
          </w:p>
        </w:tc>
        <w:tc>
          <w:tcPr>
            <w:tcW w:w="720" w:type="dxa"/>
            <w:vAlign w:val="bottom"/>
            <w:tcBorders>
              <w:bottom w:val="single" w:sz="8" w:color="00A1DF"/>
              <w:right w:val="single" w:sz="8" w:color="00A1DF"/>
            </w:tcBorders>
          </w:tcPr>
          <w:p>
            <w:pPr>
              <w:spacing w:after="0"/>
              <w:rPr>
                <w:sz w:val="20"/>
                <w:szCs w:val="20"/>
                <w:color w:val="auto"/>
              </w:rPr>
            </w:pPr>
          </w:p>
        </w:tc>
        <w:tc>
          <w:tcPr>
            <w:tcW w:w="3480" w:type="dxa"/>
            <w:vAlign w:val="bottom"/>
            <w:tcBorders>
              <w:bottom w:val="single" w:sz="8" w:color="00A1DF"/>
            </w:tcBorders>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00A1DF"/>
              <w:right w:val="single" w:sz="8" w:color="00A1DF"/>
            </w:tcBorders>
          </w:tcPr>
          <w:p>
            <w:pPr>
              <w:spacing w:after="0"/>
              <w:rPr>
                <w:sz w:val="20"/>
                <w:szCs w:val="20"/>
                <w:color w:val="auto"/>
              </w:rPr>
            </w:pPr>
          </w:p>
        </w:tc>
        <w:tc>
          <w:tcPr>
            <w:tcW w:w="370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6"/>
                <w:szCs w:val="16"/>
                <w:color w:val="auto"/>
                <w:w w:val="89"/>
              </w:rPr>
              <w:t>5</w:t>
            </w:r>
          </w:p>
        </w:tc>
      </w:tr>
    </w:tbl>
    <w:p>
      <w:pPr>
        <w:spacing w:after="0" w:line="15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53275" cy="81800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818007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99870" cy="5829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99870" cy="58293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297815</wp:posOffset>
            </wp:positionV>
            <wp:extent cx="325755" cy="4889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755" cy="4889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375285</wp:posOffset>
            </wp:positionV>
            <wp:extent cx="265430" cy="3257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4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560"/>
        <w:spacing w:after="0"/>
        <w:rPr>
          <w:sz w:val="20"/>
          <w:szCs w:val="20"/>
          <w:color w:val="auto"/>
        </w:rPr>
      </w:pPr>
      <w:r>
        <w:rPr>
          <w:rFonts w:ascii="Arial" w:cs="Arial" w:eastAsia="Arial" w:hAnsi="Arial"/>
          <w:sz w:val="16"/>
          <w:szCs w:val="16"/>
          <w:b w:val="1"/>
          <w:bCs w:val="1"/>
          <w:color w:val="auto"/>
        </w:rPr>
        <w:t>SCAN QR BARCODE</w:t>
      </w:r>
    </w:p>
    <w:p>
      <w:pPr>
        <w:spacing w:after="0" w:line="33" w:lineRule="exact"/>
        <w:rPr>
          <w:sz w:val="20"/>
          <w:szCs w:val="20"/>
          <w:color w:val="auto"/>
        </w:rPr>
      </w:pPr>
    </w:p>
    <w:p>
      <w:pPr>
        <w:jc w:val="center"/>
        <w:ind w:left="1560"/>
        <w:spacing w:after="0"/>
        <w:rPr>
          <w:sz w:val="20"/>
          <w:szCs w:val="20"/>
          <w:color w:val="auto"/>
        </w:rPr>
      </w:pPr>
      <w:r>
        <w:rPr>
          <w:rFonts w:ascii="Arial" w:cs="Arial" w:eastAsia="Arial" w:hAnsi="Arial"/>
          <w:sz w:val="13"/>
          <w:szCs w:val="13"/>
          <w:b w:val="1"/>
          <w:bCs w:val="1"/>
          <w:color w:val="auto"/>
        </w:rPr>
        <w:t>VIEW MATERIALS &amp; VOTE</w:t>
      </w:r>
    </w:p>
    <w:p>
      <w:pPr>
        <w:sectPr>
          <w:pgSz w:w="11900" w:h="16838" w:orient="portrait"/>
          <w:cols w:equalWidth="0" w:num="1">
            <w:col w:w="11260"/>
          </w:cols>
          <w:pgMar w:left="320" w:top="130" w:right="31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ONE COMCAST CENTER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 www.proxyvote.com or scan the QR Barcode above</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3"/>
          <w:szCs w:val="13"/>
          <w:color w:val="auto"/>
        </w:rPr>
        <w:t>Use the Internet to transmit your voting instructions up until 11:59 P.M. Eastern Time on May 31, 2022. Please have your proxy card in hand when you access the website and follow the instructions to obtain your records and create an electronic voting instruction form.</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 comcast.onlineshareholdermeeting.com</w:t>
      </w:r>
    </w:p>
    <w:p>
      <w:pPr>
        <w:spacing w:after="0" w:line="215"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color w:val="auto"/>
        </w:rPr>
        <w:t>You may attend the Meeting and vote during the Meeting when the polls are open via the Internet. We recommend, however, that you vote before the Meeting even if you plan to participate in the Meeting, since you can change your vote during the Meeting by voting when the polls are open. Have the information that is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printed in the box marked by the arrow </w:t>
      </w:r>
      <w:r>
        <w:rPr>
          <w:sz w:val="1"/>
          <w:szCs w:val="1"/>
          <w:color w:val="auto"/>
        </w:rPr>
        <w:drawing>
          <wp:inline distT="0" distB="0" distL="0" distR="0">
            <wp:extent cx="977265" cy="7747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77265" cy="77470"/>
                    </a:xfrm>
                    <a:prstGeom prst="rect">
                      <a:avLst/>
                    </a:prstGeom>
                    <a:noFill/>
                    <a:ln>
                      <a:noFill/>
                    </a:ln>
                  </pic:spPr>
                </pic:pic>
              </a:graphicData>
            </a:graphic>
          </wp:inline>
        </w:drawing>
      </w:r>
      <w:r>
        <w:rPr>
          <w:rFonts w:ascii="Arial" w:cs="Arial" w:eastAsia="Arial" w:hAnsi="Arial"/>
          <w:sz w:val="13"/>
          <w:szCs w:val="13"/>
          <w:color w:val="auto"/>
        </w:rPr>
        <w:t xml:space="preserve"> available and follow the instructions.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17" w:lineRule="exact"/>
        <w:rPr>
          <w:sz w:val="20"/>
          <w:szCs w:val="20"/>
          <w:color w:val="auto"/>
        </w:rPr>
      </w:pPr>
    </w:p>
    <w:p>
      <w:pPr>
        <w:jc w:val="both"/>
        <w:ind w:right="20"/>
        <w:spacing w:after="0" w:line="281"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31, 2022. Please have your proxy card in hand when you call and then follow the instructions.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Comcast Corporation, c/o Broadridge Financial Solutions, 51 Mercedes Way, Edgewood, NY 11717.</w:t>
      </w:r>
    </w:p>
    <w:p>
      <w:pPr>
        <w:spacing w:after="0" w:line="178" w:lineRule="exact"/>
        <w:rPr>
          <w:sz w:val="20"/>
          <w:szCs w:val="20"/>
          <w:color w:val="auto"/>
        </w:rPr>
      </w:pPr>
    </w:p>
    <w:p>
      <w:pPr>
        <w:sectPr>
          <w:pgSz w:w="11900" w:h="16838" w:orient="portrait"/>
          <w:cols w:equalWidth="0" w:num="2">
            <w:col w:w="4000" w:space="720"/>
            <w:col w:w="6540"/>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4700" w:type="dxa"/>
            <w:vAlign w:val="bottom"/>
            <w:gridSpan w:val="10"/>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vMerge w:val="restart"/>
          </w:tcPr>
          <w:p>
            <w:pPr>
              <w:ind w:left="260"/>
              <w:spacing w:after="0"/>
              <w:rPr>
                <w:sz w:val="20"/>
                <w:szCs w:val="20"/>
                <w:color w:val="auto"/>
              </w:rPr>
            </w:pPr>
            <w:r>
              <w:rPr>
                <w:rFonts w:ascii="Arial" w:cs="Arial" w:eastAsia="Arial" w:hAnsi="Arial"/>
                <w:sz w:val="13"/>
                <w:szCs w:val="13"/>
                <w:color w:val="auto"/>
              </w:rPr>
              <w:t>D76277-P68184</w:t>
            </w:r>
          </w:p>
        </w:tc>
        <w:tc>
          <w:tcPr>
            <w:tcW w:w="380" w:type="dxa"/>
            <w:vAlign w:val="bottom"/>
          </w:tcPr>
          <w:p>
            <w:pPr>
              <w:spacing w:after="0"/>
              <w:rPr>
                <w:sz w:val="15"/>
                <w:szCs w:val="15"/>
                <w:color w:val="auto"/>
              </w:rPr>
            </w:pPr>
          </w:p>
        </w:tc>
        <w:tc>
          <w:tcPr>
            <w:tcW w:w="2820" w:type="dxa"/>
            <w:vAlign w:val="bottom"/>
            <w:gridSpan w:val="9"/>
            <w:vMerge w:val="restart"/>
          </w:tcPr>
          <w:p>
            <w:pPr>
              <w:jc w:val="center"/>
              <w:ind w:right="2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0" w:type="dxa"/>
            <w:vAlign w:val="bottom"/>
            <w:gridSpan w:val="10"/>
            <w:vMerge w:val="restart"/>
          </w:tcPr>
          <w:p>
            <w:pPr>
              <w:ind w:left="140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1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gridSpan w:val="10"/>
            <w:vMerge w:val="continue"/>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10"/>
          </w:tcPr>
          <w:p>
            <w:pPr>
              <w:ind w:left="32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520" w:type="dxa"/>
            <w:vAlign w:val="bottom"/>
            <w:tcBorders>
              <w:top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COMCAST CORPORATION</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Withhold For All</w:t>
            </w:r>
          </w:p>
        </w:tc>
        <w:tc>
          <w:tcPr>
            <w:tcW w:w="306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To withhold authority to vote for any individual</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Company  Proposals  —</w:t>
            </w:r>
          </w:p>
        </w:tc>
        <w:tc>
          <w:tcPr>
            <w:tcW w:w="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The</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Board</w:t>
            </w:r>
          </w:p>
        </w:tc>
        <w:tc>
          <w:tcPr>
            <w:tcW w:w="2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of</w:t>
            </w:r>
          </w:p>
        </w:tc>
        <w:tc>
          <w:tcPr>
            <w:tcW w:w="9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Directors</w:t>
            </w:r>
          </w:p>
        </w:tc>
        <w:tc>
          <w:tcPr>
            <w:tcW w:w="3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All</w:t>
            </w:r>
          </w:p>
        </w:tc>
        <w:tc>
          <w:tcPr>
            <w:tcW w:w="700" w:type="dxa"/>
            <w:vAlign w:val="bottom"/>
          </w:tcPr>
          <w:p>
            <w:pPr>
              <w:ind w:left="220"/>
              <w:spacing w:after="0" w:line="116" w:lineRule="exact"/>
              <w:rPr>
                <w:sz w:val="20"/>
                <w:szCs w:val="20"/>
                <w:color w:val="auto"/>
              </w:rPr>
            </w:pPr>
            <w:r>
              <w:rPr>
                <w:rFonts w:ascii="Arial" w:cs="Arial" w:eastAsia="Arial" w:hAnsi="Arial"/>
                <w:sz w:val="13"/>
                <w:szCs w:val="13"/>
                <w:b w:val="1"/>
                <w:bCs w:val="1"/>
                <w:color w:val="auto"/>
              </w:rPr>
              <w:t>All</w:t>
            </w:r>
          </w:p>
        </w:tc>
        <w:tc>
          <w:tcPr>
            <w:tcW w:w="780" w:type="dxa"/>
            <w:vAlign w:val="bottom"/>
          </w:tcPr>
          <w:p>
            <w:pPr>
              <w:jc w:val="center"/>
              <w:ind w:right="276"/>
              <w:spacing w:after="0" w:line="116" w:lineRule="exact"/>
              <w:rPr>
                <w:sz w:val="20"/>
                <w:szCs w:val="20"/>
                <w:color w:val="auto"/>
              </w:rPr>
            </w:pPr>
            <w:r>
              <w:rPr>
                <w:rFonts w:ascii="Arial" w:cs="Arial" w:eastAsia="Arial" w:hAnsi="Arial"/>
                <w:sz w:val="13"/>
                <w:szCs w:val="13"/>
                <w:b w:val="1"/>
                <w:bCs w:val="1"/>
                <w:color w:val="auto"/>
                <w:w w:val="98"/>
              </w:rPr>
              <w:t>Except</w:t>
            </w:r>
          </w:p>
        </w:tc>
        <w:tc>
          <w:tcPr>
            <w:tcW w:w="3060" w:type="dxa"/>
            <w:vAlign w:val="bottom"/>
            <w:gridSpan w:val="5"/>
          </w:tcPr>
          <w:p>
            <w:pPr>
              <w:spacing w:after="0" w:line="116" w:lineRule="exact"/>
              <w:rPr>
                <w:sz w:val="20"/>
                <w:szCs w:val="20"/>
                <w:color w:val="auto"/>
              </w:rPr>
            </w:pPr>
            <w:r>
              <w:rPr>
                <w:rFonts w:ascii="Arial" w:cs="Arial" w:eastAsia="Arial" w:hAnsi="Arial"/>
                <w:sz w:val="13"/>
                <w:szCs w:val="13"/>
                <w:color w:val="auto"/>
              </w:rPr>
              <w:t>nominee(s), mark "For All Except" and write the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8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A</w:t>
            </w:r>
          </w:p>
        </w:tc>
        <w:tc>
          <w:tcPr>
            <w:tcW w:w="18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60" w:type="dxa"/>
            <w:vAlign w:val="bottom"/>
            <w:gridSpan w:val="5"/>
          </w:tcPr>
          <w:p>
            <w:pPr>
              <w:spacing w:after="0" w:line="134" w:lineRule="exact"/>
              <w:rPr>
                <w:sz w:val="20"/>
                <w:szCs w:val="20"/>
                <w:color w:val="auto"/>
              </w:rPr>
            </w:pPr>
            <w:r>
              <w:rPr>
                <w:rFonts w:ascii="Arial" w:cs="Arial" w:eastAsia="Arial" w:hAnsi="Arial"/>
                <w:sz w:val="13"/>
                <w:szCs w:val="13"/>
                <w:color w:val="auto"/>
              </w:rPr>
              <w:t>number(s) of the nominee(s) on the line below.</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80" w:type="dxa"/>
            <w:vAlign w:val="bottom"/>
            <w:vMerge w:val="continue"/>
            <w:shd w:val="clear" w:color="auto" w:fill="000000"/>
          </w:tcPr>
          <w:p>
            <w:pPr>
              <w:spacing w:after="0"/>
              <w:rPr>
                <w:sz w:val="12"/>
                <w:szCs w:val="12"/>
                <w:color w:val="auto"/>
              </w:rPr>
            </w:pPr>
          </w:p>
        </w:tc>
        <w:tc>
          <w:tcPr>
            <w:tcW w:w="4000" w:type="dxa"/>
            <w:vAlign w:val="bottom"/>
            <w:gridSpan w:val="7"/>
          </w:tcPr>
          <w:p>
            <w:pPr>
              <w:ind w:left="40"/>
              <w:spacing w:after="0"/>
              <w:rPr>
                <w:sz w:val="20"/>
                <w:szCs w:val="20"/>
                <w:color w:val="auto"/>
              </w:rPr>
            </w:pPr>
            <w:r>
              <w:rPr>
                <w:rFonts w:ascii="Arial" w:cs="Arial" w:eastAsia="Arial" w:hAnsi="Arial"/>
                <w:sz w:val="13"/>
                <w:szCs w:val="13"/>
                <w:b w:val="1"/>
                <w:bCs w:val="1"/>
                <w:color w:val="auto"/>
              </w:rPr>
              <w:t>recommends a vote "FOR" all the nominees listed in</w:t>
            </w: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vMerge w:val="restart"/>
          </w:tcPr>
          <w:p>
            <w:pPr>
              <w:jc w:val="center"/>
              <w:ind w:right="296"/>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Proposal 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1.</w:t>
            </w:r>
          </w:p>
        </w:tc>
        <w:tc>
          <w:tcPr>
            <w:tcW w:w="1860" w:type="dxa"/>
            <w:vAlign w:val="bottom"/>
            <w:vMerge w:val="restart"/>
          </w:tcPr>
          <w:p>
            <w:pPr>
              <w:ind w:left="40"/>
              <w:spacing w:after="0"/>
              <w:rPr>
                <w:sz w:val="20"/>
                <w:szCs w:val="20"/>
                <w:color w:val="auto"/>
              </w:rPr>
            </w:pPr>
            <w:r>
              <w:rPr>
                <w:rFonts w:ascii="Arial" w:cs="Arial" w:eastAsia="Arial" w:hAnsi="Arial"/>
                <w:sz w:val="13"/>
                <w:szCs w:val="13"/>
                <w:color w:val="auto"/>
              </w:rPr>
              <w:t>Election of Directors</w:t>
            </w: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ind w:left="40"/>
              <w:spacing w:after="0"/>
              <w:rPr>
                <w:sz w:val="20"/>
                <w:szCs w:val="20"/>
                <w:color w:val="auto"/>
              </w:rPr>
            </w:pPr>
            <w:r>
              <w:rPr>
                <w:rFonts w:ascii="Arial" w:cs="Arial" w:eastAsia="Arial" w:hAnsi="Arial"/>
                <w:sz w:val="13"/>
                <w:szCs w:val="13"/>
                <w:color w:val="auto"/>
              </w:rPr>
              <w:t>01 - Kenneth J. Bacon</w:t>
            </w:r>
          </w:p>
        </w:tc>
        <w:tc>
          <w:tcPr>
            <w:tcW w:w="2140" w:type="dxa"/>
            <w:vAlign w:val="bottom"/>
            <w:gridSpan w:val="6"/>
          </w:tcPr>
          <w:p>
            <w:pPr>
              <w:ind w:left="80"/>
              <w:spacing w:after="0"/>
              <w:rPr>
                <w:sz w:val="20"/>
                <w:szCs w:val="20"/>
                <w:color w:val="auto"/>
              </w:rPr>
            </w:pPr>
            <w:r>
              <w:rPr>
                <w:rFonts w:ascii="Arial" w:cs="Arial" w:eastAsia="Arial" w:hAnsi="Arial"/>
                <w:sz w:val="13"/>
                <w:szCs w:val="13"/>
                <w:color w:val="auto"/>
              </w:rPr>
              <w:t>06 - Maritza G. Montiel</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Arial" w:cs="Arial" w:eastAsia="Arial" w:hAnsi="Arial"/>
                <w:sz w:val="13"/>
                <w:szCs w:val="13"/>
                <w:color w:val="auto"/>
              </w:rPr>
              <w:t>02 - Madeline S. Bell</w:t>
            </w:r>
          </w:p>
        </w:tc>
        <w:tc>
          <w:tcPr>
            <w:tcW w:w="2140" w:type="dxa"/>
            <w:vAlign w:val="bottom"/>
            <w:gridSpan w:val="6"/>
          </w:tcPr>
          <w:p>
            <w:pPr>
              <w:ind w:left="80"/>
              <w:spacing w:after="0"/>
              <w:rPr>
                <w:sz w:val="20"/>
                <w:szCs w:val="20"/>
                <w:color w:val="auto"/>
              </w:rPr>
            </w:pPr>
            <w:r>
              <w:rPr>
                <w:rFonts w:ascii="Arial" w:cs="Arial" w:eastAsia="Arial" w:hAnsi="Arial"/>
                <w:sz w:val="13"/>
                <w:szCs w:val="13"/>
                <w:color w:val="auto"/>
              </w:rPr>
              <w:t>07 - Asuka Nakahara</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Arial" w:cs="Arial" w:eastAsia="Arial" w:hAnsi="Arial"/>
                <w:sz w:val="13"/>
                <w:szCs w:val="13"/>
                <w:color w:val="auto"/>
              </w:rPr>
              <w:t>03 - Edward D. Breen</w:t>
            </w:r>
          </w:p>
        </w:tc>
        <w:tc>
          <w:tcPr>
            <w:tcW w:w="2140" w:type="dxa"/>
            <w:vAlign w:val="bottom"/>
            <w:gridSpan w:val="6"/>
          </w:tcPr>
          <w:p>
            <w:pPr>
              <w:ind w:left="80"/>
              <w:spacing w:after="0"/>
              <w:rPr>
                <w:sz w:val="20"/>
                <w:szCs w:val="20"/>
                <w:color w:val="auto"/>
              </w:rPr>
            </w:pPr>
            <w:r>
              <w:rPr>
                <w:rFonts w:ascii="Arial" w:cs="Arial" w:eastAsia="Arial" w:hAnsi="Arial"/>
                <w:sz w:val="13"/>
                <w:szCs w:val="13"/>
                <w:color w:val="auto"/>
              </w:rPr>
              <w:t>08 - David C. Novak</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Arial" w:cs="Arial" w:eastAsia="Arial" w:hAnsi="Arial"/>
                <w:sz w:val="13"/>
                <w:szCs w:val="13"/>
                <w:color w:val="auto"/>
              </w:rPr>
              <w:t>04 - Gerald L. Hassell</w:t>
            </w:r>
          </w:p>
        </w:tc>
        <w:tc>
          <w:tcPr>
            <w:tcW w:w="2140" w:type="dxa"/>
            <w:vAlign w:val="bottom"/>
            <w:gridSpan w:val="6"/>
          </w:tcPr>
          <w:p>
            <w:pPr>
              <w:ind w:left="80"/>
              <w:spacing w:after="0"/>
              <w:rPr>
                <w:sz w:val="20"/>
                <w:szCs w:val="20"/>
                <w:color w:val="auto"/>
              </w:rPr>
            </w:pPr>
            <w:r>
              <w:rPr>
                <w:rFonts w:ascii="Arial" w:cs="Arial" w:eastAsia="Arial" w:hAnsi="Arial"/>
                <w:sz w:val="13"/>
                <w:szCs w:val="13"/>
                <w:color w:val="auto"/>
              </w:rPr>
              <w:t>09 - Brian L. Roberts</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ind w:left="40"/>
              <w:spacing w:after="0"/>
              <w:rPr>
                <w:sz w:val="20"/>
                <w:szCs w:val="20"/>
                <w:color w:val="auto"/>
              </w:rPr>
            </w:pPr>
            <w:r>
              <w:rPr>
                <w:rFonts w:ascii="Arial" w:cs="Arial" w:eastAsia="Arial" w:hAnsi="Arial"/>
                <w:sz w:val="13"/>
                <w:szCs w:val="13"/>
                <w:color w:val="auto"/>
              </w:rPr>
              <w:t>05 - Jeffrey A. Honickman</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gridSpan w:val="8"/>
          </w:tcPr>
          <w:p>
            <w:pPr>
              <w:spacing w:after="0"/>
              <w:rPr>
                <w:sz w:val="20"/>
                <w:szCs w:val="20"/>
                <w:color w:val="auto"/>
              </w:rPr>
            </w:pPr>
            <w:r>
              <w:rPr>
                <w:rFonts w:ascii="Arial" w:cs="Arial" w:eastAsia="Arial" w:hAnsi="Arial"/>
                <w:sz w:val="13"/>
                <w:szCs w:val="13"/>
                <w:b w:val="1"/>
                <w:bCs w:val="1"/>
                <w:color w:val="auto"/>
              </w:rPr>
              <w:t>The Board of Directors recommends a vote "FOR" Proposals 2</w:t>
            </w: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Against Abstain</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center"/>
              <w:ind w:left="16"/>
              <w:spacing w:after="0"/>
              <w:rPr>
                <w:sz w:val="20"/>
                <w:szCs w:val="20"/>
                <w:color w:val="auto"/>
              </w:rPr>
            </w:pPr>
            <w:r>
              <w:rPr>
                <w:rFonts w:ascii="Arial" w:cs="Arial" w:eastAsia="Arial" w:hAnsi="Arial"/>
                <w:sz w:val="13"/>
                <w:szCs w:val="13"/>
                <w:b w:val="1"/>
                <w:bCs w:val="1"/>
                <w:color w:val="auto"/>
              </w:rPr>
              <w:t>For</w:t>
            </w:r>
          </w:p>
        </w:tc>
        <w:tc>
          <w:tcPr>
            <w:tcW w:w="1240" w:type="dxa"/>
            <w:vAlign w:val="bottom"/>
            <w:tcBorders>
              <w:right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Against Abstain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and 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restart"/>
          </w:tcPr>
          <w:p>
            <w:pPr>
              <w:jc w:val="center"/>
              <w:ind w:left="36"/>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right w:val="single" w:sz="8" w:color="auto"/>
            </w:tcBorders>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40" w:type="dxa"/>
            <w:vAlign w:val="bottom"/>
            <w:gridSpan w:val="5"/>
            <w:vMerge w:val="restart"/>
          </w:tcPr>
          <w:p>
            <w:pPr>
              <w:spacing w:after="0"/>
              <w:rPr>
                <w:sz w:val="20"/>
                <w:szCs w:val="20"/>
                <w:color w:val="auto"/>
              </w:rPr>
            </w:pPr>
            <w:r>
              <w:rPr>
                <w:rFonts w:ascii="Arial" w:cs="Arial" w:eastAsia="Arial" w:hAnsi="Arial"/>
                <w:sz w:val="13"/>
                <w:szCs w:val="13"/>
                <w:color w:val="auto"/>
              </w:rPr>
              <w:t>2.    Advisory vote on executive compensation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vMerge w:val="restart"/>
          </w:tcPr>
          <w:p>
            <w:pPr>
              <w:jc w:val="center"/>
              <w:ind w:right="296"/>
              <w:spacing w:after="0" w:line="181" w:lineRule="exact"/>
              <w:rPr>
                <w:sz w:val="20"/>
                <w:szCs w:val="20"/>
                <w:color w:val="auto"/>
              </w:rPr>
            </w:pPr>
            <w:r>
              <w:rPr>
                <w:rFonts w:ascii="MS PGothic" w:cs="MS PGothic" w:eastAsia="MS PGothic" w:hAnsi="MS PGothic"/>
                <w:sz w:val="18"/>
                <w:szCs w:val="18"/>
                <w:color w:val="auto"/>
                <w:w w:val="88"/>
              </w:rPr>
              <w:t>☐</w:t>
            </w:r>
          </w:p>
        </w:tc>
        <w:tc>
          <w:tcPr>
            <w:tcW w:w="3060" w:type="dxa"/>
            <w:vAlign w:val="bottom"/>
            <w:gridSpan w:val="5"/>
          </w:tcPr>
          <w:p>
            <w:pPr>
              <w:spacing w:after="0"/>
              <w:rPr>
                <w:sz w:val="20"/>
                <w:szCs w:val="20"/>
                <w:color w:val="auto"/>
              </w:rPr>
            </w:pPr>
            <w:r>
              <w:rPr>
                <w:rFonts w:ascii="Arial" w:cs="Arial" w:eastAsia="Arial" w:hAnsi="Arial"/>
                <w:sz w:val="13"/>
                <w:szCs w:val="13"/>
                <w:color w:val="auto"/>
              </w:rPr>
              <w:t>6.  To report on risks of omitting "viewpoint"</w:t>
            </w:r>
          </w:p>
        </w:tc>
        <w:tc>
          <w:tcPr>
            <w:tcW w:w="4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04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3060" w:type="dxa"/>
            <w:vAlign w:val="bottom"/>
            <w:gridSpan w:val="5"/>
          </w:tcPr>
          <w:p>
            <w:pPr>
              <w:ind w:left="260"/>
              <w:spacing w:after="0"/>
              <w:rPr>
                <w:sz w:val="20"/>
                <w:szCs w:val="20"/>
                <w:color w:val="auto"/>
              </w:rPr>
            </w:pPr>
            <w:r>
              <w:rPr>
                <w:rFonts w:ascii="Arial" w:cs="Arial" w:eastAsia="Arial" w:hAnsi="Arial"/>
                <w:sz w:val="13"/>
                <w:szCs w:val="13"/>
                <w:color w:val="auto"/>
              </w:rPr>
              <w:t>and "ideology" from EEO policy</w:t>
            </w:r>
          </w:p>
        </w:tc>
        <w:tc>
          <w:tcPr>
            <w:tcW w:w="4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3.</w:t>
            </w:r>
          </w:p>
        </w:tc>
        <w:tc>
          <w:tcPr>
            <w:tcW w:w="4000" w:type="dxa"/>
            <w:vAlign w:val="bottom"/>
            <w:gridSpan w:val="7"/>
          </w:tcPr>
          <w:p>
            <w:pPr>
              <w:ind w:left="40"/>
              <w:spacing w:after="0"/>
              <w:rPr>
                <w:sz w:val="20"/>
                <w:szCs w:val="20"/>
                <w:color w:val="auto"/>
              </w:rPr>
            </w:pPr>
            <w:r>
              <w:rPr>
                <w:rFonts w:ascii="Arial" w:cs="Arial" w:eastAsia="Arial" w:hAnsi="Arial"/>
                <w:sz w:val="13"/>
                <w:szCs w:val="13"/>
                <w:color w:val="auto"/>
              </w:rPr>
              <w:t>Ratification of the appointment of our independent auditors</w:t>
            </w: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vMerge w:val="restart"/>
          </w:tcPr>
          <w:p>
            <w:pPr>
              <w:jc w:val="center"/>
              <w:ind w:right="296"/>
              <w:spacing w:after="0" w:line="181" w:lineRule="exact"/>
              <w:rPr>
                <w:sz w:val="20"/>
                <w:szCs w:val="20"/>
                <w:color w:val="auto"/>
              </w:rPr>
            </w:pPr>
            <w:r>
              <w:rPr>
                <w:rFonts w:ascii="MS PGothic" w:cs="MS PGothic" w:eastAsia="MS PGothic" w:hAnsi="MS PGothic"/>
                <w:sz w:val="18"/>
                <w:szCs w:val="18"/>
                <w:color w:val="auto"/>
                <w:w w:val="88"/>
              </w:rPr>
              <w:t>☐</w:t>
            </w:r>
          </w:p>
        </w:tc>
        <w:tc>
          <w:tcPr>
            <w:tcW w:w="3060" w:type="dxa"/>
            <w:vAlign w:val="bottom"/>
            <w:gridSpan w:val="5"/>
            <w:vMerge w:val="restart"/>
          </w:tcPr>
          <w:p>
            <w:pPr>
              <w:spacing w:after="0"/>
              <w:rPr>
                <w:sz w:val="20"/>
                <w:szCs w:val="20"/>
                <w:color w:val="auto"/>
              </w:rPr>
            </w:pPr>
            <w:r>
              <w:rPr>
                <w:rFonts w:ascii="Arial" w:cs="Arial" w:eastAsia="Arial" w:hAnsi="Arial"/>
                <w:sz w:val="13"/>
                <w:szCs w:val="13"/>
                <w:color w:val="auto"/>
              </w:rPr>
              <w:t>7.  To conduct and publicly release the results</w:t>
            </w:r>
          </w:p>
        </w:tc>
        <w:tc>
          <w:tcPr>
            <w:tcW w:w="440" w:type="dxa"/>
            <w:vAlign w:val="bottom"/>
            <w:vMerge w:val="restart"/>
          </w:tcPr>
          <w:p>
            <w:pPr>
              <w:jc w:val="center"/>
              <w:ind w:left="36"/>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right w:val="single" w:sz="8" w:color="auto"/>
            </w:tcBorders>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3060" w:type="dxa"/>
            <w:vAlign w:val="bottom"/>
            <w:gridSpan w:val="5"/>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660" w:type="dxa"/>
            <w:vAlign w:val="bottom"/>
            <w:tcBorders>
              <w:right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60" w:type="dxa"/>
            <w:vAlign w:val="bottom"/>
            <w:gridSpan w:val="5"/>
          </w:tcPr>
          <w:p>
            <w:pPr>
              <w:ind w:left="260"/>
              <w:spacing w:after="0" w:line="137" w:lineRule="exact"/>
              <w:rPr>
                <w:sz w:val="20"/>
                <w:szCs w:val="20"/>
                <w:color w:val="auto"/>
              </w:rPr>
            </w:pPr>
            <w:r>
              <w:rPr>
                <w:rFonts w:ascii="Arial" w:cs="Arial" w:eastAsia="Arial" w:hAnsi="Arial"/>
                <w:sz w:val="13"/>
                <w:szCs w:val="13"/>
                <w:color w:val="auto"/>
              </w:rPr>
              <w:t>of an independent investigation into the</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Shareholder  Proposals  —</w:t>
            </w:r>
          </w:p>
        </w:tc>
        <w:tc>
          <w:tcPr>
            <w:tcW w:w="3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The</w:t>
            </w:r>
          </w:p>
        </w:tc>
        <w:tc>
          <w:tcPr>
            <w:tcW w:w="520" w:type="dxa"/>
            <w:vAlign w:val="bottom"/>
            <w:gridSpan w:val="2"/>
            <w:vMerge w:val="restart"/>
          </w:tcPr>
          <w:p>
            <w:pPr>
              <w:jc w:val="center"/>
              <w:ind w:left="13"/>
              <w:spacing w:after="0"/>
              <w:rPr>
                <w:sz w:val="20"/>
                <w:szCs w:val="20"/>
                <w:color w:val="auto"/>
              </w:rPr>
            </w:pPr>
            <w:r>
              <w:rPr>
                <w:rFonts w:ascii="Arial" w:cs="Arial" w:eastAsia="Arial" w:hAnsi="Arial"/>
                <w:sz w:val="13"/>
                <w:szCs w:val="13"/>
                <w:b w:val="1"/>
                <w:bCs w:val="1"/>
                <w:color w:val="auto"/>
              </w:rPr>
              <w:t>Board</w:t>
            </w:r>
          </w:p>
        </w:tc>
        <w:tc>
          <w:tcPr>
            <w:tcW w:w="2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of</w:t>
            </w:r>
          </w:p>
        </w:tc>
        <w:tc>
          <w:tcPr>
            <w:tcW w:w="9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Directors</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60" w:type="dxa"/>
            <w:vAlign w:val="bottom"/>
            <w:gridSpan w:val="5"/>
          </w:tcPr>
          <w:p>
            <w:pPr>
              <w:ind w:left="260"/>
              <w:spacing w:after="0" w:line="114" w:lineRule="exact"/>
              <w:rPr>
                <w:sz w:val="20"/>
                <w:szCs w:val="20"/>
                <w:color w:val="auto"/>
              </w:rPr>
            </w:pPr>
            <w:r>
              <w:rPr>
                <w:rFonts w:ascii="Arial" w:cs="Arial" w:eastAsia="Arial" w:hAnsi="Arial"/>
                <w:sz w:val="13"/>
                <w:szCs w:val="13"/>
                <w:color w:val="auto"/>
              </w:rPr>
              <w:t>effectiveness of sexual harassment policies</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8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B</w:t>
            </w:r>
          </w:p>
        </w:tc>
        <w:tc>
          <w:tcPr>
            <w:tcW w:w="18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60" w:type="dxa"/>
            <w:vAlign w:val="bottom"/>
            <w:gridSpan w:val="5"/>
            <w:vMerge w:val="restart"/>
          </w:tcPr>
          <w:p>
            <w:pPr>
              <w:spacing w:after="0"/>
              <w:rPr>
                <w:sz w:val="20"/>
                <w:szCs w:val="20"/>
                <w:color w:val="auto"/>
              </w:rPr>
            </w:pPr>
            <w:r>
              <w:rPr>
                <w:rFonts w:ascii="Arial" w:cs="Arial" w:eastAsia="Arial" w:hAnsi="Arial"/>
                <w:sz w:val="13"/>
                <w:szCs w:val="13"/>
                <w:color w:val="auto"/>
              </w:rPr>
              <w:t>8.  To report on how retirement plan options</w:t>
            </w:r>
          </w:p>
        </w:tc>
        <w:tc>
          <w:tcPr>
            <w:tcW w:w="440" w:type="dxa"/>
            <w:vAlign w:val="bottom"/>
            <w:vMerge w:val="restart"/>
          </w:tcPr>
          <w:p>
            <w:pPr>
              <w:jc w:val="center"/>
              <w:ind w:left="36"/>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right w:val="single" w:sz="8" w:color="auto"/>
            </w:tcBorders>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80" w:type="dxa"/>
            <w:vAlign w:val="bottom"/>
            <w:vMerge w:val="continue"/>
            <w:shd w:val="clear" w:color="auto" w:fill="000000"/>
          </w:tcPr>
          <w:p>
            <w:pPr>
              <w:spacing w:after="0"/>
              <w:rPr>
                <w:sz w:val="12"/>
                <w:szCs w:val="12"/>
                <w:color w:val="auto"/>
              </w:rPr>
            </w:pPr>
          </w:p>
        </w:tc>
        <w:tc>
          <w:tcPr>
            <w:tcW w:w="4000" w:type="dxa"/>
            <w:vAlign w:val="bottom"/>
            <w:gridSpan w:val="7"/>
          </w:tcPr>
          <w:p>
            <w:pPr>
              <w:ind w:left="40"/>
              <w:spacing w:after="0"/>
              <w:rPr>
                <w:sz w:val="20"/>
                <w:szCs w:val="20"/>
                <w:color w:val="auto"/>
              </w:rPr>
            </w:pPr>
            <w:r>
              <w:rPr>
                <w:rFonts w:ascii="Arial" w:cs="Arial" w:eastAsia="Arial" w:hAnsi="Arial"/>
                <w:sz w:val="13"/>
                <w:szCs w:val="13"/>
                <w:b w:val="1"/>
                <w:bCs w:val="1"/>
                <w:color w:val="auto"/>
              </w:rPr>
              <w:t>recommends a vote "AGAINST" Proposals 4-8 if properly</w:t>
            </w: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Against Abstain</w:t>
            </w:r>
          </w:p>
        </w:tc>
        <w:tc>
          <w:tcPr>
            <w:tcW w:w="3060" w:type="dxa"/>
            <w:vAlign w:val="bottom"/>
            <w:gridSpan w:val="5"/>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b w:val="1"/>
                <w:bCs w:val="1"/>
                <w:color w:val="auto"/>
              </w:rPr>
              <w:t>presented at the Annual Meeting:</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60" w:type="dxa"/>
            <w:vAlign w:val="bottom"/>
            <w:gridSpan w:val="5"/>
          </w:tcPr>
          <w:p>
            <w:pPr>
              <w:ind w:left="260"/>
              <w:spacing w:after="0"/>
              <w:rPr>
                <w:sz w:val="20"/>
                <w:szCs w:val="20"/>
                <w:color w:val="auto"/>
              </w:rPr>
            </w:pPr>
            <w:r>
              <w:rPr>
                <w:rFonts w:ascii="Arial" w:cs="Arial" w:eastAsia="Arial" w:hAnsi="Arial"/>
                <w:sz w:val="13"/>
                <w:szCs w:val="13"/>
                <w:color w:val="auto"/>
              </w:rPr>
              <w:t>align with company climate goals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40" w:type="dxa"/>
            <w:vAlign w:val="bottom"/>
            <w:tcBorders>
              <w:right w:val="single" w:sz="8" w:color="auto"/>
            </w:tcBorders>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4.</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To report on charitable donations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jc w:val="center"/>
              <w:ind w:right="296"/>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Borders>
              <w:right w:val="single" w:sz="8" w:color="auto"/>
            </w:tcBorders>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5.</w:t>
            </w:r>
          </w:p>
        </w:tc>
        <w:tc>
          <w:tcPr>
            <w:tcW w:w="2760" w:type="dxa"/>
            <w:vAlign w:val="bottom"/>
            <w:gridSpan w:val="4"/>
          </w:tcPr>
          <w:p>
            <w:pPr>
              <w:ind w:left="40"/>
              <w:spacing w:after="0"/>
              <w:rPr>
                <w:sz w:val="20"/>
                <w:szCs w:val="20"/>
                <w:color w:val="auto"/>
              </w:rPr>
            </w:pPr>
            <w:r>
              <w:rPr>
                <w:rFonts w:ascii="Arial" w:cs="Arial" w:eastAsia="Arial" w:hAnsi="Arial"/>
                <w:sz w:val="13"/>
                <w:szCs w:val="13"/>
                <w:color w:val="auto"/>
              </w:rPr>
              <w:t>To perform independent racial equity audit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jc w:val="center"/>
              <w:ind w:right="296"/>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4"/>
          </w:tcPr>
          <w:p>
            <w:pPr>
              <w:spacing w:after="0"/>
              <w:rPr>
                <w:sz w:val="19"/>
                <w:szCs w:val="19"/>
                <w:color w:val="auto"/>
              </w:rPr>
            </w:pPr>
          </w:p>
        </w:tc>
        <w:tc>
          <w:tcPr>
            <w:tcW w:w="540" w:type="dxa"/>
            <w:vAlign w:val="bottom"/>
            <w:gridSpan w:val="2"/>
          </w:tcPr>
          <w:p>
            <w:pPr>
              <w:spacing w:after="0"/>
              <w:rPr>
                <w:sz w:val="19"/>
                <w:szCs w:val="19"/>
                <w:color w:val="auto"/>
              </w:rPr>
            </w:pPr>
          </w:p>
        </w:tc>
        <w:tc>
          <w:tcPr>
            <w:tcW w:w="2060" w:type="dxa"/>
            <w:vAlign w:val="bottom"/>
            <w:gridSpan w:val="4"/>
          </w:tcPr>
          <w:p>
            <w:pPr>
              <w:spacing w:after="0"/>
              <w:rPr>
                <w:sz w:val="19"/>
                <w:szCs w:val="19"/>
                <w:color w:val="auto"/>
              </w:rPr>
            </w:pPr>
          </w:p>
        </w:tc>
        <w:tc>
          <w:tcPr>
            <w:tcW w:w="2720" w:type="dxa"/>
            <w:vAlign w:val="bottom"/>
            <w:gridSpan w:val="3"/>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80" w:type="dxa"/>
            <w:vAlign w:val="bottom"/>
            <w:tcBorders>
              <w:bottom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C</w:t>
            </w:r>
          </w:p>
        </w:tc>
        <w:tc>
          <w:tcPr>
            <w:tcW w:w="8860" w:type="dxa"/>
            <w:vAlign w:val="bottom"/>
            <w:gridSpan w:val="15"/>
          </w:tcPr>
          <w:p>
            <w:pPr>
              <w:ind w:left="40"/>
              <w:spacing w:after="0"/>
              <w:rPr>
                <w:sz w:val="20"/>
                <w:szCs w:val="20"/>
                <w:color w:val="auto"/>
              </w:rPr>
            </w:pPr>
            <w:r>
              <w:rPr>
                <w:rFonts w:ascii="Arial" w:cs="Arial" w:eastAsia="Arial" w:hAnsi="Arial"/>
                <w:sz w:val="13"/>
                <w:szCs w:val="13"/>
                <w:b w:val="1"/>
                <w:bCs w:val="1"/>
                <w:color w:val="auto"/>
              </w:rPr>
              <w:t>Authorized Signatures — This section must be completed for your vote to be counted — Date and Sign Within the Box Below</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line="136" w:lineRule="exact"/>
              <w:rPr>
                <w:sz w:val="20"/>
                <w:szCs w:val="20"/>
                <w:color w:val="auto"/>
              </w:rPr>
            </w:pPr>
            <w:r>
              <w:rPr>
                <w:rFonts w:ascii="Arial" w:cs="Arial" w:eastAsia="Arial" w:hAnsi="Arial"/>
                <w:sz w:val="12"/>
                <w:szCs w:val="12"/>
                <w:color w:val="auto"/>
                <w:w w:val="70"/>
              </w:rPr>
              <w:t>Please</w:t>
            </w:r>
          </w:p>
        </w:tc>
        <w:tc>
          <w:tcPr>
            <w:tcW w:w="8860" w:type="dxa"/>
            <w:vAlign w:val="bottom"/>
            <w:gridSpan w:val="15"/>
          </w:tcPr>
          <w:p>
            <w:pPr>
              <w:ind w:left="140"/>
              <w:spacing w:after="0" w:line="136" w:lineRule="exact"/>
              <w:rPr>
                <w:sz w:val="20"/>
                <w:szCs w:val="20"/>
                <w:color w:val="auto"/>
              </w:rPr>
            </w:pPr>
            <w:r>
              <w:rPr>
                <w:rFonts w:ascii="Arial" w:cs="Arial" w:eastAsia="Arial" w:hAnsi="Arial"/>
                <w:sz w:val="13"/>
                <w:szCs w:val="13"/>
                <w:color w:val="auto"/>
              </w:rPr>
              <w:t>sign as name(s) appear(s) hereon. Give full title if you are signing for a corporation, partnership or other entity, or as an attorney,</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300" w:type="dxa"/>
            <w:vAlign w:val="bottom"/>
            <w:gridSpan w:val="10"/>
          </w:tcPr>
          <w:p>
            <w:pPr>
              <w:spacing w:after="0"/>
              <w:rPr>
                <w:sz w:val="20"/>
                <w:szCs w:val="20"/>
                <w:color w:val="auto"/>
              </w:rPr>
            </w:pPr>
            <w:r>
              <w:rPr>
                <w:rFonts w:ascii="Arial" w:cs="Arial" w:eastAsia="Arial" w:hAnsi="Arial"/>
                <w:sz w:val="13"/>
                <w:szCs w:val="13"/>
                <w:color w:val="auto"/>
              </w:rPr>
              <w:t>administrator, executor, guardian, trustee or in any other representative capacity.</w:t>
            </w: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Borders>
              <w:bottom w:val="single" w:sz="8" w:color="auto"/>
            </w:tcBorders>
            <w:gridSpan w:val="3"/>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40" w:type="dxa"/>
            <w:vAlign w:val="bottom"/>
            <w:tcBorders>
              <w:bottom w:val="single" w:sz="8" w:color="auto"/>
            </w:tcBorders>
            <w:gridSpan w:val="2"/>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52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34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3"/>
                <w:szCs w:val="13"/>
                <w:color w:val="auto"/>
              </w:rPr>
              <w:t>Signature [PLEASE SIGN WITHIN BOX]</w:t>
            </w:r>
          </w:p>
        </w:tc>
        <w:tc>
          <w:tcPr>
            <w:tcW w:w="1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rPr>
              <w:t>Date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3"/>
                <w:szCs w:val="13"/>
                <w:color w:val="auto"/>
              </w:rPr>
              <w:t>Signature (Joint Owners)</w:t>
            </w:r>
          </w:p>
        </w:tc>
        <w:tc>
          <w:tcPr>
            <w:tcW w:w="3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-4338955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2022 Annual Meeting of Shareholders</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Wednesday, June 1, 2022</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9:00 a.m. Eastern Time</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comcast.onlineshareholdermeeting.com</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4" w:lineRule="exact"/>
        <w:rPr>
          <w:sz w:val="20"/>
          <w:szCs w:val="20"/>
          <w:color w:val="auto"/>
        </w:rPr>
      </w:pPr>
    </w:p>
    <w:p>
      <w:pPr>
        <w:jc w:val="both"/>
        <w:ind w:left="540" w:right="240"/>
        <w:spacing w:after="0" w:line="237" w:lineRule="auto"/>
        <w:rPr>
          <w:sz w:val="20"/>
          <w:szCs w:val="20"/>
          <w:color w:val="auto"/>
        </w:rPr>
      </w:pPr>
      <w:r>
        <w:rPr>
          <w:rFonts w:ascii="Arial" w:cs="Arial" w:eastAsia="Arial" w:hAnsi="Arial"/>
          <w:sz w:val="18"/>
          <w:szCs w:val="18"/>
          <w:color w:val="auto"/>
        </w:rPr>
        <w:t>If you would like to reduce the impact on the environment and save our company money on the costs incurred in mailing proxy materials, you can consent to receiving all future Notices of Internet Availability of Proxy Materials, proxy statements, proxy cards and Annual Reports on Form 10-K electronically via e-mail or the Internet. To sign up, please follow the instructions on the reverse side to vote by Internet before the Meeting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18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Notice of Internet Availability of Proxy Materials, the Proxy Statement and the Annual Report are available</w:t>
      </w:r>
    </w:p>
    <w:p>
      <w:pPr>
        <w:jc w:val="center"/>
        <w:ind w:right="-319"/>
        <w:spacing w:after="0"/>
        <w:rPr>
          <w:sz w:val="20"/>
          <w:szCs w:val="20"/>
          <w:color w:val="auto"/>
        </w:rPr>
      </w:pPr>
      <w:r>
        <w:rPr>
          <w:rFonts w:ascii="Arial" w:cs="Arial" w:eastAsia="Arial" w:hAnsi="Arial"/>
          <w:sz w:val="18"/>
          <w:szCs w:val="18"/>
          <w:color w:val="auto"/>
        </w:rPr>
        <w:t>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IF YOU HAVE NOT VOTED VIA THE INTERNET OR TELEPHONE, FOLD ALONG THE PERFORATION, DETACH AND RETURN THE BOTTOM PORTION IN THE ENCLOSED ENVELOPE. ▼</w:t>
      </w:r>
    </w:p>
    <w:p>
      <w:pPr>
        <w:spacing w:after="0" w:line="63" w:lineRule="exact"/>
        <w:rPr>
          <w:sz w:val="20"/>
          <w:szCs w:val="20"/>
          <w:color w:val="auto"/>
        </w:rPr>
      </w:pPr>
    </w:p>
    <w:p>
      <w:pPr>
        <w:ind w:left="9720"/>
        <w:spacing w:after="0"/>
        <w:rPr>
          <w:sz w:val="20"/>
          <w:szCs w:val="20"/>
          <w:color w:val="auto"/>
        </w:rPr>
      </w:pPr>
      <w:r>
        <w:rPr>
          <w:rFonts w:ascii="Arial" w:cs="Arial" w:eastAsia="Arial" w:hAnsi="Arial"/>
          <w:sz w:val="13"/>
          <w:szCs w:val="13"/>
          <w:color w:val="auto"/>
        </w:rPr>
        <w:t>D76278-P68184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27875" cy="3596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27875" cy="35960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 FOR</w:t>
      </w:r>
    </w:p>
    <w:p>
      <w:pPr>
        <w:jc w:val="center"/>
        <w:ind w:right="-319"/>
        <w:spacing w:after="0"/>
        <w:rPr>
          <w:sz w:val="20"/>
          <w:szCs w:val="20"/>
          <w:color w:val="auto"/>
        </w:rPr>
      </w:pPr>
      <w:r>
        <w:rPr>
          <w:rFonts w:ascii="Arial" w:cs="Arial" w:eastAsia="Arial" w:hAnsi="Arial"/>
          <w:sz w:val="18"/>
          <w:szCs w:val="18"/>
          <w:b w:val="1"/>
          <w:bCs w:val="1"/>
          <w:color w:val="auto"/>
        </w:rPr>
        <w:t>THE ANNUAL MEETING OF SHAREHOLDERS ON JUNE 1, 2022.</w:t>
      </w:r>
    </w:p>
    <w:p>
      <w:pPr>
        <w:spacing w:after="0" w:line="196" w:lineRule="exact"/>
        <w:rPr>
          <w:sz w:val="20"/>
          <w:szCs w:val="20"/>
          <w:color w:val="auto"/>
        </w:rPr>
      </w:pPr>
    </w:p>
    <w:p>
      <w:pPr>
        <w:jc w:val="both"/>
        <w:ind w:left="320" w:right="20"/>
        <w:spacing w:after="0" w:line="245" w:lineRule="auto"/>
        <w:rPr>
          <w:sz w:val="20"/>
          <w:szCs w:val="20"/>
          <w:color w:val="auto"/>
        </w:rPr>
      </w:pPr>
      <w:r>
        <w:rPr>
          <w:rFonts w:ascii="Arial" w:cs="Arial" w:eastAsia="Arial" w:hAnsi="Arial"/>
          <w:sz w:val="13"/>
          <w:szCs w:val="13"/>
          <w:color w:val="auto"/>
        </w:rPr>
        <w:t>I hereby appoint Michael J. Cavanagh and Thomas J. Reid, and each of them acting individually, as proxies, with the powers I would possess if personally present, and with full power of substitution, to vote all shares in Comcast Corporation at the Annual Meeting of Shareholders to be held live via the Internet at comcast.onlineshareholdermeeting.com at 9:00 a.m. Eastern Time on June 1, 2022,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acknowledge receipt of the notice of Annual Meeting of Shareholders, the proxy statement and the Annual Report on Form 10-K of Comcast Corporation.</w:t>
      </w:r>
    </w:p>
    <w:p>
      <w:pPr>
        <w:spacing w:after="0" w:line="215" w:lineRule="exact"/>
        <w:rPr>
          <w:sz w:val="20"/>
          <w:szCs w:val="20"/>
          <w:color w:val="auto"/>
        </w:rPr>
      </w:pPr>
    </w:p>
    <w:p>
      <w:pPr>
        <w:jc w:val="both"/>
        <w:ind w:left="320"/>
        <w:spacing w:after="0" w:line="245" w:lineRule="auto"/>
        <w:rPr>
          <w:sz w:val="20"/>
          <w:szCs w:val="20"/>
          <w:color w:val="auto"/>
        </w:rPr>
      </w:pPr>
      <w:r>
        <w:rPr>
          <w:rFonts w:ascii="Arial" w:cs="Arial" w:eastAsia="Arial" w:hAnsi="Arial"/>
          <w:sz w:val="13"/>
          <w:szCs w:val="13"/>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3"/>
          <w:szCs w:val="13"/>
          <w:b w:val="1"/>
          <w:bCs w:val="1"/>
          <w:color w:val="auto"/>
        </w:rPr>
        <w:t>If your card is signed and returned without instructions, the shares will be voted in favor of all of the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director nominees and any replacement nominee, in favor of Proposals 2 and 3, and against Proposals 4-8. </w:t>
      </w:r>
      <w:r>
        <w:rPr>
          <w:rFonts w:ascii="Arial" w:cs="Arial" w:eastAsia="Arial" w:hAnsi="Arial"/>
          <w:sz w:val="13"/>
          <w:szCs w:val="13"/>
          <w:color w:val="auto"/>
        </w:rPr>
        <w:t>If you are voting shares held in the Comcast Employee Stock</w:t>
      </w:r>
      <w:r>
        <w:rPr>
          <w:rFonts w:ascii="Arial" w:cs="Arial" w:eastAsia="Arial" w:hAnsi="Arial"/>
          <w:sz w:val="13"/>
          <w:szCs w:val="13"/>
          <w:b w:val="1"/>
          <w:bCs w:val="1"/>
          <w:color w:val="auto"/>
        </w:rPr>
        <w:t xml:space="preserve"> </w:t>
      </w:r>
      <w:r>
        <w:rPr>
          <w:rFonts w:ascii="Arial" w:cs="Arial" w:eastAsia="Arial" w:hAnsi="Arial"/>
          <w:sz w:val="13"/>
          <w:szCs w:val="13"/>
          <w:color w:val="auto"/>
        </w:rPr>
        <w:t>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417830</wp:posOffset>
            </wp:positionV>
            <wp:extent cx="71532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sectPr>
      <w:pgSz w:w="11900" w:h="16838" w:orient="portrait"/>
      <w:cols w:equalWidth="0" w:num="1">
        <w:col w:w="10940"/>
      </w:cols>
      <w:pgMar w:left="320" w:top="13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lvl w:ilvl="1">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lvl w:ilvl="1">
      <w:lvlJc w:val="left"/>
      <w:lvlText w:val="●"/>
      <w:numFmt w:val="bullet"/>
      <w:start w:val="1"/>
    </w:lvl>
  </w:abstractNum>
  <w:abstractNum w:abstractNumId="31">
    <w:nsid w:val="579BE4F1"/>
    <w:multiLevelType w:val="hybridMultilevel"/>
    <w:lvl w:ilvl="0">
      <w:lvlJc w:val="left"/>
      <w:lvlText w:val="●"/>
      <w:numFmt w:val="bullet"/>
      <w:start w:val="1"/>
    </w:lvl>
    <w:lvl w:ilvl="1">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lvl w:ilvl="1">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lvl w:ilvl="1">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6"/>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lowerRoman"/>
      <w:start w:val="2"/>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7"/>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lvl w:ilvl="1">
      <w:lvlJc w:val="left"/>
      <w:lvlText w:val="●"/>
      <w:numFmt w:val="bullet"/>
      <w:start w:val="1"/>
    </w:lvl>
  </w:abstractNum>
  <w:abstractNum w:abstractNumId="83">
    <w:nsid w:val="74DE0EE3"/>
    <w:multiLevelType w:val="hybridMultilevel"/>
    <w:lvl w:ilvl="0">
      <w:lvlJc w:val="left"/>
      <w:lvlText w:val="●"/>
      <w:numFmt w:val="bullet"/>
      <w:start w:val="1"/>
    </w:lvl>
    <w:lvl w:ilvl="1">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2022-04-22T10:28:14Z</dcterms:created>
  <dcterms:modified xsi:type="dcterms:W3CDTF">2022-04-22T10:28:14Z</dcterms:modified>
</cp:coreProperties>
</file>