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ROBERTS BRIAN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of Board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11/03/2025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70"/>
        <w:gridCol w:w="898"/>
        <w:gridCol w:w="772"/>
        <w:gridCol w:w="596"/>
        <w:gridCol w:w="330"/>
        <w:gridCol w:w="1126"/>
        <w:gridCol w:w="404"/>
        <w:gridCol w:w="824"/>
        <w:gridCol w:w="1555"/>
        <w:gridCol w:w="934"/>
        <w:gridCol w:w="89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7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2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5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8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7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7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11/04/2025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301,305</w:t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5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6,222,693.526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7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11/04/2025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405,968</w:t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5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5,816,725.526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7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11/03/2025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96,396</w:t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5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16,671,183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Trusts</w:t>
            </w:r>
          </w:p>
        </w:tc>
      </w:tr>
      <w:tr>
        <w:trPr/>
        <w:tc>
          <w:tcPr>
            <w:tcW w:w="187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11/04/2025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405,968</w:t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5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17,077,151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Trusts</w:t>
            </w:r>
          </w:p>
        </w:tc>
      </w:tr>
      <w:tr>
        <w:trPr/>
        <w:tc>
          <w:tcPr>
            <w:tcW w:w="187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11/04/2025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1,304,730</w:t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5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15,772,421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Trusts</w:t>
            </w:r>
          </w:p>
        </w:tc>
      </w:tr>
      <w:tr>
        <w:trPr/>
        <w:tc>
          <w:tcPr>
            <w:tcW w:w="187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286,044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transferred by the Reporting Person to a family trust. The Reporting Person maintained, and continues to maintain, an indirect pecuniary interest over the shares held in the trust.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11/05/2025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63948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650</Words>
  <Characters>3514</Characters>
  <CharactersWithSpaces>4071</CharactersWithSpaces>
  <Paragraphs>135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