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103505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9"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230"/>
        </w:trPr>
        <w:tc>
          <w:tcPr>
            <w:tcW w:w="2460" w:type="dxa"/>
            <w:vAlign w:val="bottom"/>
          </w:tcPr>
          <w:p>
            <w:pPr>
              <w:spacing w:after="0"/>
              <w:rPr>
                <w:sz w:val="20"/>
                <w:szCs w:val="20"/>
                <w:color w:val="auto"/>
              </w:rPr>
            </w:pPr>
          </w:p>
        </w:tc>
        <w:tc>
          <w:tcPr>
            <w:tcW w:w="7200" w:type="dxa"/>
            <w:vAlign w:val="bottom"/>
          </w:tcPr>
          <w:p>
            <w:pPr>
              <w:jc w:val="center"/>
              <w:ind w:right="2183"/>
              <w:spacing w:after="0"/>
              <w:rPr>
                <w:sz w:val="20"/>
                <w:szCs w:val="20"/>
                <w:color w:val="auto"/>
              </w:rPr>
            </w:pPr>
            <w:r>
              <w:rPr>
                <w:rFonts w:ascii="Arial" w:cs="Arial" w:eastAsia="Arial" w:hAnsi="Arial"/>
                <w:sz w:val="18"/>
                <w:szCs w:val="18"/>
                <w:color w:val="auto"/>
                <w:w w:val="90"/>
              </w:rPr>
              <w:t>Date of report (Date of earliest event reported): January 27, 2022</w:t>
            </w:r>
          </w:p>
        </w:tc>
      </w:tr>
      <w:tr>
        <w:trPr>
          <w:trHeight w:val="45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460" w:type="dxa"/>
            <w:vAlign w:val="bottom"/>
          </w:tcPr>
          <w:p>
            <w:pPr>
              <w:spacing w:after="0"/>
              <w:rPr>
                <w:sz w:val="12"/>
                <w:szCs w:val="12"/>
                <w:color w:val="auto"/>
              </w:rPr>
            </w:pPr>
          </w:p>
        </w:tc>
        <w:tc>
          <w:tcPr>
            <w:tcW w:w="7200" w:type="dxa"/>
            <w:vAlign w:val="bottom"/>
          </w:tcPr>
          <w:p>
            <w:pPr>
              <w:jc w:val="center"/>
              <w:ind w:right="220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20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20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4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001-32871</w:t>
            </w:r>
          </w:p>
        </w:tc>
        <w:tc>
          <w:tcPr>
            <w:tcW w:w="7200" w:type="dxa"/>
            <w:vAlign w:val="bottom"/>
          </w:tcPr>
          <w:p>
            <w:pPr>
              <w:jc w:val="center"/>
              <w:ind w:left="510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60" w:type="dxa"/>
            <w:vAlign w:val="bottom"/>
          </w:tcPr>
          <w:p>
            <w:pPr>
              <w:jc w:val="center"/>
              <w:ind w:right="37"/>
              <w:spacing w:after="0"/>
              <w:rPr>
                <w:sz w:val="20"/>
                <w:szCs w:val="20"/>
                <w:color w:val="auto"/>
              </w:rPr>
            </w:pPr>
            <w:r>
              <w:rPr>
                <w:rFonts w:ascii="Arial" w:cs="Arial" w:eastAsia="Arial" w:hAnsi="Arial"/>
                <w:sz w:val="14"/>
                <w:szCs w:val="14"/>
                <w:color w:val="auto"/>
                <w:w w:val="94"/>
              </w:rPr>
              <w:t>(Commission File Number)</w:t>
            </w:r>
          </w:p>
        </w:tc>
        <w:tc>
          <w:tcPr>
            <w:tcW w:w="7200" w:type="dxa"/>
            <w:vAlign w:val="bottom"/>
          </w:tcPr>
          <w:p>
            <w:pPr>
              <w:jc w:val="center"/>
              <w:ind w:left="512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46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60" w:type="dxa"/>
            <w:vAlign w:val="bottom"/>
          </w:tcPr>
          <w:p>
            <w:pPr>
              <w:jc w:val="center"/>
              <w:ind w:right="37"/>
              <w:spacing w:after="0"/>
              <w:rPr>
                <w:sz w:val="20"/>
                <w:szCs w:val="20"/>
                <w:color w:val="auto"/>
              </w:rPr>
            </w:pPr>
            <w:r>
              <w:rPr>
                <w:rFonts w:ascii="Arial" w:cs="Arial" w:eastAsia="Arial" w:hAnsi="Arial"/>
                <w:sz w:val="14"/>
                <w:szCs w:val="14"/>
                <w:color w:val="auto"/>
                <w:w w:val="95"/>
              </w:rPr>
              <w:t>(Address of Principal Executive Offices)</w:t>
            </w:r>
          </w:p>
        </w:tc>
        <w:tc>
          <w:tcPr>
            <w:tcW w:w="7200" w:type="dxa"/>
            <w:vAlign w:val="bottom"/>
          </w:tcPr>
          <w:p>
            <w:pPr>
              <w:jc w:val="center"/>
              <w:ind w:left="5103"/>
              <w:spacing w:after="0"/>
              <w:rPr>
                <w:sz w:val="20"/>
                <w:szCs w:val="20"/>
                <w:color w:val="auto"/>
              </w:rPr>
            </w:pPr>
            <w:r>
              <w:rPr>
                <w:rFonts w:ascii="Arial" w:cs="Arial" w:eastAsia="Arial" w:hAnsi="Arial"/>
                <w:sz w:val="14"/>
                <w:szCs w:val="14"/>
                <w:color w:val="auto"/>
                <w:w w:val="96"/>
              </w:rPr>
              <w:t>(Zip Code)</w:t>
            </w:r>
          </w:p>
        </w:tc>
      </w:tr>
      <w:tr>
        <w:trPr>
          <w:trHeight w:val="29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182"/>
        </w:trPr>
        <w:tc>
          <w:tcPr>
            <w:tcW w:w="2460" w:type="dxa"/>
            <w:vAlign w:val="bottom"/>
          </w:tcPr>
          <w:p>
            <w:pPr>
              <w:spacing w:after="0"/>
              <w:rPr>
                <w:sz w:val="15"/>
                <w:szCs w:val="15"/>
                <w:color w:val="auto"/>
              </w:rPr>
            </w:pPr>
          </w:p>
        </w:tc>
        <w:tc>
          <w:tcPr>
            <w:tcW w:w="7200" w:type="dxa"/>
            <w:vAlign w:val="bottom"/>
          </w:tcPr>
          <w:p>
            <w:pPr>
              <w:jc w:val="center"/>
              <w:ind w:right="218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64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95"/>
        </w:trPr>
        <w:tc>
          <w:tcPr>
            <w:tcW w:w="4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4"/>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0.000% Notes due 2026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CMCS26</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CMCS29A</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5.50%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27, 2022, Comcast Corporation (“Comcast”) issued a press release reporting the results of its operations for the three and twelve months ended December 31, 2021.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2"/>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9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4"/>
          </w:tcPr>
          <w:p>
            <w:pPr>
              <w:jc w:val="center"/>
              <w:ind w:right="620"/>
              <w:spacing w:after="0" w:line="189" w:lineRule="exact"/>
              <w:rPr>
                <w:sz w:val="20"/>
                <w:szCs w:val="20"/>
                <w:color w:val="auto"/>
              </w:rPr>
            </w:pPr>
            <w:r>
              <w:rPr>
                <w:rFonts w:ascii="Arial" w:cs="Arial" w:eastAsia="Arial" w:hAnsi="Arial"/>
                <w:sz w:val="18"/>
                <w:szCs w:val="18"/>
                <w:b w:val="1"/>
                <w:bCs w:val="1"/>
                <w:color w:val="auto"/>
                <w:w w:val="94"/>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480" w:type="dxa"/>
            <w:vAlign w:val="bottom"/>
            <w:gridSpan w:val="2"/>
          </w:tcPr>
          <w:p>
            <w:pPr>
              <w:jc w:val="center"/>
              <w:ind w:left="90"/>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6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Comcast Corporation press release dated January </w:t>
              </w:r>
            </w:hyperlink>
            <w:r>
              <w:rPr>
                <w:rFonts w:ascii="Arial" w:cs="Arial" w:eastAsia="Arial" w:hAnsi="Arial"/>
                <w:sz w:val="18"/>
                <w:szCs w:val="18"/>
                <w:color w:val="0000FF"/>
              </w:rPr>
              <w:t>27, 2022.</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tcPr>
          <w:p>
            <w:pPr>
              <w:jc w:val="center"/>
              <w:ind w:left="310"/>
              <w:spacing w:after="0"/>
              <w:rPr>
                <w:rFonts w:ascii="Arial" w:cs="Arial" w:eastAsia="Arial" w:hAnsi="Arial"/>
                <w:sz w:val="18"/>
                <w:szCs w:val="18"/>
                <w:color w:val="0000FF"/>
                <w:w w:val="85"/>
              </w:rPr>
            </w:pPr>
            <w:hyperlink w:anchor="page23">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Explanation of Non-GAAP and Other Financial Measures.</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240"/>
              <w:spacing w:after="0"/>
              <w:rPr>
                <w:sz w:val="20"/>
                <w:szCs w:val="20"/>
                <w:color w:val="auto"/>
              </w:rPr>
            </w:pPr>
            <w:r>
              <w:rPr>
                <w:rFonts w:ascii="Arial" w:cs="Arial" w:eastAsia="Arial" w:hAnsi="Arial"/>
                <w:sz w:val="18"/>
                <w:szCs w:val="18"/>
                <w:color w:val="auto"/>
              </w:rPr>
              <w:t>January 27, 2022</w:t>
            </w:r>
          </w:p>
        </w:tc>
        <w:tc>
          <w:tcPr>
            <w:tcW w:w="7160" w:type="dxa"/>
            <w:vAlign w:val="bottom"/>
            <w:gridSpan w:val="2"/>
          </w:tcPr>
          <w:p>
            <w:pPr>
              <w:ind w:left="1920"/>
              <w:spacing w:after="0"/>
              <w:rPr>
                <w:sz w:val="20"/>
                <w:szCs w:val="20"/>
                <w:color w:val="auto"/>
              </w:rPr>
            </w:pPr>
            <w:r>
              <w:rPr>
                <w:rFonts w:ascii="Arial" w:cs="Arial" w:eastAsia="Arial" w:hAnsi="Arial"/>
                <w:sz w:val="18"/>
                <w:szCs w:val="18"/>
                <w:color w:val="auto"/>
              </w:rPr>
              <w:t>By:  /s/ Daniel C. Murdock</w:t>
            </w:r>
          </w:p>
        </w:tc>
      </w:tr>
      <w:tr>
        <w:trPr>
          <w:trHeight w:val="222"/>
        </w:trPr>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76"/>
        </w:trPr>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r>
      <w:tr>
        <w:trPr>
          <w:trHeight w:val="229"/>
        </w:trPr>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30"/>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4th QUARTER AND FULL YEAR 2021 RESULTS</w:t>
      </w:r>
    </w:p>
    <w:p>
      <w:pPr>
        <w:spacing w:after="0" w:line="1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PHILADELPHIA - January 27, 2022… Comcast Corporation (NASDAQ: CMCSA) today reported results for the quarter and year ended December 31, 2021.</w:t>
      </w:r>
    </w:p>
    <w:p>
      <w:pPr>
        <w:spacing w:after="0" w:line="3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"Comcast’s strong operating and financial performance in 2021 was underscored by our highest full-year revenue, adjusted EBITDA, adjusted EPS, and free cash flow on record. We continue to execute extraordinarily well, strengthening our leadership position in connectivity, aggregation, and streaming, while working to have a lasting impact on our communities through our commitment to DE&amp;I and digital equity. Looking ahead, we remain focused on our many exciting organic growth opportunities across all of our businesses. Our top priority is increasing the capacity of our network in the U.S. and further improving our world-class broadband experience. We are producing more of the premium content that our viewers love and continue to provide them with multiple ways to access it, including on Peacock while ramping construction of Epic Universe and welcoming even more guests to our Theme Parks. And, significantly, we are expanding the reach of our proprietary global technology platform and addressable customer base, starting with Sky Glass and XClass TV. Our confidence in the future is reflected in today’s announcement that we are increasing the dividend for the 14th consecutive year," </w:t>
      </w:r>
      <w:r>
        <w:rPr>
          <w:rFonts w:ascii="Arial" w:cs="Arial" w:eastAsia="Arial" w:hAnsi="Arial"/>
          <w:sz w:val="18"/>
          <w:szCs w:val="18"/>
          <w:color w:val="auto"/>
        </w:rPr>
        <w:t>commented Brian L. Roberts,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and Chief Executive Officer of Comcast Corporation.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Borders>
              <w:bottom w:val="single" w:sz="8" w:color="D9D9D6"/>
            </w:tcBorders>
            <w:shd w:val="clear" w:color="auto" w:fill="D9D9D6"/>
          </w:tcPr>
          <w:p>
            <w:pPr>
              <w:spacing w:after="0"/>
              <w:rPr>
                <w:sz w:val="16"/>
                <w:szCs w:val="16"/>
                <w:color w:val="auto"/>
              </w:rPr>
            </w:pPr>
          </w:p>
        </w:tc>
        <w:tc>
          <w:tcPr>
            <w:tcW w:w="45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6"/>
                <w:szCs w:val="16"/>
                <w:color w:val="auto"/>
              </w:rPr>
            </w:pPr>
          </w:p>
        </w:tc>
        <w:tc>
          <w:tcPr>
            <w:tcW w:w="340" w:type="dxa"/>
            <w:vAlign w:val="bottom"/>
            <w:tcBorders>
              <w:bottom w:val="single" w:sz="8" w:color="D9D9D6"/>
              <w:right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420" w:type="dxa"/>
            <w:vAlign w:val="bottom"/>
            <w:tcBorders>
              <w:bottom w:val="single" w:sz="8" w:color="D9D9D6"/>
            </w:tcBorders>
            <w:shd w:val="clear" w:color="auto" w:fill="D9D9D6"/>
          </w:tcPr>
          <w:p>
            <w:pPr>
              <w:spacing w:after="0"/>
              <w:rPr>
                <w:sz w:val="16"/>
                <w:szCs w:val="16"/>
                <w:color w:val="auto"/>
              </w:rPr>
            </w:pPr>
          </w:p>
        </w:tc>
        <w:tc>
          <w:tcPr>
            <w:tcW w:w="340" w:type="dxa"/>
            <w:vAlign w:val="bottom"/>
            <w:tcBorders>
              <w:bottom w:val="single" w:sz="8" w:color="D9D9D6"/>
              <w:right w:val="single" w:sz="8" w:color="D9D9D6"/>
            </w:tcBorders>
            <w:shd w:val="clear" w:color="auto" w:fill="D9D9D6"/>
          </w:tcPr>
          <w:p>
            <w:pPr>
              <w:spacing w:after="0"/>
              <w:rPr>
                <w:sz w:val="16"/>
                <w:szCs w:val="16"/>
                <w:color w:val="auto"/>
              </w:rPr>
            </w:pPr>
          </w:p>
        </w:tc>
        <w:tc>
          <w:tcPr>
            <w:tcW w:w="58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280" w:type="dxa"/>
            <w:vAlign w:val="bottom"/>
            <w:tcBorders>
              <w:bottom w:val="single" w:sz="8" w:color="D9D9D6"/>
              <w:right w:val="single" w:sz="8" w:color="D9D9D6"/>
            </w:tcBorders>
            <w:shd w:val="clear" w:color="auto" w:fill="D9D9D6"/>
          </w:tcPr>
          <w:p>
            <w:pPr>
              <w:spacing w:after="0"/>
              <w:rPr>
                <w:sz w:val="16"/>
                <w:szCs w:val="16"/>
                <w:color w:val="auto"/>
              </w:rPr>
            </w:pPr>
          </w:p>
        </w:tc>
        <w:tc>
          <w:tcPr>
            <w:tcW w:w="84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360" w:type="dxa"/>
            <w:vAlign w:val="bottom"/>
            <w:tcBorders>
              <w:bottom w:val="single" w:sz="8" w:color="D9D9D6"/>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280" w:type="dxa"/>
            <w:vAlign w:val="bottom"/>
            <w:tcBorders>
              <w:bottom w:val="single" w:sz="8" w:color="D9D9D6"/>
            </w:tcBorders>
            <w:shd w:val="clear" w:color="auto" w:fill="D9D9D6"/>
          </w:tcPr>
          <w:p>
            <w:pPr>
              <w:spacing w:after="0"/>
              <w:rPr>
                <w:sz w:val="16"/>
                <w:szCs w:val="16"/>
                <w:color w:val="auto"/>
              </w:rPr>
            </w:pPr>
          </w:p>
        </w:tc>
        <w:tc>
          <w:tcPr>
            <w:tcW w:w="280" w:type="dxa"/>
            <w:vAlign w:val="bottom"/>
            <w:tcBorders>
              <w:bottom w:val="single" w:sz="8" w:color="D9D9D6"/>
            </w:tcBorders>
            <w:shd w:val="clear" w:color="auto" w:fill="D9D9D6"/>
          </w:tcPr>
          <w:p>
            <w:pPr>
              <w:spacing w:after="0"/>
              <w:rPr>
                <w:sz w:val="16"/>
                <w:szCs w:val="16"/>
                <w:color w:val="auto"/>
              </w:rPr>
            </w:pPr>
          </w:p>
        </w:tc>
        <w:tc>
          <w:tcPr>
            <w:tcW w:w="500" w:type="dxa"/>
            <w:vAlign w:val="bottom"/>
            <w:tcBorders>
              <w:bottom w:val="single" w:sz="8" w:color="D9D9D6"/>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5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4th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280" w:type="dxa"/>
            <w:vAlign w:val="bottom"/>
            <w:tcBorders>
              <w:right w:val="single" w:sz="8" w:color="828282"/>
            </w:tcBorders>
            <w:shd w:val="clear" w:color="auto" w:fill="D9D9D6"/>
          </w:tcPr>
          <w:p>
            <w:pPr>
              <w:spacing w:after="0"/>
              <w:rPr>
                <w:sz w:val="14"/>
                <w:szCs w:val="14"/>
                <w:color w:val="auto"/>
              </w:rPr>
            </w:pPr>
          </w:p>
        </w:tc>
        <w:tc>
          <w:tcPr>
            <w:tcW w:w="8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1100" w:type="dxa"/>
            <w:vAlign w:val="bottom"/>
            <w:gridSpan w:val="5"/>
            <w:shd w:val="clear" w:color="auto" w:fill="D9D9D6"/>
          </w:tcPr>
          <w:p>
            <w:pPr>
              <w:ind w:left="140"/>
              <w:spacing w:after="0"/>
              <w:rPr>
                <w:sz w:val="20"/>
                <w:szCs w:val="20"/>
                <w:color w:val="auto"/>
              </w:rPr>
            </w:pPr>
            <w:r>
              <w:rPr>
                <w:rFonts w:ascii="Arial" w:cs="Arial" w:eastAsia="Arial" w:hAnsi="Arial"/>
                <w:sz w:val="14"/>
                <w:szCs w:val="14"/>
                <w:color w:val="auto"/>
              </w:rPr>
              <w:t>Full Year</w:t>
            </w:r>
          </w:p>
        </w:tc>
        <w:tc>
          <w:tcPr>
            <w:tcW w:w="28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540" w:type="dxa"/>
            <w:vAlign w:val="bottom"/>
            <w:vMerge w:val="continue"/>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540" w:type="dxa"/>
            <w:vAlign w:val="bottom"/>
            <w:vMerge w:val="continue"/>
            <w:shd w:val="clear" w:color="auto" w:fill="D9D9D6"/>
          </w:tcPr>
          <w:p>
            <w:pPr>
              <w:spacing w:after="0"/>
              <w:rPr>
                <w:sz w:val="14"/>
                <w:szCs w:val="14"/>
                <w:color w:val="auto"/>
              </w:rPr>
            </w:pPr>
          </w:p>
        </w:tc>
        <w:tc>
          <w:tcPr>
            <w:tcW w:w="9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D9D9D6"/>
          </w:tcPr>
          <w:p>
            <w:pPr>
              <w:spacing w:after="0"/>
              <w:rPr>
                <w:sz w:val="14"/>
                <w:szCs w:val="14"/>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580" w:type="dxa"/>
            <w:vAlign w:val="bottom"/>
            <w:shd w:val="clear" w:color="auto" w:fill="D9D9D6"/>
          </w:tcPr>
          <w:p>
            <w:pPr>
              <w:spacing w:after="0"/>
              <w:rPr>
                <w:sz w:val="14"/>
                <w:szCs w:val="1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280" w:type="dxa"/>
            <w:vAlign w:val="bottom"/>
            <w:tcBorders>
              <w:right w:val="single" w:sz="8" w:color="828282"/>
            </w:tcBorders>
            <w:shd w:val="clear" w:color="auto" w:fill="D9D9D6"/>
          </w:tcPr>
          <w:p>
            <w:pPr>
              <w:spacing w:after="0"/>
              <w:rPr>
                <w:sz w:val="14"/>
                <w:szCs w:val="14"/>
                <w:color w:val="auto"/>
              </w:rPr>
            </w:pPr>
          </w:p>
        </w:tc>
        <w:tc>
          <w:tcPr>
            <w:tcW w:w="130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2021</w:t>
            </w:r>
          </w:p>
        </w:tc>
        <w:tc>
          <w:tcPr>
            <w:tcW w:w="1100" w:type="dxa"/>
            <w:vAlign w:val="bottom"/>
            <w:gridSpan w:val="5"/>
            <w:shd w:val="clear" w:color="auto" w:fill="D9D9D6"/>
          </w:tcPr>
          <w:p>
            <w:pPr>
              <w:jc w:val="right"/>
              <w:ind w:right="280"/>
              <w:spacing w:after="0"/>
              <w:rPr>
                <w:sz w:val="20"/>
                <w:szCs w:val="20"/>
                <w:color w:val="auto"/>
              </w:rPr>
            </w:pPr>
            <w:r>
              <w:rPr>
                <w:rFonts w:ascii="Arial" w:cs="Arial" w:eastAsia="Arial" w:hAnsi="Arial"/>
                <w:sz w:val="14"/>
                <w:szCs w:val="14"/>
                <w:color w:val="auto"/>
              </w:rPr>
              <w:t>2020</w:t>
            </w:r>
          </w:p>
        </w:tc>
        <w:tc>
          <w:tcPr>
            <w:tcW w:w="9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54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shd w:val="clear" w:color="auto" w:fill="D9D9D6"/>
          </w:tcPr>
          <w:p>
            <w:pPr>
              <w:spacing w:after="0"/>
              <w:rPr>
                <w:sz w:val="24"/>
                <w:szCs w:val="24"/>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$30,336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$27,708</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9.5 %</w:t>
            </w:r>
          </w:p>
        </w:tc>
        <w:tc>
          <w:tcPr>
            <w:tcW w:w="280" w:type="dxa"/>
            <w:vAlign w:val="bottom"/>
            <w:tcBorders>
              <w:right w:val="single" w:sz="8" w:color="828282"/>
            </w:tcBorders>
            <w:shd w:val="clear" w:color="auto" w:fill="D9D9D6"/>
          </w:tcPr>
          <w:p>
            <w:pPr>
              <w:spacing w:after="0"/>
              <w:rPr>
                <w:sz w:val="24"/>
                <w:szCs w:val="24"/>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$116,385</w:t>
            </w:r>
          </w:p>
        </w:tc>
        <w:tc>
          <w:tcPr>
            <w:tcW w:w="140" w:type="dxa"/>
            <w:vAlign w:val="bottom"/>
            <w:shd w:val="clear" w:color="auto" w:fill="D9D9D6"/>
          </w:tcPr>
          <w:p>
            <w:pPr>
              <w:spacing w:after="0"/>
              <w:rPr>
                <w:sz w:val="24"/>
                <w:szCs w:val="24"/>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$103,564</w:t>
            </w:r>
          </w:p>
        </w:tc>
        <w:tc>
          <w:tcPr>
            <w:tcW w:w="28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12.4 %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$3,057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$3,380</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(9.6 %)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$14,159</w:t>
            </w:r>
          </w:p>
        </w:tc>
        <w:tc>
          <w:tcPr>
            <w:tcW w:w="140" w:type="dxa"/>
            <w:vAlign w:val="bottom"/>
            <w:shd w:val="clear" w:color="auto" w:fill="D9D9D6"/>
          </w:tcPr>
          <w:p>
            <w:pPr>
              <w:spacing w:after="0"/>
              <w:rPr>
                <w:sz w:val="16"/>
                <w:szCs w:val="16"/>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$10,534</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34.4 %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$3,534</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$2,617</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35.1 %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$15,045</w:t>
            </w:r>
          </w:p>
        </w:tc>
        <w:tc>
          <w:tcPr>
            <w:tcW w:w="140" w:type="dxa"/>
            <w:vAlign w:val="bottom"/>
            <w:shd w:val="clear" w:color="auto" w:fill="D9D9D6"/>
          </w:tcPr>
          <w:p>
            <w:pPr>
              <w:spacing w:after="0"/>
              <w:rPr>
                <w:sz w:val="16"/>
                <w:szCs w:val="16"/>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$12,053</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24.8 %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9"/>
                <w:szCs w:val="9"/>
                <w:color w:val="auto"/>
              </w:rPr>
              <w:t>2</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$8,411</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$7,186</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17.0 %</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$34,708</w:t>
            </w:r>
          </w:p>
        </w:tc>
        <w:tc>
          <w:tcPr>
            <w:tcW w:w="140" w:type="dxa"/>
            <w:vAlign w:val="bottom"/>
            <w:shd w:val="clear" w:color="auto" w:fill="D9D9D6"/>
          </w:tcPr>
          <w:p>
            <w:pPr>
              <w:spacing w:after="0"/>
              <w:rPr>
                <w:sz w:val="16"/>
                <w:szCs w:val="16"/>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$30,826</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12.6 %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9"/>
                <w:szCs w:val="9"/>
                <w:color w:val="auto"/>
              </w:rPr>
              <w:t>3</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$0.66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$0.73</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(9.6</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$3.04</w:t>
            </w:r>
          </w:p>
        </w:tc>
        <w:tc>
          <w:tcPr>
            <w:tcW w:w="140" w:type="dxa"/>
            <w:vAlign w:val="bottom"/>
            <w:shd w:val="clear" w:color="auto" w:fill="D9D9D6"/>
          </w:tcPr>
          <w:p>
            <w:pPr>
              <w:spacing w:after="0"/>
              <w:rPr>
                <w:sz w:val="16"/>
                <w:szCs w:val="16"/>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$2.28</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33.3 %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Earnings per Share</w:t>
            </w:r>
            <w:r>
              <w:rPr>
                <w:rFonts w:ascii="Arial" w:cs="Arial" w:eastAsia="Arial" w:hAnsi="Arial"/>
                <w:sz w:val="9"/>
                <w:szCs w:val="9"/>
                <w:color w:val="auto"/>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$0.77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$0.56</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37.5</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$3.23</w:t>
            </w:r>
          </w:p>
        </w:tc>
        <w:tc>
          <w:tcPr>
            <w:tcW w:w="140" w:type="dxa"/>
            <w:vAlign w:val="bottom"/>
            <w:shd w:val="clear" w:color="auto" w:fill="D9D9D6"/>
          </w:tcPr>
          <w:p>
            <w:pPr>
              <w:spacing w:after="0"/>
              <w:rPr>
                <w:sz w:val="16"/>
                <w:szCs w:val="16"/>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$2.61</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23.8 %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$7,689</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$5,042</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52.5</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828282"/>
            </w:tcBorders>
            <w:shd w:val="clear" w:color="auto" w:fill="D9D9D6"/>
          </w:tcPr>
          <w:p>
            <w:pPr>
              <w:spacing w:after="0"/>
              <w:rPr>
                <w:sz w:val="16"/>
                <w:szCs w:val="16"/>
                <w:color w:val="auto"/>
              </w:rPr>
            </w:pPr>
          </w:p>
        </w:tc>
        <w:tc>
          <w:tcPr>
            <w:tcW w:w="11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$29,146</w:t>
            </w:r>
          </w:p>
        </w:tc>
        <w:tc>
          <w:tcPr>
            <w:tcW w:w="140" w:type="dxa"/>
            <w:vAlign w:val="bottom"/>
            <w:shd w:val="clear" w:color="auto" w:fill="D9D9D6"/>
          </w:tcPr>
          <w:p>
            <w:pPr>
              <w:spacing w:after="0"/>
              <w:rPr>
                <w:sz w:val="16"/>
                <w:szCs w:val="16"/>
                <w:color w:val="auto"/>
              </w:rPr>
            </w:pPr>
          </w:p>
        </w:tc>
        <w:tc>
          <w:tcPr>
            <w:tcW w:w="82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$24,737</w:t>
            </w:r>
          </w:p>
        </w:tc>
        <w:tc>
          <w:tcPr>
            <w:tcW w:w="28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45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4</w:t>
            </w:r>
          </w:p>
        </w:tc>
        <w:tc>
          <w:tcPr>
            <w:tcW w:w="94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$3,784</w:t>
            </w:r>
          </w:p>
        </w:tc>
        <w:tc>
          <w:tcPr>
            <w:tcW w:w="94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$1,700</w:t>
            </w:r>
          </w:p>
        </w:tc>
        <w:tc>
          <w:tcPr>
            <w:tcW w:w="9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122.6</w:t>
            </w:r>
          </w:p>
        </w:tc>
        <w:tc>
          <w:tcPr>
            <w:tcW w:w="20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9D9D6"/>
              <w:right w:val="single" w:sz="8" w:color="828282"/>
            </w:tcBorders>
            <w:shd w:val="clear" w:color="auto" w:fill="D9D9D6"/>
          </w:tcPr>
          <w:p>
            <w:pPr>
              <w:spacing w:after="0"/>
              <w:rPr>
                <w:sz w:val="19"/>
                <w:szCs w:val="19"/>
                <w:color w:val="auto"/>
              </w:rPr>
            </w:pPr>
          </w:p>
        </w:tc>
        <w:tc>
          <w:tcPr>
            <w:tcW w:w="116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$17,089</w:t>
            </w:r>
          </w:p>
        </w:tc>
        <w:tc>
          <w:tcPr>
            <w:tcW w:w="140" w:type="dxa"/>
            <w:vAlign w:val="bottom"/>
            <w:tcBorders>
              <w:bottom w:val="single" w:sz="8" w:color="D9D9D6"/>
            </w:tcBorders>
            <w:shd w:val="clear" w:color="auto" w:fill="D9D9D6"/>
          </w:tcPr>
          <w:p>
            <w:pPr>
              <w:spacing w:after="0"/>
              <w:rPr>
                <w:sz w:val="19"/>
                <w:szCs w:val="19"/>
                <w:color w:val="auto"/>
              </w:rPr>
            </w:pPr>
          </w:p>
        </w:tc>
        <w:tc>
          <w:tcPr>
            <w:tcW w:w="820" w:type="dxa"/>
            <w:vAlign w:val="bottom"/>
            <w:tcBorders>
              <w:bottom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$13,280</w:t>
            </w:r>
          </w:p>
        </w:tc>
        <w:tc>
          <w:tcPr>
            <w:tcW w:w="280" w:type="dxa"/>
            <w:vAlign w:val="bottom"/>
            <w:tcBorders>
              <w:bottom w:val="single" w:sz="8" w:color="D9D9D6"/>
            </w:tcBorders>
            <w:shd w:val="clear" w:color="auto" w:fill="D9D9D6"/>
          </w:tcPr>
          <w:p>
            <w:pPr>
              <w:spacing w:after="0"/>
              <w:rPr>
                <w:sz w:val="19"/>
                <w:szCs w:val="19"/>
                <w:color w:val="auto"/>
              </w:rPr>
            </w:pPr>
          </w:p>
        </w:tc>
        <w:tc>
          <w:tcPr>
            <w:tcW w:w="7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28.7 %</w:t>
            </w:r>
          </w:p>
        </w:tc>
        <w:tc>
          <w:tcPr>
            <w:tcW w:w="14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Highlights:</w:t>
      </w:r>
    </w:p>
    <w:p>
      <w:pPr>
        <w:spacing w:after="0" w:line="45" w:lineRule="exact"/>
        <w:rPr>
          <w:sz w:val="20"/>
          <w:szCs w:val="20"/>
          <w:color w:val="auto"/>
        </w:rPr>
      </w:pPr>
    </w:p>
    <w:p>
      <w:pPr>
        <w:ind w:left="340" w:right="20" w:hanging="332"/>
        <w:spacing w:after="0" w:line="261"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Consolidated Adjusted EBITDA Increased 12.6% to $34.7 Billion; Adjusted EPS Increased 23.8% to $3.23; Generated Free Cash Flow of $17.1 Billion</w:t>
      </w:r>
    </w:p>
    <w:p>
      <w:pPr>
        <w:spacing w:after="0" w:line="8" w:lineRule="exact"/>
        <w:rPr>
          <w:rFonts w:ascii="Arial" w:cs="Arial" w:eastAsia="Arial" w:hAnsi="Arial"/>
          <w:sz w:val="18"/>
          <w:szCs w:val="18"/>
          <w:b w:val="1"/>
          <w:bCs w:val="1"/>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11.2% and Adjusted EBITDA per Customer Relationship Increased 6.7%</w:t>
      </w:r>
    </w:p>
    <w:p>
      <w:pPr>
        <w:spacing w:after="0" w:line="22"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1.1 Million; Total Broadband Customer Net Additions Were 1.3 Million</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1.2 Million, the Best Annual Result Since Launch in 2017</w:t>
      </w:r>
    </w:p>
    <w:p>
      <w:pPr>
        <w:spacing w:after="0" w:line="36"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Completed a Series of Groundbreaking Tests Demonstrating DOCSIS 4.0 Technology That Culminated in a World-First Test of a Prototype Modem Capable of Delivering Multi-gigabit Speeds to Homes; Paves the Way to Deliver Multi-gigabit Upload and Download Speeds Over Our Hybrid-fiber Coaxial Network</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Adjusted EBITDA Increased 6.0% to $5.7 Billion, Including Peacock Losses</w:t>
      </w:r>
    </w:p>
    <w:p>
      <w:pPr>
        <w:spacing w:after="0" w:line="22"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Adjusted EBITDA Increased $1.7 Billion to $1.3 Billion. Continued to Recover Quickly from the Ongoing Negative Impacts of COVID-19, Benefiting from Strong Demand from Domestic Guests in the U.S. and Japan; Celebrated the Grand Opening of Universal Beijing Resort on September 20th</w:t>
      </w:r>
    </w:p>
    <w:p>
      <w:pPr>
        <w:spacing w:after="0" w:line="12"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Monthly Active Accounts in the U.S. Reached 24.5 Million at Year-End. Introduced Peacock in Sky Territories, Beginning in the U.K. and Ireland</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Adjusted EBITDA Increased 20.8% to $2.4 Billion; On a Constant Currency Basis, Adjusted EBITDA Increased 10.2%</w:t>
      </w:r>
    </w:p>
    <w:p>
      <w:pPr>
        <w:sectPr>
          <w:pgSz w:w="11900" w:h="16838" w:orient="portrait"/>
          <w:cols w:equalWidth="0" w:num="1">
            <w:col w:w="11240"/>
          </w:cols>
          <w:pgMar w:left="320" w:top="733" w:right="339" w:bottom="1440" w:gutter="0" w:footer="0" w:header="0"/>
        </w:sectPr>
      </w:pPr>
    </w:p>
    <w:bookmarkStart w:id="4" w:name="page5"/>
    <w:bookmarkEnd w:id="4"/>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Sky Glass in the U.K. and XClass TV in the U.S. Leveraging the Company’s Proprietary, Global Technology Platform; Providing the Company with More Ways to Bring the Best of Our Entertainment Operating System to More Consumers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2021 Highlights:</w:t>
      </w:r>
    </w:p>
    <w:p>
      <w:pPr>
        <w:spacing w:after="0" w:line="45" w:lineRule="exact"/>
        <w:rPr>
          <w:sz w:val="20"/>
          <w:szCs w:val="20"/>
          <w:color w:val="auto"/>
        </w:rPr>
      </w:pPr>
    </w:p>
    <w:p>
      <w:pPr>
        <w:ind w:left="340" w:hanging="332"/>
        <w:spacing w:after="0" w:line="25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Adjusted EBITDA Increased 17.0% to $8.4 Billion; Adjusted EPS Increased 37.5% to $0.77; Generated Free Cash Flow of $3.8 Billion</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Adjusted EBITDA Increased 7.8% and Adjusted EBITDA per Customer Relationship Increased 3.9%</w:t>
      </w:r>
    </w:p>
    <w:p>
      <w:pPr>
        <w:spacing w:after="0" w:line="36" w:lineRule="exact"/>
        <w:rPr>
          <w:rFonts w:ascii="Arial" w:cs="Arial" w:eastAsia="Arial" w:hAnsi="Arial"/>
          <w:sz w:val="18"/>
          <w:szCs w:val="18"/>
          <w:color w:val="auto"/>
        </w:rPr>
      </w:pPr>
    </w:p>
    <w:p>
      <w:pPr>
        <w:ind w:left="340" w:right="20" w:hanging="332"/>
        <w:spacing w:after="0" w:line="25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169,000; Total Broadband Customer Net Additions Were 212,000 and Benefited From the Highest Level of Customer Retention on Record for a Fourth Quarter</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Wireless Customer Line Net Additions Were 312,000, the Best Quarterly Result Since Launch in 2017</w:t>
      </w:r>
    </w:p>
    <w:p>
      <w:pPr>
        <w:spacing w:after="0" w:line="22"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Theme Parks Delivered Its Most Profitable Fourth Quarter on Record, Driven by Strong Growth in Domestic Guest Attendance and Spending Per Guest at Our Parks in the U.S. and Japan, While International Guest Attendance at Each of Our Parks Remained Constrained Due to COVID-19</w:t>
      </w:r>
    </w:p>
    <w:p>
      <w:pPr>
        <w:spacing w:after="0" w:line="12"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Adjusted EBITDA Increased 233.7% to $464 Million; On a Constant Currency Basis, Adjusted EBITDA Increased 187.9%</w:t>
      </w:r>
    </w:p>
    <w:p>
      <w:pPr>
        <w:spacing w:after="0" w:line="25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Dividends and Share Repurchases:</w:t>
      </w:r>
    </w:p>
    <w:p>
      <w:pPr>
        <w:spacing w:after="0" w:line="5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Returned $8.5 Billion to Shareholders in 2021 Through a Combination of Dividend Payments and Share Repurchases</w:t>
      </w:r>
    </w:p>
    <w:p>
      <w:pPr>
        <w:spacing w:after="0" w:line="22" w:lineRule="exact"/>
        <w:rPr>
          <w:rFonts w:ascii="Arial" w:cs="Arial" w:eastAsia="Arial" w:hAnsi="Arial"/>
          <w:sz w:val="18"/>
          <w:szCs w:val="18"/>
          <w:b w:val="1"/>
          <w:bCs w:val="1"/>
          <w:color w:val="auto"/>
        </w:rPr>
      </w:pPr>
    </w:p>
    <w:p>
      <w:pPr>
        <w:ind w:left="340" w:hanging="332"/>
        <w:spacing w:after="0" w:line="25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Paid Totaled $4.5 Billion in 2021; Increased Dividend By $0.08, or 8% Year-over-Year, to $1.08 per Share on an Annualized Basis for 2022, the 14th Consecutive Annual Increase</w:t>
      </w:r>
    </w:p>
    <w:p>
      <w:pPr>
        <w:ind w:left="340" w:right="2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Resumed Share Repurchases Late in the Second Quarter of 2021; Repurchased $4.0 Billion of our Shares in 2021; Increased Share Repurchase Authorization to $10.0 Billion</w:t>
      </w:r>
    </w:p>
    <w:p>
      <w:pPr>
        <w:sectPr>
          <w:pgSz w:w="11900" w:h="16838" w:orient="portrait"/>
          <w:cols w:equalWidth="0" w:num="1">
            <w:col w:w="11240"/>
          </w:cols>
          <w:pgMar w:left="320" w:top="73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3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fourth quarter of 2021 increased 9.5% to $30.3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9.6% to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increased 35.1% to $3.5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 17.0% to $8.4 billion.</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twelve months ended December 31, 2021, revenue increased 12.4% to $116.4 billion compared to 2020. Net income attributable to Comcast increased 34.4% to $14.2 billion. Adjusted Net Income increased 24.8% to $15.0 billion. Adjusted EBITDA increased 12.6% to $34.7 billion.</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2021 was $0.66, a decrease of 9.6% compared to the prior year period.</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37.5% to $0.77.</w:t>
      </w:r>
    </w:p>
    <w:p>
      <w:pPr>
        <w:spacing w:after="0" w:line="18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For the twelve months ended December 31, 2021, EPS was $3.04, a 33.3% increase compared to 2020. Adjusted EPS increased 23.8% to $3.23.</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6.8% to $3.0 billion in the fourth quarter of 2021.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 to $2.2 billion. NBCUniversal’s capital expenditures increased 33.2% to $502 million. Sky's capital expenditures increased 7.1% to $332 million.</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For the twelve months ended December 31, 2021, capital expenditures of $9.2 billion were consistent with 2020. Cable Communications' capital expenditures increased 4.9% to $6.9 billion. NBCUniversal's capital expenditures decreased 27.2% to $1.1 billion. Sky's capital expenditures decreased 1.2% to $948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$7.7 billion in the fourth quarter of 2021.</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$3.8 billion.</w:t>
      </w:r>
    </w:p>
    <w:p>
      <w:pPr>
        <w:spacing w:after="0" w:line="26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For the twelve months ended December 31, 2021 net cash provided by operating activities was $29.1 billion. Free cash flow was $17.1 billion.</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resumed its share repurchase program in May 2021 after pausing the program in 2019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reduction of indebtedness it incurred in connection with its acquisition of Sky. During the fourth quarter of 2021, Comcast paid dividends totaling $1.1 billion and repurchased 38.5 million of its common shares for $2.0 billion. For the twelve months ended December 31, 2021, Comcast paid dividends totaling $4.5 billion and repurchased 73.2 million of its common shares for $4.0 billion, resulting in a total return of capital to shareholders of $8.5 billion.</w:t>
      </w: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Today, Comcast announced that its Board of Directors increased its share repurchase program authorization to $10.0 billion, effective as of January 1, 2022. Comcast also announced that it increased its dividend by $0.08, or 8% year-over-year, to $1.08 per share on an annualized basis for 2022. In accordance with the increase, the Board of Directors declared a quarterly cash dividend of $0.27 per share on the company's stock, payable April 27, 2022 to shareholders of record as of the close of business on April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7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0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560" w:type="dxa"/>
            <w:vAlign w:val="bottom"/>
            <w:tcBorders>
              <w:bottom w:val="single" w:sz="8" w:color="D9D9D6"/>
              <w:right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000" w:type="dxa"/>
            <w:vAlign w:val="bottom"/>
            <w:shd w:val="clear" w:color="auto" w:fill="D9D9D6"/>
          </w:tcPr>
          <w:p>
            <w:pPr>
              <w:spacing w:after="0"/>
              <w:rPr>
                <w:sz w:val="14"/>
                <w:szCs w:val="14"/>
                <w:color w:val="auto"/>
              </w:rPr>
            </w:pPr>
          </w:p>
        </w:tc>
        <w:tc>
          <w:tcPr>
            <w:tcW w:w="7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74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4th Quarter</w:t>
            </w:r>
          </w:p>
        </w:tc>
        <w:tc>
          <w:tcPr>
            <w:tcW w:w="240" w:type="dxa"/>
            <w:vAlign w:val="bottom"/>
            <w:gridSpan w:val="2"/>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80" w:type="dxa"/>
            <w:vAlign w:val="bottom"/>
            <w:tcBorders>
              <w:right w:val="single" w:sz="8" w:color="97999B"/>
            </w:tcBorders>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8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140" w:type="dxa"/>
            <w:vAlign w:val="bottom"/>
            <w:gridSpan w:val="4"/>
            <w:shd w:val="clear" w:color="auto" w:fill="D9D9D6"/>
          </w:tcPr>
          <w:p>
            <w:pPr>
              <w:jc w:val="right"/>
              <w:ind w:right="320"/>
              <w:spacing w:after="0"/>
              <w:rPr>
                <w:sz w:val="20"/>
                <w:szCs w:val="20"/>
                <w:color w:val="auto"/>
              </w:rPr>
            </w:pPr>
            <w:r>
              <w:rPr>
                <w:rFonts w:ascii="Arial" w:cs="Arial" w:eastAsia="Arial" w:hAnsi="Arial"/>
                <w:sz w:val="14"/>
                <w:szCs w:val="14"/>
                <w:color w:val="auto"/>
              </w:rPr>
              <w:t>Full Year</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000" w:type="dxa"/>
            <w:vAlign w:val="bottom"/>
            <w:shd w:val="clear" w:color="auto" w:fill="D9D9D6"/>
          </w:tcPr>
          <w:p>
            <w:pPr>
              <w:spacing w:after="0" w:line="20" w:lineRule="exact"/>
              <w:rPr>
                <w:sz w:val="1"/>
                <w:szCs w:val="1"/>
                <w:color w:val="auto"/>
              </w:rPr>
            </w:pPr>
          </w:p>
        </w:tc>
        <w:tc>
          <w:tcPr>
            <w:tcW w:w="7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tcBorders>
              <w:right w:val="single" w:sz="8" w:color="97999B"/>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8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00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D9D9D6"/>
          </w:tcPr>
          <w:p>
            <w:pPr>
              <w:spacing w:after="0"/>
              <w:rPr>
                <w:sz w:val="14"/>
                <w:szCs w:val="14"/>
                <w:color w:val="auto"/>
              </w:rPr>
            </w:pPr>
          </w:p>
        </w:tc>
        <w:tc>
          <w:tcPr>
            <w:tcW w:w="9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540" w:type="dxa"/>
            <w:vAlign w:val="bottom"/>
            <w:shd w:val="clear" w:color="auto" w:fill="D9D9D6"/>
          </w:tcPr>
          <w:p>
            <w:pPr>
              <w:spacing w:after="0"/>
              <w:rPr>
                <w:sz w:val="14"/>
                <w:szCs w:val="14"/>
                <w:color w:val="auto"/>
              </w:rPr>
            </w:pPr>
          </w:p>
        </w:tc>
        <w:tc>
          <w:tcPr>
            <w:tcW w:w="5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80" w:type="dxa"/>
            <w:vAlign w:val="bottom"/>
            <w:tcBorders>
              <w:right w:val="single" w:sz="8" w:color="97999B"/>
            </w:tcBorders>
            <w:shd w:val="clear" w:color="auto" w:fill="D9D9D6"/>
          </w:tcPr>
          <w:p>
            <w:pPr>
              <w:spacing w:after="0"/>
              <w:rPr>
                <w:sz w:val="14"/>
                <w:szCs w:val="14"/>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000" w:type="dxa"/>
            <w:vAlign w:val="bottom"/>
            <w:tcBorders>
              <w:top w:val="single" w:sz="8" w:color="D9D9D6"/>
            </w:tcBorders>
            <w:vMerge w:val="continue"/>
            <w:shd w:val="clear" w:color="auto" w:fill="D9D9D6"/>
          </w:tcPr>
          <w:p>
            <w:pPr>
              <w:spacing w:after="0"/>
              <w:rPr>
                <w:sz w:val="17"/>
                <w:szCs w:val="17"/>
                <w:color w:val="auto"/>
              </w:rPr>
            </w:pPr>
          </w:p>
        </w:tc>
        <w:tc>
          <w:tcPr>
            <w:tcW w:w="7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right w:val="single" w:sz="8" w:color="97999B"/>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8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tcBorders>
            <w:shd w:val="clear" w:color="auto" w:fill="D9D9D6"/>
          </w:tcPr>
          <w:p>
            <w:pPr>
              <w:spacing w:after="0"/>
              <w:rPr>
                <w:sz w:val="17"/>
                <w:szCs w:val="17"/>
                <w:color w:val="auto"/>
              </w:rPr>
            </w:pPr>
          </w:p>
        </w:tc>
        <w:tc>
          <w:tcPr>
            <w:tcW w:w="560" w:type="dxa"/>
            <w:vAlign w:val="bottom"/>
            <w:tcBorders>
              <w:top w:val="single" w:sz="8" w:color="D9D9D6"/>
              <w:right w:val="single" w:sz="8" w:color="D9D9D6"/>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$5,861</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$5,400</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$22,979</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$20,599</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5,403</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5,469</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22,079</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21,937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825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880</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3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3,417</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3,532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709</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505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40.3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2,380</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1,574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51.2 %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2,337</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2,095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8,933</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8,191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818</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935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2,820</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2,594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0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454</w:t>
            </w:r>
          </w:p>
        </w:tc>
        <w:tc>
          <w:tcPr>
            <w:tcW w:w="114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421</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7.6</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180" w:type="dxa"/>
            <w:vAlign w:val="bottom"/>
            <w:tcBorders>
              <w:bottom w:val="single" w:sz="8" w:color="D9D9D6"/>
              <w:right w:val="single" w:sz="8" w:color="97999B"/>
            </w:tcBorders>
            <w:shd w:val="clear" w:color="auto" w:fill="D9D9D6"/>
          </w:tcPr>
          <w:p>
            <w:pPr>
              <w:spacing w:after="0"/>
              <w:rPr>
                <w:sz w:val="16"/>
                <w:szCs w:val="16"/>
                <w:color w:val="auto"/>
              </w:rPr>
            </w:pPr>
          </w:p>
        </w:tc>
        <w:tc>
          <w:tcPr>
            <w:tcW w:w="160" w:type="dxa"/>
            <w:vAlign w:val="bottom"/>
            <w:tcBorders>
              <w:bottom w:val="single" w:sz="8" w:color="D9D9D6"/>
            </w:tcBorders>
            <w:shd w:val="clear" w:color="auto" w:fill="D9D9D6"/>
          </w:tcPr>
          <w:p>
            <w:pPr>
              <w:spacing w:after="0"/>
              <w:rPr>
                <w:sz w:val="16"/>
                <w:szCs w:val="16"/>
                <w:color w:val="auto"/>
              </w:rPr>
            </w:pP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1,719</w:t>
            </w:r>
          </w:p>
        </w:tc>
        <w:tc>
          <w:tcPr>
            <w:tcW w:w="114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1,624</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5.9</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$16,406</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$15,705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4.5</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180" w:type="dxa"/>
            <w:vAlign w:val="bottom"/>
            <w:tcBorders>
              <w:right w:val="single" w:sz="8" w:color="97999B"/>
            </w:tcBorders>
            <w:shd w:val="clear" w:color="auto" w:fill="D9D9D6"/>
          </w:tcPr>
          <w:p>
            <w:pPr>
              <w:spacing w:after="0"/>
              <w:rPr>
                <w:sz w:val="15"/>
                <w:szCs w:val="15"/>
                <w:color w:val="auto"/>
              </w:rPr>
            </w:pPr>
          </w:p>
        </w:tc>
        <w:tc>
          <w:tcPr>
            <w:tcW w:w="160" w:type="dxa"/>
            <w:vAlign w:val="bottom"/>
            <w:shd w:val="clear" w:color="auto" w:fill="D9D9D6"/>
          </w:tcPr>
          <w:p>
            <w:pPr>
              <w:spacing w:after="0"/>
              <w:rPr>
                <w:sz w:val="15"/>
                <w:szCs w:val="15"/>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$64,328</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$60,051</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7.1</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$7,125</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$6,607</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7.8 %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$28,097</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$25,270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11.2 %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43.4 %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42.1 %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43.7 %</w:t>
            </w:r>
          </w:p>
        </w:tc>
        <w:tc>
          <w:tcPr>
            <w:tcW w:w="20" w:type="dxa"/>
            <w:vAlign w:val="bottom"/>
            <w:shd w:val="clear" w:color="auto" w:fill="D9D9D6"/>
          </w:tcPr>
          <w:p>
            <w:pPr>
              <w:spacing w:after="0"/>
              <w:rPr>
                <w:sz w:val="16"/>
                <w:szCs w:val="16"/>
                <w:color w:val="auto"/>
              </w:rPr>
            </w:pPr>
          </w:p>
        </w:tc>
        <w:tc>
          <w:tcPr>
            <w:tcW w:w="11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42.1 %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0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$2,192</w:t>
            </w:r>
          </w:p>
        </w:tc>
        <w:tc>
          <w:tcPr>
            <w:tcW w:w="114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$2,114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3.7 %</w:t>
            </w:r>
          </w:p>
        </w:tc>
        <w:tc>
          <w:tcPr>
            <w:tcW w:w="20" w:type="dxa"/>
            <w:vAlign w:val="bottom"/>
            <w:shd w:val="clear" w:color="auto" w:fill="D9D9D6"/>
          </w:tcPr>
          <w:p>
            <w:pPr>
              <w:spacing w:after="0"/>
              <w:rPr>
                <w:sz w:val="24"/>
                <w:szCs w:val="24"/>
                <w:color w:val="auto"/>
              </w:rPr>
            </w:pPr>
          </w:p>
        </w:tc>
        <w:tc>
          <w:tcPr>
            <w:tcW w:w="180" w:type="dxa"/>
            <w:vAlign w:val="bottom"/>
            <w:tcBorders>
              <w:right w:val="single" w:sz="8" w:color="97999B"/>
            </w:tcBorders>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$6,930</w:t>
            </w:r>
          </w:p>
        </w:tc>
        <w:tc>
          <w:tcPr>
            <w:tcW w:w="114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$6,605</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4.9 %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00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0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13.4 %</w:t>
            </w:r>
          </w:p>
        </w:tc>
        <w:tc>
          <w:tcPr>
            <w:tcW w:w="20" w:type="dxa"/>
            <w:vAlign w:val="bottom"/>
            <w:shd w:val="clear" w:color="auto" w:fill="D9D9D6"/>
          </w:tcPr>
          <w:p>
            <w:pPr>
              <w:spacing w:after="0"/>
              <w:rPr>
                <w:sz w:val="16"/>
                <w:szCs w:val="16"/>
                <w:color w:val="auto"/>
              </w:rPr>
            </w:pPr>
          </w:p>
        </w:tc>
        <w:tc>
          <w:tcPr>
            <w:tcW w:w="112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13.5 %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tcBorders>
              <w:right w:val="single" w:sz="8" w:color="97999B"/>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11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10.8 %</w:t>
            </w:r>
          </w:p>
        </w:tc>
        <w:tc>
          <w:tcPr>
            <w:tcW w:w="20" w:type="dxa"/>
            <w:vAlign w:val="bottom"/>
            <w:shd w:val="clear" w:color="auto" w:fill="D9D9D6"/>
          </w:tcPr>
          <w:p>
            <w:pPr>
              <w:spacing w:after="0"/>
              <w:rPr>
                <w:sz w:val="16"/>
                <w:szCs w:val="16"/>
                <w:color w:val="auto"/>
              </w:rPr>
            </w:pPr>
          </w:p>
        </w:tc>
        <w:tc>
          <w:tcPr>
            <w:tcW w:w="11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11.0 %</w:t>
            </w:r>
          </w:p>
        </w:tc>
        <w:tc>
          <w:tcPr>
            <w:tcW w:w="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4000" w:type="dxa"/>
            <w:vAlign w:val="bottom"/>
            <w:shd w:val="clear" w:color="auto" w:fill="D9D9D6"/>
          </w:tcPr>
          <w:p>
            <w:pPr>
              <w:spacing w:after="0"/>
              <w:rPr>
                <w:sz w:val="8"/>
                <w:szCs w:val="8"/>
                <w:color w:val="auto"/>
              </w:rPr>
            </w:pPr>
          </w:p>
        </w:tc>
        <w:tc>
          <w:tcPr>
            <w:tcW w:w="78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2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tcBorders>
              <w:right w:val="single" w:sz="8" w:color="D9D9D6"/>
            </w:tcBorders>
            <w:shd w:val="clear" w:color="auto" w:fill="D9D9D6"/>
          </w:tcPr>
          <w:p>
            <w:pPr>
              <w:spacing w:after="0"/>
              <w:rPr>
                <w:sz w:val="8"/>
                <w:szCs w:val="8"/>
                <w:color w:val="auto"/>
              </w:rPr>
            </w:pPr>
          </w:p>
        </w:tc>
        <w:tc>
          <w:tcPr>
            <w:tcW w:w="160" w:type="dxa"/>
            <w:vAlign w:val="bottom"/>
            <w:shd w:val="clear" w:color="auto" w:fill="D9D9D6"/>
          </w:tcPr>
          <w:p>
            <w:pPr>
              <w:spacing w:after="0"/>
              <w:rPr>
                <w:sz w:val="8"/>
                <w:szCs w:val="8"/>
                <w:color w:val="auto"/>
              </w:rPr>
            </w:pPr>
          </w:p>
        </w:tc>
        <w:tc>
          <w:tcPr>
            <w:tcW w:w="80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260" w:type="dxa"/>
            <w:vAlign w:val="bottom"/>
            <w:shd w:val="clear" w:color="auto" w:fill="D9D9D6"/>
          </w:tcPr>
          <w:p>
            <w:pPr>
              <w:spacing w:after="0"/>
              <w:rPr>
                <w:sz w:val="8"/>
                <w:szCs w:val="8"/>
                <w:color w:val="auto"/>
              </w:rPr>
            </w:pPr>
          </w:p>
        </w:tc>
        <w:tc>
          <w:tcPr>
            <w:tcW w:w="560" w:type="dxa"/>
            <w:vAlign w:val="bottom"/>
            <w:tcBorders>
              <w:right w:val="single" w:sz="8" w:color="D9D9D6"/>
            </w:tcBorders>
            <w:shd w:val="clear" w:color="auto" w:fill="D9D9D6"/>
          </w:tcPr>
          <w:p>
            <w:pPr>
              <w:spacing w:after="0"/>
              <w:rPr>
                <w:sz w:val="8"/>
                <w:szCs w:val="8"/>
                <w:color w:val="auto"/>
              </w:rPr>
            </w:pPr>
          </w:p>
        </w:tc>
        <w:tc>
          <w:tcPr>
            <w:tcW w:w="3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4.5% to $16.4 billion in the fourth quarter of 2021, driven by increases in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services, wireless, and other revenue, partially offset by decreases in advertising, video, and voice revenue. Broadband revenue increased 8.5% due to an increase in the number of residential broadband customers and an increase in average rates. Business services revenue increased 11.5% due to an increase in average rates, an increase in the number of customers receiving our services, and from a recent acquisition. Wireless revenue increased 40.3% due to an increase in the number of customer lines and an increase in device sales. Other revenue increased 7.6%, primarily reflecting increases in revenue from licensing of our technology platforms and from our security and automation services. Advertising revenue decreased 12.5%, reflecting a decrease in political advertising. Excluding political advertising revenue, advertising revenue increased 9.3%, primarily driven by our advanced advertising businesses. Video revenue decreased 1.2%, reflecting a decrease in the number of residential video customers, partially offset by an increase in average rates. Voice revenue decreased 6.2%, primarily reflecting a decrease in the number of residential voice customers.</w:t>
      </w:r>
    </w:p>
    <w:p>
      <w:pPr>
        <w:spacing w:after="0" w:line="223"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For the twelve months ended December 31, 2021, Cable revenue increased 7.1% to $64.3 billion compared to 2020, driven by growth in broadband, wireless, business services, advertising, video, and other revenue, partially offset by a decrease in voice revenue. In 2020, results were negatively impacted by COVID-19, including accrued customer regional sports network (RSN) fee adjustments related to canceled sporting events. Excluding the impact of accrued customer RSN fee adjustments in 2020</w:t>
      </w:r>
      <w:r>
        <w:rPr>
          <w:rFonts w:ascii="Arial" w:cs="Arial" w:eastAsia="Arial" w:hAnsi="Arial"/>
          <w:sz w:val="23"/>
          <w:szCs w:val="23"/>
          <w:color w:val="auto"/>
          <w:vertAlign w:val="superscript"/>
        </w:rPr>
        <w:t>5</w:t>
      </w:r>
      <w:r>
        <w:rPr>
          <w:rFonts w:ascii="Arial" w:cs="Arial" w:eastAsia="Arial" w:hAnsi="Arial"/>
          <w:sz w:val="18"/>
          <w:szCs w:val="18"/>
          <w:color w:val="auto"/>
        </w:rPr>
        <w:t>, Cable Communications revenue increased 6.5%.</w:t>
      </w:r>
    </w:p>
    <w:p>
      <w:pPr>
        <w:spacing w:after="0" w:line="19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169,000 to 34.2 million in the fourth quarter of 2021.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153,000 and business customer relationships increased by 17,000. Total broadband customer net additions were 212,000, total video customer net losses were 373,000, and total voice customer net losses were 176,000. In addition, Cable Communications added 312,000 wireless lines in the quarter.</w:t>
      </w:r>
    </w:p>
    <w:p>
      <w:pPr>
        <w:spacing w:after="0" w:line="21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For the twelve months ended December 31, 2021, total customer relationships increased by 1.1 million. Residential customer relationships increased by 1.0 million and business customer relationships increased by 63,000. Total broadband customer net additions were 1.3 million, total video customer net losses were 1.7 million, and total voice customer net losses were 548,000. In addition, Cable Communications added 1.2 million wireless lines during the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68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56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60" w:type="dxa"/>
            <w:vAlign w:val="bottom"/>
            <w:tcBorders>
              <w:right w:val="single" w:sz="8" w:color="D9D9D6"/>
            </w:tcBorders>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600" w:type="dxa"/>
            <w:vAlign w:val="bottom"/>
            <w:tcBorders>
              <w:right w:val="single" w:sz="8" w:color="D9D9D6"/>
            </w:tcBorders>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56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360" w:type="dxa"/>
            <w:vAlign w:val="bottom"/>
            <w:tcBorders>
              <w:right w:val="single" w:sz="8" w:color="D9D9D6"/>
            </w:tcBorders>
            <w:shd w:val="clear" w:color="auto" w:fill="D9D9D6"/>
          </w:tcPr>
          <w:p>
            <w:pPr>
              <w:spacing w:after="0"/>
              <w:rPr>
                <w:sz w:val="16"/>
                <w:szCs w:val="16"/>
                <w:color w:val="auto"/>
              </w:rPr>
            </w:pPr>
          </w:p>
        </w:tc>
        <w:tc>
          <w:tcPr>
            <w:tcW w:w="2200" w:type="dxa"/>
            <w:vAlign w:val="bottom"/>
            <w:gridSpan w:val="9"/>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2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70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46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6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56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360" w:type="dxa"/>
            <w:vAlign w:val="bottom"/>
            <w:tcBorders>
              <w:right w:val="single" w:sz="8" w:color="auto"/>
            </w:tcBorders>
            <w:shd w:val="clear" w:color="auto" w:fill="D9D9D6"/>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Borders>
              <w:right w:val="single" w:sz="8" w:color="D9D9D6"/>
            </w:tcBorders>
            <w:shd w:val="clear" w:color="auto" w:fill="000000"/>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70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560" w:type="dxa"/>
            <w:vAlign w:val="bottom"/>
            <w:tcBorders>
              <w:right w:val="single" w:sz="8" w:color="D9D9D6"/>
            </w:tcBorders>
            <w:shd w:val="clear" w:color="auto" w:fill="D9D9D6"/>
          </w:tcPr>
          <w:p>
            <w:pPr>
              <w:spacing w:after="0"/>
              <w:rPr>
                <w:sz w:val="14"/>
                <w:szCs w:val="14"/>
                <w:color w:val="auto"/>
              </w:rPr>
            </w:pPr>
          </w:p>
        </w:tc>
        <w:tc>
          <w:tcPr>
            <w:tcW w:w="700" w:type="dxa"/>
            <w:vAlign w:val="bottom"/>
            <w:tcBorders>
              <w:righ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w w:val="93"/>
              </w:rPr>
              <w:t>4th Quarter</w:t>
            </w:r>
          </w:p>
        </w:tc>
        <w:tc>
          <w:tcPr>
            <w:tcW w:w="520" w:type="dxa"/>
            <w:vAlign w:val="bottom"/>
            <w:gridSpan w:val="3"/>
            <w:shd w:val="clear" w:color="auto" w:fill="D9D9D6"/>
          </w:tcPr>
          <w:p>
            <w:pPr>
              <w:spacing w:after="0"/>
              <w:rPr>
                <w:sz w:val="14"/>
                <w:szCs w:val="14"/>
                <w:color w:val="auto"/>
              </w:rPr>
            </w:pPr>
          </w:p>
        </w:tc>
        <w:tc>
          <w:tcPr>
            <w:tcW w:w="240" w:type="dxa"/>
            <w:vAlign w:val="bottom"/>
            <w:tcBorders>
              <w:right w:val="single" w:sz="8" w:color="97999B"/>
            </w:tcBorders>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600" w:type="dxa"/>
            <w:vAlign w:val="bottom"/>
            <w:tcBorders>
              <w:right w:val="single" w:sz="8" w:color="D9D9D6"/>
            </w:tcBorders>
            <w:shd w:val="clear" w:color="auto" w:fill="D9D9D6"/>
          </w:tcPr>
          <w:p>
            <w:pPr>
              <w:spacing w:after="0"/>
              <w:rPr>
                <w:sz w:val="14"/>
                <w:szCs w:val="14"/>
                <w:color w:val="auto"/>
              </w:rPr>
            </w:pPr>
          </w:p>
        </w:tc>
        <w:tc>
          <w:tcPr>
            <w:tcW w:w="64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Full Year</w:t>
            </w:r>
          </w:p>
        </w:tc>
        <w:tc>
          <w:tcPr>
            <w:tcW w:w="2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70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880" w:type="dxa"/>
            <w:vAlign w:val="bottom"/>
            <w:gridSpan w:val="3"/>
            <w:vMerge w:val="restart"/>
            <w:shd w:val="clear" w:color="auto" w:fill="D9D9D6"/>
          </w:tcPr>
          <w:p>
            <w:pPr>
              <w:jc w:val="right"/>
              <w:spacing w:after="0" w:line="189" w:lineRule="exact"/>
              <w:rPr>
                <w:sz w:val="20"/>
                <w:szCs w:val="20"/>
                <w:color w:val="auto"/>
              </w:rPr>
            </w:pPr>
            <w:r>
              <w:rPr>
                <w:rFonts w:ascii="Arial" w:cs="Arial" w:eastAsia="Arial" w:hAnsi="Arial"/>
                <w:sz w:val="14"/>
                <w:szCs w:val="14"/>
                <w:color w:val="auto"/>
              </w:rPr>
              <w:t>4Q20</w:t>
            </w:r>
            <w:r>
              <w:rPr>
                <w:rFonts w:ascii="Arial" w:cs="Arial" w:eastAsia="Arial" w:hAnsi="Arial"/>
                <w:sz w:val="18"/>
                <w:szCs w:val="18"/>
                <w:u w:val="single" w:color="auto"/>
                <w:color w:val="auto"/>
                <w:vertAlign w:val="superscript"/>
              </w:rPr>
              <w:t>6</w:t>
            </w:r>
          </w:p>
        </w:tc>
        <w:tc>
          <w:tcPr>
            <w:tcW w:w="520" w:type="dxa"/>
            <w:vAlign w:val="bottom"/>
            <w:shd w:val="clear" w:color="auto" w:fill="D9D9D6"/>
          </w:tcPr>
          <w:p>
            <w:pPr>
              <w:spacing w:after="0" w:line="20" w:lineRule="exact"/>
              <w:rPr>
                <w:sz w:val="1"/>
                <w:szCs w:val="1"/>
                <w:color w:val="auto"/>
              </w:rPr>
            </w:pPr>
          </w:p>
        </w:tc>
        <w:tc>
          <w:tcPr>
            <w:tcW w:w="5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600" w:type="dxa"/>
            <w:vAlign w:val="bottom"/>
            <w:tcBorders>
              <w:right w:val="single" w:sz="8" w:color="D9D9D6"/>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70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shd w:val="clear" w:color="auto" w:fill="D9D9D6"/>
          </w:tcPr>
          <w:p>
            <w:pPr>
              <w:spacing w:after="0"/>
              <w:rPr>
                <w:sz w:val="14"/>
                <w:szCs w:val="14"/>
                <w:color w:val="auto"/>
              </w:rPr>
            </w:pPr>
          </w:p>
        </w:tc>
        <w:tc>
          <w:tcPr>
            <w:tcW w:w="38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4Q21</w:t>
            </w:r>
          </w:p>
        </w:tc>
        <w:tc>
          <w:tcPr>
            <w:tcW w:w="880" w:type="dxa"/>
            <w:vAlign w:val="bottom"/>
            <w:gridSpan w:val="3"/>
            <w:vMerge w:val="continue"/>
            <w:shd w:val="clear" w:color="auto" w:fill="D9D9D6"/>
          </w:tcPr>
          <w:p>
            <w:pPr>
              <w:spacing w:after="0"/>
              <w:rPr>
                <w:sz w:val="14"/>
                <w:szCs w:val="14"/>
                <w:color w:val="auto"/>
              </w:rPr>
            </w:pPr>
          </w:p>
        </w:tc>
        <w:tc>
          <w:tcPr>
            <w:tcW w:w="1080" w:type="dxa"/>
            <w:vAlign w:val="bottom"/>
            <w:tcBorders>
              <w:right w:val="single" w:sz="8" w:color="D9D9D6"/>
            </w:tcBorders>
            <w:gridSpan w:val="2"/>
            <w:shd w:val="clear" w:color="auto" w:fill="D9D9D6"/>
          </w:tcPr>
          <w:p>
            <w:pPr>
              <w:spacing w:after="0"/>
              <w:rPr>
                <w:sz w:val="14"/>
                <w:szCs w:val="14"/>
                <w:color w:val="auto"/>
              </w:rPr>
            </w:pPr>
          </w:p>
        </w:tc>
        <w:tc>
          <w:tcPr>
            <w:tcW w:w="34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6"/>
              </w:rPr>
              <w:t>2021</w:t>
            </w:r>
          </w:p>
        </w:tc>
        <w:tc>
          <w:tcPr>
            <w:tcW w:w="360" w:type="dxa"/>
            <w:vAlign w:val="bottom"/>
            <w:tcBorders>
              <w:right w:val="single" w:sz="8" w:color="D9D9D6"/>
            </w:tcBorders>
            <w:shd w:val="clear" w:color="auto" w:fill="D9D9D6"/>
          </w:tcPr>
          <w:p>
            <w:pPr>
              <w:spacing w:after="0"/>
              <w:rPr>
                <w:sz w:val="14"/>
                <w:szCs w:val="14"/>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240" w:type="dxa"/>
            <w:vAlign w:val="bottom"/>
            <w:tcBorders>
              <w:right w:val="single" w:sz="8" w:color="97999B"/>
            </w:tcBorders>
            <w:shd w:val="clear" w:color="auto" w:fill="D9D9D6"/>
          </w:tcPr>
          <w:p>
            <w:pPr>
              <w:spacing w:after="0"/>
              <w:rPr>
                <w:sz w:val="14"/>
                <w:szCs w:val="14"/>
                <w:color w:val="auto"/>
              </w:rPr>
            </w:pPr>
          </w:p>
        </w:tc>
        <w:tc>
          <w:tcPr>
            <w:tcW w:w="1360" w:type="dxa"/>
            <w:vAlign w:val="bottom"/>
            <w:gridSpan w:val="4"/>
            <w:shd w:val="clear" w:color="auto" w:fill="D9D9D6"/>
          </w:tcPr>
          <w:p>
            <w:pPr>
              <w:jc w:val="right"/>
              <w:ind w:right="300"/>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D9D9D6"/>
          </w:tcPr>
          <w:p>
            <w:pPr>
              <w:spacing w:after="0"/>
              <w:rPr>
                <w:sz w:val="14"/>
                <w:szCs w:val="14"/>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70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560" w:type="dxa"/>
            <w:vAlign w:val="bottom"/>
            <w:tcBorders>
              <w:top w:val="single" w:sz="8" w:color="D9D9D6"/>
              <w:right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D9D9D6"/>
              <w:right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right w:val="single" w:sz="8" w:color="97999B"/>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600" w:type="dxa"/>
            <w:vAlign w:val="bottom"/>
            <w:tcBorders>
              <w:top w:val="single" w:sz="8" w:color="D9D9D6"/>
              <w:right w:val="single" w:sz="8" w:color="D9D9D6"/>
            </w:tcBorders>
            <w:shd w:val="clear" w:color="auto" w:fill="D9D9D6"/>
          </w:tcPr>
          <w:p>
            <w:pPr>
              <w:spacing w:after="0"/>
              <w:rPr>
                <w:sz w:val="17"/>
                <w:szCs w:val="17"/>
                <w:color w:val="auto"/>
              </w:rPr>
            </w:pPr>
          </w:p>
        </w:tc>
        <w:tc>
          <w:tcPr>
            <w:tcW w:w="26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31,728</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30,692</w:t>
            </w:r>
          </w:p>
        </w:tc>
        <w:tc>
          <w:tcPr>
            <w:tcW w:w="5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153</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429</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1,036</w:t>
            </w:r>
          </w:p>
        </w:tc>
        <w:tc>
          <w:tcPr>
            <w:tcW w:w="3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5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1,569</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2,489</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2,426</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17</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63</w:t>
            </w:r>
          </w:p>
        </w:tc>
        <w:tc>
          <w:tcPr>
            <w:tcW w:w="30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5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34,218</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33,119</w:t>
            </w:r>
          </w:p>
        </w:tc>
        <w:tc>
          <w:tcPr>
            <w:tcW w:w="5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169</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455</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1,099</w:t>
            </w:r>
          </w:p>
        </w:tc>
        <w:tc>
          <w:tcPr>
            <w:tcW w:w="3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5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1,599</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60" w:type="dxa"/>
            <w:vAlign w:val="bottom"/>
            <w:tcBorders>
              <w:right w:val="single" w:sz="8" w:color="D9D9D6"/>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600" w:type="dxa"/>
            <w:vAlign w:val="bottom"/>
            <w:tcBorders>
              <w:right w:val="single" w:sz="8" w:color="D9D9D6"/>
            </w:tcBorders>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14,330</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12,408</w:t>
            </w:r>
          </w:p>
        </w:tc>
        <w:tc>
          <w:tcPr>
            <w:tcW w:w="5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371</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477</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1,922</w:t>
            </w:r>
          </w:p>
        </w:tc>
        <w:tc>
          <w:tcPr>
            <w:tcW w:w="3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5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2,187</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8,407</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8,734</w:t>
            </w:r>
          </w:p>
        </w:tc>
        <w:tc>
          <w:tcPr>
            <w:tcW w:w="5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(328)</w:t>
            </w:r>
          </w:p>
        </w:tc>
        <w:tc>
          <w:tcPr>
            <w:tcW w:w="3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(188)</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8,992</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9,550</w:t>
            </w:r>
          </w:p>
        </w:tc>
        <w:tc>
          <w:tcPr>
            <w:tcW w:w="520" w:type="dxa"/>
            <w:vAlign w:val="bottom"/>
            <w:shd w:val="clear" w:color="auto" w:fill="D9D9D6"/>
          </w:tcPr>
          <w:p>
            <w:pPr>
              <w:spacing w:after="0"/>
              <w:rPr>
                <w:sz w:val="16"/>
                <w:szCs w:val="16"/>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(152)</w:t>
            </w:r>
          </w:p>
        </w:tc>
        <w:tc>
          <w:tcPr>
            <w:tcW w:w="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D9D9D6"/>
          </w:tcPr>
          <w:p>
            <w:pPr>
              <w:spacing w:after="0"/>
              <w:rPr>
                <w:sz w:val="16"/>
                <w:szCs w:val="16"/>
                <w:color w:val="auto"/>
              </w:rPr>
            </w:pPr>
          </w:p>
        </w:tc>
        <w:tc>
          <w:tcPr>
            <w:tcW w:w="240" w:type="dxa"/>
            <w:vAlign w:val="bottom"/>
            <w:tcBorders>
              <w:right w:val="single" w:sz="8" w:color="97999B"/>
            </w:tcBorders>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(558)</w:t>
            </w:r>
          </w:p>
        </w:tc>
        <w:tc>
          <w:tcPr>
            <w:tcW w:w="3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(429)</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29,583</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28,326</w:t>
            </w:r>
          </w:p>
        </w:tc>
        <w:tc>
          <w:tcPr>
            <w:tcW w:w="5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194</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515</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1,257</w:t>
            </w:r>
          </w:p>
        </w:tc>
        <w:tc>
          <w:tcPr>
            <w:tcW w:w="3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1,937</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2,318</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2,248</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70</w:t>
            </w:r>
          </w:p>
        </w:tc>
        <w:tc>
          <w:tcPr>
            <w:tcW w:w="30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5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31,901</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30,574</w:t>
            </w:r>
          </w:p>
        </w:tc>
        <w:tc>
          <w:tcPr>
            <w:tcW w:w="5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212</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538</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1,327</w:t>
            </w:r>
          </w:p>
        </w:tc>
        <w:tc>
          <w:tcPr>
            <w:tcW w:w="3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5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1,971</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17,495</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18,993</w:t>
            </w:r>
          </w:p>
        </w:tc>
        <w:tc>
          <w:tcPr>
            <w:tcW w:w="5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(349)</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(227)</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(1,498)</w:t>
            </w:r>
          </w:p>
        </w:tc>
        <w:tc>
          <w:tcPr>
            <w:tcW w:w="3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(1,295)</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681</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852</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(171)</w:t>
            </w:r>
          </w:p>
        </w:tc>
        <w:tc>
          <w:tcPr>
            <w:tcW w:w="30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5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(114)</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18,176</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19,846</w:t>
            </w:r>
          </w:p>
        </w:tc>
        <w:tc>
          <w:tcPr>
            <w:tcW w:w="5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(373)</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(248)</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(1,669)</w:t>
            </w:r>
          </w:p>
        </w:tc>
        <w:tc>
          <w:tcPr>
            <w:tcW w:w="3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(1,408)</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7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9,062</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9,645</w:t>
            </w:r>
          </w:p>
        </w:tc>
        <w:tc>
          <w:tcPr>
            <w:tcW w:w="5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(183)</w:t>
            </w:r>
          </w:p>
        </w:tc>
        <w:tc>
          <w:tcPr>
            <w:tcW w:w="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D9D9D6"/>
          </w:tcPr>
          <w:p>
            <w:pPr>
              <w:spacing w:after="0"/>
              <w:rPr>
                <w:sz w:val="24"/>
                <w:szCs w:val="24"/>
                <w:color w:val="auto"/>
              </w:rPr>
            </w:pPr>
          </w:p>
        </w:tc>
        <w:tc>
          <w:tcPr>
            <w:tcW w:w="240" w:type="dxa"/>
            <w:vAlign w:val="bottom"/>
            <w:tcBorders>
              <w:right w:val="single" w:sz="8" w:color="97999B"/>
            </w:tcBorders>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(583)</w:t>
            </w:r>
          </w:p>
        </w:tc>
        <w:tc>
          <w:tcPr>
            <w:tcW w:w="3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(289)</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7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1,391</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1,357</w:t>
            </w:r>
          </w:p>
        </w:tc>
        <w:tc>
          <w:tcPr>
            <w:tcW w:w="520" w:type="dxa"/>
            <w:vAlign w:val="bottom"/>
            <w:tcBorders>
              <w:bottom w:val="single" w:sz="8" w:color="D9D9D6"/>
            </w:tcBorders>
            <w:shd w:val="clear" w:color="auto" w:fill="D9D9D6"/>
          </w:tcPr>
          <w:p>
            <w:pPr>
              <w:spacing w:after="0"/>
              <w:rPr>
                <w:sz w:val="16"/>
                <w:szCs w:val="16"/>
                <w:color w:val="auto"/>
              </w:rPr>
            </w:pP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shd w:val="clear" w:color="auto" w:fill="D9D9D6"/>
          </w:tcPr>
          <w:p>
            <w:pPr>
              <w:spacing w:after="0"/>
              <w:rPr>
                <w:sz w:val="16"/>
                <w:szCs w:val="16"/>
                <w:color w:val="auto"/>
              </w:rPr>
            </w:pPr>
          </w:p>
        </w:tc>
        <w:tc>
          <w:tcPr>
            <w:tcW w:w="240" w:type="dxa"/>
            <w:vAlign w:val="bottom"/>
            <w:tcBorders>
              <w:bottom w:val="single" w:sz="8" w:color="D9D9D6"/>
              <w:right w:val="single" w:sz="8" w:color="97999B"/>
            </w:tcBorders>
            <w:shd w:val="clear" w:color="auto" w:fill="D9D9D6"/>
          </w:tcPr>
          <w:p>
            <w:pPr>
              <w:spacing w:after="0"/>
              <w:rPr>
                <w:sz w:val="16"/>
                <w:szCs w:val="16"/>
                <w:color w:val="auto"/>
              </w:rPr>
            </w:pPr>
          </w:p>
        </w:tc>
        <w:tc>
          <w:tcPr>
            <w:tcW w:w="20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5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7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10,454</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11,002</w:t>
            </w:r>
          </w:p>
        </w:tc>
        <w:tc>
          <w:tcPr>
            <w:tcW w:w="520" w:type="dxa"/>
            <w:vAlign w:val="bottom"/>
            <w:shd w:val="clear" w:color="auto" w:fill="D9D9D6"/>
          </w:tcPr>
          <w:p>
            <w:pPr>
              <w:spacing w:after="0"/>
              <w:rPr>
                <w:sz w:val="15"/>
                <w:szCs w:val="15"/>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(176)</w:t>
            </w:r>
          </w:p>
        </w:tc>
        <w:tc>
          <w:tcPr>
            <w:tcW w:w="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(24)</w:t>
            </w:r>
          </w:p>
        </w:tc>
        <w:tc>
          <w:tcPr>
            <w:tcW w:w="20" w:type="dxa"/>
            <w:vAlign w:val="bottom"/>
            <w:shd w:val="clear" w:color="auto" w:fill="D9D9D6"/>
          </w:tcPr>
          <w:p>
            <w:pPr>
              <w:spacing w:after="0"/>
              <w:rPr>
                <w:sz w:val="15"/>
                <w:szCs w:val="15"/>
                <w:color w:val="auto"/>
              </w:rPr>
            </w:pPr>
          </w:p>
        </w:tc>
        <w:tc>
          <w:tcPr>
            <w:tcW w:w="240" w:type="dxa"/>
            <w:vAlign w:val="bottom"/>
            <w:tcBorders>
              <w:right w:val="single" w:sz="8" w:color="97999B"/>
            </w:tcBorders>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(548)</w:t>
            </w:r>
          </w:p>
        </w:tc>
        <w:tc>
          <w:tcPr>
            <w:tcW w:w="3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(275)</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20" w:type="dxa"/>
            <w:vAlign w:val="bottom"/>
            <w:tcBorders>
              <w:bottom w:val="single" w:sz="8" w:color="D9D9D6"/>
            </w:tcBorders>
            <w:shd w:val="clear" w:color="auto" w:fill="D9D9D6"/>
          </w:tcPr>
          <w:p>
            <w:pPr>
              <w:spacing w:after="0"/>
              <w:rPr>
                <w:sz w:val="24"/>
                <w:szCs w:val="24"/>
                <w:color w:val="auto"/>
              </w:rPr>
            </w:pPr>
          </w:p>
        </w:tc>
        <w:tc>
          <w:tcPr>
            <w:tcW w:w="47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3,980</w:t>
            </w:r>
          </w:p>
        </w:tc>
        <w:tc>
          <w:tcPr>
            <w:tcW w:w="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2,826</w:t>
            </w:r>
          </w:p>
        </w:tc>
        <w:tc>
          <w:tcPr>
            <w:tcW w:w="520" w:type="dxa"/>
            <w:vAlign w:val="bottom"/>
            <w:tcBorders>
              <w:bottom w:val="single" w:sz="8" w:color="D9D9D6"/>
            </w:tcBorders>
            <w:shd w:val="clear" w:color="auto" w:fill="D9D9D6"/>
          </w:tcPr>
          <w:p>
            <w:pPr>
              <w:spacing w:after="0"/>
              <w:rPr>
                <w:sz w:val="24"/>
                <w:szCs w:val="24"/>
                <w:color w:val="auto"/>
              </w:rPr>
            </w:pPr>
          </w:p>
        </w:tc>
        <w:tc>
          <w:tcPr>
            <w:tcW w:w="8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312</w:t>
            </w:r>
          </w:p>
        </w:tc>
        <w:tc>
          <w:tcPr>
            <w:tcW w:w="2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246</w:t>
            </w:r>
          </w:p>
        </w:tc>
        <w:tc>
          <w:tcPr>
            <w:tcW w:w="20" w:type="dxa"/>
            <w:vAlign w:val="bottom"/>
            <w:tcBorders>
              <w:bottom w:val="single" w:sz="8" w:color="D9D9D6"/>
            </w:tcBorders>
            <w:shd w:val="clear" w:color="auto" w:fill="D9D9D6"/>
          </w:tcPr>
          <w:p>
            <w:pPr>
              <w:spacing w:after="0"/>
              <w:rPr>
                <w:sz w:val="24"/>
                <w:szCs w:val="24"/>
                <w:color w:val="auto"/>
              </w:rPr>
            </w:pPr>
          </w:p>
        </w:tc>
        <w:tc>
          <w:tcPr>
            <w:tcW w:w="240" w:type="dxa"/>
            <w:vAlign w:val="bottom"/>
            <w:tcBorders>
              <w:bottom w:val="single" w:sz="8" w:color="D9D9D6"/>
              <w:right w:val="single" w:sz="8" w:color="97999B"/>
            </w:tcBorders>
            <w:shd w:val="clear" w:color="auto" w:fill="D9D9D6"/>
          </w:tcPr>
          <w:p>
            <w:pPr>
              <w:spacing w:after="0"/>
              <w:rPr>
                <w:sz w:val="24"/>
                <w:szCs w:val="24"/>
                <w:color w:val="auto"/>
              </w:rPr>
            </w:pPr>
          </w:p>
        </w:tc>
        <w:tc>
          <w:tcPr>
            <w:tcW w:w="200" w:type="dxa"/>
            <w:vAlign w:val="bottom"/>
            <w:tcBorders>
              <w:bottom w:val="single" w:sz="8" w:color="D9D9D6"/>
            </w:tcBorders>
            <w:shd w:val="clear" w:color="auto" w:fill="D9D9D6"/>
          </w:tcPr>
          <w:p>
            <w:pPr>
              <w:spacing w:after="0"/>
              <w:rPr>
                <w:sz w:val="24"/>
                <w:szCs w:val="24"/>
                <w:color w:val="auto"/>
              </w:rPr>
            </w:pPr>
          </w:p>
        </w:tc>
        <w:tc>
          <w:tcPr>
            <w:tcW w:w="86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1,154</w:t>
            </w:r>
          </w:p>
        </w:tc>
        <w:tc>
          <w:tcPr>
            <w:tcW w:w="300" w:type="dxa"/>
            <w:vAlign w:val="bottom"/>
            <w:tcBorders>
              <w:bottom w:val="single" w:sz="8" w:color="D9D9D6"/>
            </w:tcBorders>
            <w:shd w:val="clear" w:color="auto" w:fill="D9D9D6"/>
          </w:tcPr>
          <w:p>
            <w:pPr>
              <w:spacing w:after="0"/>
              <w:rPr>
                <w:sz w:val="24"/>
                <w:szCs w:val="24"/>
                <w:color w:val="auto"/>
              </w:rPr>
            </w:pPr>
          </w:p>
        </w:tc>
        <w:tc>
          <w:tcPr>
            <w:tcW w:w="80" w:type="dxa"/>
            <w:vAlign w:val="bottom"/>
            <w:tcBorders>
              <w:bottom w:val="single" w:sz="8" w:color="D9D9D6"/>
            </w:tcBorders>
            <w:shd w:val="clear" w:color="auto" w:fill="D9D9D6"/>
          </w:tcPr>
          <w:p>
            <w:pPr>
              <w:spacing w:after="0"/>
              <w:rPr>
                <w:sz w:val="24"/>
                <w:szCs w:val="24"/>
                <w:color w:val="auto"/>
              </w:rPr>
            </w:pPr>
          </w:p>
        </w:tc>
        <w:tc>
          <w:tcPr>
            <w:tcW w:w="52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774</w:t>
            </w:r>
          </w:p>
        </w:tc>
        <w:tc>
          <w:tcPr>
            <w:tcW w:w="20" w:type="dxa"/>
            <w:vAlign w:val="bottom"/>
            <w:tcBorders>
              <w:bottom w:val="single" w:sz="8" w:color="D9D9D6"/>
            </w:tcBorders>
            <w:shd w:val="clear" w:color="auto" w:fill="D9D9D6"/>
          </w:tcPr>
          <w:p>
            <w:pPr>
              <w:spacing w:after="0"/>
              <w:rPr>
                <w:sz w:val="24"/>
                <w:szCs w:val="24"/>
                <w:color w:val="auto"/>
              </w:rPr>
            </w:pPr>
          </w:p>
        </w:tc>
        <w:tc>
          <w:tcPr>
            <w:tcW w:w="12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7.8% to $7.1 billion in the fourth quarter of 2021,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2.0% increase in operating expenses. In the fourth quarter of 2021, programming costs decreased 1.2%, reflecting a decline in the number of video subscribers, partially offset by the timing of contract renewals. Non-programming expenses increased 4.1%, primarily reflecting higher technical and product support expenses. Non-programming expenses per customer relationship were consistent with the prior year period. Adjusted EBITDA per customer relationship increased 3.9%, and Adjusted EBITDA margin was 43.4% compared to 42.1% in the prior year period. Cable Communications results include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$32 million from our wireless business, compared to a loss of $60 million in the prior year period.</w:t>
      </w:r>
    </w:p>
    <w:p>
      <w:pPr>
        <w:spacing w:after="0" w:line="23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For the twelve months ended December 31, 2021, Adjusted EBITDA for Cable Communications increased 11.2% to $28.1 billion compared to 2020, reflecting higher revenue, partially offset by a 4.2% increase in operating expenses. Programming costs increased 5.8%, reflecting the timing of contract renewals and adjustments in 2020 for provisions in our programming distribution agreements with RSNs related to canceled sporting events as a result of COVID-19, partially offset by a decline in the number of video subscribers. Excluding the impact of accrued RSN adjustments in 2020</w:t>
      </w:r>
      <w:r>
        <w:rPr>
          <w:rFonts w:ascii="Arial" w:cs="Arial" w:eastAsia="Arial" w:hAnsi="Arial"/>
          <w:sz w:val="23"/>
          <w:szCs w:val="23"/>
          <w:color w:val="auto"/>
          <w:vertAlign w:val="superscript"/>
        </w:rPr>
        <w:t>5</w:t>
      </w:r>
      <w:r>
        <w:rPr>
          <w:rFonts w:ascii="Arial" w:cs="Arial" w:eastAsia="Arial" w:hAnsi="Arial"/>
          <w:sz w:val="18"/>
          <w:szCs w:val="18"/>
          <w:color w:val="auto"/>
        </w:rPr>
        <w:t>, programming costs increased 3.0%. Non-programming expenses increased 3.1%. For the twelve months ended December 31, 2021, Adjusted EBITDA per customer relationship increased 6.7%, and Adjusted EBITDA margin was 43.7% compared to 42.1% in 2020. While the accrued RSN adjustments did not impact Adjusted EBITDA for the twelve months ended December 31, 2020, they resulted in an increase to Adjusted EBITDA margin in that period. Cable Communications results include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of $157 million from our wireless business, compared to a loss of $206 million in 2020.</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3.7% to $2.2 billion in the fourth quarter of 2021, reflecting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scalable infrastructure and line extensions, partially offset by decreased investment in customer premise equipment and support capital. Cable capital expenditures represented 13.4% of Cable revenue in the fourth quarter of 2021 compared to 13.5% in the prior year period.</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twelve months ended December 31, 2021, capital expenditures for Cable Communications increased 4.9% to $6.9 billion, reflecting increased investment in scalable infrastructure and line extensions, partially offset by decreased investment in customer premise equipment and support capital. Cable capital expenditures represented 10.8% of Cable revenue compared to 11.0% in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33"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9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right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right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920" w:type="dxa"/>
            <w:vAlign w:val="bottom"/>
            <w:shd w:val="clear" w:color="auto" w:fill="D9D9D6"/>
          </w:tcPr>
          <w:p>
            <w:pPr>
              <w:spacing w:after="0"/>
              <w:rPr>
                <w:sz w:val="14"/>
                <w:szCs w:val="14"/>
                <w:color w:val="auto"/>
              </w:rPr>
            </w:pPr>
          </w:p>
        </w:tc>
        <w:tc>
          <w:tcPr>
            <w:tcW w:w="5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7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4th Quarter</w:t>
            </w:r>
          </w:p>
        </w:tc>
        <w:tc>
          <w:tcPr>
            <w:tcW w:w="180" w:type="dxa"/>
            <w:vAlign w:val="bottom"/>
            <w:shd w:val="clear" w:color="auto" w:fill="D9D9D6"/>
          </w:tcPr>
          <w:p>
            <w:pPr>
              <w:spacing w:after="0"/>
              <w:rPr>
                <w:sz w:val="14"/>
                <w:szCs w:val="14"/>
                <w:color w:val="auto"/>
              </w:rPr>
            </w:pPr>
          </w:p>
        </w:tc>
        <w:tc>
          <w:tcPr>
            <w:tcW w:w="30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60" w:type="dxa"/>
            <w:vAlign w:val="bottom"/>
            <w:tcBorders>
              <w:right w:val="single" w:sz="8" w:color="97999B"/>
            </w:tcBorders>
            <w:shd w:val="clear" w:color="auto" w:fill="D9D9D6"/>
          </w:tcPr>
          <w:p>
            <w:pPr>
              <w:spacing w:after="0"/>
              <w:rPr>
                <w:sz w:val="14"/>
                <w:szCs w:val="14"/>
                <w:color w:val="auto"/>
              </w:rPr>
            </w:pPr>
          </w:p>
        </w:tc>
        <w:tc>
          <w:tcPr>
            <w:tcW w:w="2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240" w:type="dxa"/>
            <w:vAlign w:val="bottom"/>
            <w:shd w:val="clear" w:color="auto" w:fill="D9D9D6"/>
          </w:tcPr>
          <w:p>
            <w:pPr>
              <w:spacing w:after="0"/>
              <w:rPr>
                <w:sz w:val="14"/>
                <w:szCs w:val="14"/>
                <w:color w:val="auto"/>
              </w:rPr>
            </w:pPr>
          </w:p>
        </w:tc>
        <w:tc>
          <w:tcPr>
            <w:tcW w:w="6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w w:val="96"/>
              </w:rPr>
              <w:t>Full Year</w:t>
            </w: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9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60" w:type="dxa"/>
            <w:vAlign w:val="bottom"/>
            <w:tcBorders>
              <w:right w:val="single" w:sz="8" w:color="97999B"/>
            </w:tcBorders>
            <w:shd w:val="clear" w:color="auto" w:fill="D9D9D6"/>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492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60" w:type="dxa"/>
            <w:vAlign w:val="bottom"/>
            <w:shd w:val="clear" w:color="auto" w:fill="D9D9D6"/>
          </w:tcPr>
          <w:p>
            <w:pPr>
              <w:spacing w:after="0"/>
              <w:rPr>
                <w:sz w:val="14"/>
                <w:szCs w:val="14"/>
                <w:color w:val="auto"/>
              </w:rPr>
            </w:pPr>
          </w:p>
        </w:tc>
        <w:tc>
          <w:tcPr>
            <w:tcW w:w="74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2020</w:t>
            </w:r>
          </w:p>
        </w:tc>
        <w:tc>
          <w:tcPr>
            <w:tcW w:w="180" w:type="dxa"/>
            <w:vAlign w:val="bottom"/>
            <w:shd w:val="clear" w:color="auto" w:fill="D9D9D6"/>
          </w:tcPr>
          <w:p>
            <w:pPr>
              <w:spacing w:after="0"/>
              <w:rPr>
                <w:sz w:val="14"/>
                <w:szCs w:val="14"/>
                <w:color w:val="auto"/>
              </w:rPr>
            </w:pPr>
          </w:p>
        </w:tc>
        <w:tc>
          <w:tcPr>
            <w:tcW w:w="300" w:type="dxa"/>
            <w:vAlign w:val="bottom"/>
            <w:shd w:val="clear" w:color="auto" w:fill="D9D9D6"/>
          </w:tcPr>
          <w:p>
            <w:pPr>
              <w:spacing w:after="0"/>
              <w:rPr>
                <w:sz w:val="14"/>
                <w:szCs w:val="14"/>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260" w:type="dxa"/>
            <w:vAlign w:val="bottom"/>
            <w:tcBorders>
              <w:right w:val="single" w:sz="8" w:color="97999B"/>
            </w:tcBorders>
            <w:shd w:val="clear" w:color="auto" w:fill="D9D9D6"/>
          </w:tcPr>
          <w:p>
            <w:pPr>
              <w:spacing w:after="0"/>
              <w:rPr>
                <w:sz w:val="14"/>
                <w:szCs w:val="14"/>
                <w:color w:val="auto"/>
              </w:rPr>
            </w:pPr>
          </w:p>
        </w:tc>
        <w:tc>
          <w:tcPr>
            <w:tcW w:w="11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240" w:type="dxa"/>
            <w:vAlign w:val="bottom"/>
            <w:shd w:val="clear" w:color="auto" w:fill="D9D9D6"/>
          </w:tcPr>
          <w:p>
            <w:pPr>
              <w:spacing w:after="0"/>
              <w:rPr>
                <w:sz w:val="14"/>
                <w:szCs w:val="14"/>
                <w:color w:val="auto"/>
              </w:rPr>
            </w:pPr>
          </w:p>
        </w:tc>
        <w:tc>
          <w:tcPr>
            <w:tcW w:w="6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180" w:type="dxa"/>
            <w:vAlign w:val="bottom"/>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492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6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right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60" w:type="dxa"/>
            <w:vAlign w:val="bottom"/>
            <w:tcBorders>
              <w:top w:val="single" w:sz="8" w:color="D9D9D6"/>
              <w:right w:val="single" w:sz="8" w:color="97999B"/>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40" w:type="dxa"/>
            <w:vAlign w:val="bottom"/>
            <w:tcBorders>
              <w:top w:val="single" w:sz="8" w:color="D9D9D6"/>
            </w:tcBorders>
            <w:shd w:val="clear" w:color="auto" w:fill="D9D9D6"/>
          </w:tcPr>
          <w:p>
            <w:pPr>
              <w:spacing w:after="0"/>
              <w:rPr>
                <w:sz w:val="17"/>
                <w:szCs w:val="17"/>
                <w:color w:val="auto"/>
              </w:rPr>
            </w:pPr>
          </w:p>
        </w:tc>
        <w:tc>
          <w:tcPr>
            <w:tcW w:w="30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right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$5,826</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$5,373</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$22,780</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$18,936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220"/>
              <w:spacing w:after="0"/>
              <w:rPr>
                <w:sz w:val="20"/>
                <w:szCs w:val="20"/>
                <w:color w:val="auto"/>
              </w:rPr>
            </w:pPr>
            <w:r>
              <w:rPr>
                <w:rFonts w:ascii="Arial" w:cs="Arial" w:eastAsia="Arial" w:hAnsi="Arial"/>
                <w:sz w:val="14"/>
                <w:szCs w:val="14"/>
                <w:i w:val="1"/>
                <w:iCs w:val="1"/>
                <w:color w:val="auto"/>
              </w:rPr>
              <w:t>Excluding Olympics</w:t>
            </w:r>
            <w:r>
              <w:rPr>
                <w:rFonts w:ascii="Arial" w:cs="Arial" w:eastAsia="Arial" w:hAnsi="Arial"/>
                <w:sz w:val="9"/>
                <w:szCs w:val="9"/>
                <w:i w:val="1"/>
                <w:iCs w:val="1"/>
                <w:color w:val="auto"/>
              </w:rPr>
              <w:t>5</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$5,826</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i w:val="1"/>
                <w:iCs w:val="1"/>
                <w:color w:val="auto"/>
              </w:rPr>
              <w:t>$5,373</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8.4 %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21,021</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i w:val="1"/>
                <w:iCs w:val="1"/>
                <w:color w:val="auto"/>
              </w:rPr>
              <w:t>18,936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11.0 %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2,421</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1,775</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36.4 %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9,449</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8,134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1,887</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648</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191.3 %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5,051</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2,094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141.2 %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22</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21</w:t>
            </w:r>
          </w:p>
        </w:tc>
        <w:tc>
          <w:tcPr>
            <w:tcW w:w="180" w:type="dxa"/>
            <w:vAlign w:val="bottom"/>
            <w:shd w:val="clear" w:color="auto" w:fill="D9D9D6"/>
          </w:tcPr>
          <w:p>
            <w:pPr>
              <w:spacing w:after="0"/>
              <w:rPr>
                <w:sz w:val="16"/>
                <w:szCs w:val="16"/>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63.8 %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(817)</w:t>
            </w:r>
          </w:p>
        </w:tc>
        <w:tc>
          <w:tcPr>
            <w:tcW w:w="20" w:type="dxa"/>
            <w:vAlign w:val="bottom"/>
            <w:tcBorders>
              <w:bottom w:val="single" w:sz="8" w:color="auto"/>
            </w:tcBorders>
            <w:shd w:val="clear" w:color="auto" w:fill="D9D9D6"/>
          </w:tcPr>
          <w:p>
            <w:pPr>
              <w:spacing w:after="0"/>
              <w:rPr>
                <w:sz w:val="16"/>
                <w:szCs w:val="16"/>
                <w:color w:val="auto"/>
              </w:rPr>
            </w:pPr>
          </w:p>
        </w:tc>
        <w:tc>
          <w:tcPr>
            <w:tcW w:w="90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(383)</w:t>
            </w:r>
          </w:p>
        </w:tc>
        <w:tc>
          <w:tcPr>
            <w:tcW w:w="180" w:type="dxa"/>
            <w:vAlign w:val="bottom"/>
            <w:tcBorders>
              <w:bottom w:val="single" w:sz="8" w:color="auto"/>
            </w:tcBorders>
            <w:shd w:val="clear" w:color="auto" w:fill="D9D9D6"/>
          </w:tcPr>
          <w:p>
            <w:pPr>
              <w:spacing w:after="0"/>
              <w:rPr>
                <w:sz w:val="16"/>
                <w:szCs w:val="16"/>
                <w:color w:val="auto"/>
              </w:rPr>
            </w:pPr>
          </w:p>
        </w:tc>
        <w:tc>
          <w:tcPr>
            <w:tcW w:w="6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(113.5</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260" w:type="dxa"/>
            <w:vAlign w:val="bottom"/>
            <w:tcBorders>
              <w:bottom w:val="single" w:sz="8" w:color="D9D9D6"/>
              <w:right w:val="single" w:sz="8" w:color="97999B"/>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(3,048)</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(2,006)</w:t>
            </w:r>
          </w:p>
        </w:tc>
        <w:tc>
          <w:tcPr>
            <w:tcW w:w="10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(51.9 %)</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$9,338</w:t>
            </w:r>
          </w:p>
        </w:tc>
        <w:tc>
          <w:tcPr>
            <w:tcW w:w="2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$7,434</w:t>
            </w:r>
          </w:p>
        </w:tc>
        <w:tc>
          <w:tcPr>
            <w:tcW w:w="180" w:type="dxa"/>
            <w:vAlign w:val="bottom"/>
            <w:shd w:val="clear" w:color="auto" w:fill="D9D9D6"/>
          </w:tcPr>
          <w:p>
            <w:pPr>
              <w:spacing w:after="0"/>
              <w:rPr>
                <w:sz w:val="15"/>
                <w:szCs w:val="15"/>
                <w:color w:val="auto"/>
              </w:rPr>
            </w:pPr>
          </w:p>
        </w:tc>
        <w:tc>
          <w:tcPr>
            <w:tcW w:w="6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25.6</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260" w:type="dxa"/>
            <w:vAlign w:val="bottom"/>
            <w:tcBorders>
              <w:right w:val="single" w:sz="8" w:color="97999B"/>
            </w:tcBorders>
            <w:shd w:val="clear" w:color="auto" w:fill="D9D9D6"/>
          </w:tcPr>
          <w:p>
            <w:pPr>
              <w:spacing w:after="0"/>
              <w:rPr>
                <w:sz w:val="15"/>
                <w:szCs w:val="15"/>
                <w:color w:val="auto"/>
              </w:rPr>
            </w:pPr>
          </w:p>
        </w:tc>
        <w:tc>
          <w:tcPr>
            <w:tcW w:w="10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$34,319</w:t>
            </w:r>
          </w:p>
        </w:tc>
        <w:tc>
          <w:tcPr>
            <w:tcW w:w="2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$27,211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26.1 %</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60" w:type="dxa"/>
            <w:vAlign w:val="bottom"/>
            <w:tcBorders>
              <w:right w:val="single" w:sz="8" w:color="D9D9D6"/>
            </w:tcBorders>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60" w:type="dxa"/>
            <w:vAlign w:val="bottom"/>
            <w:tcBorders>
              <w:right w:val="single" w:sz="8" w:color="97999B"/>
            </w:tcBorders>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$721</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$1,424</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(49.3 %)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$4,569</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$5,574</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(18.0 %)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51</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78</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(33.8 %)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884</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1,041</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674</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3</w:t>
            </w:r>
          </w:p>
        </w:tc>
        <w:tc>
          <w:tcPr>
            <w:tcW w:w="18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1,267</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(477)</w:t>
            </w:r>
          </w:p>
        </w:tc>
        <w:tc>
          <w:tcPr>
            <w:tcW w:w="540" w:type="dxa"/>
            <w:vAlign w:val="bottom"/>
            <w:shd w:val="clear" w:color="auto" w:fill="D9D9D6"/>
          </w:tcPr>
          <w:p>
            <w:pPr>
              <w:spacing w:after="0"/>
              <w:rPr>
                <w:sz w:val="16"/>
                <w:szCs w:val="16"/>
                <w:color w:val="auto"/>
              </w:rPr>
            </w:pPr>
          </w:p>
        </w:tc>
        <w:tc>
          <w:tcPr>
            <w:tcW w:w="64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(197)</w:t>
            </w:r>
          </w:p>
        </w:tc>
        <w:tc>
          <w:tcPr>
            <w:tcW w:w="20" w:type="dxa"/>
            <w:vAlign w:val="bottom"/>
            <w:shd w:val="clear" w:color="auto" w:fill="D9D9D6"/>
          </w:tcPr>
          <w:p>
            <w:pPr>
              <w:spacing w:after="0"/>
              <w:rPr>
                <w:sz w:val="16"/>
                <w:szCs w:val="16"/>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(133)</w:t>
            </w:r>
          </w:p>
        </w:tc>
        <w:tc>
          <w:tcPr>
            <w:tcW w:w="180" w:type="dxa"/>
            <w:vAlign w:val="bottom"/>
            <w:shd w:val="clear" w:color="auto" w:fill="D9D9D6"/>
          </w:tcPr>
          <w:p>
            <w:pPr>
              <w:spacing w:after="0"/>
              <w:rPr>
                <w:sz w:val="16"/>
                <w:szCs w:val="16"/>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(48.7 %)</w:t>
            </w:r>
          </w:p>
        </w:tc>
        <w:tc>
          <w:tcPr>
            <w:tcW w:w="20" w:type="dxa"/>
            <w:vAlign w:val="bottom"/>
            <w:shd w:val="clear" w:color="auto" w:fill="D9D9D6"/>
          </w:tcPr>
          <w:p>
            <w:pPr>
              <w:spacing w:after="0"/>
              <w:rPr>
                <w:sz w:val="16"/>
                <w:szCs w:val="16"/>
                <w:color w:val="auto"/>
              </w:rPr>
            </w:pPr>
          </w:p>
        </w:tc>
        <w:tc>
          <w:tcPr>
            <w:tcW w:w="260" w:type="dxa"/>
            <w:vAlign w:val="bottom"/>
            <w:tcBorders>
              <w:right w:val="single" w:sz="8" w:color="97999B"/>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(840)</w:t>
            </w:r>
          </w:p>
        </w:tc>
        <w:tc>
          <w:tcPr>
            <w:tcW w:w="20" w:type="dxa"/>
            <w:vAlign w:val="bottom"/>
            <w:shd w:val="clear" w:color="auto" w:fill="D9D9D6"/>
          </w:tcPr>
          <w:p>
            <w:pPr>
              <w:spacing w:after="0"/>
              <w:rPr>
                <w:sz w:val="16"/>
                <w:szCs w:val="16"/>
                <w:color w:val="auto"/>
              </w:rPr>
            </w:pPr>
          </w:p>
        </w:tc>
        <w:tc>
          <w:tcPr>
            <w:tcW w:w="88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(563)</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(49.3 %)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4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shd w:val="clear" w:color="auto" w:fill="D9D9D6"/>
          </w:tcPr>
          <w:p>
            <w:pPr>
              <w:spacing w:after="0"/>
              <w:rPr>
                <w:sz w:val="16"/>
                <w:szCs w:val="16"/>
                <w:color w:val="auto"/>
              </w:rPr>
            </w:pPr>
          </w:p>
        </w:tc>
        <w:tc>
          <w:tcPr>
            <w:tcW w:w="900" w:type="dxa"/>
            <w:vAlign w:val="bottom"/>
            <w:tcBorders>
              <w:bottom w:val="single" w:sz="8" w:color="auto"/>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shd w:val="clear" w:color="auto" w:fill="D9D9D6"/>
          </w:tcPr>
          <w:p>
            <w:pPr>
              <w:spacing w:after="0"/>
              <w:rPr>
                <w:sz w:val="16"/>
                <w:szCs w:val="16"/>
                <w:color w:val="auto"/>
              </w:rPr>
            </w:pPr>
          </w:p>
        </w:tc>
        <w:tc>
          <w:tcPr>
            <w:tcW w:w="300" w:type="dxa"/>
            <w:vAlign w:val="bottom"/>
            <w:tcBorders>
              <w:bottom w:val="single" w:sz="8" w:color="auto"/>
            </w:tcBorders>
            <w:shd w:val="clear" w:color="auto" w:fill="D9D9D6"/>
          </w:tcPr>
          <w:p>
            <w:pPr>
              <w:spacing w:after="0"/>
              <w:rPr>
                <w:sz w:val="16"/>
                <w:szCs w:val="16"/>
                <w:color w:val="auto"/>
              </w:rPr>
            </w:pPr>
          </w:p>
        </w:tc>
        <w:tc>
          <w:tcPr>
            <w:tcW w:w="5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NM</w:t>
            </w:r>
          </w:p>
        </w:tc>
        <w:tc>
          <w:tcPr>
            <w:tcW w:w="260" w:type="dxa"/>
            <w:vAlign w:val="bottom"/>
            <w:tcBorders>
              <w:bottom w:val="single" w:sz="8" w:color="D9D9D6"/>
              <w:right w:val="single" w:sz="8" w:color="97999B"/>
            </w:tcBorders>
            <w:shd w:val="clear" w:color="auto" w:fill="D9D9D6"/>
          </w:tcPr>
          <w:p>
            <w:pPr>
              <w:spacing w:after="0"/>
              <w:rPr>
                <w:sz w:val="16"/>
                <w:szCs w:val="16"/>
                <w:color w:val="auto"/>
              </w:rPr>
            </w:pPr>
          </w:p>
        </w:tc>
        <w:tc>
          <w:tcPr>
            <w:tcW w:w="2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(205)</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(220)</w:t>
            </w: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6.5</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$1,282</w:t>
            </w:r>
          </w:p>
        </w:tc>
        <w:tc>
          <w:tcPr>
            <w:tcW w:w="2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$1,376</w:t>
            </w:r>
          </w:p>
        </w:tc>
        <w:tc>
          <w:tcPr>
            <w:tcW w:w="180" w:type="dxa"/>
            <w:vAlign w:val="bottom"/>
            <w:shd w:val="clear" w:color="auto" w:fill="D9D9D6"/>
          </w:tcPr>
          <w:p>
            <w:pPr>
              <w:spacing w:after="0"/>
              <w:rPr>
                <w:sz w:val="15"/>
                <w:szCs w:val="15"/>
                <w:color w:val="auto"/>
              </w:rPr>
            </w:pPr>
          </w:p>
        </w:tc>
        <w:tc>
          <w:tcPr>
            <w:tcW w:w="8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(6.8 %)</w:t>
            </w:r>
          </w:p>
        </w:tc>
        <w:tc>
          <w:tcPr>
            <w:tcW w:w="20" w:type="dxa"/>
            <w:vAlign w:val="bottom"/>
            <w:shd w:val="clear" w:color="auto" w:fill="D9D9D6"/>
          </w:tcPr>
          <w:p>
            <w:pPr>
              <w:spacing w:after="0"/>
              <w:rPr>
                <w:sz w:val="15"/>
                <w:szCs w:val="15"/>
                <w:color w:val="auto"/>
              </w:rPr>
            </w:pPr>
          </w:p>
        </w:tc>
        <w:tc>
          <w:tcPr>
            <w:tcW w:w="260" w:type="dxa"/>
            <w:vAlign w:val="bottom"/>
            <w:tcBorders>
              <w:right w:val="single" w:sz="8" w:color="97999B"/>
            </w:tcBorders>
            <w:shd w:val="clear" w:color="auto" w:fill="D9D9D6"/>
          </w:tcPr>
          <w:p>
            <w:pPr>
              <w:spacing w:after="0"/>
              <w:rPr>
                <w:sz w:val="15"/>
                <w:szCs w:val="15"/>
                <w:color w:val="auto"/>
              </w:rPr>
            </w:pPr>
          </w:p>
        </w:tc>
        <w:tc>
          <w:tcPr>
            <w:tcW w:w="2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$5,675</w:t>
            </w:r>
          </w:p>
        </w:tc>
        <w:tc>
          <w:tcPr>
            <w:tcW w:w="2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$5,355</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6.0</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492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2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60" w:type="dxa"/>
            <w:vAlign w:val="bottom"/>
            <w:tcBorders>
              <w:right w:val="single" w:sz="8" w:color="D9D9D6"/>
            </w:tcBorders>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60" w:type="dxa"/>
            <w:vAlign w:val="bottom"/>
            <w:tcBorders>
              <w:right w:val="single" w:sz="8" w:color="D9D9D6"/>
            </w:tcBorders>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5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49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60" w:type="dxa"/>
            <w:vAlign w:val="bottom"/>
            <w:tcBorders>
              <w:right w:val="single" w:sz="8" w:color="D9D9D6"/>
            </w:tcBorders>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60" w:type="dxa"/>
            <w:vAlign w:val="bottom"/>
            <w:tcBorders>
              <w:right w:val="single" w:sz="8" w:color="D9D9D6"/>
            </w:tcBorders>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Beginning in the first quarter of 2021, the operations of Peacock, which were previously reported in Corporate and Other, are now included with NBCUniversal results and the operations of NBCUniversal are now presented in three reportable business segments: Media, Studios and Theme Parks. Prior periods have been adjusted to reflect this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25.6% to $9.3 billion in the fourth quarter of 2021.</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6.8% to $1.3 billion.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2021, NBCUniversal revenue increased 26.1% to $34.3 billion compared to 2020. Adjusted EBITDA increased 6.0% to $5.7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Media revenue increased 8.4% to $5.8 billion in the fourth quarter of 2021, primarily reflecting higher distribution revenue and advertising revenue. Distribution revenue increased 11.6%, driven by contractual rate increases in the current period and increases at Peacock, partially offset by a decline in subscribers at our networks. Advertising revenue increased 6.0%, reflecting higher pricing and additional Peacock sales, partially offset by a decline in ratings and lower political advertising. Adjusted EBITDA decreased 49.3% to $721 million in the fourth quarter of 2021, reflecting higher operating expenses, which more than offset higher revenue. The increase in operating expenses was primarily driven by higher programming and production expenses, reflecting higher programming costs at Peacock, higher sports programming costs compared to the prior year period when there was a lower number of sporting events resulting from the delayed start of some professional sports seasons due to COVID-19, and higher entertainment programming costs compared to the prior year period when there was a delay in the production and airing of new television programming due to COVID-19. Media results include $335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$559 million related to Peacock, compared to $71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$254 million in the prior year period.</w:t>
      </w:r>
    </w:p>
    <w:p>
      <w:pPr>
        <w:spacing w:after="0" w:line="24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twelve months ended December 31, 2021, revenue from the Media segment increased 20.3% to $22.8 billion compared to 2020, reflecting higher advertising revenue, distribution revenue, and other revenue. Excluding $1.8 billion of revenue associated with the broadcast of the Tokyo Olympics in the third quarter of 2021</w:t>
      </w:r>
      <w:r>
        <w:rPr>
          <w:rFonts w:ascii="Arial" w:cs="Arial" w:eastAsia="Arial" w:hAnsi="Arial"/>
          <w:sz w:val="23"/>
          <w:szCs w:val="23"/>
          <w:color w:val="auto"/>
          <w:vertAlign w:val="superscript"/>
        </w:rPr>
        <w:t>5</w:t>
      </w:r>
      <w:r>
        <w:rPr>
          <w:rFonts w:ascii="Arial" w:cs="Arial" w:eastAsia="Arial" w:hAnsi="Arial"/>
          <w:sz w:val="18"/>
          <w:szCs w:val="18"/>
          <w:color w:val="auto"/>
        </w:rPr>
        <w:t>, revenue increased 11.0%. Adjusted EBITDA decreased 18.0% to $4.6 billion compared to 2020, reflecting higher operating expenses, which more than offset higher revenue. The increase in operating expenses was primarily driven by higher programming and production expenses, primarily reflecting higher sports programming costs due to the broadcast of the Tokyo Olympics, higher programming costs at Peacock, and an increase in the number of other sporting events compared to 2020 when sports were postponed due to COVID-19. Media results include $778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$1.7 billion related to Peacock, compared to $118 million of revenue and an Adjusted EBITDA</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loss of $663 million in 2020.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Studios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Studios revenue increased 36.4% to $2.4 billion in the fourth quarter of 2021, reflecting higher content licensing revenue, home entertainment and other revenue, and theatrical revenue. Content licensing revenue increased 33.7%, driven by television content licensing. Home entertainment and other revenue increased 30.4%, reflecting the success of </w:t>
      </w:r>
      <w:r>
        <w:rPr>
          <w:rFonts w:ascii="Arial" w:cs="Arial" w:eastAsia="Arial" w:hAnsi="Arial"/>
          <w:sz w:val="18"/>
          <w:szCs w:val="18"/>
          <w:i w:val="1"/>
          <w:iCs w:val="1"/>
          <w:color w:val="auto"/>
        </w:rPr>
        <w:t>F9</w:t>
      </w:r>
      <w:r>
        <w:rPr>
          <w:rFonts w:ascii="Arial" w:cs="Arial" w:eastAsia="Arial" w:hAnsi="Arial"/>
          <w:sz w:val="18"/>
          <w:szCs w:val="18"/>
          <w:color w:val="auto"/>
        </w:rPr>
        <w:t xml:space="preserve"> and the return of stage plays, which were paused in 2020 due to COVID-19. Theatrical revenue increased by $80 million, primarily due to current year releases, </w:t>
      </w:r>
      <w:r>
        <w:rPr>
          <w:rFonts w:ascii="Arial" w:cs="Arial" w:eastAsia="Arial" w:hAnsi="Arial"/>
          <w:sz w:val="18"/>
          <w:szCs w:val="18"/>
          <w:i w:val="1"/>
          <w:iCs w:val="1"/>
          <w:color w:val="auto"/>
        </w:rPr>
        <w:t>Sing 2</w:t>
      </w:r>
      <w:r>
        <w:rPr>
          <w:rFonts w:ascii="Arial" w:cs="Arial" w:eastAsia="Arial" w:hAnsi="Arial"/>
          <w:sz w:val="18"/>
          <w:szCs w:val="18"/>
          <w:color w:val="auto"/>
        </w:rPr>
        <w:t xml:space="preserve"> and </w:t>
      </w:r>
      <w:r>
        <w:rPr>
          <w:rFonts w:ascii="Arial" w:cs="Arial" w:eastAsia="Arial" w:hAnsi="Arial"/>
          <w:sz w:val="18"/>
          <w:szCs w:val="18"/>
          <w:i w:val="1"/>
          <w:iCs w:val="1"/>
          <w:color w:val="auto"/>
        </w:rPr>
        <w:t>Halloween Kills</w:t>
      </w:r>
      <w:r>
        <w:rPr>
          <w:rFonts w:ascii="Arial" w:cs="Arial" w:eastAsia="Arial" w:hAnsi="Arial"/>
          <w:sz w:val="18"/>
          <w:szCs w:val="18"/>
          <w:color w:val="auto"/>
        </w:rPr>
        <w:t>, and the impact of theater closures in the prior year period. Adjusted EBITDA decreased 33.8% to $51 million in the fourth quarter of 2021, reflecting higher operating expenses, which more than offset higher revenue. The increase in operating expenses was driven by higher programming and production expenses, reflecting higher amortization of television production costs in the current year period compared to the prior year period when production was impacted due to COVID-19, as well as an increase in advertising, marketing and promotion expenses due to a higher number of theatrical releases in the current period.</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twelve months ended December 31, 2021, revenue from the Studios segment increased 16.2% to $9.4 billion compared to 2020, primarily reflecting higher content licensing revenue and theatrical revenue. Adjusted EBITDA decreased 15.1% to $884 million compared to 2020, reflecting higher operating expenses, which more than offset higher revenue. The increase in operating expenses was driven by higher programming and production expenses, reflecting higher amortization of television production costs compared to 2020 when production was impacted due to COVID-19, as well as an increase in advertising, marketing and promotion expenses due to a higher number of theatrical releases compared to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increased $1.2 billion to $1.9 billion in the fourth quarter of 2021, reflecting improved operating conditions compared to the prior year period, when each of our theme parks in the U.S. and Japan was either operating at limited capacity or closed as a result of COVID-19, and also the opening of Universal Beijing Resort in September 2021. Theme Parks Adjusted EBITDA was $674 million in the fourth quarter of 2021, compared to $3 million in the prior year period.</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twelve months ended December 31, 2021, revenue from the Theme Parks segment increased $ 3.0 billion to $5.1 billion compared to 2020, reflecting improved operating conditions compared to 2020, when each of our theme parks in the U.S. and Japan was either closed or operating at limited capacity for the majority of the period as a result of COVID-19, and also the opening of Universal Beijing Resort in September 2021. Theme Parks Adjusted EBITDA was $1.3 billion, which included pre-opening costs related to Universal Beijing Resort, compared to a $477 million Adjusted EBITDA loss in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in the fourth quarter of 2021 was $197 million, compared to a loss of $133 million in the prior year period.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2021, Headquarters and Other Adjusted EBITDA loss was $840 million, compared to a loss of $563 million in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Revenue eliminations in the fourth quarter of 2021 were $ 817 million, compared to $383 million in the prior year period, and Adjusted EBITDA eliminations were a benefit of $33 million, compared to a benefit of $4 million in the prior year period.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2021, revenue eliminations were $3.0 billion, compared to $2.0 billion in 2020, and Adjusted EBITDA eliminations were $205 million, compared to $220 million in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28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620" w:type="dxa"/>
            <w:vAlign w:val="bottom"/>
            <w:tcBorders>
              <w:bottom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3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right w:val="single" w:sz="8" w:color="D9D9D6"/>
            </w:tcBorders>
            <w:shd w:val="clear" w:color="auto" w:fill="D9D9D6"/>
          </w:tcPr>
          <w:p>
            <w:pPr>
              <w:spacing w:after="0"/>
              <w:rPr>
                <w:sz w:val="17"/>
                <w:szCs w:val="17"/>
                <w:color w:val="auto"/>
              </w:rPr>
            </w:pPr>
          </w:p>
        </w:tc>
        <w:tc>
          <w:tcPr>
            <w:tcW w:w="100" w:type="dxa"/>
            <w:vAlign w:val="bottom"/>
            <w:tcBorders>
              <w:bottom w:val="single" w:sz="8" w:color="D9D9D6"/>
            </w:tcBorders>
            <w:shd w:val="clear" w:color="auto" w:fill="D9D9D6"/>
          </w:tcPr>
          <w:p>
            <w:pPr>
              <w:spacing w:after="0"/>
              <w:rPr>
                <w:sz w:val="17"/>
                <w:szCs w:val="17"/>
                <w:color w:val="auto"/>
              </w:rPr>
            </w:pPr>
          </w:p>
        </w:tc>
        <w:tc>
          <w:tcPr>
            <w:tcW w:w="6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46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220" w:type="dxa"/>
            <w:vAlign w:val="bottom"/>
            <w:tcBorders>
              <w:bottom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spacing w:after="0"/>
              <w:rPr>
                <w:sz w:val="16"/>
                <w:szCs w:val="16"/>
                <w:color w:val="auto"/>
              </w:rPr>
            </w:pP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6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1280" w:type="dxa"/>
            <w:vAlign w:val="bottom"/>
            <w:gridSpan w:val="7"/>
            <w:shd w:val="clear" w:color="auto" w:fill="D9D9D6"/>
          </w:tcPr>
          <w:p>
            <w:pPr>
              <w:spacing w:after="0"/>
              <w:rPr>
                <w:sz w:val="20"/>
                <w:szCs w:val="20"/>
                <w:color w:val="auto"/>
              </w:rPr>
            </w:pPr>
            <w:r>
              <w:rPr>
                <w:rFonts w:ascii="Arial" w:cs="Arial" w:eastAsia="Arial" w:hAnsi="Arial"/>
                <w:sz w:val="14"/>
                <w:szCs w:val="14"/>
                <w:color w:val="auto"/>
              </w:rPr>
              <w:t>4th Quarter</w:t>
            </w:r>
          </w:p>
        </w:tc>
        <w:tc>
          <w:tcPr>
            <w:tcW w:w="4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6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12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Year to Date</w:t>
            </w: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20" w:type="dxa"/>
            <w:vAlign w:val="bottom"/>
            <w:tcBorders>
              <w:top w:val="single" w:sz="8" w:color="D9D9D6"/>
            </w:tcBorders>
            <w:shd w:val="clear" w:color="auto" w:fill="D9D9D6"/>
          </w:tcPr>
          <w:p>
            <w:pPr>
              <w:spacing w:after="0"/>
              <w:rPr>
                <w:sz w:val="20"/>
                <w:szCs w:val="20"/>
                <w:color w:val="auto"/>
              </w:rPr>
            </w:pPr>
          </w:p>
        </w:tc>
        <w:tc>
          <w:tcPr>
            <w:tcW w:w="2840" w:type="dxa"/>
            <w:vAlign w:val="bottom"/>
            <w:tcBorders>
              <w:top w:val="single" w:sz="8" w:color="D9D9D6"/>
            </w:tcBorders>
            <w:shd w:val="clear" w:color="auto" w:fill="D9D9D6"/>
          </w:tcPr>
          <w:p>
            <w:pPr>
              <w:spacing w:after="0"/>
              <w:rPr>
                <w:sz w:val="20"/>
                <w:szCs w:val="20"/>
                <w:color w:val="auto"/>
              </w:rPr>
            </w:pPr>
          </w:p>
        </w:tc>
        <w:tc>
          <w:tcPr>
            <w:tcW w:w="60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620" w:type="dxa"/>
            <w:vAlign w:val="bottom"/>
            <w:tcBorders>
              <w:top w:val="single" w:sz="8" w:color="D9D9D6"/>
            </w:tcBorders>
            <w:shd w:val="clear" w:color="auto" w:fill="D9D9D6"/>
          </w:tcPr>
          <w:p>
            <w:pPr>
              <w:spacing w:after="0"/>
              <w:rPr>
                <w:sz w:val="20"/>
                <w:szCs w:val="20"/>
                <w:color w:val="auto"/>
              </w:rPr>
            </w:pPr>
          </w:p>
        </w:tc>
        <w:tc>
          <w:tcPr>
            <w:tcW w:w="40" w:type="dxa"/>
            <w:vAlign w:val="bottom"/>
            <w:tcBorders>
              <w:top w:val="single" w:sz="8" w:color="D9D9D6"/>
            </w:tcBorders>
            <w:shd w:val="clear" w:color="auto" w:fill="D9D9D6"/>
          </w:tcPr>
          <w:p>
            <w:pPr>
              <w:spacing w:after="0"/>
              <w:rPr>
                <w:sz w:val="20"/>
                <w:szCs w:val="20"/>
                <w:color w:val="auto"/>
              </w:rPr>
            </w:pPr>
          </w:p>
        </w:tc>
        <w:tc>
          <w:tcPr>
            <w:tcW w:w="28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20" w:type="dxa"/>
            <w:vAlign w:val="bottom"/>
            <w:tcBorders>
              <w:top w:val="single" w:sz="8" w:color="auto"/>
            </w:tcBorders>
            <w:shd w:val="clear" w:color="auto" w:fill="D9D9D6"/>
          </w:tcPr>
          <w:p>
            <w:pPr>
              <w:spacing w:after="0"/>
              <w:rPr>
                <w:sz w:val="20"/>
                <w:szCs w:val="20"/>
                <w:color w:val="auto"/>
              </w:rPr>
            </w:pPr>
          </w:p>
        </w:tc>
        <w:tc>
          <w:tcPr>
            <w:tcW w:w="4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18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060" w:type="dxa"/>
            <w:vAlign w:val="bottom"/>
            <w:tcBorders>
              <w:top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tcBorders>
              <w:top w:val="single" w:sz="8" w:color="D9D9D6"/>
              <w:right w:val="single" w:sz="8" w:color="97999B"/>
            </w:tcBorders>
            <w:shd w:val="clear" w:color="auto" w:fill="D9D9D6"/>
          </w:tcPr>
          <w:p>
            <w:pPr>
              <w:spacing w:after="0"/>
              <w:rPr>
                <w:sz w:val="20"/>
                <w:szCs w:val="20"/>
                <w:color w:val="auto"/>
              </w:rPr>
            </w:pPr>
          </w:p>
        </w:tc>
        <w:tc>
          <w:tcPr>
            <w:tcW w:w="100" w:type="dxa"/>
            <w:vAlign w:val="bottom"/>
            <w:tcBorders>
              <w:top w:val="single" w:sz="8" w:color="D9D9D6"/>
            </w:tcBorders>
            <w:shd w:val="clear" w:color="auto" w:fill="D9D9D6"/>
          </w:tcPr>
          <w:p>
            <w:pPr>
              <w:spacing w:after="0"/>
              <w:rPr>
                <w:sz w:val="20"/>
                <w:szCs w:val="20"/>
                <w:color w:val="auto"/>
              </w:rPr>
            </w:pPr>
          </w:p>
        </w:tc>
        <w:tc>
          <w:tcPr>
            <w:tcW w:w="64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42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auto"/>
            </w:tcBorders>
            <w:shd w:val="clear" w:color="auto" w:fill="D9D9D6"/>
          </w:tcPr>
          <w:p>
            <w:pPr>
              <w:spacing w:after="0"/>
              <w:rPr>
                <w:sz w:val="20"/>
                <w:szCs w:val="20"/>
                <w:color w:val="auto"/>
              </w:rPr>
            </w:pPr>
          </w:p>
        </w:tc>
        <w:tc>
          <w:tcPr>
            <w:tcW w:w="4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500" w:type="dxa"/>
            <w:vAlign w:val="bottom"/>
            <w:tcBorders>
              <w:top w:val="single" w:sz="8" w:color="D9D9D6"/>
            </w:tcBorders>
            <w:shd w:val="clear" w:color="auto" w:fill="D9D9D6"/>
          </w:tcPr>
          <w:p>
            <w:pPr>
              <w:spacing w:after="0"/>
              <w:rPr>
                <w:sz w:val="20"/>
                <w:szCs w:val="20"/>
                <w:color w:val="auto"/>
              </w:rPr>
            </w:pPr>
          </w:p>
        </w:tc>
        <w:tc>
          <w:tcPr>
            <w:tcW w:w="220" w:type="dxa"/>
            <w:vAlign w:val="bottom"/>
            <w:tcBorders>
              <w:top w:val="single" w:sz="8" w:color="D9D9D6"/>
            </w:tcBorders>
            <w:shd w:val="clear" w:color="auto" w:fill="D9D9D6"/>
          </w:tcPr>
          <w:p>
            <w:pPr>
              <w:spacing w:after="0"/>
              <w:rPr>
                <w:sz w:val="20"/>
                <w:szCs w:val="20"/>
                <w:color w:val="auto"/>
              </w:rPr>
            </w:pPr>
          </w:p>
        </w:tc>
        <w:tc>
          <w:tcPr>
            <w:tcW w:w="980" w:type="dxa"/>
            <w:vAlign w:val="bottom"/>
            <w:tcBorders>
              <w:top w:val="single" w:sz="8" w:color="D9D9D6"/>
            </w:tcBorders>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2840" w:type="dxa"/>
            <w:vAlign w:val="bottom"/>
            <w:shd w:val="clear" w:color="auto" w:fill="D9D9D6"/>
          </w:tcPr>
          <w:p>
            <w:pPr>
              <w:spacing w:after="0"/>
              <w:rPr>
                <w:sz w:val="11"/>
                <w:szCs w:val="11"/>
                <w:color w:val="auto"/>
              </w:rPr>
            </w:pPr>
          </w:p>
        </w:tc>
        <w:tc>
          <w:tcPr>
            <w:tcW w:w="9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420" w:type="dxa"/>
            <w:vAlign w:val="bottom"/>
            <w:shd w:val="clear" w:color="auto" w:fill="D9D9D6"/>
          </w:tcPr>
          <w:p>
            <w:pPr>
              <w:spacing w:after="0"/>
              <w:rPr>
                <w:sz w:val="11"/>
                <w:szCs w:val="11"/>
                <w:color w:val="auto"/>
              </w:rPr>
            </w:pPr>
          </w:p>
        </w:tc>
        <w:tc>
          <w:tcPr>
            <w:tcW w:w="40" w:type="dxa"/>
            <w:vAlign w:val="bottom"/>
            <w:shd w:val="clear" w:color="auto" w:fill="D9D9D6"/>
          </w:tcPr>
          <w:p>
            <w:pPr>
              <w:spacing w:after="0"/>
              <w:rPr>
                <w:sz w:val="11"/>
                <w:szCs w:val="11"/>
                <w:color w:val="auto"/>
              </w:rPr>
            </w:pPr>
          </w:p>
        </w:tc>
        <w:tc>
          <w:tcPr>
            <w:tcW w:w="520" w:type="dxa"/>
            <w:vAlign w:val="bottom"/>
            <w:gridSpan w:val="3"/>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1060" w:type="dxa"/>
            <w:vAlign w:val="bottom"/>
            <w:gridSpan w:val="4"/>
            <w:shd w:val="clear" w:color="auto" w:fill="D9D9D6"/>
          </w:tcPr>
          <w:p>
            <w:pPr>
              <w:jc w:val="right"/>
              <w:ind w:right="60"/>
              <w:spacing w:after="0" w:line="135" w:lineRule="exact"/>
              <w:rPr>
                <w:sz w:val="20"/>
                <w:szCs w:val="20"/>
                <w:color w:val="auto"/>
              </w:rPr>
            </w:pPr>
            <w:r>
              <w:rPr>
                <w:rFonts w:ascii="Arial" w:cs="Arial" w:eastAsia="Arial" w:hAnsi="Arial"/>
                <w:sz w:val="14"/>
                <w:szCs w:val="14"/>
                <w:color w:val="auto"/>
              </w:rPr>
              <w:t>Currency</w:t>
            </w:r>
          </w:p>
        </w:tc>
        <w:tc>
          <w:tcPr>
            <w:tcW w:w="140" w:type="dxa"/>
            <w:vAlign w:val="bottom"/>
            <w:tcBorders>
              <w:right w:val="single" w:sz="8" w:color="97999B"/>
            </w:tcBorders>
            <w:shd w:val="clear" w:color="auto" w:fill="D9D9D6"/>
          </w:tcPr>
          <w:p>
            <w:pPr>
              <w:spacing w:after="0"/>
              <w:rPr>
                <w:sz w:val="11"/>
                <w:szCs w:val="11"/>
                <w:color w:val="auto"/>
              </w:rPr>
            </w:pPr>
          </w:p>
        </w:tc>
        <w:tc>
          <w:tcPr>
            <w:tcW w:w="1280" w:type="dxa"/>
            <w:vAlign w:val="bottom"/>
            <w:gridSpan w:val="4"/>
            <w:vMerge w:val="restart"/>
            <w:shd w:val="clear" w:color="auto" w:fill="D9D9D6"/>
          </w:tcPr>
          <w:p>
            <w:pPr>
              <w:jc w:val="right"/>
              <w:ind w:right="220"/>
              <w:spacing w:after="0"/>
              <w:rPr>
                <w:sz w:val="20"/>
                <w:szCs w:val="20"/>
                <w:color w:val="auto"/>
              </w:rPr>
            </w:pPr>
            <w:r>
              <w:rPr>
                <w:rFonts w:ascii="Arial" w:cs="Arial" w:eastAsia="Arial" w:hAnsi="Arial"/>
                <w:sz w:val="14"/>
                <w:szCs w:val="14"/>
                <w:color w:val="auto"/>
              </w:rPr>
              <w:t>2021</w:t>
            </w:r>
          </w:p>
        </w:tc>
        <w:tc>
          <w:tcPr>
            <w:tcW w:w="1200" w:type="dxa"/>
            <w:vAlign w:val="bottom"/>
            <w:gridSpan w:val="3"/>
            <w:vMerge w:val="restart"/>
            <w:shd w:val="clear" w:color="auto" w:fill="D9D9D6"/>
          </w:tcPr>
          <w:p>
            <w:pPr>
              <w:jc w:val="right"/>
              <w:ind w:right="460"/>
              <w:spacing w:after="0"/>
              <w:rPr>
                <w:sz w:val="20"/>
                <w:szCs w:val="20"/>
                <w:color w:val="auto"/>
              </w:rPr>
            </w:pPr>
            <w:r>
              <w:rPr>
                <w:rFonts w:ascii="Arial" w:cs="Arial" w:eastAsia="Arial" w:hAnsi="Arial"/>
                <w:sz w:val="14"/>
                <w:szCs w:val="14"/>
                <w:color w:val="auto"/>
              </w:rPr>
              <w:t>2020</w:t>
            </w:r>
          </w:p>
        </w:tc>
        <w:tc>
          <w:tcPr>
            <w:tcW w:w="20" w:type="dxa"/>
            <w:vAlign w:val="bottom"/>
            <w:shd w:val="clear" w:color="auto" w:fill="D9D9D6"/>
          </w:tcPr>
          <w:p>
            <w:pPr>
              <w:spacing w:after="0"/>
              <w:rPr>
                <w:sz w:val="11"/>
                <w:szCs w:val="11"/>
                <w:color w:val="auto"/>
              </w:rPr>
            </w:pPr>
          </w:p>
        </w:tc>
        <w:tc>
          <w:tcPr>
            <w:tcW w:w="72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Change</w:t>
            </w:r>
          </w:p>
        </w:tc>
        <w:tc>
          <w:tcPr>
            <w:tcW w:w="980" w:type="dxa"/>
            <w:vAlign w:val="bottom"/>
            <w:gridSpan w:val="4"/>
            <w:shd w:val="clear" w:color="auto" w:fill="D9D9D6"/>
          </w:tcPr>
          <w:p>
            <w:pPr>
              <w:jc w:val="right"/>
              <w:ind w:right="1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4"/>
        </w:trPr>
        <w:tc>
          <w:tcPr>
            <w:tcW w:w="120" w:type="dxa"/>
            <w:vAlign w:val="bottom"/>
            <w:shd w:val="clear" w:color="auto" w:fill="D9D9D6"/>
          </w:tcPr>
          <w:p>
            <w:pPr>
              <w:spacing w:after="0"/>
              <w:rPr>
                <w:sz w:val="12"/>
                <w:szCs w:val="12"/>
                <w:color w:val="auto"/>
              </w:rPr>
            </w:pPr>
          </w:p>
        </w:tc>
        <w:tc>
          <w:tcPr>
            <w:tcW w:w="28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40" w:type="dxa"/>
            <w:vAlign w:val="bottom"/>
            <w:gridSpan w:val="3"/>
            <w:vMerge w:val="continue"/>
            <w:shd w:val="clear" w:color="auto" w:fill="D9D9D6"/>
          </w:tcPr>
          <w:p>
            <w:pPr>
              <w:spacing w:after="0"/>
              <w:rPr>
                <w:sz w:val="12"/>
                <w:szCs w:val="12"/>
                <w:color w:val="auto"/>
              </w:rPr>
            </w:pPr>
          </w:p>
        </w:tc>
        <w:tc>
          <w:tcPr>
            <w:tcW w:w="960" w:type="dxa"/>
            <w:vAlign w:val="bottom"/>
            <w:gridSpan w:val="4"/>
            <w:vMerge w:val="continue"/>
            <w:shd w:val="clear" w:color="auto" w:fill="D9D9D6"/>
          </w:tcPr>
          <w:p>
            <w:pPr>
              <w:spacing w:after="0"/>
              <w:rPr>
                <w:sz w:val="12"/>
                <w:szCs w:val="12"/>
                <w:color w:val="auto"/>
              </w:rPr>
            </w:pPr>
          </w:p>
        </w:tc>
        <w:tc>
          <w:tcPr>
            <w:tcW w:w="420" w:type="dxa"/>
            <w:vAlign w:val="bottom"/>
            <w:shd w:val="clear" w:color="auto" w:fill="D9D9D6"/>
          </w:tcPr>
          <w:p>
            <w:pPr>
              <w:spacing w:after="0"/>
              <w:rPr>
                <w:sz w:val="12"/>
                <w:szCs w:val="12"/>
                <w:color w:val="auto"/>
              </w:rPr>
            </w:pPr>
          </w:p>
        </w:tc>
        <w:tc>
          <w:tcPr>
            <w:tcW w:w="40" w:type="dxa"/>
            <w:vAlign w:val="bottom"/>
            <w:shd w:val="clear" w:color="auto" w:fill="D9D9D6"/>
          </w:tcPr>
          <w:p>
            <w:pPr>
              <w:spacing w:after="0"/>
              <w:rPr>
                <w:sz w:val="12"/>
                <w:szCs w:val="12"/>
                <w:color w:val="auto"/>
              </w:rPr>
            </w:pPr>
          </w:p>
        </w:tc>
        <w:tc>
          <w:tcPr>
            <w:tcW w:w="520" w:type="dxa"/>
            <w:vAlign w:val="bottom"/>
            <w:gridSpan w:val="3"/>
            <w:vMerge w:val="continue"/>
            <w:shd w:val="clear" w:color="auto" w:fill="D9D9D6"/>
          </w:tcPr>
          <w:p>
            <w:pPr>
              <w:spacing w:after="0"/>
              <w:rPr>
                <w:sz w:val="12"/>
                <w:szCs w:val="12"/>
                <w:color w:val="auto"/>
              </w:rPr>
            </w:pPr>
          </w:p>
        </w:tc>
        <w:tc>
          <w:tcPr>
            <w:tcW w:w="1060" w:type="dxa"/>
            <w:vAlign w:val="bottom"/>
            <w:gridSpan w:val="4"/>
            <w:shd w:val="clear" w:color="auto" w:fill="D9D9D6"/>
          </w:tcPr>
          <w:p>
            <w:pPr>
              <w:jc w:val="right"/>
              <w:ind w:right="20"/>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8</w:t>
            </w:r>
          </w:p>
        </w:tc>
        <w:tc>
          <w:tcPr>
            <w:tcW w:w="140" w:type="dxa"/>
            <w:vAlign w:val="bottom"/>
            <w:tcBorders>
              <w:right w:val="single" w:sz="8" w:color="97999B"/>
            </w:tcBorders>
            <w:shd w:val="clear" w:color="auto" w:fill="D9D9D6"/>
          </w:tcPr>
          <w:p>
            <w:pPr>
              <w:spacing w:after="0"/>
              <w:rPr>
                <w:sz w:val="12"/>
                <w:szCs w:val="12"/>
                <w:color w:val="auto"/>
              </w:rPr>
            </w:pPr>
          </w:p>
        </w:tc>
        <w:tc>
          <w:tcPr>
            <w:tcW w:w="1280" w:type="dxa"/>
            <w:vAlign w:val="bottom"/>
            <w:gridSpan w:val="4"/>
            <w:vMerge w:val="continue"/>
            <w:shd w:val="clear" w:color="auto" w:fill="D9D9D6"/>
          </w:tcPr>
          <w:p>
            <w:pPr>
              <w:spacing w:after="0"/>
              <w:rPr>
                <w:sz w:val="12"/>
                <w:szCs w:val="12"/>
                <w:color w:val="auto"/>
              </w:rPr>
            </w:pPr>
          </w:p>
        </w:tc>
        <w:tc>
          <w:tcPr>
            <w:tcW w:w="1200" w:type="dxa"/>
            <w:vAlign w:val="bottom"/>
            <w:gridSpan w:val="3"/>
            <w:vMerge w:val="continue"/>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720" w:type="dxa"/>
            <w:vAlign w:val="bottom"/>
            <w:gridSpan w:val="2"/>
            <w:vMerge w:val="continue"/>
            <w:shd w:val="clear" w:color="auto" w:fill="D9D9D6"/>
          </w:tcPr>
          <w:p>
            <w:pPr>
              <w:spacing w:after="0"/>
              <w:rPr>
                <w:sz w:val="12"/>
                <w:szCs w:val="12"/>
                <w:color w:val="auto"/>
              </w:rPr>
            </w:pPr>
          </w:p>
        </w:tc>
        <w:tc>
          <w:tcPr>
            <w:tcW w:w="280" w:type="dxa"/>
            <w:vAlign w:val="bottom"/>
            <w:shd w:val="clear" w:color="auto" w:fill="D9D9D6"/>
          </w:tcPr>
          <w:p>
            <w:pPr>
              <w:spacing w:after="0"/>
              <w:rPr>
                <w:sz w:val="12"/>
                <w:szCs w:val="12"/>
                <w:color w:val="auto"/>
              </w:rPr>
            </w:pPr>
          </w:p>
        </w:tc>
        <w:tc>
          <w:tcPr>
            <w:tcW w:w="700" w:type="dxa"/>
            <w:vAlign w:val="bottom"/>
            <w:gridSpan w:val="3"/>
            <w:shd w:val="clear" w:color="auto" w:fill="D9D9D6"/>
          </w:tcPr>
          <w:p>
            <w:pPr>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u w:val="single" w:color="auto"/>
                <w:color w:val="auto"/>
              </w:rPr>
              <w:t>8</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2840" w:type="dxa"/>
            <w:vAlign w:val="bottom"/>
            <w:tcBorders>
              <w:top w:val="single" w:sz="8" w:color="D9D9D6"/>
            </w:tcBorders>
            <w:vMerge w:val="continue"/>
            <w:shd w:val="clear" w:color="auto" w:fill="D9D9D6"/>
          </w:tcPr>
          <w:p>
            <w:pPr>
              <w:spacing w:after="0"/>
              <w:rPr>
                <w:sz w:val="17"/>
                <w:szCs w:val="17"/>
                <w:color w:val="auto"/>
              </w:rPr>
            </w:pPr>
          </w:p>
        </w:tc>
        <w:tc>
          <w:tcPr>
            <w:tcW w:w="60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62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auto"/>
            </w:tcBorders>
            <w:shd w:val="clear" w:color="auto" w:fill="D9D9D6"/>
          </w:tcPr>
          <w:p>
            <w:pPr>
              <w:spacing w:after="0"/>
              <w:rPr>
                <w:sz w:val="17"/>
                <w:szCs w:val="17"/>
                <w:color w:val="auto"/>
              </w:rPr>
            </w:pPr>
          </w:p>
        </w:tc>
        <w:tc>
          <w:tcPr>
            <w:tcW w:w="2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8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auto"/>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right w:val="single" w:sz="8" w:color="97999B"/>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42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220" w:type="dxa"/>
            <w:vAlign w:val="bottom"/>
            <w:tcBorders>
              <w:top w:val="single" w:sz="8" w:color="D9D9D6"/>
            </w:tcBorders>
            <w:shd w:val="clear" w:color="auto" w:fill="D9D9D6"/>
          </w:tcPr>
          <w:p>
            <w:pPr>
              <w:spacing w:after="0"/>
              <w:rPr>
                <w:sz w:val="17"/>
                <w:szCs w:val="17"/>
                <w:color w:val="auto"/>
              </w:rPr>
            </w:pPr>
          </w:p>
        </w:tc>
        <w:tc>
          <w:tcPr>
            <w:tcW w:w="280" w:type="dxa"/>
            <w:vAlign w:val="bottom"/>
            <w:tcBorders>
              <w:top w:val="single" w:sz="8" w:color="D9D9D6"/>
            </w:tcBorders>
            <w:shd w:val="clear" w:color="auto" w:fill="D9D9D6"/>
          </w:tcPr>
          <w:p>
            <w:pPr>
              <w:spacing w:after="0"/>
              <w:rPr>
                <w:sz w:val="17"/>
                <w:szCs w:val="17"/>
                <w:color w:val="auto"/>
              </w:rPr>
            </w:pPr>
          </w:p>
        </w:tc>
        <w:tc>
          <w:tcPr>
            <w:tcW w:w="50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$4,040</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$4,077</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0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(1.0 %)</w:t>
            </w:r>
          </w:p>
        </w:tc>
        <w:tc>
          <w:tcPr>
            <w:tcW w:w="14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$16,455</w:t>
            </w:r>
          </w:p>
        </w:tc>
        <w:tc>
          <w:tcPr>
            <w:tcW w:w="1200" w:type="dxa"/>
            <w:vAlign w:val="bottom"/>
            <w:gridSpan w:val="3"/>
            <w:shd w:val="clear" w:color="auto" w:fill="D9D9D6"/>
          </w:tcPr>
          <w:p>
            <w:pPr>
              <w:jc w:val="right"/>
              <w:ind w:right="460"/>
              <w:spacing w:after="0"/>
              <w:rPr>
                <w:sz w:val="20"/>
                <w:szCs w:val="20"/>
                <w:color w:val="auto"/>
              </w:rPr>
            </w:pPr>
            <w:r>
              <w:rPr>
                <w:rFonts w:ascii="Arial" w:cs="Arial" w:eastAsia="Arial" w:hAnsi="Arial"/>
                <w:sz w:val="14"/>
                <w:szCs w:val="14"/>
                <w:color w:val="auto"/>
              </w:rPr>
              <w:t>$15,223</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8.1 %</w:t>
            </w:r>
          </w:p>
        </w:tc>
        <w:tc>
          <w:tcPr>
            <w:tcW w:w="220" w:type="dxa"/>
            <w:vAlign w:val="bottom"/>
            <w:shd w:val="clear" w:color="auto" w:fill="D9D9D6"/>
          </w:tcPr>
          <w:p>
            <w:pPr>
              <w:spacing w:after="0"/>
              <w:rPr>
                <w:sz w:val="16"/>
                <w:szCs w:val="16"/>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327</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426</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(23.1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0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(23.4 %)</w:t>
            </w:r>
          </w:p>
        </w:tc>
        <w:tc>
          <w:tcPr>
            <w:tcW w:w="140" w:type="dxa"/>
            <w:vAlign w:val="bottom"/>
            <w:tcBorders>
              <w:right w:val="single" w:sz="8" w:color="97999B"/>
            </w:tcBorders>
            <w:shd w:val="clear" w:color="auto" w:fill="D9D9D6"/>
          </w:tcPr>
          <w:p>
            <w:pPr>
              <w:spacing w:after="0"/>
              <w:rPr>
                <w:sz w:val="16"/>
                <w:szCs w:val="16"/>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color w:val="auto"/>
              </w:rPr>
              <w:t>1,341</w:t>
            </w:r>
          </w:p>
        </w:tc>
        <w:tc>
          <w:tcPr>
            <w:tcW w:w="1200" w:type="dxa"/>
            <w:vAlign w:val="bottom"/>
            <w:gridSpan w:val="3"/>
            <w:shd w:val="clear" w:color="auto" w:fill="D9D9D6"/>
          </w:tcPr>
          <w:p>
            <w:pPr>
              <w:jc w:val="right"/>
              <w:ind w:right="460"/>
              <w:spacing w:after="0"/>
              <w:rPr>
                <w:sz w:val="20"/>
                <w:szCs w:val="20"/>
                <w:color w:val="auto"/>
              </w:rPr>
            </w:pPr>
            <w:r>
              <w:rPr>
                <w:rFonts w:ascii="Arial" w:cs="Arial" w:eastAsia="Arial" w:hAnsi="Arial"/>
                <w:sz w:val="14"/>
                <w:szCs w:val="14"/>
                <w:color w:val="auto"/>
              </w:rPr>
              <w:t>1,373</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(2.3 %)</w:t>
            </w:r>
          </w:p>
        </w:tc>
        <w:tc>
          <w:tcPr>
            <w:tcW w:w="2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28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9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712</w:t>
            </w:r>
          </w:p>
        </w:tc>
        <w:tc>
          <w:tcPr>
            <w:tcW w:w="9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702</w:t>
            </w: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6"/>
                <w:szCs w:val="16"/>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79"/>
              </w:rPr>
              <w:t>%</w:t>
            </w:r>
          </w:p>
        </w:tc>
        <w:tc>
          <w:tcPr>
            <w:tcW w:w="80" w:type="dxa"/>
            <w:vAlign w:val="bottom"/>
            <w:tcBorders>
              <w:bottom w:val="single" w:sz="8" w:color="auto"/>
            </w:tcBorders>
            <w:shd w:val="clear" w:color="auto" w:fill="D9D9D6"/>
          </w:tcPr>
          <w:p>
            <w:pPr>
              <w:spacing w:after="0"/>
              <w:rPr>
                <w:sz w:val="16"/>
                <w:szCs w:val="16"/>
                <w:color w:val="auto"/>
              </w:rPr>
            </w:pPr>
          </w:p>
        </w:tc>
        <w:tc>
          <w:tcPr>
            <w:tcW w:w="140" w:type="dxa"/>
            <w:vAlign w:val="bottom"/>
            <w:tcBorders>
              <w:bottom w:val="single" w:sz="8" w:color="D9D9D6"/>
              <w:right w:val="single" w:sz="8" w:color="97999B"/>
            </w:tcBorders>
            <w:shd w:val="clear" w:color="auto" w:fill="D9D9D6"/>
          </w:tcPr>
          <w:p>
            <w:pPr>
              <w:spacing w:after="0"/>
              <w:rPr>
                <w:sz w:val="16"/>
                <w:szCs w:val="16"/>
                <w:color w:val="auto"/>
              </w:rPr>
            </w:pPr>
          </w:p>
        </w:tc>
        <w:tc>
          <w:tcPr>
            <w:tcW w:w="100" w:type="dxa"/>
            <w:vAlign w:val="bottom"/>
            <w:tcBorders>
              <w:bottom w:val="single" w:sz="8" w:color="D9D9D6"/>
            </w:tcBorders>
            <w:shd w:val="clear" w:color="auto" w:fill="D9D9D6"/>
          </w:tcPr>
          <w:p>
            <w:pPr>
              <w:spacing w:after="0"/>
              <w:rPr>
                <w:sz w:val="16"/>
                <w:szCs w:val="16"/>
                <w:color w:val="auto"/>
              </w:rPr>
            </w:pPr>
          </w:p>
        </w:tc>
        <w:tc>
          <w:tcPr>
            <w:tcW w:w="1180" w:type="dxa"/>
            <w:vAlign w:val="bottom"/>
            <w:tcBorders>
              <w:bottom w:val="single" w:sz="8" w:color="auto"/>
            </w:tcBorders>
            <w:gridSpan w:val="3"/>
            <w:shd w:val="clear" w:color="auto" w:fill="D9D9D6"/>
          </w:tcPr>
          <w:p>
            <w:pPr>
              <w:jc w:val="right"/>
              <w:ind w:right="220"/>
              <w:spacing w:after="0"/>
              <w:rPr>
                <w:sz w:val="20"/>
                <w:szCs w:val="20"/>
                <w:color w:val="auto"/>
              </w:rPr>
            </w:pPr>
            <w:r>
              <w:rPr>
                <w:rFonts w:ascii="Arial" w:cs="Arial" w:eastAsia="Arial" w:hAnsi="Arial"/>
                <w:sz w:val="14"/>
                <w:szCs w:val="14"/>
                <w:color w:val="auto"/>
              </w:rPr>
              <w:t>2,489</w:t>
            </w:r>
          </w:p>
        </w:tc>
        <w:tc>
          <w:tcPr>
            <w:tcW w:w="1200" w:type="dxa"/>
            <w:vAlign w:val="bottom"/>
            <w:tcBorders>
              <w:bottom w:val="single" w:sz="8" w:color="auto"/>
            </w:tcBorders>
            <w:gridSpan w:val="3"/>
            <w:shd w:val="clear" w:color="auto" w:fill="D9D9D6"/>
          </w:tcPr>
          <w:p>
            <w:pPr>
              <w:jc w:val="right"/>
              <w:ind w:right="460"/>
              <w:spacing w:after="0"/>
              <w:rPr>
                <w:sz w:val="20"/>
                <w:szCs w:val="20"/>
                <w:color w:val="auto"/>
              </w:rPr>
            </w:pPr>
            <w:r>
              <w:rPr>
                <w:rFonts w:ascii="Arial" w:cs="Arial" w:eastAsia="Arial" w:hAnsi="Arial"/>
                <w:sz w:val="14"/>
                <w:szCs w:val="14"/>
                <w:color w:val="auto"/>
              </w:rPr>
              <w:t>1,998</w:t>
            </w:r>
          </w:p>
        </w:tc>
        <w:tc>
          <w:tcPr>
            <w:tcW w:w="5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24.6 %</w:t>
            </w:r>
          </w:p>
        </w:tc>
        <w:tc>
          <w:tcPr>
            <w:tcW w:w="220" w:type="dxa"/>
            <w:vAlign w:val="bottom"/>
            <w:tcBorders>
              <w:bottom w:val="single" w:sz="8" w:color="auto"/>
            </w:tcBorders>
            <w:shd w:val="clear" w:color="auto" w:fill="D9D9D6"/>
          </w:tcPr>
          <w:p>
            <w:pPr>
              <w:spacing w:after="0"/>
              <w:rPr>
                <w:sz w:val="16"/>
                <w:szCs w:val="16"/>
                <w:color w:val="auto"/>
              </w:rPr>
            </w:pPr>
          </w:p>
        </w:tc>
        <w:tc>
          <w:tcPr>
            <w:tcW w:w="7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18.4 %</w:t>
            </w:r>
          </w:p>
        </w:tc>
        <w:tc>
          <w:tcPr>
            <w:tcW w:w="8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$5,079</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$5,205</w:t>
            </w: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(2.4</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5"/>
                <w:szCs w:val="15"/>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(2.5</w:t>
            </w:r>
          </w:p>
        </w:tc>
        <w:tc>
          <w:tcPr>
            <w:tcW w:w="20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97999B"/>
            </w:tcBorders>
            <w:shd w:val="clear" w:color="auto" w:fill="D9D9D6"/>
          </w:tcPr>
          <w:p>
            <w:pPr>
              <w:spacing w:after="0"/>
              <w:rPr>
                <w:sz w:val="15"/>
                <w:szCs w:val="15"/>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$20,285</w:t>
            </w:r>
          </w:p>
        </w:tc>
        <w:tc>
          <w:tcPr>
            <w:tcW w:w="1200" w:type="dxa"/>
            <w:vAlign w:val="bottom"/>
            <w:gridSpan w:val="3"/>
            <w:shd w:val="clear" w:color="auto" w:fill="D9D9D6"/>
          </w:tcPr>
          <w:p>
            <w:pPr>
              <w:jc w:val="right"/>
              <w:ind w:right="460"/>
              <w:spacing w:after="0"/>
              <w:rPr>
                <w:sz w:val="20"/>
                <w:szCs w:val="20"/>
                <w:color w:val="auto"/>
              </w:rPr>
            </w:pPr>
            <w:r>
              <w:rPr>
                <w:rFonts w:ascii="Arial" w:cs="Arial" w:eastAsia="Arial" w:hAnsi="Arial"/>
                <w:sz w:val="14"/>
                <w:szCs w:val="14"/>
                <w:b w:val="1"/>
                <w:bCs w:val="1"/>
                <w:color w:val="auto"/>
              </w:rPr>
              <w:t>$18,594</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9.1 %</w:t>
            </w:r>
          </w:p>
        </w:tc>
        <w:tc>
          <w:tcPr>
            <w:tcW w:w="220" w:type="dxa"/>
            <w:vAlign w:val="bottom"/>
            <w:shd w:val="clear" w:color="auto" w:fill="D9D9D6"/>
          </w:tcPr>
          <w:p>
            <w:pPr>
              <w:spacing w:after="0"/>
              <w:rPr>
                <w:sz w:val="15"/>
                <w:szCs w:val="15"/>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3.1 %</w:t>
            </w:r>
          </w:p>
        </w:tc>
        <w:tc>
          <w:tcPr>
            <w:tcW w:w="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$4,615</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$5,066</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(8.9 %)</w:t>
            </w:r>
          </w:p>
        </w:tc>
        <w:tc>
          <w:tcPr>
            <w:tcW w:w="20" w:type="dxa"/>
            <w:vAlign w:val="bottom"/>
            <w:shd w:val="clear" w:color="auto" w:fill="D9D9D6"/>
          </w:tcPr>
          <w:p>
            <w:pPr>
              <w:spacing w:after="0"/>
              <w:rPr>
                <w:sz w:val="24"/>
                <w:szCs w:val="24"/>
                <w:color w:val="auto"/>
              </w:rPr>
            </w:pPr>
          </w:p>
        </w:tc>
        <w:tc>
          <w:tcPr>
            <w:tcW w:w="10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(8.6 %)</w:t>
            </w:r>
          </w:p>
        </w:tc>
        <w:tc>
          <w:tcPr>
            <w:tcW w:w="140" w:type="dxa"/>
            <w:vAlign w:val="bottom"/>
            <w:tcBorders>
              <w:right w:val="single" w:sz="8" w:color="97999B"/>
            </w:tcBorders>
            <w:shd w:val="clear" w:color="auto" w:fill="D9D9D6"/>
          </w:tcPr>
          <w:p>
            <w:pPr>
              <w:spacing w:after="0"/>
              <w:rPr>
                <w:sz w:val="24"/>
                <w:szCs w:val="24"/>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$17,925</w:t>
            </w:r>
          </w:p>
        </w:tc>
        <w:tc>
          <w:tcPr>
            <w:tcW w:w="1200" w:type="dxa"/>
            <w:vAlign w:val="bottom"/>
            <w:gridSpan w:val="3"/>
            <w:shd w:val="clear" w:color="auto" w:fill="D9D9D6"/>
          </w:tcPr>
          <w:p>
            <w:pPr>
              <w:jc w:val="right"/>
              <w:ind w:right="460"/>
              <w:spacing w:after="0"/>
              <w:rPr>
                <w:sz w:val="20"/>
                <w:szCs w:val="20"/>
                <w:color w:val="auto"/>
              </w:rPr>
            </w:pPr>
            <w:r>
              <w:rPr>
                <w:rFonts w:ascii="Arial" w:cs="Arial" w:eastAsia="Arial" w:hAnsi="Arial"/>
                <w:sz w:val="14"/>
                <w:szCs w:val="14"/>
                <w:b w:val="1"/>
                <w:bCs w:val="1"/>
                <w:color w:val="auto"/>
              </w:rPr>
              <w:t>$16,640</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7.7 %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2.2 %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2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9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$464</w:t>
            </w:r>
          </w:p>
        </w:tc>
        <w:tc>
          <w:tcPr>
            <w:tcW w:w="9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w:t>
            </w: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233.7 %</w:t>
            </w:r>
          </w:p>
        </w:tc>
        <w:tc>
          <w:tcPr>
            <w:tcW w:w="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187.9 %</w:t>
            </w:r>
          </w:p>
        </w:tc>
        <w:tc>
          <w:tcPr>
            <w:tcW w:w="80" w:type="dxa"/>
            <w:vAlign w:val="bottom"/>
            <w:shd w:val="clear" w:color="auto" w:fill="D9D9D6"/>
          </w:tcPr>
          <w:p>
            <w:pPr>
              <w:spacing w:after="0"/>
              <w:rPr>
                <w:sz w:val="24"/>
                <w:szCs w:val="24"/>
                <w:color w:val="auto"/>
              </w:rPr>
            </w:pPr>
          </w:p>
        </w:tc>
        <w:tc>
          <w:tcPr>
            <w:tcW w:w="140" w:type="dxa"/>
            <w:vAlign w:val="bottom"/>
            <w:tcBorders>
              <w:right w:val="single" w:sz="8" w:color="97999B"/>
            </w:tcBorders>
            <w:shd w:val="clear" w:color="auto" w:fill="D9D9D6"/>
          </w:tcPr>
          <w:p>
            <w:pPr>
              <w:spacing w:after="0"/>
              <w:rPr>
                <w:sz w:val="24"/>
                <w:szCs w:val="24"/>
                <w:color w:val="auto"/>
              </w:rPr>
            </w:pPr>
          </w:p>
        </w:tc>
        <w:tc>
          <w:tcPr>
            <w:tcW w:w="1280" w:type="dxa"/>
            <w:vAlign w:val="bottom"/>
            <w:gridSpan w:val="4"/>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$2,359</w:t>
            </w:r>
          </w:p>
        </w:tc>
        <w:tc>
          <w:tcPr>
            <w:tcW w:w="1200" w:type="dxa"/>
            <w:vAlign w:val="bottom"/>
            <w:gridSpan w:val="3"/>
            <w:shd w:val="clear" w:color="auto" w:fill="D9D9D6"/>
          </w:tcPr>
          <w:p>
            <w:pPr>
              <w:jc w:val="right"/>
              <w:ind w:right="460"/>
              <w:spacing w:after="0"/>
              <w:rPr>
                <w:sz w:val="20"/>
                <w:szCs w:val="20"/>
                <w:color w:val="auto"/>
              </w:rPr>
            </w:pPr>
            <w:r>
              <w:rPr>
                <w:rFonts w:ascii="Arial" w:cs="Arial" w:eastAsia="Arial" w:hAnsi="Arial"/>
                <w:sz w:val="14"/>
                <w:szCs w:val="14"/>
                <w:b w:val="1"/>
                <w:bCs w:val="1"/>
                <w:color w:val="auto"/>
              </w:rPr>
              <w:t>$1,954</w:t>
            </w: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20.8 %</w:t>
            </w:r>
          </w:p>
        </w:tc>
        <w:tc>
          <w:tcPr>
            <w:tcW w:w="220" w:type="dxa"/>
            <w:vAlign w:val="bottom"/>
            <w:shd w:val="clear" w:color="auto" w:fill="D9D9D6"/>
          </w:tcPr>
          <w:p>
            <w:pPr>
              <w:spacing w:after="0"/>
              <w:rPr>
                <w:sz w:val="24"/>
                <w:szCs w:val="24"/>
                <w:color w:val="auto"/>
              </w:rPr>
            </w:pPr>
          </w:p>
        </w:tc>
        <w:tc>
          <w:tcPr>
            <w:tcW w:w="7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10.2 %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284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9.1 %</w:t>
            </w:r>
          </w:p>
        </w:tc>
        <w:tc>
          <w:tcPr>
            <w:tcW w:w="20" w:type="dxa"/>
            <w:vAlign w:val="bottom"/>
            <w:shd w:val="clear" w:color="auto" w:fill="D9D9D6"/>
          </w:tcPr>
          <w:p>
            <w:pPr>
              <w:spacing w:after="0"/>
              <w:rPr>
                <w:sz w:val="16"/>
                <w:szCs w:val="16"/>
                <w:color w:val="auto"/>
              </w:rPr>
            </w:pPr>
          </w:p>
        </w:tc>
        <w:tc>
          <w:tcPr>
            <w:tcW w:w="94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2.7 %</w:t>
            </w:r>
          </w:p>
        </w:tc>
        <w:tc>
          <w:tcPr>
            <w:tcW w:w="20" w:type="dxa"/>
            <w:vAlign w:val="bottom"/>
            <w:shd w:val="clear" w:color="auto" w:fill="D9D9D6"/>
          </w:tcPr>
          <w:p>
            <w:pPr>
              <w:spacing w:after="0"/>
              <w:rPr>
                <w:sz w:val="16"/>
                <w:szCs w:val="16"/>
                <w:color w:val="auto"/>
              </w:rPr>
            </w:pPr>
          </w:p>
        </w:tc>
        <w:tc>
          <w:tcPr>
            <w:tcW w:w="42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40" w:type="dxa"/>
            <w:vAlign w:val="bottom"/>
            <w:tcBorders>
              <w:right w:val="single" w:sz="8" w:color="97999B"/>
            </w:tcBorders>
            <w:shd w:val="clear" w:color="auto" w:fill="D9D9D6"/>
          </w:tcPr>
          <w:p>
            <w:pPr>
              <w:spacing w:after="0"/>
              <w:rPr>
                <w:sz w:val="16"/>
                <w:szCs w:val="16"/>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i w:val="1"/>
                <w:iCs w:val="1"/>
                <w:color w:val="auto"/>
              </w:rPr>
              <w:t>11.6 %</w:t>
            </w:r>
          </w:p>
        </w:tc>
        <w:tc>
          <w:tcPr>
            <w:tcW w:w="220" w:type="dxa"/>
            <w:vAlign w:val="bottom"/>
            <w:shd w:val="clear" w:color="auto" w:fill="D9D9D6"/>
          </w:tcPr>
          <w:p>
            <w:pPr>
              <w:spacing w:after="0"/>
              <w:rPr>
                <w:sz w:val="16"/>
                <w:szCs w:val="16"/>
                <w:color w:val="auto"/>
              </w:rPr>
            </w:pPr>
          </w:p>
        </w:tc>
        <w:tc>
          <w:tcPr>
            <w:tcW w:w="74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10.5 %</w:t>
            </w:r>
          </w:p>
        </w:tc>
        <w:tc>
          <w:tcPr>
            <w:tcW w:w="4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220" w:type="dxa"/>
            <w:vAlign w:val="bottom"/>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50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2840" w:type="dxa"/>
            <w:vAlign w:val="bottom"/>
            <w:shd w:val="clear" w:color="auto" w:fill="D9D9D6"/>
          </w:tcPr>
          <w:p>
            <w:pPr>
              <w:spacing w:after="0"/>
              <w:rPr>
                <w:sz w:val="4"/>
                <w:szCs w:val="4"/>
                <w:color w:val="auto"/>
              </w:rPr>
            </w:pPr>
          </w:p>
        </w:tc>
        <w:tc>
          <w:tcPr>
            <w:tcW w:w="6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40" w:type="dxa"/>
            <w:vAlign w:val="bottom"/>
            <w:tcBorders>
              <w:right w:val="single" w:sz="8" w:color="97999B"/>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6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42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2.4% to $5.1 billion in the fourth quarter of 2021. Excluding the impact of currency, revenue decreased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prior year period, primarily reflecting lower content revenue and direct-to-consumer revenue. Content revenue decreased 23.4% to $327 million due to a change in sports programming licensing agreements in Italy and Germany. Direct-to-consumer revenue decreased 1.0% to $4.0 billion, primarily reflecting an increase in customer relationships and average revenue per customer relationship in the U.K., offset by a decrease in customer relationships and average revenue per relationship in Italy mainly due to the negative impact of the reduction in Sky's broadcast rights to Serie A. Advertising revenue increased 1.4% to $712 million.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twelve months ended December 31, 2021, Sky revenue increased 9.1% to $20.3 billion compared to 2020. Excluding the impact of currency, revenue increased 3.1%, reflecting higher advertising revenue and direct-to-consumer revenue, partially offset by lower content revenue.</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61,000 to 23.0 million in the fourth quarter of 2021, reflecting an increase in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in the U.K. and Germany, partially offset by the negative impact of the reduction in Sky's broadcast rights to Serie A in Italy. For the twelve months ended December 31, 2021, total customer relationships decreased by 198,000.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1680" w:type="dxa"/>
            <w:vAlign w:val="bottom"/>
            <w:shd w:val="clear" w:color="auto" w:fill="D9D9D6"/>
          </w:tcPr>
          <w:p>
            <w:pPr>
              <w:spacing w:after="0"/>
              <w:rPr>
                <w:sz w:val="16"/>
                <w:szCs w:val="16"/>
                <w:color w:val="auto"/>
              </w:rPr>
            </w:pPr>
          </w:p>
        </w:tc>
        <w:tc>
          <w:tcPr>
            <w:tcW w:w="340" w:type="dxa"/>
            <w:vAlign w:val="bottom"/>
            <w:tcBorders>
              <w:left w:val="single" w:sz="8" w:color="D9D9D6"/>
            </w:tcBorders>
            <w:shd w:val="clear" w:color="auto" w:fill="D9D9D6"/>
          </w:tcPr>
          <w:p>
            <w:pPr>
              <w:spacing w:after="0"/>
              <w:rPr>
                <w:sz w:val="16"/>
                <w:szCs w:val="16"/>
                <w:color w:val="auto"/>
              </w:rPr>
            </w:pPr>
          </w:p>
        </w:tc>
        <w:tc>
          <w:tcPr>
            <w:tcW w:w="400" w:type="dxa"/>
            <w:vAlign w:val="bottom"/>
            <w:tcBorders>
              <w:right w:val="single" w:sz="8" w:color="D9D9D6"/>
            </w:tcBorders>
            <w:shd w:val="clear" w:color="auto" w:fill="D9D9D6"/>
          </w:tcPr>
          <w:p>
            <w:pPr>
              <w:spacing w:after="0"/>
              <w:rPr>
                <w:sz w:val="16"/>
                <w:szCs w:val="16"/>
                <w:color w:val="auto"/>
              </w:rPr>
            </w:pPr>
          </w:p>
        </w:tc>
        <w:tc>
          <w:tcPr>
            <w:tcW w:w="2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40" w:type="dxa"/>
            <w:vAlign w:val="bottom"/>
            <w:tcBorders>
              <w:right w:val="single" w:sz="8" w:color="D9D9D6"/>
            </w:tcBorders>
            <w:shd w:val="clear" w:color="auto" w:fill="D9D9D6"/>
          </w:tcPr>
          <w:p>
            <w:pPr>
              <w:spacing w:after="0"/>
              <w:rPr>
                <w:sz w:val="16"/>
                <w:szCs w:val="16"/>
                <w:color w:val="auto"/>
              </w:rPr>
            </w:pPr>
          </w:p>
        </w:tc>
        <w:tc>
          <w:tcPr>
            <w:tcW w:w="680" w:type="dxa"/>
            <w:vAlign w:val="bottom"/>
            <w:shd w:val="clear" w:color="auto" w:fill="D9D9D6"/>
          </w:tcPr>
          <w:p>
            <w:pPr>
              <w:spacing w:after="0"/>
              <w:rPr>
                <w:sz w:val="16"/>
                <w:szCs w:val="16"/>
                <w:color w:val="auto"/>
              </w:rPr>
            </w:pPr>
          </w:p>
        </w:tc>
        <w:tc>
          <w:tcPr>
            <w:tcW w:w="160" w:type="dxa"/>
            <w:vAlign w:val="bottom"/>
            <w:tcBorders>
              <w:right w:val="single" w:sz="8" w:color="D9D9D6"/>
            </w:tcBorders>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D9D9D6"/>
          </w:tcPr>
          <w:p>
            <w:pPr>
              <w:spacing w:after="0"/>
              <w:rPr>
                <w:sz w:val="16"/>
                <w:szCs w:val="16"/>
                <w:color w:val="auto"/>
              </w:rPr>
            </w:pPr>
          </w:p>
        </w:tc>
        <w:tc>
          <w:tcPr>
            <w:tcW w:w="660" w:type="dxa"/>
            <w:vAlign w:val="bottom"/>
            <w:tcBorders>
              <w:right w:val="single" w:sz="8" w:color="D9D9D6"/>
            </w:tcBorders>
            <w:shd w:val="clear" w:color="auto" w:fill="D9D9D6"/>
          </w:tcPr>
          <w:p>
            <w:pPr>
              <w:spacing w:after="0"/>
              <w:rPr>
                <w:sz w:val="16"/>
                <w:szCs w:val="16"/>
                <w:color w:val="auto"/>
              </w:rPr>
            </w:pPr>
          </w:p>
        </w:tc>
        <w:tc>
          <w:tcPr>
            <w:tcW w:w="7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Customers</w:t>
            </w:r>
          </w:p>
        </w:tc>
        <w:tc>
          <w:tcPr>
            <w:tcW w:w="1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1680" w:type="dxa"/>
            <w:vAlign w:val="bottom"/>
            <w:shd w:val="clear" w:color="auto" w:fill="D9D9D6"/>
          </w:tcPr>
          <w:p>
            <w:pPr>
              <w:spacing w:after="0"/>
              <w:rPr>
                <w:sz w:val="16"/>
                <w:szCs w:val="16"/>
                <w:color w:val="auto"/>
              </w:rPr>
            </w:pPr>
          </w:p>
        </w:tc>
        <w:tc>
          <w:tcPr>
            <w:tcW w:w="340" w:type="dxa"/>
            <w:vAlign w:val="bottom"/>
            <w:tcBorders>
              <w:left w:val="single" w:sz="8" w:color="D9D9D6"/>
            </w:tcBorders>
            <w:shd w:val="clear" w:color="auto" w:fill="D9D9D6"/>
          </w:tcPr>
          <w:p>
            <w:pPr>
              <w:spacing w:after="0"/>
              <w:rPr>
                <w:sz w:val="16"/>
                <w:szCs w:val="16"/>
                <w:color w:val="auto"/>
              </w:rPr>
            </w:pPr>
          </w:p>
        </w:tc>
        <w:tc>
          <w:tcPr>
            <w:tcW w:w="400" w:type="dxa"/>
            <w:vAlign w:val="bottom"/>
            <w:tcBorders>
              <w:right w:val="single" w:sz="8" w:color="D9D9D6"/>
            </w:tcBorders>
            <w:shd w:val="clear" w:color="auto" w:fill="D9D9D6"/>
          </w:tcPr>
          <w:p>
            <w:pPr>
              <w:spacing w:after="0"/>
              <w:rPr>
                <w:sz w:val="16"/>
                <w:szCs w:val="16"/>
                <w:color w:val="auto"/>
              </w:rPr>
            </w:pPr>
          </w:p>
        </w:tc>
        <w:tc>
          <w:tcPr>
            <w:tcW w:w="1680" w:type="dxa"/>
            <w:vAlign w:val="bottom"/>
            <w:tcBorders>
              <w:right w:val="single" w:sz="8" w:color="D9D9D6"/>
            </w:tcBorders>
            <w:gridSpan w:val="5"/>
            <w:shd w:val="clear" w:color="auto" w:fill="D9D9D6"/>
          </w:tcPr>
          <w:p>
            <w:pPr>
              <w:spacing w:after="0"/>
              <w:rPr>
                <w:sz w:val="20"/>
                <w:szCs w:val="20"/>
                <w:color w:val="auto"/>
              </w:rPr>
            </w:pPr>
            <w:r>
              <w:rPr>
                <w:rFonts w:ascii="Arial" w:cs="Arial" w:eastAsia="Arial" w:hAnsi="Arial"/>
                <w:sz w:val="14"/>
                <w:szCs w:val="14"/>
                <w:color w:val="auto"/>
              </w:rPr>
              <w:t>Net Additions / (Losses)</w:t>
            </w:r>
          </w:p>
        </w:tc>
        <w:tc>
          <w:tcPr>
            <w:tcW w:w="26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00" w:type="dxa"/>
            <w:vAlign w:val="bottom"/>
            <w:tcBorders>
              <w:top w:val="single" w:sz="8" w:color="D9D9D6"/>
            </w:tcBorders>
            <w:shd w:val="clear" w:color="auto" w:fill="D9D9D6"/>
          </w:tcPr>
          <w:p>
            <w:pPr>
              <w:spacing w:after="0"/>
              <w:rPr>
                <w:sz w:val="14"/>
                <w:szCs w:val="14"/>
                <w:color w:val="auto"/>
              </w:rPr>
            </w:pPr>
          </w:p>
        </w:tc>
        <w:tc>
          <w:tcPr>
            <w:tcW w:w="660" w:type="dxa"/>
            <w:vAlign w:val="bottom"/>
            <w:tcBorders>
              <w:top w:val="single" w:sz="8" w:color="D9D9D6"/>
              <w:right w:val="single" w:sz="8" w:color="D9D9D6"/>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360" w:type="dxa"/>
            <w:vAlign w:val="bottom"/>
            <w:tcBorders>
              <w:top w:val="single" w:sz="8" w:color="auto"/>
            </w:tcBorders>
            <w:shd w:val="clear" w:color="auto" w:fill="D9D9D6"/>
          </w:tcPr>
          <w:p>
            <w:pPr>
              <w:spacing w:after="0"/>
              <w:rPr>
                <w:sz w:val="14"/>
                <w:szCs w:val="14"/>
                <w:color w:val="auto"/>
              </w:rPr>
            </w:pPr>
          </w:p>
        </w:tc>
        <w:tc>
          <w:tcPr>
            <w:tcW w:w="80" w:type="dxa"/>
            <w:vAlign w:val="bottom"/>
            <w:tcBorders>
              <w:top w:val="single" w:sz="8" w:color="D9D9D6"/>
            </w:tcBorders>
            <w:shd w:val="clear" w:color="auto" w:fill="D9D9D6"/>
          </w:tcPr>
          <w:p>
            <w:pPr>
              <w:spacing w:after="0"/>
              <w:rPr>
                <w:sz w:val="14"/>
                <w:szCs w:val="14"/>
                <w:color w:val="auto"/>
              </w:rPr>
            </w:pPr>
          </w:p>
        </w:tc>
        <w:tc>
          <w:tcPr>
            <w:tcW w:w="160" w:type="dxa"/>
            <w:vAlign w:val="bottom"/>
            <w:tcBorders>
              <w:top w:val="single" w:sz="8" w:color="D9D9D6"/>
            </w:tcBorders>
            <w:shd w:val="clear" w:color="auto" w:fill="D9D9D6"/>
          </w:tcPr>
          <w:p>
            <w:pPr>
              <w:spacing w:after="0"/>
              <w:rPr>
                <w:sz w:val="14"/>
                <w:szCs w:val="14"/>
                <w:color w:val="auto"/>
              </w:rPr>
            </w:pPr>
          </w:p>
        </w:tc>
        <w:tc>
          <w:tcPr>
            <w:tcW w:w="340" w:type="dxa"/>
            <w:vAlign w:val="bottom"/>
            <w:tcBorders>
              <w:top w:val="single" w:sz="8" w:color="D9D9D6"/>
            </w:tcBorders>
            <w:shd w:val="clear" w:color="auto" w:fill="D9D9D6"/>
          </w:tcPr>
          <w:p>
            <w:pPr>
              <w:spacing w:after="0"/>
              <w:rPr>
                <w:sz w:val="14"/>
                <w:szCs w:val="14"/>
                <w:color w:val="auto"/>
              </w:rPr>
            </w:pPr>
          </w:p>
        </w:tc>
        <w:tc>
          <w:tcPr>
            <w:tcW w:w="1680" w:type="dxa"/>
            <w:vAlign w:val="bottom"/>
            <w:tcBorders>
              <w:top w:val="single" w:sz="8" w:color="D9D9D6"/>
            </w:tcBorders>
            <w:shd w:val="clear" w:color="auto" w:fill="D9D9D6"/>
          </w:tcPr>
          <w:p>
            <w:pPr>
              <w:spacing w:after="0"/>
              <w:rPr>
                <w:sz w:val="14"/>
                <w:szCs w:val="14"/>
                <w:color w:val="auto"/>
              </w:rPr>
            </w:pPr>
          </w:p>
        </w:tc>
        <w:tc>
          <w:tcPr>
            <w:tcW w:w="740" w:type="dxa"/>
            <w:vAlign w:val="bottom"/>
            <w:tcBorders>
              <w:top w:val="single" w:sz="8" w:color="D9D9D6"/>
              <w:left w:val="single" w:sz="8" w:color="D9D9D6"/>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8"/>
              </w:rPr>
              <w:t>4th Quarter</w:t>
            </w:r>
          </w:p>
        </w:tc>
        <w:tc>
          <w:tcPr>
            <w:tcW w:w="280" w:type="dxa"/>
            <w:vAlign w:val="bottom"/>
            <w:tcBorders>
              <w:top w:val="single" w:sz="8" w:color="auto"/>
            </w:tcBorders>
            <w:shd w:val="clear" w:color="auto" w:fill="D9D9D6"/>
          </w:tcPr>
          <w:p>
            <w:pPr>
              <w:spacing w:after="0"/>
              <w:rPr>
                <w:sz w:val="14"/>
                <w:szCs w:val="14"/>
                <w:color w:val="auto"/>
              </w:rPr>
            </w:pPr>
          </w:p>
        </w:tc>
        <w:tc>
          <w:tcPr>
            <w:tcW w:w="320" w:type="dxa"/>
            <w:vAlign w:val="bottom"/>
            <w:tcBorders>
              <w:top w:val="single" w:sz="8" w:color="auto"/>
            </w:tcBorders>
            <w:shd w:val="clear" w:color="auto" w:fill="D9D9D6"/>
          </w:tcPr>
          <w:p>
            <w:pPr>
              <w:spacing w:after="0"/>
              <w:rPr>
                <w:sz w:val="14"/>
                <w:szCs w:val="14"/>
                <w:color w:val="auto"/>
              </w:rPr>
            </w:pPr>
          </w:p>
        </w:tc>
        <w:tc>
          <w:tcPr>
            <w:tcW w:w="240" w:type="dxa"/>
            <w:vAlign w:val="bottom"/>
            <w:tcBorders>
              <w:top w:val="single" w:sz="8" w:color="auto"/>
              <w:right w:val="single" w:sz="8" w:color="97999B"/>
            </w:tcBorders>
            <w:shd w:val="clear" w:color="auto" w:fill="D9D9D6"/>
          </w:tcPr>
          <w:p>
            <w:pPr>
              <w:spacing w:after="0"/>
              <w:rPr>
                <w:sz w:val="14"/>
                <w:szCs w:val="14"/>
                <w:color w:val="auto"/>
              </w:rPr>
            </w:pPr>
          </w:p>
        </w:tc>
        <w:tc>
          <w:tcPr>
            <w:tcW w:w="680" w:type="dxa"/>
            <w:vAlign w:val="bottom"/>
            <w:tcBorders>
              <w:top w:val="single" w:sz="8" w:color="auto"/>
            </w:tcBorders>
            <w:shd w:val="clear" w:color="auto" w:fill="D9D9D6"/>
          </w:tcPr>
          <w:p>
            <w:pPr>
              <w:spacing w:after="0"/>
              <w:rPr>
                <w:sz w:val="14"/>
                <w:szCs w:val="14"/>
                <w:color w:val="auto"/>
              </w:rPr>
            </w:pPr>
          </w:p>
        </w:tc>
        <w:tc>
          <w:tcPr>
            <w:tcW w:w="160" w:type="dxa"/>
            <w:vAlign w:val="bottom"/>
            <w:tcBorders>
              <w:top w:val="single" w:sz="8" w:color="D9D9D6"/>
              <w:right w:val="single" w:sz="8" w:color="D9D9D6"/>
            </w:tcBorders>
            <w:shd w:val="clear" w:color="auto" w:fill="D9D9D6"/>
          </w:tcPr>
          <w:p>
            <w:pPr>
              <w:spacing w:after="0"/>
              <w:rPr>
                <w:sz w:val="14"/>
                <w:szCs w:val="14"/>
                <w:color w:val="auto"/>
              </w:rPr>
            </w:pPr>
          </w:p>
        </w:tc>
        <w:tc>
          <w:tcPr>
            <w:tcW w:w="860" w:type="dxa"/>
            <w:vAlign w:val="bottom"/>
            <w:tcBorders>
              <w:top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Full Year</w:t>
            </w:r>
          </w:p>
        </w:tc>
        <w:tc>
          <w:tcPr>
            <w:tcW w:w="320" w:type="dxa"/>
            <w:vAlign w:val="bottom"/>
            <w:tcBorders>
              <w:top w:val="single" w:sz="8" w:color="D9D9D6"/>
            </w:tcBorders>
            <w:shd w:val="clear" w:color="auto" w:fill="D9D9D6"/>
          </w:tcPr>
          <w:p>
            <w:pPr>
              <w:spacing w:after="0"/>
              <w:rPr>
                <w:sz w:val="14"/>
                <w:szCs w:val="14"/>
                <w:color w:val="auto"/>
              </w:rPr>
            </w:pPr>
          </w:p>
        </w:tc>
        <w:tc>
          <w:tcPr>
            <w:tcW w:w="140" w:type="dxa"/>
            <w:vAlign w:val="bottom"/>
            <w:tcBorders>
              <w:top w:val="single" w:sz="8" w:color="D9D9D6"/>
            </w:tcBorders>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2020" w:type="dxa"/>
            <w:vAlign w:val="bottom"/>
            <w:gridSpan w:val="2"/>
            <w:vMerge w:val="restart"/>
            <w:shd w:val="clear" w:color="auto" w:fill="D9D9D6"/>
          </w:tcPr>
          <w:p>
            <w:pPr>
              <w:jc w:val="right"/>
              <w:ind w:right="1620"/>
              <w:spacing w:after="0" w:line="189" w:lineRule="exact"/>
              <w:rPr>
                <w:sz w:val="20"/>
                <w:szCs w:val="20"/>
                <w:color w:val="auto"/>
              </w:rPr>
            </w:pPr>
            <w:r>
              <w:rPr>
                <w:rFonts w:ascii="Arial" w:cs="Arial" w:eastAsia="Arial" w:hAnsi="Arial"/>
                <w:sz w:val="14"/>
                <w:szCs w:val="14"/>
                <w:color w:val="auto"/>
                <w:w w:val="92"/>
              </w:rPr>
              <w:t>4Q20</w:t>
            </w:r>
            <w:r>
              <w:rPr>
                <w:rFonts w:ascii="Arial" w:cs="Arial" w:eastAsia="Arial" w:hAnsi="Arial"/>
                <w:sz w:val="18"/>
                <w:szCs w:val="18"/>
                <w:u w:val="single" w:color="auto"/>
                <w:color w:val="auto"/>
                <w:w w:val="92"/>
                <w:vertAlign w:val="superscript"/>
              </w:rPr>
              <w:t>9</w:t>
            </w: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D9D9D6"/>
            </w:tcBorders>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160" w:type="dxa"/>
            <w:vAlign w:val="bottom"/>
            <w:tcBorders>
              <w:right w:val="single" w:sz="8" w:color="D9D9D6"/>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D9D9D6"/>
          </w:tcPr>
          <w:p>
            <w:pPr>
              <w:spacing w:after="0"/>
              <w:rPr>
                <w:sz w:val="14"/>
                <w:szCs w:val="14"/>
                <w:color w:val="auto"/>
              </w:rPr>
            </w:pPr>
          </w:p>
        </w:tc>
        <w:tc>
          <w:tcPr>
            <w:tcW w:w="660" w:type="dxa"/>
            <w:vAlign w:val="bottom"/>
            <w:tcBorders>
              <w:right w:val="single" w:sz="8" w:color="D9D9D6"/>
            </w:tcBorders>
            <w:shd w:val="clear" w:color="auto" w:fill="D9D9D6"/>
          </w:tcPr>
          <w:p>
            <w:pPr>
              <w:spacing w:after="0"/>
              <w:rPr>
                <w:sz w:val="14"/>
                <w:szCs w:val="14"/>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w w:val="87"/>
              </w:rPr>
              <w:t>4Q21</w:t>
            </w:r>
          </w:p>
        </w:tc>
        <w:tc>
          <w:tcPr>
            <w:tcW w:w="360" w:type="dxa"/>
            <w:vAlign w:val="bottom"/>
            <w:shd w:val="clear" w:color="auto" w:fill="D9D9D6"/>
          </w:tcPr>
          <w:p>
            <w:pPr>
              <w:spacing w:after="0"/>
              <w:rPr>
                <w:sz w:val="14"/>
                <w:szCs w:val="14"/>
                <w:color w:val="auto"/>
              </w:rPr>
            </w:pPr>
          </w:p>
        </w:tc>
        <w:tc>
          <w:tcPr>
            <w:tcW w:w="80" w:type="dxa"/>
            <w:vAlign w:val="bottom"/>
            <w:shd w:val="clear" w:color="auto" w:fill="D9D9D6"/>
          </w:tcPr>
          <w:p>
            <w:pPr>
              <w:spacing w:after="0"/>
              <w:rPr>
                <w:sz w:val="14"/>
                <w:szCs w:val="14"/>
                <w:color w:val="auto"/>
              </w:rPr>
            </w:pPr>
          </w:p>
        </w:tc>
        <w:tc>
          <w:tcPr>
            <w:tcW w:w="160" w:type="dxa"/>
            <w:vAlign w:val="bottom"/>
            <w:shd w:val="clear" w:color="auto" w:fill="D9D9D6"/>
          </w:tcPr>
          <w:p>
            <w:pPr>
              <w:spacing w:after="0"/>
              <w:rPr>
                <w:sz w:val="14"/>
                <w:szCs w:val="14"/>
                <w:color w:val="auto"/>
              </w:rPr>
            </w:pPr>
          </w:p>
        </w:tc>
        <w:tc>
          <w:tcPr>
            <w:tcW w:w="2020" w:type="dxa"/>
            <w:vAlign w:val="bottom"/>
            <w:gridSpan w:val="2"/>
            <w:vMerge w:val="continue"/>
            <w:shd w:val="clear" w:color="auto" w:fill="D9D9D6"/>
          </w:tcPr>
          <w:p>
            <w:pPr>
              <w:spacing w:after="0"/>
              <w:rPr>
                <w:sz w:val="14"/>
                <w:szCs w:val="14"/>
                <w:color w:val="auto"/>
              </w:rPr>
            </w:pPr>
          </w:p>
        </w:tc>
        <w:tc>
          <w:tcPr>
            <w:tcW w:w="740" w:type="dxa"/>
            <w:vAlign w:val="bottom"/>
            <w:tcBorders>
              <w:left w:val="single" w:sz="8" w:color="D9D9D6"/>
              <w:right w:val="single" w:sz="8" w:color="D9D9D6"/>
            </w:tcBorders>
            <w:gridSpan w:val="2"/>
            <w:shd w:val="clear" w:color="auto" w:fill="D9D9D6"/>
          </w:tcPr>
          <w:p>
            <w:pPr>
              <w:jc w:val="right"/>
              <w:ind w:right="400"/>
              <w:spacing w:after="0"/>
              <w:rPr>
                <w:sz w:val="20"/>
                <w:szCs w:val="20"/>
                <w:color w:val="auto"/>
              </w:rPr>
            </w:pPr>
            <w:r>
              <w:rPr>
                <w:rFonts w:ascii="Arial" w:cs="Arial" w:eastAsia="Arial" w:hAnsi="Arial"/>
                <w:sz w:val="14"/>
                <w:szCs w:val="14"/>
                <w:color w:val="auto"/>
              </w:rPr>
              <w:t>2021</w:t>
            </w:r>
          </w:p>
        </w:tc>
        <w:tc>
          <w:tcPr>
            <w:tcW w:w="840" w:type="dxa"/>
            <w:vAlign w:val="bottom"/>
            <w:tcBorders>
              <w:right w:val="single" w:sz="8" w:color="97999B"/>
            </w:tcBorders>
            <w:gridSpan w:val="3"/>
            <w:shd w:val="clear" w:color="auto" w:fill="D9D9D6"/>
          </w:tcPr>
          <w:p>
            <w:pPr>
              <w:jc w:val="right"/>
              <w:ind w:right="240"/>
              <w:spacing w:after="0"/>
              <w:rPr>
                <w:sz w:val="20"/>
                <w:szCs w:val="20"/>
                <w:color w:val="auto"/>
              </w:rPr>
            </w:pPr>
            <w:r>
              <w:rPr>
                <w:rFonts w:ascii="Arial" w:cs="Arial" w:eastAsia="Arial" w:hAnsi="Arial"/>
                <w:sz w:val="14"/>
                <w:szCs w:val="14"/>
                <w:color w:val="auto"/>
              </w:rPr>
              <w:t>2020</w:t>
            </w:r>
          </w:p>
        </w:tc>
        <w:tc>
          <w:tcPr>
            <w:tcW w:w="680" w:type="dxa"/>
            <w:vAlign w:val="bottom"/>
            <w:shd w:val="clear" w:color="auto" w:fill="D9D9D6"/>
          </w:tcPr>
          <w:p>
            <w:pPr>
              <w:spacing w:after="0"/>
              <w:rPr>
                <w:sz w:val="14"/>
                <w:szCs w:val="14"/>
                <w:color w:val="auto"/>
              </w:rPr>
            </w:pPr>
          </w:p>
        </w:tc>
        <w:tc>
          <w:tcPr>
            <w:tcW w:w="160" w:type="dxa"/>
            <w:vAlign w:val="bottom"/>
            <w:tcBorders>
              <w:right w:val="single" w:sz="8" w:color="D9D9D6"/>
            </w:tcBorders>
            <w:shd w:val="clear" w:color="auto" w:fill="D9D9D6"/>
          </w:tcPr>
          <w:p>
            <w:pPr>
              <w:spacing w:after="0"/>
              <w:rPr>
                <w:sz w:val="14"/>
                <w:szCs w:val="14"/>
                <w:color w:val="auto"/>
              </w:rPr>
            </w:pPr>
          </w:p>
        </w:tc>
        <w:tc>
          <w:tcPr>
            <w:tcW w:w="560" w:type="dxa"/>
            <w:vAlign w:val="bottom"/>
            <w:gridSpan w:val="2"/>
            <w:shd w:val="clear" w:color="auto" w:fill="D9D9D6"/>
          </w:tcPr>
          <w:p>
            <w:pPr>
              <w:jc w:val="right"/>
              <w:ind w:right="300"/>
              <w:spacing w:after="0"/>
              <w:rPr>
                <w:sz w:val="20"/>
                <w:szCs w:val="20"/>
                <w:color w:val="auto"/>
              </w:rPr>
            </w:pPr>
            <w:r>
              <w:rPr>
                <w:rFonts w:ascii="Arial" w:cs="Arial" w:eastAsia="Arial" w:hAnsi="Arial"/>
                <w:sz w:val="14"/>
                <w:szCs w:val="14"/>
                <w:color w:val="auto"/>
                <w:w w:val="76"/>
              </w:rPr>
              <w:t>2021</w:t>
            </w:r>
          </w:p>
        </w:tc>
        <w:tc>
          <w:tcPr>
            <w:tcW w:w="300" w:type="dxa"/>
            <w:vAlign w:val="bottom"/>
            <w:shd w:val="clear" w:color="auto" w:fill="D9D9D6"/>
          </w:tcPr>
          <w:p>
            <w:pPr>
              <w:spacing w:after="0"/>
              <w:rPr>
                <w:sz w:val="14"/>
                <w:szCs w:val="14"/>
                <w:color w:val="auto"/>
              </w:rPr>
            </w:pPr>
          </w:p>
        </w:tc>
        <w:tc>
          <w:tcPr>
            <w:tcW w:w="460" w:type="dxa"/>
            <w:vAlign w:val="bottom"/>
            <w:gridSpan w:val="2"/>
            <w:shd w:val="clear" w:color="auto" w:fill="D9D9D6"/>
          </w:tcPr>
          <w:p>
            <w:pPr>
              <w:jc w:val="right"/>
              <w:ind w:right="140"/>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0"/>
        </w:trPr>
        <w:tc>
          <w:tcPr>
            <w:tcW w:w="390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D9D9D6"/>
          </w:tcPr>
          <w:p>
            <w:pPr>
              <w:spacing w:after="0" w:line="20" w:lineRule="exact"/>
              <w:rPr>
                <w:sz w:val="1"/>
                <w:szCs w:val="1"/>
                <w:color w:val="auto"/>
              </w:rPr>
            </w:pPr>
          </w:p>
        </w:tc>
        <w:tc>
          <w:tcPr>
            <w:tcW w:w="340" w:type="dxa"/>
            <w:vAlign w:val="bottom"/>
            <w:tcBorders>
              <w:left w:val="single" w:sz="8" w:color="D9D9D6"/>
            </w:tcBorders>
            <w:shd w:val="clear" w:color="auto" w:fill="000000"/>
          </w:tcPr>
          <w:p>
            <w:pPr>
              <w:spacing w:after="0" w:line="20" w:lineRule="exact"/>
              <w:rPr>
                <w:sz w:val="1"/>
                <w:szCs w:val="1"/>
                <w:color w:val="auto"/>
              </w:rPr>
            </w:pPr>
          </w:p>
        </w:tc>
        <w:tc>
          <w:tcPr>
            <w:tcW w:w="400" w:type="dxa"/>
            <w:vAlign w:val="bottom"/>
            <w:tcBorders>
              <w:right w:val="single" w:sz="8" w:color="D9D9D6"/>
            </w:tcBorders>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97999B"/>
            </w:tcBorders>
            <w:shd w:val="clear" w:color="auto" w:fill="D9D9D6"/>
          </w:tcPr>
          <w:p>
            <w:pPr>
              <w:spacing w:after="0" w:line="20" w:lineRule="exact"/>
              <w:rPr>
                <w:sz w:val="1"/>
                <w:szCs w:val="1"/>
                <w:color w:val="auto"/>
              </w:rPr>
            </w:pPr>
          </w:p>
        </w:tc>
        <w:tc>
          <w:tcPr>
            <w:tcW w:w="680" w:type="dxa"/>
            <w:vAlign w:val="bottom"/>
            <w:shd w:val="clear" w:color="auto" w:fill="D9D9D6"/>
          </w:tcPr>
          <w:p>
            <w:pPr>
              <w:spacing w:after="0" w:line="20" w:lineRule="exact"/>
              <w:rPr>
                <w:sz w:val="1"/>
                <w:szCs w:val="1"/>
                <w:color w:val="auto"/>
              </w:rPr>
            </w:pPr>
          </w:p>
        </w:tc>
        <w:tc>
          <w:tcPr>
            <w:tcW w:w="160" w:type="dxa"/>
            <w:vAlign w:val="bottom"/>
            <w:tcBorders>
              <w:right w:val="single" w:sz="8" w:color="auto"/>
            </w:tcBorders>
            <w:shd w:val="clear" w:color="auto" w:fill="D9D9D6"/>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tcBorders>
              <w:bottom w:val="single" w:sz="8" w:color="D9D9D6"/>
            </w:tcBorders>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23,027</w:t>
            </w:r>
          </w:p>
        </w:tc>
        <w:tc>
          <w:tcPr>
            <w:tcW w:w="360" w:type="dxa"/>
            <w:vAlign w:val="bottom"/>
            <w:tcBorders>
              <w:bottom w:val="single" w:sz="8" w:color="D9D9D6"/>
            </w:tcBorders>
            <w:shd w:val="clear" w:color="auto" w:fill="D9D9D6"/>
          </w:tcPr>
          <w:p>
            <w:pPr>
              <w:spacing w:after="0"/>
              <w:rPr>
                <w:sz w:val="20"/>
                <w:szCs w:val="20"/>
                <w:color w:val="auto"/>
              </w:rPr>
            </w:pPr>
          </w:p>
        </w:tc>
        <w:tc>
          <w:tcPr>
            <w:tcW w:w="80" w:type="dxa"/>
            <w:vAlign w:val="bottom"/>
            <w:tcBorders>
              <w:bottom w:val="single" w:sz="8" w:color="D9D9D6"/>
            </w:tcBorders>
            <w:shd w:val="clear" w:color="auto" w:fill="D9D9D6"/>
          </w:tcPr>
          <w:p>
            <w:pPr>
              <w:spacing w:after="0"/>
              <w:rPr>
                <w:sz w:val="20"/>
                <w:szCs w:val="20"/>
                <w:color w:val="auto"/>
              </w:rPr>
            </w:pPr>
          </w:p>
        </w:tc>
        <w:tc>
          <w:tcPr>
            <w:tcW w:w="2180" w:type="dxa"/>
            <w:vAlign w:val="bottom"/>
            <w:tcBorders>
              <w:bottom w:val="single" w:sz="8" w:color="D9D9D6"/>
            </w:tcBorders>
            <w:gridSpan w:val="3"/>
            <w:shd w:val="clear" w:color="auto" w:fill="D9D9D6"/>
          </w:tcPr>
          <w:p>
            <w:pPr>
              <w:jc w:val="right"/>
              <w:ind w:right="1680"/>
              <w:spacing w:after="0"/>
              <w:rPr>
                <w:sz w:val="20"/>
                <w:szCs w:val="20"/>
                <w:color w:val="auto"/>
              </w:rPr>
            </w:pPr>
            <w:r>
              <w:rPr>
                <w:rFonts w:ascii="Arial" w:cs="Arial" w:eastAsia="Arial" w:hAnsi="Arial"/>
                <w:sz w:val="14"/>
                <w:szCs w:val="14"/>
                <w:b w:val="1"/>
                <w:bCs w:val="1"/>
                <w:color w:val="auto"/>
              </w:rPr>
              <w:t>23,224</w:t>
            </w:r>
          </w:p>
        </w:tc>
        <w:tc>
          <w:tcPr>
            <w:tcW w:w="340" w:type="dxa"/>
            <w:vAlign w:val="bottom"/>
            <w:tcBorders>
              <w:left w:val="single" w:sz="8" w:color="D9D9D6"/>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61</w:t>
            </w:r>
          </w:p>
        </w:tc>
        <w:tc>
          <w:tcPr>
            <w:tcW w:w="400" w:type="dxa"/>
            <w:vAlign w:val="bottom"/>
            <w:tcBorders>
              <w:bottom w:val="single" w:sz="8" w:color="D9D9D6"/>
              <w:right w:val="single" w:sz="8" w:color="D9D9D6"/>
            </w:tcBorders>
            <w:shd w:val="clear" w:color="auto" w:fill="D9D9D6"/>
          </w:tcPr>
          <w:p>
            <w:pPr>
              <w:spacing w:after="0"/>
              <w:rPr>
                <w:sz w:val="20"/>
                <w:szCs w:val="20"/>
                <w:color w:val="auto"/>
              </w:rPr>
            </w:pPr>
          </w:p>
        </w:tc>
        <w:tc>
          <w:tcPr>
            <w:tcW w:w="600" w:type="dxa"/>
            <w:vAlign w:val="bottom"/>
            <w:tcBorders>
              <w:bottom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244</w:t>
            </w:r>
          </w:p>
        </w:tc>
        <w:tc>
          <w:tcPr>
            <w:tcW w:w="240" w:type="dxa"/>
            <w:vAlign w:val="bottom"/>
            <w:tcBorders>
              <w:bottom w:val="single" w:sz="8" w:color="D9D9D6"/>
              <w:right w:val="single" w:sz="8" w:color="97999B"/>
            </w:tcBorders>
            <w:shd w:val="clear" w:color="auto" w:fill="D9D9D6"/>
          </w:tcPr>
          <w:p>
            <w:pPr>
              <w:spacing w:after="0"/>
              <w:rPr>
                <w:sz w:val="20"/>
                <w:szCs w:val="20"/>
                <w:color w:val="auto"/>
              </w:rPr>
            </w:pPr>
          </w:p>
        </w:tc>
        <w:tc>
          <w:tcPr>
            <w:tcW w:w="680" w:type="dxa"/>
            <w:vAlign w:val="bottom"/>
            <w:tcBorders>
              <w:bottom w:val="single" w:sz="8" w:color="D9D9D6"/>
            </w:tcBorders>
            <w:shd w:val="clear" w:color="auto" w:fill="D9D9D6"/>
          </w:tcPr>
          <w:p>
            <w:pPr>
              <w:spacing w:after="0"/>
              <w:rPr>
                <w:sz w:val="20"/>
                <w:szCs w:val="20"/>
                <w:color w:val="auto"/>
              </w:rPr>
            </w:pPr>
          </w:p>
        </w:tc>
        <w:tc>
          <w:tcPr>
            <w:tcW w:w="160" w:type="dxa"/>
            <w:vAlign w:val="bottom"/>
            <w:tcBorders>
              <w:bottom w:val="single" w:sz="8" w:color="D9D9D6"/>
              <w:right w:val="single" w:sz="8" w:color="D9D9D6"/>
            </w:tcBorders>
            <w:shd w:val="clear" w:color="auto" w:fill="D9D9D6"/>
          </w:tcPr>
          <w:p>
            <w:pPr>
              <w:spacing w:after="0"/>
              <w:rPr>
                <w:sz w:val="20"/>
                <w:szCs w:val="20"/>
                <w:color w:val="auto"/>
              </w:rPr>
            </w:pPr>
          </w:p>
        </w:tc>
        <w:tc>
          <w:tcPr>
            <w:tcW w:w="26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73"/>
              </w:rPr>
              <w:t>(198)</w:t>
            </w:r>
          </w:p>
        </w:tc>
        <w:tc>
          <w:tcPr>
            <w:tcW w:w="300" w:type="dxa"/>
            <w:vAlign w:val="bottom"/>
            <w:tcBorders>
              <w:bottom w:val="single" w:sz="8" w:color="D9D9D6"/>
            </w:tcBorders>
            <w:shd w:val="clear" w:color="auto" w:fill="D9D9D6"/>
          </w:tcPr>
          <w:p>
            <w:pPr>
              <w:spacing w:after="0"/>
              <w:rPr>
                <w:sz w:val="20"/>
                <w:szCs w:val="20"/>
                <w:color w:val="auto"/>
              </w:rPr>
            </w:pPr>
          </w:p>
        </w:tc>
        <w:tc>
          <w:tcPr>
            <w:tcW w:w="300" w:type="dxa"/>
            <w:vAlign w:val="bottom"/>
            <w:tcBorders>
              <w:bottom w:val="single" w:sz="8" w:color="D9D9D6"/>
            </w:tcBorders>
            <w:shd w:val="clear" w:color="auto" w:fill="D9D9D6"/>
          </w:tcPr>
          <w:p>
            <w:pPr>
              <w:spacing w:after="0"/>
              <w:rPr>
                <w:sz w:val="20"/>
                <w:szCs w:val="20"/>
                <w:color w:val="auto"/>
              </w:rPr>
            </w:pPr>
          </w:p>
        </w:tc>
        <w:tc>
          <w:tcPr>
            <w:tcW w:w="32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(56)</w:t>
            </w:r>
          </w:p>
        </w:tc>
        <w:tc>
          <w:tcPr>
            <w:tcW w:w="140" w:type="dxa"/>
            <w:vAlign w:val="bottom"/>
            <w:tcBorders>
              <w:bottom w:val="single" w:sz="8" w:color="D9D9D6"/>
            </w:tcBorders>
            <w:shd w:val="clear" w:color="auto" w:fill="D9D9D6"/>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increased 233.7% to $464 million in the fourth quarter of 2021.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increased 187.9% compared to the prior year period, reflecting lower operating expenses, which more than offset lower revenue. The decrease in operating expenses was due to lower programming and production expenses, primarily reflecting lower sports programming costs associated with the reduction in Sky's broadcast rights to Serie A in Italy, partially offset by the timing of sports rights amortization.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2021, Adjusted EBITDA for Sky increased 20.8% to $2.4 billion compared to 2020. Excluding the impact of currency, Adjusted EBITDA increased 10.2%.</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and Other primarily relates to corporate operations, Comcast Spectacor, and our new smart TV initiatives, Sky Glass and XClass TV. Revenue for the quarter ended December 31, 2021 was $215 million compared to $44 million in the prior year period. Corporate and Other Adjusted EBITDA loss was $481 million, including losses from Sky Glass and XClass TV during the period, compared to a loss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8"/>
          <w:szCs w:val="18"/>
          <w:color w:val="auto"/>
        </w:rPr>
        <w:t>$939 million in the prior year period which included certain costs in response to COVID-19, including severance charges related to our businesses, which are presented in Corporate and Other.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twelve months ended December 31, 2021, Corporate and Other revenue was $ 461 million compared to $248 million in 2020. Corporate and Other Adjusted EBITDA loss was $ 1.4 billion compared to a loss of $1.8 billion in 2020 which included certain costs in response to COVID-19, including severance charges related to our businesses, which are presented in Corporate and Other.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segments are presented separately. Revenue eliminations for the quarter ended December 31, 2021 were $ 703 million compared to $680 million in the prior year period, and Adjusted EBITDA eliminations were $21 million compared to $3 million in the prior year period.</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twelve months ended December 31, 2021 revenue eliminations were $3.0 billion compared to $2.5 billion in 2020, and Adjusted EBITDA eliminations were a loss of $65 million compared to a benefit of $32 million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69"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5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From time to time, we may present adjusted information (e.g., Adjusted Revenues) to exclude the impact of certain events, gains, losses or other charges affecting period-to-period comparability of our operating performance. See Table 7 and Table 8 for reconciliations of non-GAAP financial measures.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6 In the first quarter of 2021, we updated Cable Communications' total residential customer relationships and broadband customers due to a conforming change to methodology resulting in a reduction of approximately 26,000 customers. There was no impact to net additions and prior periods have been recast on a comparable basis.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7 Adjusted EBITDA is the measure of profit or loss for our segments. From time to time, we may present Adjusted EBITDA for components of our reportable segments, such as Peacock and the wireless business within Cable Communications. We believe these measures are useful to evaluate our financial results and provide a basis of comparison to others, although our definition of Adjusted EBITDA may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706" w:right="339" w:bottom="1440" w:gutter="0" w:footer="0" w:header="0"/>
        </w:sectPr>
      </w:pPr>
    </w:p>
    <w:bookmarkStart w:id="12" w:name="page13"/>
    <w:bookmarkEnd w:id="12"/>
    <w:p>
      <w:pPr>
        <w:jc w:val="both"/>
        <w:ind w:left="180" w:right="20"/>
        <w:spacing w:after="0" w:line="256" w:lineRule="auto"/>
        <w:rPr>
          <w:sz w:val="20"/>
          <w:szCs w:val="20"/>
          <w:color w:val="auto"/>
        </w:rPr>
      </w:pPr>
      <w:r>
        <w:rPr>
          <w:rFonts w:ascii="Arial" w:cs="Arial" w:eastAsia="Arial" w:hAnsi="Arial"/>
          <w:sz w:val="18"/>
          <w:szCs w:val="18"/>
          <w:color w:val="auto"/>
        </w:rPr>
        <w:t>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4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8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148"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9 In the first quarter of 2021, we implemented conforming changes in the methodology for counting commercial customer relationships in Italy and Germany, which are now counted on a consistent basis with customers in the United Kingdom. The change resulted in a reduction in Sky’s total customer relationships of 714,000 as of December 31, 2020. The impact of the change in methodology to customer relationship net additions for any period was not material. For comparative purposes, we have recast Sky’s historical total customer relationships to reflect this adjustment.</w:t>
      </w:r>
    </w:p>
    <w:p>
      <w:pPr>
        <w:spacing w:after="0" w:line="151" w:lineRule="exact"/>
        <w:rPr>
          <w:sz w:val="20"/>
          <w:szCs w:val="20"/>
          <w:color w:val="auto"/>
        </w:rPr>
      </w:pPr>
    </w:p>
    <w:p>
      <w:pPr>
        <w:ind w:left="180"/>
        <w:spacing w:after="0" w:line="261"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27, 2022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(833) 618-9487. A replay of the call will be available starting at 12:00 p.m. ET on January 27, 2022, on the Investor Relations website or by telephone. To access the telephone replay, which will be available until Thursday, February 3, 2022 at midnight ET, please dial (855) 859-2056 and enter the conference ID number 2698862.</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6"/>
                <w:szCs w:val="16"/>
                <w:color w:val="auto"/>
              </w:rPr>
            </w:pP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6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706"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broadband, aggregation, and streaming with 57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1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22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$30,336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$27,708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$116,385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$103,564</w:t>
            </w:r>
          </w:p>
        </w:tc>
        <w:tc>
          <w:tcPr>
            <w:tcW w:w="0" w:type="dxa"/>
            <w:vAlign w:val="bottom"/>
          </w:tcPr>
          <w:p>
            <w:pPr>
              <w:spacing w:after="0"/>
              <w:rPr>
                <w:sz w:val="1"/>
                <w:szCs w:val="1"/>
                <w:color w:val="auto"/>
              </w:rPr>
            </w:pPr>
          </w:p>
        </w:tc>
      </w:tr>
      <w:tr>
        <w:trPr>
          <w:trHeight w:val="481"/>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9,880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9,438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38,450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33,121</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35,619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33,109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7,695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6,741</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2,220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8,628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8,320</w:t>
            </w:r>
          </w:p>
        </w:tc>
        <w:tc>
          <w:tcPr>
            <w:tcW w:w="0" w:type="dxa"/>
            <w:vAlign w:val="bottom"/>
          </w:tcPr>
          <w:p>
            <w:pPr>
              <w:spacing w:after="0"/>
              <w:rPr>
                <w:sz w:val="1"/>
                <w:szCs w:val="1"/>
                <w:color w:val="auto"/>
              </w:rPr>
            </w:pPr>
          </w:p>
        </w:tc>
      </w:tr>
      <w:tr>
        <w:trPr>
          <w:trHeight w:val="219"/>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1,361</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5,176</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4,780</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25,515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95,568</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86,071</w:t>
            </w:r>
          </w:p>
        </w:tc>
        <w:tc>
          <w:tcPr>
            <w:tcW w:w="0" w:type="dxa"/>
            <w:vAlign w:val="bottom"/>
          </w:tcPr>
          <w:p>
            <w:pPr>
              <w:spacing w:after="0"/>
              <w:rPr>
                <w:sz w:val="1"/>
                <w:szCs w:val="1"/>
                <w:color w:val="auto"/>
              </w:rPr>
            </w:pPr>
          </w:p>
        </w:tc>
      </w:tr>
      <w:tr>
        <w:trPr>
          <w:trHeight w:val="407"/>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4,821</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20,817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17,493</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(4,281)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(4,588)</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9"/>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2"/>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2,557</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461"/>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3,885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19,093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14,065</w:t>
            </w:r>
          </w:p>
        </w:tc>
        <w:tc>
          <w:tcPr>
            <w:tcW w:w="0" w:type="dxa"/>
            <w:vAlign w:val="bottom"/>
          </w:tcPr>
          <w:p>
            <w:pPr>
              <w:spacing w:after="0"/>
              <w:rPr>
                <w:sz w:val="1"/>
                <w:szCs w:val="1"/>
                <w:color w:val="auto"/>
              </w:rPr>
            </w:pPr>
          </w:p>
        </w:tc>
      </w:tr>
      <w:tr>
        <w:trPr>
          <w:trHeight w:val="489"/>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(905)</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(5,259)</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463"/>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2,980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13,833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10,701</w:t>
            </w: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(325)</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4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76"/>
        </w:trPr>
        <w:tc>
          <w:tcPr>
            <w:tcW w:w="65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$3,057</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$14,159</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$0.66</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$0.73</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$3.04</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4,613</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4,645</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4,654</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20"/>
          </w:cols>
          <w:pgMar w:left="340" w:top="744"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3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$13,833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13,804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13,100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1,315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(1,311)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1,892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9"/>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29,146</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24,737</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(9,174)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(9,179)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(2,883)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(976)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(1,498)</w:t>
            </w:r>
          </w:p>
        </w:tc>
      </w:tr>
      <w:tr>
        <w:trPr>
          <w:trHeight w:val="231"/>
        </w:trPr>
        <w:tc>
          <w:tcPr>
            <w:tcW w:w="8900" w:type="dxa"/>
            <w:vAlign w:val="bottom"/>
          </w:tcPr>
          <w:p>
            <w:pPr>
              <w:ind w:left="200"/>
              <w:spacing w:after="0"/>
              <w:rPr>
                <w:sz w:val="20"/>
                <w:szCs w:val="20"/>
                <w:color w:val="auto"/>
              </w:rPr>
            </w:pPr>
            <w:r>
              <w:rPr>
                <w:rFonts w:ascii="Arial" w:cs="Arial" w:eastAsia="Arial" w:hAnsi="Arial"/>
                <w:sz w:val="16"/>
                <w:szCs w:val="16"/>
                <w:color w:val="auto"/>
              </w:rPr>
              <w:t>Purchase of spectrum</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11"/>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(13,446)</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(12,047)</w:t>
            </w:r>
          </w:p>
        </w:tc>
      </w:tr>
      <w:tr>
        <w:trPr>
          <w:trHeight w:val="407"/>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2,628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18,644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(11,498)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(18,777)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(4,672)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(4,532)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(18,618)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(6,513)</w:t>
            </w:r>
          </w:p>
        </w:tc>
      </w:tr>
      <w:tr>
        <w:trPr>
          <w:trHeight w:val="409"/>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(2,989)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6,179</w:t>
            </w:r>
          </w:p>
        </w:tc>
      </w:tr>
      <w:tr>
        <w:trPr>
          <w:trHeight w:val="435"/>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w:t>
            </w: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$8,778</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$11,768</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20"/>
          </w:cols>
          <w:pgMar w:left="340" w:top="784"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$8,711</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12,008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4,088</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24,807</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426"/>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12,806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8,082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54,047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70,189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33,580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12,424</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$275,905</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$12,455</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1,822</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3,040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9,899</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2,132</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29,348</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92,718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5,170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30,041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20,620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96,092</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1,398</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97,490</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$275,905</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14</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7"/>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4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-179705</wp:posOffset>
            </wp:positionV>
            <wp:extent cx="1028700" cy="43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300" w:type="dxa"/>
            <w:vAlign w:val="bottom"/>
          </w:tcPr>
          <w:p>
            <w:pPr>
              <w:spacing w:after="0"/>
              <w:rPr>
                <w:sz w:val="21"/>
                <w:szCs w:val="21"/>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1"/>
                <w:szCs w:val="21"/>
                <w:color w:val="auto"/>
              </w:rPr>
            </w:pPr>
          </w:p>
        </w:tc>
        <w:tc>
          <w:tcPr>
            <w:tcW w:w="19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76"/>
        </w:trPr>
        <w:tc>
          <w:tcPr>
            <w:tcW w:w="7300" w:type="dxa"/>
            <w:vAlign w:val="bottom"/>
          </w:tcPr>
          <w:p>
            <w:pPr>
              <w:spacing w:after="0"/>
              <w:rPr>
                <w:sz w:val="15"/>
                <w:szCs w:val="15"/>
                <w:color w:val="auto"/>
              </w:rPr>
            </w:pPr>
          </w:p>
        </w:tc>
        <w:tc>
          <w:tcPr>
            <w:tcW w:w="19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r>
      <w:tr>
        <w:trPr>
          <w:trHeight w:val="183"/>
        </w:trPr>
        <w:tc>
          <w:tcPr>
            <w:tcW w:w="7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$3,057</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$14,159</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$10,534</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905</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5,259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3,364</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1,120</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4,281</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4,588</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(2,557)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(1,160)</w:t>
            </w:r>
          </w:p>
        </w:tc>
      </w:tr>
      <w:tr>
        <w:trPr>
          <w:trHeight w:val="189"/>
        </w:trPr>
        <w:tc>
          <w:tcPr>
            <w:tcW w:w="7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13,804</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13,100</w:t>
            </w:r>
          </w:p>
        </w:tc>
      </w:tr>
      <w:tr>
        <w:trPr>
          <w:trHeight w:val="189"/>
        </w:trPr>
        <w:tc>
          <w:tcPr>
            <w:tcW w:w="7300" w:type="dxa"/>
            <w:vAlign w:val="bottom"/>
          </w:tcPr>
          <w:p>
            <w:pPr>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r>
      <w:tr>
        <w:trPr>
          <w:trHeight w:val="223"/>
        </w:trPr>
        <w:tc>
          <w:tcPr>
            <w:tcW w:w="73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$8,411</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$34,708</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$30,826</w:t>
            </w: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left w:val="single" w:sz="8" w:color="auto"/>
            </w:tcBorders>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left w:val="single" w:sz="8" w:color="auto"/>
            </w:tcBorders>
          </w:tcPr>
          <w:p>
            <w:pPr>
              <w:spacing w:after="0"/>
              <w:rPr>
                <w:sz w:val="15"/>
                <w:szCs w:val="15"/>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$7,689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$5,042</w:t>
            </w: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$29,146</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$24,737</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(3,028)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(2,835)</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(9,174)</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(9,179)</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(2,883)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$3,784</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$17,089</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$13,280</w:t>
            </w:r>
          </w:p>
        </w:tc>
        <w:tc>
          <w:tcPr>
            <w:tcW w:w="0" w:type="dxa"/>
            <w:vAlign w:val="bottom"/>
          </w:tcPr>
          <w:p>
            <w:pPr>
              <w:spacing w:after="0"/>
              <w:rPr>
                <w:sz w:val="1"/>
                <w:szCs w:val="1"/>
                <w:color w:val="auto"/>
              </w:rPr>
            </w:pPr>
          </w:p>
        </w:tc>
      </w:tr>
      <w:tr>
        <w:trPr>
          <w:trHeight w:val="305"/>
        </w:trPr>
        <w:tc>
          <w:tcPr>
            <w:tcW w:w="7240" w:type="dxa"/>
            <w:vAlign w:val="bottom"/>
            <w:tcBorders>
              <w:bottom w:val="single" w:sz="8" w:color="004EA8"/>
            </w:tcBorders>
          </w:tcPr>
          <w:p>
            <w:pPr>
              <w:ind w:left="2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860" w:type="dxa"/>
            <w:vAlign w:val="bottom"/>
            <w:tcBorders>
              <w:bottom w:val="single" w:sz="8" w:color="004EA8"/>
            </w:tcBorders>
          </w:tcPr>
          <w:p>
            <w:pPr>
              <w:spacing w:after="0"/>
              <w:rPr>
                <w:sz w:val="24"/>
                <w:szCs w:val="24"/>
                <w:color w:val="auto"/>
              </w:rPr>
            </w:pPr>
          </w:p>
        </w:tc>
        <w:tc>
          <w:tcPr>
            <w:tcW w:w="140" w:type="dxa"/>
            <w:vAlign w:val="bottom"/>
            <w:tcBorders>
              <w:bottom w:val="single" w:sz="8" w:color="004EA8"/>
            </w:tcBorders>
          </w:tcPr>
          <w:p>
            <w:pPr>
              <w:spacing w:after="0"/>
              <w:rPr>
                <w:sz w:val="24"/>
                <w:szCs w:val="24"/>
                <w:color w:val="auto"/>
              </w:rPr>
            </w:pPr>
          </w:p>
        </w:tc>
        <w:tc>
          <w:tcPr>
            <w:tcW w:w="86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9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
                <w:szCs w:val="2"/>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line="20" w:lineRule="exact"/>
              <w:rPr>
                <w:sz w:val="1"/>
                <w:szCs w:val="1"/>
                <w:color w:val="auto"/>
              </w:rPr>
            </w:pPr>
          </w:p>
        </w:tc>
      </w:tr>
      <w:tr>
        <w:trPr>
          <w:trHeight w:val="202"/>
        </w:trPr>
        <w:tc>
          <w:tcPr>
            <w:tcW w:w="7240" w:type="dxa"/>
            <w:vAlign w:val="bottom"/>
          </w:tcPr>
          <w:p>
            <w:pPr>
              <w:spacing w:after="0"/>
              <w:rPr>
                <w:sz w:val="17"/>
                <w:szCs w:val="17"/>
                <w:color w:val="auto"/>
              </w:rPr>
            </w:pPr>
          </w:p>
        </w:tc>
        <w:tc>
          <w:tcPr>
            <w:tcW w:w="1980" w:type="dxa"/>
            <w:vAlign w:val="bottom"/>
            <w:gridSpan w:val="4"/>
            <w:vMerge w:val="continue"/>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240" w:type="dxa"/>
            <w:vAlign w:val="bottom"/>
          </w:tcPr>
          <w:p>
            <w:pPr>
              <w:spacing w:after="0"/>
              <w:rPr>
                <w:sz w:val="15"/>
                <w:szCs w:val="15"/>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left w:val="single" w:sz="8" w:color="auto"/>
            </w:tcBorders>
          </w:tcPr>
          <w:p>
            <w:pPr>
              <w:spacing w:after="0"/>
              <w:rPr>
                <w:sz w:val="15"/>
                <w:szCs w:val="15"/>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$8,411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$7,186</w:t>
            </w:r>
          </w:p>
        </w:tc>
        <w:tc>
          <w:tcPr>
            <w:tcW w:w="1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$34,708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$30,826</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(3,028)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(2,835)</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(9,174)</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(9,179)</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(2,883)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(965)</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(3,908)</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(428)</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(2,628)</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(3,183)</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(442)</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(1,499)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1,315</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(3)</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817</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1,159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72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$3,784</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$17,089</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$13,280</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60" w:right="20" w:hanging="334"/>
        <w:spacing w:after="0" w:line="184" w:lineRule="auto"/>
        <w:tabs>
          <w:tab w:leader="none" w:pos="36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2021 Adjusted EBITDA exclude $9 million and $87 million of other operating and administrative expense, respectively, related to the Sky transaction and costs related to our investment portfolio. 4th quarter and year to date 2020 Adjusted EBITDA exclude $177 million of other operating and administrative expense related to a legal settlement and $16 million and $56 million of other operating and administrative expense, respectively, related to the Sky transaction.</w:t>
      </w:r>
    </w:p>
    <w:p>
      <w:pPr>
        <w:spacing w:after="0" w:line="1" w:lineRule="exact"/>
        <w:rPr>
          <w:rFonts w:ascii="Arial" w:cs="Arial" w:eastAsia="Arial" w:hAnsi="Arial"/>
          <w:sz w:val="22"/>
          <w:szCs w:val="22"/>
          <w:color w:val="auto"/>
          <w:vertAlign w:val="superscript"/>
        </w:rPr>
      </w:pPr>
    </w:p>
    <w:p>
      <w:pPr>
        <w:ind w:left="360" w:hanging="334"/>
        <w:spacing w:after="0" w:line="230" w:lineRule="auto"/>
        <w:tabs>
          <w:tab w:leader="none" w:pos="36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2020 adjustments for this presentation include a $177 million payment related to a legal settlement.</w:t>
      </w:r>
    </w:p>
    <w:p>
      <w:pPr>
        <w:spacing w:after="0" w:line="71" w:lineRule="exact"/>
        <w:rPr>
          <w:rFonts w:ascii="Arial" w:cs="Arial" w:eastAsia="Arial" w:hAnsi="Arial"/>
          <w:sz w:val="22"/>
          <w:szCs w:val="22"/>
          <w:color w:val="auto"/>
          <w:vertAlign w:val="superscript"/>
        </w:rPr>
      </w:pPr>
    </w:p>
    <w:p>
      <w:pPr>
        <w:jc w:val="both"/>
        <w:ind w:left="360" w:right="100" w:hanging="334"/>
        <w:spacing w:after="0" w:line="184" w:lineRule="auto"/>
        <w:tabs>
          <w:tab w:leader="none" w:pos="36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4th quarter and year to date 2021 include decreases of $9 million and $87 million, respectively, of costs related to the Sky transaction and costs related to our investment portfolio, as these amounts are excluded from adjusted EBITDA. 4th quarter and year to date 2020 include decreases of $16 million and $56 million of costs related to the Sky transaction, respectively,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89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6003290</wp:posOffset>
            </wp:positionH>
            <wp:positionV relativeFrom="page">
              <wp:posOffset>526415</wp:posOffset>
            </wp:positionV>
            <wp:extent cx="108013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9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Twelve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7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78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tcPr>
          <w:p>
            <w:pPr>
              <w:ind w:left="6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w:t>
            </w:r>
          </w:p>
        </w:tc>
        <w:tc>
          <w:tcPr>
            <w:tcW w:w="1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line="135" w:lineRule="exact"/>
              <w:rPr>
                <w:sz w:val="20"/>
                <w:szCs w:val="20"/>
                <w:color w:val="auto"/>
              </w:rPr>
            </w:pPr>
            <w:r>
              <w:rPr>
                <w:rFonts w:ascii="Arial" w:cs="Arial" w:eastAsia="Arial" w:hAnsi="Arial"/>
                <w:sz w:val="14"/>
                <w:szCs w:val="14"/>
                <w:b w:val="1"/>
                <w:bCs w:val="1"/>
                <w:color w:val="auto"/>
              </w:rPr>
              <w:t>diluted earnings per share attributable to Comcast</w:t>
            </w: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$3,057</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$0.66</w:t>
            </w:r>
          </w:p>
        </w:tc>
        <w:tc>
          <w:tcPr>
            <w:tcW w:w="120" w:type="dxa"/>
            <w:vAlign w:val="bottom"/>
          </w:tcPr>
          <w:p>
            <w:pPr>
              <w:spacing w:after="0"/>
              <w:rPr>
                <w:sz w:val="11"/>
                <w:szCs w:val="11"/>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color w:val="auto"/>
              </w:rPr>
              <w:t>$3,380</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$0.73</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$14,159</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$3.04</w:t>
            </w:r>
          </w:p>
        </w:tc>
        <w:tc>
          <w:tcPr>
            <w:tcW w:w="120" w:type="dxa"/>
            <w:vAlign w:val="bottom"/>
          </w:tcPr>
          <w:p>
            <w:pPr>
              <w:spacing w:after="0"/>
              <w:rPr>
                <w:sz w:val="11"/>
                <w:szCs w:val="11"/>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color w:val="auto"/>
              </w:rPr>
              <w:t>$10,534</w:t>
            </w: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60" w:type="dxa"/>
            <w:vAlign w:val="bottom"/>
          </w:tcPr>
          <w:p>
            <w:pPr>
              <w:jc w:val="right"/>
              <w:ind w:right="268"/>
              <w:spacing w:after="0"/>
              <w:rPr>
                <w:sz w:val="20"/>
                <w:szCs w:val="20"/>
                <w:color w:val="auto"/>
              </w:rPr>
            </w:pPr>
            <w:r>
              <w:rPr>
                <w:rFonts w:ascii="Arial" w:cs="Arial" w:eastAsia="Arial" w:hAnsi="Arial"/>
                <w:sz w:val="14"/>
                <w:szCs w:val="14"/>
                <w:i w:val="1"/>
                <w:iCs w:val="1"/>
                <w:color w:val="auto"/>
              </w:rPr>
              <w:t>(9.6 %)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(9.6 %)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i w:val="1"/>
                <w:iCs w:val="1"/>
                <w:color w:val="auto"/>
              </w:rPr>
              <w:t>34.4 %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33.3 %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484</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20" w:type="dxa"/>
            <w:vAlign w:val="bottom"/>
          </w:tcPr>
          <w:p>
            <w:pPr>
              <w:spacing w:after="0"/>
              <w:rPr>
                <w:sz w:val="21"/>
                <w:szCs w:val="21"/>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471</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1,923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20" w:type="dxa"/>
            <w:vAlign w:val="bottom"/>
          </w:tcPr>
          <w:p>
            <w:pPr>
              <w:spacing w:after="0"/>
              <w:rPr>
                <w:sz w:val="21"/>
                <w:szCs w:val="21"/>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1,836</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(37)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8"/>
                <w:szCs w:val="18"/>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(1,155)</w:t>
            </w:r>
          </w:p>
        </w:tc>
        <w:tc>
          <w:tcPr>
            <w:tcW w:w="540" w:type="dxa"/>
            <w:vAlign w:val="bottom"/>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(1,645)</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(0.35)</w:t>
            </w:r>
          </w:p>
        </w:tc>
        <w:tc>
          <w:tcPr>
            <w:tcW w:w="120" w:type="dxa"/>
            <w:vAlign w:val="bottom"/>
          </w:tcPr>
          <w:p>
            <w:pPr>
              <w:spacing w:after="0"/>
              <w:rPr>
                <w:sz w:val="18"/>
                <w:szCs w:val="18"/>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(821)</w:t>
            </w:r>
          </w:p>
        </w:tc>
        <w:tc>
          <w:tcPr>
            <w:tcW w:w="560" w:type="dxa"/>
            <w:vAlign w:val="bottom"/>
          </w:tcPr>
          <w:p>
            <w:pPr>
              <w:jc w:val="center"/>
              <w:ind w:left="68"/>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498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6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(3)</w:t>
            </w:r>
          </w:p>
        </w:tc>
        <w:tc>
          <w:tcPr>
            <w:tcW w:w="11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145</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9"/>
        </w:trPr>
        <w:tc>
          <w:tcPr>
            <w:tcW w:w="4060" w:type="dxa"/>
            <w:vAlign w:val="bottom"/>
          </w:tcPr>
          <w:p>
            <w:pPr>
              <w:ind w:left="120"/>
              <w:spacing w:after="0" w:line="199"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(4)</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95</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tcPr>
          <w:p>
            <w:pPr>
              <w:spacing w:after="0"/>
              <w:rPr>
                <w:sz w:val="17"/>
                <w:szCs w:val="17"/>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154</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12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272</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9"/>
        </w:trPr>
        <w:tc>
          <w:tcPr>
            <w:tcW w:w="4060" w:type="dxa"/>
            <w:vAlign w:val="bottom"/>
          </w:tcPr>
          <w:p>
            <w:pPr>
              <w:ind w:left="120"/>
              <w:spacing w:after="0" w:line="180" w:lineRule="exact"/>
              <w:rPr>
                <w:sz w:val="20"/>
                <w:szCs w:val="20"/>
                <w:color w:val="auto"/>
              </w:rPr>
            </w:pPr>
            <w:r>
              <w:rPr>
                <w:rFonts w:ascii="Arial" w:cs="Arial" w:eastAsia="Arial" w:hAnsi="Arial"/>
                <w:sz w:val="14"/>
                <w:szCs w:val="14"/>
                <w:color w:val="auto"/>
              </w:rPr>
              <w:t xml:space="preserve">Legal settlement </w:t>
            </w:r>
            <w:r>
              <w:rPr>
                <w:rFonts w:ascii="Arial" w:cs="Arial" w:eastAsia="Arial" w:hAnsi="Arial"/>
                <w:sz w:val="18"/>
                <w:szCs w:val="18"/>
                <w:color w:val="auto"/>
                <w:vertAlign w:val="superscript"/>
              </w:rPr>
              <w:t>(5)</w:t>
            </w:r>
          </w:p>
        </w:tc>
        <w:tc>
          <w:tcPr>
            <w:tcW w:w="11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134</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9"/>
        </w:trPr>
        <w:tc>
          <w:tcPr>
            <w:tcW w:w="406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(6)</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(64)</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(92)</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(64)</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(92)</w:t>
            </w:r>
          </w:p>
        </w:tc>
        <w:tc>
          <w:tcPr>
            <w:tcW w:w="560" w:type="dxa"/>
            <w:vAlign w:val="bottom"/>
          </w:tcPr>
          <w:p>
            <w:pPr>
              <w:jc w:val="center"/>
              <w:ind w:left="6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406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(7)</w:t>
            </w:r>
          </w:p>
        </w:tc>
        <w:tc>
          <w:tcPr>
            <w:tcW w:w="11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13</w:t>
            </w:r>
          </w:p>
        </w:tc>
        <w:tc>
          <w:tcPr>
            <w:tcW w:w="66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20</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$3,534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$0.77</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$2,617</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$15,045</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$12,053</w:t>
            </w:r>
          </w:p>
        </w:tc>
        <w:tc>
          <w:tcPr>
            <w:tcW w:w="56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60" w:type="dxa"/>
            <w:vAlign w:val="bottom"/>
          </w:tcPr>
          <w:p>
            <w:pPr>
              <w:jc w:val="right"/>
              <w:ind w:right="308"/>
              <w:spacing w:after="0"/>
              <w:rPr>
                <w:sz w:val="20"/>
                <w:szCs w:val="20"/>
                <w:color w:val="auto"/>
              </w:rPr>
            </w:pPr>
            <w:r>
              <w:rPr>
                <w:rFonts w:ascii="Arial" w:cs="Arial" w:eastAsia="Arial" w:hAnsi="Arial"/>
                <w:sz w:val="14"/>
                <w:szCs w:val="14"/>
                <w:i w:val="1"/>
                <w:iCs w:val="1"/>
                <w:color w:val="auto"/>
              </w:rPr>
              <w:t>35.1 %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37.5 %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i w:val="1"/>
                <w:iCs w:val="1"/>
                <w:color w:val="auto"/>
              </w:rPr>
              <w:t>24.8 %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23.8 %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60" w:right="40" w:hanging="252"/>
        <w:spacing w:after="0" w:line="250"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52"/>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85"/>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69"/>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$595</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$2,376</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r>
      <w:tr>
        <w:trPr>
          <w:trHeight w:val="175"/>
        </w:trPr>
        <w:tc>
          <w:tcPr>
            <w:tcW w:w="698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w:t>
            </w:r>
          </w:p>
        </w:tc>
      </w:tr>
      <w:tr>
        <w:trPr>
          <w:trHeight w:val="21"/>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220" w:hanging="252"/>
        <w:spacing w:after="0" w:line="242"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52"/>
        </w:trPr>
        <w:tc>
          <w:tcPr>
            <w:tcW w:w="698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85"/>
        </w:trPr>
        <w:tc>
          <w:tcPr>
            <w:tcW w:w="698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59"/>
        </w:trPr>
        <w:tc>
          <w:tcPr>
            <w:tcW w:w="698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$192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($949)</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($1,014)</w:t>
            </w:r>
          </w:p>
        </w:tc>
      </w:tr>
      <w:tr>
        <w:trPr>
          <w:trHeight w:val="185"/>
        </w:trPr>
        <w:tc>
          <w:tcPr>
            <w:tcW w:w="698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r>
      <w:tr>
        <w:trPr>
          <w:trHeight w:val="159"/>
        </w:trPr>
        <w:tc>
          <w:tcPr>
            <w:tcW w:w="698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(1,494)</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(2,169)</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(1,053)</w:t>
            </w:r>
          </w:p>
        </w:tc>
      </w:tr>
      <w:tr>
        <w:trPr>
          <w:trHeight w:val="192"/>
        </w:trPr>
        <w:tc>
          <w:tcPr>
            <w:tcW w:w="698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($1,645)</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w:t>
            </w:r>
          </w:p>
        </w:tc>
      </w:tr>
      <w:tr>
        <w:trPr>
          <w:trHeight w:val="20"/>
        </w:trPr>
        <w:tc>
          <w:tcPr>
            <w:tcW w:w="6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60" w:hanging="252"/>
        <w:spacing w:after="0" w:line="242"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2021 year to date net income attributable to Comcast Corporation includes $498 million of income tax expense adjustments related to UK tax law changes. 2020 year to date net income attributable to Comcast Corporation includes $145 million of income tax expense adjustments related to certain tax law changes.</w:t>
      </w:r>
    </w:p>
    <w:p>
      <w:pPr>
        <w:spacing w:after="0" w:line="103" w:lineRule="exact"/>
        <w:rPr>
          <w:rFonts w:ascii="Arial" w:cs="Arial" w:eastAsia="Arial" w:hAnsi="Arial"/>
          <w:sz w:val="13"/>
          <w:szCs w:val="13"/>
          <w:color w:val="auto"/>
        </w:rPr>
      </w:pPr>
    </w:p>
    <w:p>
      <w:pPr>
        <w:jc w:val="both"/>
        <w:ind w:left="260" w:hanging="252"/>
        <w:spacing w:after="0"/>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4th quarter and year to date 2021 net income attributable to Comcast Corporation includes $126 million and $204 million of interest expense, $95 million and $154 million net of tax, respectively, resulting from the early redemption of debt. 2020 year to date net income attributable to Comcast Corporation includes $360 million of interest expense, $272 million net of tax, resulting from the early redemption of debt.</w:t>
      </w:r>
    </w:p>
    <w:p>
      <w:pPr>
        <w:spacing w:after="0" w:line="105" w:lineRule="exact"/>
        <w:rPr>
          <w:rFonts w:ascii="Arial" w:cs="Arial" w:eastAsia="Arial" w:hAnsi="Arial"/>
          <w:sz w:val="13"/>
          <w:szCs w:val="13"/>
          <w:color w:val="auto"/>
        </w:rPr>
      </w:pP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2020 year to date net income attributable to Comcast Corporation includes $177 million of other operating and administrative expense, $134 million net of tax, related to a legal settlement.</w:t>
      </w:r>
    </w:p>
    <w:p>
      <w:pPr>
        <w:spacing w:after="0" w:line="107" w:lineRule="exact"/>
        <w:rPr>
          <w:rFonts w:ascii="Arial" w:cs="Arial" w:eastAsia="Arial" w:hAnsi="Arial"/>
          <w:sz w:val="13"/>
          <w:szCs w:val="13"/>
          <w:color w:val="auto"/>
        </w:rPr>
      </w:pPr>
    </w:p>
    <w:p>
      <w:pPr>
        <w:ind w:left="260" w:right="20" w:hanging="252"/>
        <w:spacing w:after="0" w:line="242"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4th quarter and year to date 2021 net income attributable to Comcast Corporation includes a gain of $84 million in other income related to the sale of an equity method investment. 4th quarter and year to date 2020 net income attributable to Comcast Corporation includes a gain of $121 million in depreciation expense, $92 million net of tax, related to the sale of a business.</w:t>
      </w:r>
    </w:p>
    <w:p>
      <w:pPr>
        <w:spacing w:after="0" w:line="103" w:lineRule="exact"/>
        <w:rPr>
          <w:rFonts w:ascii="Arial" w:cs="Arial" w:eastAsia="Arial" w:hAnsi="Arial"/>
          <w:sz w:val="13"/>
          <w:szCs w:val="13"/>
          <w:color w:val="auto"/>
        </w:rPr>
      </w:pPr>
    </w:p>
    <w:p>
      <w:pPr>
        <w:jc w:val="both"/>
        <w:ind w:left="260" w:hanging="252"/>
        <w:spacing w:after="0"/>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2021 year to date net income attributable to Comcast Corporation includes $24 million of operating costs and expenses, $20 million net of tax, related to the Sky transaction. 4th quarter and year to date 2020 net income attributable to Comcast Corporation includes $16 million and $56 million of operating costs and expenses, $13 million and $45 million net of tax, respectively, related to the Sky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852" w:right="339" w:bottom="1440" w:gutter="0" w:footer="0" w:header="0"/>
        </w:sectPr>
      </w:pPr>
    </w:p>
    <w:bookmarkStart w:id="19" w:name="page20"/>
    <w:bookmarkEnd w:id="19"/>
    <w:p>
      <w:pPr>
        <w:ind w:left="52"/>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542925</wp:posOffset>
            </wp:positionV>
            <wp:extent cx="1209040" cy="52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52"/>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17145</wp:posOffset>
            </wp:positionV>
            <wp:extent cx="7089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04" w:lineRule="exact"/>
        <w:rPr>
          <w:sz w:val="20"/>
          <w:szCs w:val="20"/>
          <w:color w:val="auto"/>
        </w:rPr>
      </w:pPr>
    </w:p>
    <w:tbl>
      <w:tblPr>
        <w:tblLayout w:type="fixed"/>
        <w:tblInd w:w="192" w:type="dxa"/>
        <w:tblCellMar>
          <w:top w:w="0" w:type="dxa"/>
          <w:left w:w="0" w:type="dxa"/>
          <w:bottom w:w="0" w:type="dxa"/>
          <w:right w:w="0" w:type="dxa"/>
        </w:tblCellMar>
      </w:tblPr>
      <w:tr>
        <w:trPr>
          <w:trHeight w:val="310"/>
        </w:trPr>
        <w:tc>
          <w:tcPr>
            <w:tcW w:w="4340" w:type="dxa"/>
            <w:vAlign w:val="bottom"/>
          </w:tcPr>
          <w:p>
            <w:pPr>
              <w:spacing w:after="0"/>
              <w:rPr>
                <w:sz w:val="24"/>
                <w:szCs w:val="24"/>
                <w:color w:val="auto"/>
              </w:rPr>
            </w:pPr>
          </w:p>
        </w:tc>
        <w:tc>
          <w:tcPr>
            <w:tcW w:w="3260" w:type="dxa"/>
            <w:vAlign w:val="bottom"/>
            <w:tcBorders>
              <w:right w:val="single" w:sz="8" w:color="auto"/>
            </w:tcBorders>
            <w:gridSpan w:val="7"/>
          </w:tcPr>
          <w:p>
            <w:pPr>
              <w:jc w:val="center"/>
              <w:ind w:right="1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1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1"/>
        </w:trPr>
        <w:tc>
          <w:tcPr>
            <w:tcW w:w="4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221"/>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860" w:type="dxa"/>
            <w:vAlign w:val="bottom"/>
          </w:tcPr>
          <w:p>
            <w:pPr>
              <w:jc w:val="right"/>
              <w:ind w:right="9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9"/>
                <w:szCs w:val="19"/>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860" w:type="dxa"/>
            <w:vAlign w:val="bottom"/>
          </w:tcPr>
          <w:p>
            <w:pPr>
              <w:jc w:val="right"/>
              <w:ind w:right="11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298"/>
        </w:trPr>
        <w:tc>
          <w:tcPr>
            <w:tcW w:w="4340" w:type="dxa"/>
            <w:vAlign w:val="bottom"/>
          </w:tcPr>
          <w:p>
            <w:pPr>
              <w:spacing w:after="0"/>
              <w:rPr>
                <w:sz w:val="20"/>
                <w:szCs w:val="20"/>
                <w:color w:val="auto"/>
              </w:rPr>
            </w:pPr>
            <w:r>
              <w:rPr>
                <w:rFonts w:ascii="Arial" w:cs="Arial" w:eastAsia="Arial" w:hAnsi="Arial"/>
                <w:sz w:val="16"/>
                <w:szCs w:val="16"/>
                <w:color w:val="auto"/>
              </w:rPr>
              <w:t>Direct-to-Consumer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$4,040</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$16,455</w:t>
            </w:r>
          </w:p>
        </w:tc>
        <w:tc>
          <w:tcPr>
            <w:tcW w:w="12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$16,125</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4340" w:type="dxa"/>
            <w:vAlign w:val="bottom"/>
          </w:tcPr>
          <w:p>
            <w:pPr>
              <w:spacing w:after="0"/>
              <w:rPr>
                <w:sz w:val="20"/>
                <w:szCs w:val="20"/>
                <w:color w:val="auto"/>
              </w:rPr>
            </w:pPr>
            <w:r>
              <w:rPr>
                <w:rFonts w:ascii="Arial" w:cs="Arial" w:eastAsia="Arial" w:hAnsi="Arial"/>
                <w:sz w:val="16"/>
                <w:szCs w:val="16"/>
                <w:color w:val="auto"/>
              </w:rPr>
              <w:t>Content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1,341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19"/>
        </w:trPr>
        <w:tc>
          <w:tcPr>
            <w:tcW w:w="4340" w:type="dxa"/>
            <w:vAlign w:val="bottom"/>
          </w:tcPr>
          <w:p>
            <w:pPr>
              <w:spacing w:after="0"/>
              <w:rPr>
                <w:sz w:val="20"/>
                <w:szCs w:val="20"/>
                <w:color w:val="auto"/>
              </w:rPr>
            </w:pPr>
            <w:r>
              <w:rPr>
                <w:rFonts w:ascii="Arial" w:cs="Arial" w:eastAsia="Arial" w:hAnsi="Arial"/>
                <w:sz w:val="16"/>
                <w:szCs w:val="16"/>
                <w:color w:val="auto"/>
              </w:rPr>
              <w:t>Advertising</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2,489</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18.4 %</w:t>
            </w:r>
          </w:p>
        </w:tc>
      </w:tr>
      <w:tr>
        <w:trPr>
          <w:trHeight w:val="213"/>
        </w:trPr>
        <w:tc>
          <w:tcPr>
            <w:tcW w:w="43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$5,079</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$20,285</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
        </w:trPr>
        <w:tc>
          <w:tcPr>
            <w:tcW w:w="4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1"/>
        </w:trPr>
        <w:tc>
          <w:tcPr>
            <w:tcW w:w="434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$4,615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(8.6 %)</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$17,925</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22"/>
        </w:trPr>
        <w:tc>
          <w:tcPr>
            <w:tcW w:w="43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187.9 %</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$2,359</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10.2 %</w:t>
            </w:r>
          </w:p>
        </w:tc>
      </w:tr>
    </w:tbl>
    <w:p>
      <w:pPr>
        <w:spacing w:after="0" w:line="318" w:lineRule="exact"/>
        <w:rPr>
          <w:sz w:val="20"/>
          <w:szCs w:val="20"/>
          <w:color w:val="auto"/>
        </w:rPr>
      </w:pPr>
    </w:p>
    <w:p>
      <w:pPr>
        <w:ind w:left="252" w:hanging="252"/>
        <w:spacing w:after="0" w:line="242" w:lineRule="auto"/>
        <w:tabs>
          <w:tab w:leader="none" w:pos="244" w:val="left"/>
        </w:tabs>
        <w:numPr>
          <w:ilvl w:val="0"/>
          <w:numId w:val="9"/>
        </w:numPr>
        <w:rPr>
          <w:rFonts w:ascii="Arial" w:cs="Arial" w:eastAsia="Arial" w:hAnsi="Arial"/>
          <w:sz w:val="13"/>
          <w:szCs w:val="13"/>
          <w:color w:val="auto"/>
        </w:rPr>
      </w:pPr>
      <w:r>
        <w:rPr>
          <w:rFonts w:ascii="Arial" w:cs="Arial" w:eastAsia="Arial" w:hAnsi="Arial"/>
          <w:sz w:val="13"/>
          <w:szCs w:val="13"/>
          <w:color w:val="auto"/>
        </w:rPr>
        <w:t>2020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12"/>
          </w:cols>
          <w:pgMar w:left="328" w:top="1014" w:right="35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6080125</wp:posOffset>
            </wp:positionH>
            <wp:positionV relativeFrom="page">
              <wp:posOffset>542925</wp:posOffset>
            </wp:positionV>
            <wp:extent cx="1208405" cy="52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08405" cy="522605"/>
                    </a:xfrm>
                    <a:prstGeom prst="rect">
                      <a:avLst/>
                    </a:prstGeom>
                    <a:noFill/>
                  </pic:spPr>
                </pic:pic>
              </a:graphicData>
            </a:graphic>
          </wp:anchor>
        </w:drawing>
        <w:t>TABLE 7</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Cable Communications RSN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089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90"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Twelve Months Ended</w:t>
      </w:r>
    </w:p>
    <w:p>
      <w:pPr>
        <w:jc w:val="center"/>
        <w:ind w:left="6440"/>
        <w:spacing w:after="0"/>
        <w:rPr>
          <w:sz w:val="20"/>
          <w:szCs w:val="20"/>
          <w:color w:val="auto"/>
        </w:rPr>
      </w:pPr>
      <w:r>
        <w:rPr>
          <w:rFonts w:ascii="Arial" w:cs="Arial" w:eastAsia="Arial" w:hAnsi="Arial"/>
          <w:sz w:val="16"/>
          <w:szCs w:val="16"/>
          <w:b w:val="1"/>
          <w:bCs w:val="1"/>
          <w:color w:val="auto"/>
        </w:rPr>
        <w:t>December 31, 2021</w:t>
      </w: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400" w:type="dxa"/>
            <w:vAlign w:val="bottom"/>
            <w:gridSpan w:val="2"/>
          </w:tcPr>
          <w:p>
            <w:pPr>
              <w:jc w:val="center"/>
              <w:ind w:right="160"/>
              <w:spacing w:after="0" w:line="179" w:lineRule="exact"/>
              <w:rPr>
                <w:sz w:val="20"/>
                <w:szCs w:val="20"/>
                <w:color w:val="auto"/>
              </w:rPr>
            </w:pPr>
            <w:r>
              <w:rPr>
                <w:rFonts w:ascii="Arial" w:cs="Arial" w:eastAsia="Arial" w:hAnsi="Arial"/>
                <w:sz w:val="16"/>
                <w:szCs w:val="16"/>
                <w:b w:val="1"/>
                <w:bCs w:val="1"/>
                <w:color w:val="auto"/>
              </w:rPr>
              <w:t>Reported</w:t>
            </w:r>
          </w:p>
        </w:tc>
        <w:tc>
          <w:tcPr>
            <w:tcW w:w="1640" w:type="dxa"/>
            <w:vAlign w:val="bottom"/>
            <w:gridSpan w:val="2"/>
          </w:tcPr>
          <w:p>
            <w:pPr>
              <w:jc w:val="center"/>
              <w:ind w:right="160"/>
              <w:spacing w:after="0" w:line="179" w:lineRule="exact"/>
              <w:rPr>
                <w:sz w:val="20"/>
                <w:szCs w:val="20"/>
                <w:color w:val="auto"/>
              </w:rPr>
            </w:pPr>
            <w:r>
              <w:rPr>
                <w:rFonts w:ascii="Arial" w:cs="Arial" w:eastAsia="Arial" w:hAnsi="Arial"/>
                <w:sz w:val="16"/>
                <w:szCs w:val="16"/>
                <w:b w:val="1"/>
                <w:bCs w:val="1"/>
                <w:color w:val="auto"/>
              </w:rPr>
              <w:t>2020 RSN</w:t>
            </w:r>
          </w:p>
        </w:tc>
        <w:tc>
          <w:tcPr>
            <w:tcW w:w="1300" w:type="dxa"/>
            <w:vAlign w:val="bottom"/>
          </w:tcPr>
          <w:p>
            <w:pPr>
              <w:jc w:val="right"/>
              <w:ind w:right="219"/>
              <w:spacing w:after="0" w:line="179" w:lineRule="exact"/>
              <w:rPr>
                <w:sz w:val="20"/>
                <w:szCs w:val="20"/>
                <w:color w:val="auto"/>
              </w:rPr>
            </w:pPr>
            <w:r>
              <w:rPr>
                <w:rFonts w:ascii="Arial" w:cs="Arial" w:eastAsia="Arial" w:hAnsi="Arial"/>
                <w:sz w:val="16"/>
                <w:szCs w:val="16"/>
                <w:b w:val="1"/>
                <w:bCs w:val="1"/>
                <w:color w:val="auto"/>
              </w:rPr>
              <w:t>Adjusted</w:t>
            </w:r>
          </w:p>
        </w:tc>
      </w:tr>
      <w:tr>
        <w:trPr>
          <w:trHeight w:val="215"/>
        </w:trPr>
        <w:tc>
          <w:tcPr>
            <w:tcW w:w="666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Change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Adjustments</w:t>
            </w: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195"/>
        </w:trPr>
        <w:tc>
          <w:tcPr>
            <w:tcW w:w="66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13"/>
        </w:trPr>
        <w:tc>
          <w:tcPr>
            <w:tcW w:w="6660" w:type="dxa"/>
            <w:vAlign w:val="bottom"/>
          </w:tcPr>
          <w:p>
            <w:pPr>
              <w:ind w:left="300"/>
              <w:spacing w:after="0"/>
              <w:rPr>
                <w:sz w:val="20"/>
                <w:szCs w:val="20"/>
                <w:color w:val="auto"/>
              </w:rPr>
            </w:pPr>
            <w:r>
              <w:rPr>
                <w:rFonts w:ascii="Arial" w:cs="Arial" w:eastAsia="Arial" w:hAnsi="Arial"/>
                <w:sz w:val="16"/>
                <w:szCs w:val="16"/>
                <w:color w:val="auto"/>
              </w:rPr>
              <w:t>Broadband</w:t>
            </w:r>
          </w:p>
        </w:tc>
        <w:tc>
          <w:tcPr>
            <w:tcW w:w="1260" w:type="dxa"/>
            <w:vAlign w:val="bottom"/>
          </w:tcPr>
          <w:p>
            <w:pPr>
              <w:jc w:val="right"/>
              <w:spacing w:after="0"/>
              <w:rPr>
                <w:sz w:val="20"/>
                <w:szCs w:val="20"/>
                <w:color w:val="auto"/>
              </w:rPr>
            </w:pPr>
            <w:r>
              <w:rPr>
                <w:rFonts w:ascii="Arial" w:cs="Arial" w:eastAsia="Arial" w:hAnsi="Arial"/>
                <w:sz w:val="16"/>
                <w:szCs w:val="16"/>
                <w:color w:val="auto"/>
              </w:rPr>
              <w:t>11.6 %</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216"/>
        </w:trPr>
        <w:tc>
          <w:tcPr>
            <w:tcW w:w="6660" w:type="dxa"/>
            <w:vAlign w:val="bottom"/>
          </w:tcPr>
          <w:p>
            <w:pPr>
              <w:ind w:left="300"/>
              <w:spacing w:after="0"/>
              <w:rPr>
                <w:sz w:val="20"/>
                <w:szCs w:val="20"/>
                <w:color w:val="auto"/>
              </w:rPr>
            </w:pPr>
            <w:r>
              <w:rPr>
                <w:rFonts w:ascii="Arial" w:cs="Arial" w:eastAsia="Arial" w:hAnsi="Arial"/>
                <w:sz w:val="16"/>
                <w:szCs w:val="16"/>
                <w:color w:val="auto"/>
              </w:rPr>
              <w:t>Video</w:t>
            </w:r>
          </w:p>
        </w:tc>
        <w:tc>
          <w:tcPr>
            <w:tcW w:w="1260" w:type="dxa"/>
            <w:vAlign w:val="bottom"/>
          </w:tcPr>
          <w:p>
            <w:pPr>
              <w:jc w:val="right"/>
              <w:spacing w:after="0"/>
              <w:rPr>
                <w:sz w:val="20"/>
                <w:szCs w:val="20"/>
                <w:color w:val="auto"/>
              </w:rPr>
            </w:pPr>
            <w:r>
              <w:rPr>
                <w:rFonts w:ascii="Arial" w:cs="Arial" w:eastAsia="Arial" w:hAnsi="Arial"/>
                <w:sz w:val="16"/>
                <w:szCs w:val="16"/>
                <w:color w:val="auto"/>
              </w:rPr>
              <w:t>0.6 %</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0.9 %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6"/>
        </w:trPr>
        <w:tc>
          <w:tcPr>
            <w:tcW w:w="6660" w:type="dxa"/>
            <w:vAlign w:val="bottom"/>
          </w:tcPr>
          <w:p>
            <w:pPr>
              <w:spacing w:after="0"/>
              <w:rPr>
                <w:sz w:val="20"/>
                <w:szCs w:val="20"/>
                <w:color w:val="auto"/>
              </w:rPr>
            </w:pPr>
            <w:r>
              <w:rPr>
                <w:rFonts w:ascii="Arial" w:cs="Arial" w:eastAsia="Arial" w:hAnsi="Arial"/>
                <w:sz w:val="16"/>
                <w:szCs w:val="16"/>
                <w:color w:val="auto"/>
              </w:rPr>
              <w:t>Total Revenue</w:t>
            </w:r>
          </w:p>
        </w:tc>
        <w:tc>
          <w:tcPr>
            <w:tcW w:w="1260" w:type="dxa"/>
            <w:vAlign w:val="bottom"/>
          </w:tcPr>
          <w:p>
            <w:pPr>
              <w:jc w:val="right"/>
              <w:spacing w:after="0"/>
              <w:rPr>
                <w:sz w:val="20"/>
                <w:szCs w:val="20"/>
                <w:color w:val="auto"/>
              </w:rPr>
            </w:pPr>
            <w:r>
              <w:rPr>
                <w:rFonts w:ascii="Arial" w:cs="Arial" w:eastAsia="Arial" w:hAnsi="Arial"/>
                <w:sz w:val="16"/>
                <w:szCs w:val="16"/>
                <w:color w:val="auto"/>
              </w:rPr>
              <w:t>7.1 %</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432"/>
        </w:trPr>
        <w:tc>
          <w:tcPr>
            <w:tcW w:w="666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6"/>
                <w:szCs w:val="16"/>
                <w:color w:val="auto"/>
              </w:rPr>
              <w:t>Programming and production</w:t>
            </w:r>
          </w:p>
        </w:tc>
        <w:tc>
          <w:tcPr>
            <w:tcW w:w="1260" w:type="dxa"/>
            <w:vAlign w:val="bottom"/>
          </w:tcPr>
          <w:p>
            <w:pPr>
              <w:jc w:val="right"/>
              <w:spacing w:after="0"/>
              <w:rPr>
                <w:sz w:val="20"/>
                <w:szCs w:val="20"/>
                <w:color w:val="auto"/>
              </w:rPr>
            </w:pPr>
            <w:r>
              <w:rPr>
                <w:rFonts w:ascii="Arial" w:cs="Arial" w:eastAsia="Arial" w:hAnsi="Arial"/>
                <w:sz w:val="16"/>
                <w:szCs w:val="16"/>
                <w:color w:val="auto"/>
              </w:rPr>
              <w:t>5.8 %</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432"/>
        </w:trPr>
        <w:tc>
          <w:tcPr>
            <w:tcW w:w="66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260" w:type="dxa"/>
            <w:vAlign w:val="bottom"/>
          </w:tcPr>
          <w:p>
            <w:pPr>
              <w:jc w:val="right"/>
              <w:spacing w:after="0"/>
              <w:rPr>
                <w:sz w:val="20"/>
                <w:szCs w:val="20"/>
                <w:color w:val="auto"/>
              </w:rPr>
            </w:pPr>
            <w:r>
              <w:rPr>
                <w:rFonts w:ascii="Arial" w:cs="Arial" w:eastAsia="Arial" w:hAnsi="Arial"/>
                <w:sz w:val="16"/>
                <w:szCs w:val="16"/>
                <w:color w:val="auto"/>
              </w:rPr>
              <w:t>11.2 %</w:t>
            </w:r>
          </w:p>
        </w:tc>
        <w:tc>
          <w:tcPr>
            <w:tcW w:w="140" w:type="dxa"/>
            <w:vAlign w:val="bottom"/>
          </w:tcPr>
          <w:p>
            <w:pPr>
              <w:spacing w:after="0"/>
              <w:rPr>
                <w:sz w:val="24"/>
                <w:szCs w:val="24"/>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11.2 %</w:t>
            </w:r>
          </w:p>
        </w:tc>
      </w:tr>
      <w:tr>
        <w:trPr>
          <w:trHeight w:val="216"/>
        </w:trPr>
        <w:tc>
          <w:tcPr>
            <w:tcW w:w="6660" w:type="dxa"/>
            <w:vAlign w:val="bottom"/>
          </w:tcPr>
          <w:p>
            <w:pPr>
              <w:spacing w:after="0"/>
              <w:rPr>
                <w:sz w:val="20"/>
                <w:szCs w:val="20"/>
                <w:color w:val="auto"/>
              </w:rPr>
            </w:pPr>
            <w:r>
              <w:rPr>
                <w:rFonts w:ascii="Arial" w:cs="Arial" w:eastAsia="Arial" w:hAnsi="Arial"/>
                <w:sz w:val="16"/>
                <w:szCs w:val="16"/>
                <w:b w:val="1"/>
                <w:bCs w:val="1"/>
                <w:color w:val="auto"/>
              </w:rPr>
              <w:t>Adjusted EBITDA margin</w:t>
            </w:r>
          </w:p>
        </w:tc>
        <w:tc>
          <w:tcPr>
            <w:tcW w:w="1400" w:type="dxa"/>
            <w:vAlign w:val="bottom"/>
            <w:gridSpan w:val="2"/>
          </w:tcPr>
          <w:p>
            <w:pPr>
              <w:ind w:left="660"/>
              <w:spacing w:after="0"/>
              <w:rPr>
                <w:sz w:val="20"/>
                <w:szCs w:val="20"/>
                <w:color w:val="auto"/>
              </w:rPr>
            </w:pPr>
            <w:r>
              <w:rPr>
                <w:rFonts w:ascii="Arial" w:cs="Arial" w:eastAsia="Arial" w:hAnsi="Arial"/>
                <w:sz w:val="16"/>
                <w:szCs w:val="16"/>
                <w:color w:val="auto"/>
              </w:rPr>
              <w:t>160 bps</w:t>
            </w:r>
          </w:p>
        </w:tc>
        <w:tc>
          <w:tcPr>
            <w:tcW w:w="1640" w:type="dxa"/>
            <w:vAlign w:val="bottom"/>
            <w:gridSpan w:val="2"/>
          </w:tcPr>
          <w:p>
            <w:pPr>
              <w:ind w:left="880"/>
              <w:spacing w:after="0"/>
              <w:rPr>
                <w:sz w:val="20"/>
                <w:szCs w:val="20"/>
                <w:color w:val="auto"/>
              </w:rPr>
            </w:pPr>
            <w:r>
              <w:rPr>
                <w:rFonts w:ascii="Arial" w:cs="Arial" w:eastAsia="Arial" w:hAnsi="Arial"/>
                <w:sz w:val="16"/>
                <w:szCs w:val="16"/>
                <w:color w:val="auto"/>
              </w:rPr>
              <w:t>(30 bps)</w:t>
            </w:r>
          </w:p>
        </w:tc>
        <w:tc>
          <w:tcPr>
            <w:tcW w:w="1300" w:type="dxa"/>
            <w:vAlign w:val="bottom"/>
          </w:tcPr>
          <w:p>
            <w:pPr>
              <w:jc w:val="right"/>
              <w:spacing w:after="0"/>
              <w:rPr>
                <w:sz w:val="20"/>
                <w:szCs w:val="20"/>
                <w:color w:val="auto"/>
              </w:rPr>
            </w:pPr>
            <w:r>
              <w:rPr>
                <w:rFonts w:ascii="Arial" w:cs="Arial" w:eastAsia="Arial" w:hAnsi="Arial"/>
                <w:sz w:val="16"/>
                <w:szCs w:val="16"/>
                <w:color w:val="auto"/>
              </w:rPr>
              <w:t>190 bps</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Note: Percentages represent year/year growth rates. Adjusted EBITDA margin as a percent of Revenue is presented as year/year basis point changes.</w:t>
      </w:r>
    </w:p>
    <w:p>
      <w:pPr>
        <w:sectPr>
          <w:pgSz w:w="11900" w:h="16838" w:orient="portrait"/>
          <w:cols w:equalWidth="0" w:num="1">
            <w:col w:w="11000"/>
          </w:cols>
          <w:pgMar w:left="340" w:top="101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000"/>
          </w:cols>
          <w:pgMar w:left="340" w:top="1014" w:right="5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6054725</wp:posOffset>
            </wp:positionH>
            <wp:positionV relativeFrom="page">
              <wp:posOffset>620395</wp:posOffset>
            </wp:positionV>
            <wp:extent cx="1054100" cy="454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660"/>
                    </a:xfrm>
                    <a:prstGeom prst="rect">
                      <a:avLst/>
                    </a:prstGeom>
                    <a:noFill/>
                  </pic:spPr>
                </pic:pic>
              </a:graphicData>
            </a:graphic>
          </wp:anchor>
        </w:drawing>
        <w:t>TABLE 8</w:t>
      </w: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b w:val="1"/>
          <w:bCs w:val="1"/>
          <w:color w:val="828282"/>
        </w:rPr>
        <w:t>Reconciliation of Media Revenue Excluding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06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30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18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r>
      <w:tr>
        <w:trPr>
          <w:trHeight w:val="211"/>
        </w:trPr>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Pr>
          <w:p>
            <w:pPr>
              <w:spacing w:after="0"/>
              <w:rPr>
                <w:sz w:val="18"/>
                <w:szCs w:val="18"/>
                <w:color w:val="auto"/>
              </w:rPr>
            </w:pPr>
          </w:p>
        </w:tc>
      </w:tr>
      <w:tr>
        <w:trPr>
          <w:trHeight w:val="218"/>
        </w:trPr>
        <w:tc>
          <w:tcPr>
            <w:tcW w:w="4560" w:type="dxa"/>
            <w:vAlign w:val="bottom"/>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Growth %</w:t>
            </w:r>
          </w:p>
        </w:tc>
        <w:tc>
          <w:tcPr>
            <w:tcW w:w="120" w:type="dxa"/>
            <w:vAlign w:val="bottom"/>
          </w:tcPr>
          <w:p>
            <w:pPr>
              <w:spacing w:after="0"/>
              <w:rPr>
                <w:sz w:val="18"/>
                <w:szCs w:val="18"/>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301"/>
        </w:trPr>
        <w:tc>
          <w:tcPr>
            <w:tcW w:w="4560" w:type="dxa"/>
            <w:vAlign w:val="bottom"/>
          </w:tcPr>
          <w:p>
            <w:pPr>
              <w:spacing w:after="0"/>
              <w:rPr>
                <w:sz w:val="20"/>
                <w:szCs w:val="20"/>
                <w:color w:val="auto"/>
              </w:rPr>
            </w:pPr>
            <w:r>
              <w:rPr>
                <w:rFonts w:ascii="Arial" w:cs="Arial" w:eastAsia="Arial" w:hAnsi="Arial"/>
                <w:sz w:val="16"/>
                <w:szCs w:val="16"/>
                <w:color w:val="auto"/>
              </w:rPr>
              <w:t>Revenue</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$5,826</w:t>
            </w:r>
          </w:p>
        </w:tc>
        <w:tc>
          <w:tcPr>
            <w:tcW w:w="8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$22,780</w:t>
            </w: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20.3 %</w:t>
            </w:r>
          </w:p>
        </w:tc>
      </w:tr>
      <w:tr>
        <w:trPr>
          <w:trHeight w:val="273"/>
        </w:trPr>
        <w:tc>
          <w:tcPr>
            <w:tcW w:w="4560" w:type="dxa"/>
            <w:vAlign w:val="bottom"/>
          </w:tcPr>
          <w:p>
            <w:pPr>
              <w:spacing w:after="0"/>
              <w:rPr>
                <w:sz w:val="20"/>
                <w:szCs w:val="20"/>
                <w:color w:val="auto"/>
              </w:rPr>
            </w:pPr>
            <w:r>
              <w:rPr>
                <w:rFonts w:ascii="Arial" w:cs="Arial" w:eastAsia="Arial" w:hAnsi="Arial"/>
                <w:sz w:val="16"/>
                <w:szCs w:val="16"/>
                <w:color w:val="auto"/>
              </w:rPr>
              <w:t>Olympics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(1,759)</w:t>
            </w:r>
          </w:p>
        </w:tc>
        <w:tc>
          <w:tcPr>
            <w:tcW w:w="80" w:type="dxa"/>
            <w:vAlign w:val="bottom"/>
          </w:tcPr>
          <w:p>
            <w:pPr>
              <w:spacing w:after="0"/>
              <w:rPr>
                <w:sz w:val="23"/>
                <w:szCs w:val="23"/>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3"/>
                <w:szCs w:val="23"/>
                <w:color w:val="auto"/>
              </w:rPr>
            </w:pPr>
          </w:p>
        </w:tc>
      </w:tr>
      <w:tr>
        <w:trPr>
          <w:trHeight w:val="293"/>
        </w:trPr>
        <w:tc>
          <w:tcPr>
            <w:tcW w:w="4560" w:type="dxa"/>
            <w:vAlign w:val="bottom"/>
          </w:tcPr>
          <w:p>
            <w:pPr>
              <w:spacing w:after="0"/>
              <w:rPr>
                <w:sz w:val="20"/>
                <w:szCs w:val="20"/>
                <w:color w:val="auto"/>
              </w:rPr>
            </w:pPr>
            <w:r>
              <w:rPr>
                <w:rFonts w:ascii="Arial" w:cs="Arial" w:eastAsia="Arial" w:hAnsi="Arial"/>
                <w:sz w:val="16"/>
                <w:szCs w:val="16"/>
                <w:color w:val="auto"/>
              </w:rPr>
              <w:t>Revenue excluding Olympics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$5,826</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8.4 %</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$21,021</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60"/>
          </w:cols>
          <w:pgMar w:left="340" w:top="987" w:right="39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2022-01-27T06:11:53Z</dcterms:created>
  <dcterms:modified xsi:type="dcterms:W3CDTF">2022-01-27T06:11:53Z</dcterms:modified>
</cp:coreProperties>
</file>