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filed with the Securities and Exchange Commission on March 18, 2022</w:t>
      </w:r>
    </w:p>
    <w:p>
      <w:pPr>
        <w:spacing w:after="0" w:line="26" w:lineRule="exact"/>
        <w:rPr>
          <w:sz w:val="24"/>
          <w:szCs w:val="24"/>
          <w:color w:val="auto"/>
        </w:rPr>
      </w:pPr>
    </w:p>
    <w:p>
      <w:pPr>
        <w:ind w:left="91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S-4</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0" w:lineRule="exact"/>
        <w:rPr>
          <w:sz w:val="24"/>
          <w:szCs w:val="24"/>
          <w:color w:val="auto"/>
        </w:rPr>
      </w:pPr>
    </w:p>
    <w:p>
      <w:pPr>
        <w:jc w:val="center"/>
        <w:ind w:right="-119"/>
        <w:spacing w:after="0"/>
        <w:rPr>
          <w:sz w:val="20"/>
          <w:szCs w:val="20"/>
          <w:color w:val="auto"/>
        </w:rPr>
      </w:pPr>
      <w:r>
        <w:rPr>
          <w:rFonts w:ascii="Arial" w:cs="Arial" w:eastAsia="Arial" w:hAnsi="Arial"/>
          <w:sz w:val="38"/>
          <w:szCs w:val="38"/>
          <w:b w:val="1"/>
          <w:bCs w:val="1"/>
          <w:color w:val="auto"/>
        </w:rPr>
        <w:t>COMCAST CORPORATION</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NBCUniversal Media, LLC</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Comcast Cable Communications, LLC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8" w:lineRule="exact"/>
        <w:rPr>
          <w:sz w:val="24"/>
          <w:szCs w:val="24"/>
          <w:color w:val="auto"/>
        </w:rPr>
      </w:pPr>
    </w:p>
    <w:tbl>
      <w:tblPr>
        <w:tblLayout w:type="fixed"/>
        <w:tblInd w:w="900" w:type="dxa"/>
        <w:tblCellMar>
          <w:top w:w="0" w:type="dxa"/>
          <w:left w:w="0" w:type="dxa"/>
          <w:bottom w:w="0" w:type="dxa"/>
          <w:right w:w="0" w:type="dxa"/>
        </w:tblCellMar>
      </w:tblPr>
      <w:tr>
        <w:trPr>
          <w:trHeight w:val="203"/>
        </w:trPr>
        <w:tc>
          <w:tcPr>
            <w:tcW w:w="3000" w:type="dxa"/>
            <w:vAlign w:val="bottom"/>
          </w:tcPr>
          <w:p>
            <w:pPr>
              <w:jc w:val="center"/>
              <w:ind w:right="759"/>
              <w:spacing w:after="0"/>
              <w:rPr>
                <w:sz w:val="20"/>
                <w:szCs w:val="20"/>
                <w:color w:val="auto"/>
              </w:rPr>
            </w:pPr>
            <w:r>
              <w:rPr>
                <w:rFonts w:ascii="Arial" w:cs="Arial" w:eastAsia="Arial" w:hAnsi="Arial"/>
                <w:sz w:val="16"/>
                <w:szCs w:val="16"/>
                <w:b w:val="1"/>
                <w:bCs w:val="1"/>
                <w:color w:val="auto"/>
                <w:w w:val="89"/>
              </w:rPr>
              <w:t>Pennsylvania</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9"/>
              </w:rPr>
              <w:t>4841</w:t>
            </w:r>
          </w:p>
        </w:tc>
        <w:tc>
          <w:tcPr>
            <w:tcW w:w="2520" w:type="dxa"/>
            <w:vAlign w:val="bottom"/>
          </w:tcPr>
          <w:p>
            <w:pPr>
              <w:jc w:val="center"/>
              <w:ind w:left="819"/>
              <w:spacing w:after="0"/>
              <w:rPr>
                <w:sz w:val="20"/>
                <w:szCs w:val="20"/>
                <w:color w:val="auto"/>
              </w:rPr>
            </w:pPr>
            <w:r>
              <w:rPr>
                <w:rFonts w:ascii="Arial" w:cs="Arial" w:eastAsia="Arial" w:hAnsi="Arial"/>
                <w:sz w:val="16"/>
                <w:szCs w:val="16"/>
                <w:b w:val="1"/>
                <w:bCs w:val="1"/>
                <w:color w:val="auto"/>
                <w:w w:val="91"/>
              </w:rPr>
              <w:t>27-0000798</w:t>
            </w:r>
          </w:p>
        </w:tc>
      </w:tr>
      <w:tr>
        <w:trPr>
          <w:trHeight w:val="203"/>
        </w:trPr>
        <w:tc>
          <w:tcPr>
            <w:tcW w:w="3000" w:type="dxa"/>
            <w:vAlign w:val="bottom"/>
          </w:tcPr>
          <w:p>
            <w:pPr>
              <w:jc w:val="center"/>
              <w:ind w:right="739"/>
              <w:spacing w:after="0"/>
              <w:rPr>
                <w:sz w:val="20"/>
                <w:szCs w:val="20"/>
                <w:color w:val="auto"/>
              </w:rPr>
            </w:pPr>
            <w:r>
              <w:rPr>
                <w:rFonts w:ascii="Arial" w:cs="Arial" w:eastAsia="Arial" w:hAnsi="Arial"/>
                <w:sz w:val="16"/>
                <w:szCs w:val="16"/>
                <w:b w:val="1"/>
                <w:bCs w:val="1"/>
                <w:color w:val="auto"/>
                <w:w w:val="93"/>
              </w:rPr>
              <w:t>Delaware</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9"/>
              </w:rPr>
              <w:t>4841</w:t>
            </w:r>
          </w:p>
        </w:tc>
        <w:tc>
          <w:tcPr>
            <w:tcW w:w="2520" w:type="dxa"/>
            <w:vAlign w:val="bottom"/>
          </w:tcPr>
          <w:p>
            <w:pPr>
              <w:jc w:val="center"/>
              <w:ind w:left="819"/>
              <w:spacing w:after="0"/>
              <w:rPr>
                <w:sz w:val="20"/>
                <w:szCs w:val="20"/>
                <w:color w:val="auto"/>
              </w:rPr>
            </w:pPr>
            <w:r>
              <w:rPr>
                <w:rFonts w:ascii="Arial" w:cs="Arial" w:eastAsia="Arial" w:hAnsi="Arial"/>
                <w:sz w:val="16"/>
                <w:szCs w:val="16"/>
                <w:b w:val="1"/>
                <w:bCs w:val="1"/>
                <w:color w:val="auto"/>
                <w:w w:val="91"/>
              </w:rPr>
              <w:t>14-1682529</w:t>
            </w:r>
          </w:p>
        </w:tc>
      </w:tr>
      <w:tr>
        <w:trPr>
          <w:trHeight w:val="203"/>
        </w:trPr>
        <w:tc>
          <w:tcPr>
            <w:tcW w:w="3000" w:type="dxa"/>
            <w:vAlign w:val="bottom"/>
          </w:tcPr>
          <w:p>
            <w:pPr>
              <w:jc w:val="center"/>
              <w:ind w:right="739"/>
              <w:spacing w:after="0"/>
              <w:rPr>
                <w:sz w:val="20"/>
                <w:szCs w:val="20"/>
                <w:color w:val="auto"/>
              </w:rPr>
            </w:pPr>
            <w:r>
              <w:rPr>
                <w:rFonts w:ascii="Arial" w:cs="Arial" w:eastAsia="Arial" w:hAnsi="Arial"/>
                <w:sz w:val="16"/>
                <w:szCs w:val="16"/>
                <w:b w:val="1"/>
                <w:bCs w:val="1"/>
                <w:color w:val="auto"/>
                <w:w w:val="93"/>
              </w:rPr>
              <w:t>Delaware</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9"/>
              </w:rPr>
              <w:t>4841</w:t>
            </w:r>
          </w:p>
        </w:tc>
        <w:tc>
          <w:tcPr>
            <w:tcW w:w="2520" w:type="dxa"/>
            <w:vAlign w:val="bottom"/>
          </w:tcPr>
          <w:p>
            <w:pPr>
              <w:jc w:val="center"/>
              <w:ind w:left="819"/>
              <w:spacing w:after="0"/>
              <w:rPr>
                <w:sz w:val="20"/>
                <w:szCs w:val="20"/>
                <w:color w:val="auto"/>
              </w:rPr>
            </w:pPr>
            <w:r>
              <w:rPr>
                <w:rFonts w:ascii="Arial" w:cs="Arial" w:eastAsia="Arial" w:hAnsi="Arial"/>
                <w:sz w:val="16"/>
                <w:szCs w:val="16"/>
                <w:b w:val="1"/>
                <w:bCs w:val="1"/>
                <w:color w:val="auto"/>
                <w:w w:val="91"/>
              </w:rPr>
              <w:t>23-2175755</w:t>
            </w:r>
          </w:p>
        </w:tc>
      </w:tr>
      <w:tr>
        <w:trPr>
          <w:trHeight w:val="203"/>
        </w:trPr>
        <w:tc>
          <w:tcPr>
            <w:tcW w:w="3000" w:type="dxa"/>
            <w:vAlign w:val="bottom"/>
          </w:tcPr>
          <w:p>
            <w:pPr>
              <w:jc w:val="center"/>
              <w:ind w:right="739"/>
              <w:spacing w:after="0"/>
              <w:rPr>
                <w:sz w:val="20"/>
                <w:szCs w:val="20"/>
                <w:color w:val="auto"/>
              </w:rPr>
            </w:pPr>
            <w:r>
              <w:rPr>
                <w:rFonts w:ascii="Arial" w:cs="Arial" w:eastAsia="Arial" w:hAnsi="Arial"/>
                <w:sz w:val="16"/>
                <w:szCs w:val="16"/>
                <w:b w:val="1"/>
                <w:bCs w:val="1"/>
                <w:color w:val="auto"/>
                <w:w w:val="92"/>
              </w:rPr>
              <w:t>(State or Other Jurisdiction of</w:t>
            </w:r>
          </w:p>
        </w:tc>
        <w:tc>
          <w:tcPr>
            <w:tcW w:w="376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(Primary Standard Industrial</w:t>
            </w:r>
          </w:p>
        </w:tc>
        <w:tc>
          <w:tcPr>
            <w:tcW w:w="2520" w:type="dxa"/>
            <w:vAlign w:val="bottom"/>
          </w:tcPr>
          <w:p>
            <w:pPr>
              <w:jc w:val="center"/>
              <w:ind w:left="8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3000" w:type="dxa"/>
            <w:vAlign w:val="bottom"/>
          </w:tcPr>
          <w:p>
            <w:pPr>
              <w:jc w:val="center"/>
              <w:ind w:right="739"/>
              <w:spacing w:after="0"/>
              <w:rPr>
                <w:sz w:val="20"/>
                <w:szCs w:val="20"/>
                <w:color w:val="auto"/>
              </w:rPr>
            </w:pPr>
            <w:r>
              <w:rPr>
                <w:rFonts w:ascii="Arial" w:cs="Arial" w:eastAsia="Arial" w:hAnsi="Arial"/>
                <w:sz w:val="16"/>
                <w:szCs w:val="16"/>
                <w:b w:val="1"/>
                <w:bCs w:val="1"/>
                <w:color w:val="auto"/>
                <w:w w:val="94"/>
              </w:rPr>
              <w:t>Incorporation or Organization)</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91"/>
              </w:rPr>
              <w:t>Classification Code Number)</w:t>
            </w:r>
          </w:p>
        </w:tc>
        <w:tc>
          <w:tcPr>
            <w:tcW w:w="2520" w:type="dxa"/>
            <w:vAlign w:val="bottom"/>
          </w:tcPr>
          <w:p>
            <w:pPr>
              <w:jc w:val="center"/>
              <w:ind w:left="819"/>
              <w:spacing w:after="0"/>
              <w:rPr>
                <w:sz w:val="20"/>
                <w:szCs w:val="20"/>
                <w:color w:val="auto"/>
              </w:rPr>
            </w:pPr>
            <w:r>
              <w:rPr>
                <w:rFonts w:ascii="Arial" w:cs="Arial" w:eastAsia="Arial" w:hAnsi="Arial"/>
                <w:sz w:val="16"/>
                <w:szCs w:val="16"/>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One Comcast Center</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Philadelphia, Pennsylvania 19103-2838</w:t>
      </w:r>
    </w:p>
    <w:p>
      <w:pPr>
        <w:spacing w:after="0" w:line="19" w:lineRule="exact"/>
        <w:rPr>
          <w:sz w:val="24"/>
          <w:szCs w:val="24"/>
          <w:color w:val="auto"/>
        </w:rPr>
      </w:pPr>
    </w:p>
    <w:p>
      <w:pPr>
        <w:ind w:left="5500" w:hanging="382"/>
        <w:spacing w:after="0"/>
        <w:tabs>
          <w:tab w:leader="none" w:pos="55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286-1700</w:t>
      </w:r>
    </w:p>
    <w:p>
      <w:pPr>
        <w:spacing w:after="0" w:line="18" w:lineRule="exact"/>
        <w:rPr>
          <w:rFonts w:ascii="Arial" w:cs="Arial" w:eastAsia="Arial" w:hAnsi="Arial"/>
          <w:sz w:val="16"/>
          <w:szCs w:val="16"/>
          <w:b w:val="1"/>
          <w:bCs w:val="1"/>
          <w:color w:val="auto"/>
        </w:rPr>
      </w:pPr>
    </w:p>
    <w:p>
      <w:pPr>
        <w:ind w:left="49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30 Rockefeller Plaza</w:t>
      </w:r>
    </w:p>
    <w:p>
      <w:pPr>
        <w:spacing w:after="0" w:line="213" w:lineRule="exact"/>
        <w:rPr>
          <w:sz w:val="24"/>
          <w:szCs w:val="24"/>
          <w:color w:val="auto"/>
        </w:rPr>
      </w:pPr>
    </w:p>
    <w:p>
      <w:pPr>
        <w:ind w:left="5500" w:hanging="382"/>
        <w:spacing w:after="0"/>
        <w:tabs>
          <w:tab w:leader="none" w:pos="55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664-4444</w:t>
      </w:r>
    </w:p>
    <w:p>
      <w:pPr>
        <w:spacing w:after="0" w:line="26" w:lineRule="exact"/>
        <w:rPr>
          <w:rFonts w:ascii="Arial" w:cs="Arial" w:eastAsia="Arial" w:hAnsi="Arial"/>
          <w:sz w:val="16"/>
          <w:szCs w:val="16"/>
          <w:b w:val="1"/>
          <w:bCs w:val="1"/>
          <w:color w:val="auto"/>
        </w:rPr>
      </w:pPr>
    </w:p>
    <w:p>
      <w:pPr>
        <w:ind w:left="49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One Comcast Center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Philadelphia, Pennsylvania 19103-2838</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(215) 286-1700</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Thomas J. Reid, Esq.</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Chief Legal Officer and Secretary</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Comcast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One Comcast Center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Philadelphia, Pennsylvania 19103-2838</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(215) 286-1700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287655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Copy to:</w:t>
      </w:r>
    </w:p>
    <w:p>
      <w:pPr>
        <w:spacing w:after="0" w:line="15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John B. Meade, Esq.</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Davis Polk &amp; Wardwell LLP</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450 Lexington Avenue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New York, New York 10017</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77" w:lineRule="exact"/>
        <w:rPr>
          <w:sz w:val="24"/>
          <w:szCs w:val="24"/>
          <w:color w:val="auto"/>
        </w:rPr>
      </w:pPr>
    </w:p>
    <w:p>
      <w:pPr>
        <w:ind w:left="120" w:right="20" w:firstLine="440"/>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2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82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516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800" w:type="dxa"/>
            <w:vAlign w:val="bottom"/>
          </w:tcPr>
          <w:p>
            <w:pPr>
              <w:ind w:left="182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800" w:type="dxa"/>
            <w:vAlign w:val="bottom"/>
          </w:tcPr>
          <w:p>
            <w:pPr>
              <w:ind w:left="182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 w:lineRule="exact"/>
        <w:rPr>
          <w:sz w:val="24"/>
          <w:szCs w:val="24"/>
          <w:color w:val="auto"/>
        </w:rPr>
      </w:pPr>
    </w:p>
    <w:p>
      <w:pPr>
        <w:ind w:left="120" w:right="2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3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49"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67"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Exchange Act Rule 14d-l(d)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p>
      <w:pPr>
        <w:ind w:left="120" w:firstLine="440"/>
        <w:spacing w:after="0" w:line="37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935" w:orient="portrait"/>
          <w:cols w:equalWidth="0" w:num="1">
            <w:col w:w="11140"/>
          </w:cols>
          <w:pgMar w:left="320" w:top="230" w:right="439" w:bottom="0" w:gutter="0" w:footer="0" w:header="0"/>
        </w:sectPr>
      </w:pPr>
    </w:p>
    <w:bookmarkStart w:id="1" w:name="page2"/>
    <w:bookmarkEnd w:id="1"/>
    <w:p>
      <w:pPr>
        <w:spacing w:after="0" w:line="298" w:lineRule="auto"/>
        <w:rPr>
          <w:sz w:val="20"/>
          <w:szCs w:val="20"/>
          <w:color w:val="auto"/>
        </w:rPr>
      </w:pPr>
      <w:r>
        <w:rPr>
          <w:rFonts w:ascii="Arial" w:cs="Arial" w:eastAsia="Arial" w:hAnsi="Arial"/>
          <w:sz w:val="16"/>
          <w:szCs w:val="16"/>
          <w:b w:val="1"/>
          <w:bCs w:val="1"/>
          <w:color w:val="auto"/>
        </w:rPr>
        <w:t>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FF4338"/>
        </w:rPr>
        <w:t>The information in this prospectus may change. We may not complete the exchange offers and issue these securities until the registration statement filed with the Securities and Exchange Commission is effective. This prospectus is not an offer to sell these securities and it is not soliciting an offer to buy these securities in any state where the offer is not permitted.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MARCH 18, 2022</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92075</wp:posOffset>
            </wp:positionV>
            <wp:extent cx="139700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Offers to Exchange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Up to $4,999,854,000 aggregate principal amount of new 2.887% Notes due 2051 registered under the Securities Act of 1933,</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for any and all outstanding unregistered 2.887% Notes due 2051,</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Up to $5,999,998,000 aggregate principal amount of new 2.937% Notes due 2056 registered under the Securities Act of 1933,</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for any and all outstanding unregistered 2.937% Notes due 2056, and</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Up to $4,000,000,000 aggregate principal amount of new 2.987% Notes due 2063 registered under the Securities Act of 1933,</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for any and all outstanding unregistered 2.987% Notes due 2063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0"/>
          <w:szCs w:val="20"/>
          <w:color w:val="auto"/>
        </w:rPr>
      </w:pPr>
    </w:p>
    <w:p>
      <w:pPr>
        <w:jc w:val="both"/>
        <w:ind w:left="120" w:right="20" w:firstLine="440"/>
        <w:spacing w:after="0" w:line="309" w:lineRule="auto"/>
        <w:rPr>
          <w:sz w:val="20"/>
          <w:szCs w:val="20"/>
          <w:color w:val="auto"/>
        </w:rPr>
      </w:pPr>
      <w:r>
        <w:rPr>
          <w:rFonts w:ascii="Arial" w:cs="Arial" w:eastAsia="Arial" w:hAnsi="Arial"/>
          <w:sz w:val="14"/>
          <w:szCs w:val="14"/>
          <w:color w:val="auto"/>
        </w:rPr>
        <w:t>Comcast Corporation (“Comcast”) is offering to exchange: (i) new registered 2.887% Notes due 2051 (the “2051 Exchange Notes”) for its outstanding unregistered 2.887% Notes due 2051 (the “2051 Original Notes”); (ii) new registered 2.937% Notes due 2056 (the “2056 Exchange Notes”) for its outstanding unregistered 2.937% Notes due 2056 (the “2056 Original Notes”), and (iii) new registered 2.987% Notes due 2063 (the “2063 Exchange Notes” and, together with the 2051 Exchange Notes and the 2056 Exchange Notes, the “Exchange Notes”) for its outstanding unregistered 2.987% Notes due 2063 (the “2063 Original Notes” and, together with the 2051 Original Notes and the 2056 Original Notes, the “Original Notes”). The Original Notes and the Exchange Notes are sometimes referred to in this prospectus together as the “Notes.” The terms of each series of the Exchange Notes are substantially identical to the terms of the applicable series of Original Notes, except that the Exchange Notes are registered under the Securities Act of 1933, as amended (the “Securities Act”), and the transfer restrictions and registration rights and related special interest provisions applicable to the Original Notes do not apply to the Exchange Notes. The Original Notes are, and the Exchange Notes will be, unsecured and will rank equally with all of our and our guarantors’ unsecured and unsubordinated indebtedness. The Original Notes are, and the Exchange Notes will be, fully and unconditionally guaranteed by NBCUniversal Media, LLC (“NBCUniversal”) and Comcast Cable Communications, LLC (“Comcast Cable Communications”).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Original Notes may only be tendered in an amount equal to $2,000 in principal amount and in multiples of $1,000 thereafter. Interest on the Exchange Notes</w:t>
      </w:r>
    </w:p>
    <w:p>
      <w:pPr>
        <w:spacing w:after="0" w:line="4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5"/>
          <w:szCs w:val="15"/>
          <w:color w:val="auto"/>
        </w:rPr>
        <w:t>will accrue from the most recent date to which interest on the Original Notes has been paid ( ), and will be payable semi-annually in arrears on May 1 and November 1, commencing on , 2022. We will deem the right to receive any interest accrued but unpaid on the Original Notes waived by you if we accept your</w:t>
      </w:r>
    </w:p>
    <w:p>
      <w:pPr>
        <w:spacing w:after="0" w:line="1" w:lineRule="exact"/>
        <w:rPr>
          <w:sz w:val="20"/>
          <w:szCs w:val="20"/>
          <w:color w:val="auto"/>
        </w:rPr>
      </w:pPr>
    </w:p>
    <w:p>
      <w:pPr>
        <w:jc w:val="both"/>
        <w:ind w:left="120" w:right="20"/>
        <w:spacing w:after="0" w:line="276" w:lineRule="auto"/>
        <w:rPr>
          <w:sz w:val="20"/>
          <w:szCs w:val="20"/>
          <w:color w:val="auto"/>
        </w:rPr>
      </w:pPr>
      <w:r>
        <w:rPr>
          <w:rFonts w:ascii="Arial" w:cs="Arial" w:eastAsia="Arial" w:hAnsi="Arial"/>
          <w:sz w:val="16"/>
          <w:szCs w:val="16"/>
          <w:color w:val="auto"/>
        </w:rPr>
        <w:t>Original Notes for exchange. Accordingly, holders whose tenders are accepted for exchange will not receive any payment in respect of accrued interest on such Original Notes, unless the record date for any such interest payment occurs before the completion of the Exchange Offers. We refer to these offers as the “Exchange Offers.” For a more detailed description of the Exchange Notes, see “Description of Exchange Notes and the Guarantees.”</w:t>
      </w:r>
    </w:p>
    <w:p>
      <w:pPr>
        <w:spacing w:after="0" w:line="77"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are not asking you for a proxy and you are requested not to send us a proxy. You do not have dissenters’ rights of appraisal in connection with the Exchange Offers. See “The Exchange Offers—Absence of Dissenters’ Rights of Appraisal.”</w:t>
      </w:r>
    </w:p>
    <w:p>
      <w:pPr>
        <w:spacing w:after="0" w:line="60" w:lineRule="exact"/>
        <w:rPr>
          <w:sz w:val="20"/>
          <w:szCs w:val="20"/>
          <w:color w:val="auto"/>
        </w:rPr>
      </w:pPr>
    </w:p>
    <w:p>
      <w:pPr>
        <w:jc w:val="both"/>
        <w:ind w:left="120" w:right="20" w:firstLine="440"/>
        <w:spacing w:after="0" w:line="298" w:lineRule="auto"/>
        <w:rPr>
          <w:sz w:val="20"/>
          <w:szCs w:val="20"/>
          <w:color w:val="auto"/>
        </w:rPr>
      </w:pPr>
      <w:r>
        <w:rPr>
          <w:rFonts w:ascii="Arial" w:cs="Arial" w:eastAsia="Arial" w:hAnsi="Arial"/>
          <w:sz w:val="16"/>
          <w:szCs w:val="16"/>
          <w:b w:val="1"/>
          <w:bCs w:val="1"/>
          <w:color w:val="auto"/>
        </w:rPr>
        <w:t>No public market currently exists for the Original Notes and we cannot assure you that any public market for the Exchange Notes will develop. The Exchange Notes will not be listed on any national securities exchange.</w:t>
      </w:r>
    </w:p>
    <w:p>
      <w:pPr>
        <w:spacing w:after="0" w:line="6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6"/>
          <w:szCs w:val="16"/>
          <w:color w:val="auto"/>
        </w:rPr>
        <w:t>Each broker-dealer that receives Exchange Notes for its own account pursuant to the Exchange Offers will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w:t>
      </w:r>
    </w:p>
    <w:p>
      <w:pPr>
        <w:spacing w:after="0" w:line="82"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have agreed that, for a period of 90 days after the Expiration Date (as defined herein), we will make this prospectus available to any broker-dealer for use in connection with any such resale. See “Plan of Distribution” below.</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Holders may withdraw their tendered Original Notes at any time at or prior to the Expiration Date (as defined below) of the Exchange Offers. The Exchange</w:t>
      </w:r>
    </w:p>
    <w:p>
      <w:pPr>
        <w:spacing w:after="0" w:line="3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6"/>
          <w:szCs w:val="16"/>
          <w:color w:val="auto"/>
        </w:rPr>
        <w:t>Offers will expire at 11:59 p.m., New York City time, on , 2022, unless extended or earlier terminated by us (such date, as the same may be extended or earlier terminated with respect to any series of Exchange Notes, the “Expiration Date”). The Exchange Offers are subject to customary conditions discussed under “The Exchange Offers—Conditions to the Exchange Offers.” No Exchange Offer is conditioned upon the other Exchange Offers, and we may terminate or extend any Exchange Offer without terminating or extending the other Exchange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0"/>
          <w:szCs w:val="20"/>
          <w:color w:val="auto"/>
        </w:rPr>
      </w:pPr>
    </w:p>
    <w:p>
      <w:pPr>
        <w:jc w:val="both"/>
        <w:ind w:left="120" w:right="20" w:firstLine="440"/>
        <w:spacing w:after="0" w:line="281"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Exchange Notes involves risks. See “</w:t>
      </w:r>
      <w:hyperlink w:anchor="page1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22 of our Annual Report on Form 10-K for the fiscal year ended December 31, 2021, which is incorporated by reference herein, and on page 12 of this prospectus, to read about factors you should consider before investing in the Exchange Notes.</w:t>
      </w:r>
    </w:p>
    <w:p>
      <w:pPr>
        <w:spacing w:after="0" w:line="69" w:lineRule="exact"/>
        <w:rPr>
          <w:sz w:val="20"/>
          <w:szCs w:val="20"/>
          <w:color w:val="auto"/>
        </w:rPr>
      </w:pPr>
    </w:p>
    <w:p>
      <w:pPr>
        <w:jc w:val="both"/>
        <w:ind w:left="120" w:right="20" w:firstLine="440"/>
        <w:spacing w:after="0" w:line="298"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6" w:lineRule="exact"/>
        <w:rPr>
          <w:sz w:val="20"/>
          <w:szCs w:val="20"/>
          <w:color w:val="auto"/>
        </w:rPr>
      </w:pPr>
    </w:p>
    <w:tbl>
      <w:tblPr>
        <w:tblLayout w:type="fixed"/>
        <w:tblInd w:w="4460" w:type="dxa"/>
        <w:tblCellMar>
          <w:top w:w="0" w:type="dxa"/>
          <w:left w:w="0" w:type="dxa"/>
          <w:bottom w:w="0" w:type="dxa"/>
          <w:right w:w="0" w:type="dxa"/>
        </w:tblCellMar>
      </w:tblPr>
      <w:tr>
        <w:trPr>
          <w:trHeight w:val="210"/>
        </w:trPr>
        <w:tc>
          <w:tcPr>
            <w:tcW w:w="1540" w:type="dxa"/>
            <w:vAlign w:val="bottom"/>
          </w:tcPr>
          <w:p>
            <w:pPr>
              <w:spacing w:after="0"/>
              <w:rPr>
                <w:sz w:val="20"/>
                <w:szCs w:val="20"/>
                <w:color w:val="auto"/>
              </w:rPr>
            </w:pPr>
            <w:r>
              <w:rPr>
                <w:rFonts w:ascii="Arial" w:cs="Arial" w:eastAsia="Arial" w:hAnsi="Arial"/>
                <w:sz w:val="16"/>
                <w:szCs w:val="16"/>
                <w:b w:val="1"/>
                <w:bCs w:val="1"/>
                <w:color w:val="auto"/>
              </w:rPr>
              <w:t>Prospectus dated</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 2022.</w:t>
            </w:r>
          </w:p>
        </w:tc>
      </w:tr>
    </w:tbl>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40" w:type="dxa"/>
            <w:vAlign w:val="bottom"/>
            <w:gridSpan w:val="5"/>
          </w:tcPr>
          <w:p>
            <w:pPr>
              <w:ind w:left="3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1640" w:type="dxa"/>
            <w:vAlign w:val="bottom"/>
            <w:gridSpan w:val="8"/>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2600" w:type="dxa"/>
            <w:vAlign w:val="bottom"/>
            <w:gridSpan w:val="6"/>
            <w:vMerge w:val="restart"/>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8"/>
            <w:vMerge w:val="continue"/>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7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Incorporation of Certain Information by Reference</w:t>
              </w:r>
            </w:hyperlink>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Summary</w:t>
              </w:r>
            </w:hyperlink>
          </w:p>
        </w:tc>
        <w:tc>
          <w:tcPr>
            <w:tcW w:w="2940" w:type="dxa"/>
            <w:vAlign w:val="bottom"/>
            <w:tcBorders>
              <w:top w:val="single" w:sz="8" w:color="0000EE"/>
            </w:tcBorders>
            <w:gridSpan w:val="10"/>
          </w:tcPr>
          <w:p>
            <w:pPr>
              <w:spacing w:after="0"/>
              <w:rPr>
                <w:sz w:val="17"/>
                <w:szCs w:val="17"/>
                <w:color w:val="auto"/>
              </w:rPr>
            </w:pPr>
          </w:p>
        </w:tc>
        <w:tc>
          <w:tcPr>
            <w:tcW w:w="600" w:type="dxa"/>
            <w:vAlign w:val="bottom"/>
            <w:gridSpan w:val="2"/>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The Exchange Offers</w:t>
              </w:r>
            </w:hyperlink>
          </w:p>
        </w:tc>
        <w:tc>
          <w:tcPr>
            <w:tcW w:w="2700" w:type="dxa"/>
            <w:vAlign w:val="bottom"/>
            <w:gridSpan w:val="7"/>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Description of the Exchange Notes and the Guarantees</w:t>
              </w:r>
            </w:hyperlink>
          </w:p>
        </w:tc>
        <w:tc>
          <w:tcPr>
            <w:tcW w:w="300" w:type="dxa"/>
            <w:vAlign w:val="bottom"/>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Certain U.S. Federal Income Tax Considerations</w:t>
              </w:r>
            </w:hyperlink>
          </w:p>
        </w:tc>
        <w:tc>
          <w:tcPr>
            <w:tcW w:w="740" w:type="dxa"/>
            <w:vAlign w:val="bottom"/>
            <w:gridSpan w:val="3"/>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The Exchange Agent</w:t>
              </w:r>
            </w:hyperlink>
          </w:p>
        </w:tc>
        <w:tc>
          <w:tcPr>
            <w:tcW w:w="2720" w:type="dxa"/>
            <w:vAlign w:val="bottom"/>
            <w:gridSpan w:val="8"/>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Validity of Securities</w:t>
              </w:r>
            </w:hyperlink>
          </w:p>
        </w:tc>
        <w:tc>
          <w:tcPr>
            <w:tcW w:w="2720" w:type="dxa"/>
            <w:vAlign w:val="bottom"/>
            <w:gridSpan w:val="8"/>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67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No person has been authorized to give any information or any representation concerning us or the Exchange Offers (other than as contained in this prospectus) and we take no responsibility for, nor can we provide any assurance as to the reliability of, any other information that others may give you. You should not assume that the information contained or incorporated by reference in this prospectus is accurate as of any date other than the date on the front cover of this prospectus or the date of the incorporated document, as applicable.</w:t>
      </w:r>
    </w:p>
    <w:p>
      <w:pPr>
        <w:spacing w:after="0" w:line="17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In making an investment decision, prospective investors must rely on their own examination of us, and the terms of the Exchange Offers,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participate in the Exchange Offers and to invest in the Exchange Notes under applicable legal investment or similar laws or regulations.</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No letter of transmittal will be used in connection with the Exchange Offers, and there are no guaranteed delivery provisions provided for in conjunction with the Exchange Offers under the terms of this prospectus. Tendering holders must tender their Original Notes in accordance with the procedures set forth under “The Exchange Offers—Procedures for Tendering Original Notes.”</w:t>
      </w:r>
    </w:p>
    <w:p>
      <w:pPr>
        <w:spacing w:after="0" w:line="184"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This prospectus contains summaries believed to be accurate with respect to certain documents, but reference is made to the actual documents for complete information. All such summaries are qualified in their entirety by such reference. See “Where You Can Find More Information.”</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have included or incorporated by reference in this prospectus statements that may constitute “forward-looking statements.” These forward-looking statements are not historical facts but instead represent only our belief regarding future events, many of which, by their nature, are inherently uncertain and outside of our control. It is possible that our actual results may differ, possibly materially, from the anticipated results indicated in or implied by these forward-looking statements. See “Risk Factors” below for information regarding important factors that could cause actual results to differ, perhaps materially, from those in our forward-looking statements.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This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required to file annual, quarterly and current reports, proxy statements and other information with the SEC. The SEC maintains an internet site that contains reports, proxy and information statements, and other information regarding issuers that file electronically with the SEC, including us, which can be accessed at http://www.sec.gov.</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in any prospectus supplement, in any free writing prospectus prepared by or on behalf of us or to which we have referred you and in material we file with the SEC and incorporate by reference herein. We take no responsibility for, and can provide no assurance as to the reliability of, any other information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that others may give you. We are not making an offer of these securities in any jurisdiction where the offer is not permitted. You should not assume that the information contained in or incorporated by reference in this prospectus, any prospectus supplement, any free writing prospectus and our filings with the SEC is accurate as of any date other than their respective dates.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We have chosen to “incorporate by reference” the information we file with the SEC, and this prospectus incorporates important business and financial information about us that is not included or delivered with this prospectus. The information incorporated by reference is considered to be part of this prospectus, and information that we file with the SEC in the future will automatically update and supersede this information. We incorporate by reference the documents listed below and any future filings we will make with the SEC under Sections 13(a), 13(c), 14 or 15(d) of the Securities Exchange Act of 1934 (the “Exchange Act”) after the date of this prospectus and until we complete the Exchange Offer (other than, in each case, documents or information deemed to have been furnished and not filed in accordance with the SEC rules):</w:t>
      </w:r>
    </w:p>
    <w:p>
      <w:pPr>
        <w:spacing w:after="0" w:line="8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and</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sections of Comcast’s Definitive Proxy Statement on </w:t>
      </w:r>
      <w:hyperlink r:id="rId28">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2021 annual meeting of shareholders incorporated by reference in Comcast’s Annual Report on Form 10-K for the year ended December 31, 2020, filed on April 23, 2021.</w:t>
      </w:r>
    </w:p>
    <w:p>
      <w:pPr>
        <w:spacing w:after="0" w:line="146" w:lineRule="exact"/>
        <w:rPr>
          <w:rFonts w:ascii="Arial" w:cs="Arial" w:eastAsia="Arial" w:hAnsi="Arial"/>
          <w:sz w:val="18"/>
          <w:szCs w:val="18"/>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8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6"/>
          <w:szCs w:val="16"/>
          <w:color w:val="auto"/>
        </w:rPr>
        <w:t>To receive timely delivery of the documents prior to the Expiration Date, you should make your request no later than five business days before the</w:t>
      </w:r>
    </w:p>
    <w:p>
      <w:pPr>
        <w:spacing w:after="0" w:line="46" w:lineRule="exact"/>
        <w:rPr>
          <w:rFonts w:ascii="Arial" w:cs="Arial" w:eastAsia="Arial" w:hAnsi="Arial"/>
          <w:sz w:val="18"/>
          <w:szCs w:val="18"/>
          <w:color w:val="auto"/>
        </w:rPr>
      </w:pPr>
    </w:p>
    <w:tbl>
      <w:tblPr>
        <w:tblLayout w:type="fixed"/>
        <w:tblInd w:w="1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w w:val="99"/>
              </w:rPr>
              <w:t>date you must make your investment decision, or</w:t>
            </w:r>
          </w:p>
        </w:tc>
        <w:tc>
          <w:tcPr>
            <w:tcW w:w="880" w:type="dxa"/>
            <w:vAlign w:val="bottom"/>
          </w:tcPr>
          <w:p>
            <w:pPr>
              <w:jc w:val="right"/>
              <w:spacing w:after="0"/>
              <w:rPr>
                <w:sz w:val="20"/>
                <w:szCs w:val="20"/>
                <w:color w:val="auto"/>
              </w:rPr>
            </w:pPr>
            <w:r>
              <w:rPr>
                <w:rFonts w:ascii="Arial" w:cs="Arial" w:eastAsia="Arial" w:hAnsi="Arial"/>
                <w:sz w:val="18"/>
                <w:szCs w:val="18"/>
                <w:color w:val="auto"/>
              </w:rPr>
              <w:t>, 2022.</w:t>
            </w:r>
          </w:p>
        </w:tc>
      </w:tr>
    </w:tbl>
    <w:p>
      <w:pPr>
        <w:spacing w:after="0" w:line="12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01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i w:val="1"/>
          <w:iCs w:val="1"/>
          <w:color w:val="auto"/>
        </w:rPr>
        <w:t>This summary provides an overview of selected information. Because this is only a summary, it may not contain all of the information that may be important to you in understanding the Exchange Offers. You should carefully read this entire prospectus, including the section entitled “Risk Factors”, as well as the information incorporated by reference in this prospectus. See the sections of this prospectus entitled “Where You Can Find More Information” and “Incorporation of Certain Information by Reference.”</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85" w:lineRule="exact"/>
        <w:rPr>
          <w:sz w:val="20"/>
          <w:szCs w:val="20"/>
          <w:color w:val="auto"/>
        </w:rPr>
      </w:pPr>
    </w:p>
    <w:p>
      <w:pPr>
        <w:jc w:val="both"/>
        <w:ind w:left="1240" w:hanging="415"/>
        <w:spacing w:after="0" w:line="266"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broadband,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other services to residential customers in the United States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jc w:val="both"/>
        <w:ind w:left="1240" w:right="20" w:hanging="415"/>
        <w:spacing w:after="0" w:line="347"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Media: </w:t>
      </w:r>
      <w:r>
        <w:rPr>
          <w:rFonts w:ascii="Arial" w:cs="Arial" w:eastAsia="Arial" w:hAnsi="Arial"/>
          <w:sz w:val="16"/>
          <w:szCs w:val="16"/>
          <w:color w:val="auto"/>
        </w:rPr>
        <w:t>Consists primarily of NBCUniversal’s television and streaming platforms, including national, regional and international cable</w:t>
      </w:r>
      <w:r>
        <w:rPr>
          <w:rFonts w:ascii="Arial" w:cs="Arial" w:eastAsia="Arial" w:hAnsi="Arial"/>
          <w:sz w:val="16"/>
          <w:szCs w:val="16"/>
          <w:b w:val="1"/>
          <w:bCs w:val="1"/>
          <w:color w:val="auto"/>
        </w:rPr>
        <w:t xml:space="preserve"> </w:t>
      </w:r>
      <w:r>
        <w:rPr>
          <w:rFonts w:ascii="Arial" w:cs="Arial" w:eastAsia="Arial" w:hAnsi="Arial"/>
          <w:sz w:val="16"/>
          <w:szCs w:val="16"/>
          <w:color w:val="auto"/>
        </w:rPr>
        <w:t>networks; the NBC and Telemundo broadcast networks, NBC and Telemundo owned local broadcast television stations; and Peacock.</w:t>
      </w:r>
    </w:p>
    <w:p>
      <w:pPr>
        <w:spacing w:after="0" w:line="21" w:lineRule="exact"/>
        <w:rPr>
          <w:rFonts w:ascii="Arial" w:cs="Arial" w:eastAsia="Arial" w:hAnsi="Arial"/>
          <w:sz w:val="16"/>
          <w:szCs w:val="16"/>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Studios: </w:t>
      </w:r>
      <w:r>
        <w:rPr>
          <w:rFonts w:ascii="Arial" w:cs="Arial" w:eastAsia="Arial" w:hAnsi="Arial"/>
          <w:sz w:val="18"/>
          <w:szCs w:val="18"/>
          <w:color w:val="auto"/>
        </w:rPr>
        <w:t>Consists primarily of NBCUniversal’s film and television studio production and distribution operations.</w:t>
      </w:r>
    </w:p>
    <w:p>
      <w:pPr>
        <w:spacing w:after="0" w:line="130" w:lineRule="exact"/>
        <w:rPr>
          <w:rFonts w:ascii="Arial" w:cs="Arial" w:eastAsia="Arial" w:hAnsi="Arial"/>
          <w:sz w:val="18"/>
          <w:szCs w:val="18"/>
          <w:color w:val="auto"/>
        </w:rPr>
      </w:pPr>
    </w:p>
    <w:p>
      <w:pPr>
        <w:ind w:left="1240" w:hanging="415"/>
        <w:spacing w:after="0" w:line="282"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Osaka, Japan; and</w:t>
      </w:r>
      <w:r>
        <w:rPr>
          <w:rFonts w:ascii="Arial" w:cs="Arial" w:eastAsia="Arial" w:hAnsi="Arial"/>
          <w:sz w:val="18"/>
          <w:szCs w:val="18"/>
          <w:b w:val="1"/>
          <w:bCs w:val="1"/>
          <w:color w:val="auto"/>
        </w:rPr>
        <w:t xml:space="preserve"> </w:t>
      </w:r>
      <w:r>
        <w:rPr>
          <w:rFonts w:ascii="Arial" w:cs="Arial" w:eastAsia="Arial" w:hAnsi="Arial"/>
          <w:sz w:val="18"/>
          <w:szCs w:val="18"/>
          <w:color w:val="auto"/>
        </w:rPr>
        <w:t>Beijing, China.</w:t>
      </w:r>
    </w:p>
    <w:p>
      <w:pPr>
        <w:spacing w:after="0" w:line="67" w:lineRule="exact"/>
        <w:rPr>
          <w:rFonts w:ascii="Arial" w:cs="Arial" w:eastAsia="Arial" w:hAnsi="Arial"/>
          <w:sz w:val="18"/>
          <w:szCs w:val="18"/>
          <w:color w:val="auto"/>
        </w:rPr>
      </w:pPr>
    </w:p>
    <w:p>
      <w:pPr>
        <w:jc w:val="both"/>
        <w:ind w:left="1240" w:hanging="415"/>
        <w:spacing w:after="0" w:line="266"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direct-to-consumer business, providing video, broadband, voice and wireless phone services, and a content business, operating entertainment networks, the Sky News broadcast network and Sky Sports networks.</w:t>
      </w:r>
    </w:p>
    <w:p>
      <w:pPr>
        <w:spacing w:after="0" w:line="180"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70"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 in this prospectus.</w:t>
      </w:r>
    </w:p>
    <w:p>
      <w:pPr>
        <w:spacing w:after="0" w:line="184"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04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998970" cy="2104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Our obligations, including the payment of principal, premium, if any, and interest on the Exchange Notes will be fully and unconditionally guaranteed by each of Comcast Cable Communications and NBCUniversal. In this prospectus, we refer to these guarantors as the guarantors and to these guarantees as the guarantees.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240" w:right="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Comcast  Cable  Communications’  principal  place  of  business  is  One  Comcast  Center,  Philadelphia,  Pennsylvania  19103-2838.</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NBCUniversal’s principal executive offices are located at 30 Rockefeller Plaza, New York, New York 10112-0015.</w:t>
      </w: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The Exchange Offers</w:t>
      </w:r>
    </w:p>
    <w:p>
      <w:pPr>
        <w:sectPr>
          <w:pgSz w:w="11900" w:h="16838" w:orient="portrait"/>
          <w:cols w:equalWidth="0" w:num="1">
            <w:col w:w="10940"/>
          </w:cols>
          <w:pgMar w:left="320" w:top="459" w:right="639" w:bottom="1440" w:gutter="0" w:footer="0" w:header="0"/>
        </w:sectPr>
      </w:pP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Offeror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16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The Exchange Offers</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7"/>
          <w:szCs w:val="17"/>
          <w:color w:val="auto"/>
        </w:rPr>
        <w:t>We are offering to exchange our 2051 Exchange Notes which have been registered under the Securities Act for a like principal amount of our outstanding unregistered 2051 Original Notes, our 2056 Exchange Notes which have been registered under the Securities Act for a like principal amount of our outstanding unregistered 2056 Original Notes, and our 2063 Exchange Notes which have been registered under the Securities Act for a like principal amount of our outstanding unregistered 2063 Original Notes. Original Notes may only be tendered in an amount equal to $2,000 in principal amount and in integral multiples of $1,000 thereafter. See “The Exchange Offers” for more information on the terms of the Exchange Offers.</w:t>
      </w:r>
    </w:p>
    <w:p>
      <w:pPr>
        <w:spacing w:after="0" w:line="86"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Resale of Exchange Notes</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 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84"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you are not a broker-dealer tendering Original Notes that you acquired directly from us for your own account;</w:t>
      </w:r>
    </w:p>
    <w:p>
      <w:pPr>
        <w:spacing w:after="0" w:line="76" w:lineRule="exact"/>
        <w:rPr>
          <w:sz w:val="20"/>
          <w:szCs w:val="20"/>
          <w:color w:val="auto"/>
        </w:rPr>
      </w:pPr>
    </w:p>
    <w:p>
      <w:pPr>
        <w:sectPr>
          <w:pgSz w:w="11900" w:h="16838" w:orient="portrait"/>
          <w:cols w:equalWidth="0" w:num="2">
            <w:col w:w="4620" w:space="220"/>
            <w:col w:w="6100"/>
          </w:cols>
          <w:pgMar w:left="320" w:top="459" w:right="639" w:bottom="1440" w:gutter="0" w:footer="0" w:header="0"/>
          <w:type w:val="continuous"/>
        </w:sectPr>
      </w:pPr>
    </w:p>
    <w:p>
      <w:pPr>
        <w:ind w:left="4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acquiring the Exchange Notes in the ordinary course of your business;</w:t>
      </w:r>
    </w:p>
    <w:p>
      <w:pPr>
        <w:spacing w:after="0" w:line="153" w:lineRule="exact"/>
        <w:rPr>
          <w:sz w:val="20"/>
          <w:szCs w:val="20"/>
          <w:color w:val="auto"/>
        </w:rPr>
      </w:pPr>
    </w:p>
    <w:p>
      <w:pPr>
        <w:sectPr>
          <w:pgSz w:w="11900" w:h="16838" w:orient="portrait"/>
          <w:cols w:equalWidth="0" w:num="2">
            <w:col w:w="4620" w:space="220"/>
            <w:col w:w="6100"/>
          </w:cols>
          <w:pgMar w:left="320" w:top="459" w:right="639" w:bottom="1440" w:gutter="0" w:footer="0" w:header="0"/>
          <w:type w:val="continuous"/>
        </w:sectPr>
      </w:pPr>
    </w:p>
    <w:p>
      <w:pPr>
        <w:ind w:left="4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you have not participated in, do not intend to participate in, and have no arrangement or understanding with any person to participate in a distribution of the Exchange Notes; and</w:t>
      </w:r>
    </w:p>
    <w:p>
      <w:pPr>
        <w:spacing w:after="0" w:line="89" w:lineRule="exact"/>
        <w:rPr>
          <w:sz w:val="20"/>
          <w:szCs w:val="20"/>
          <w:color w:val="auto"/>
        </w:rPr>
      </w:pPr>
    </w:p>
    <w:p>
      <w:pPr>
        <w:sectPr>
          <w:pgSz w:w="11900" w:h="16838" w:orient="portrait"/>
          <w:cols w:equalWidth="0" w:num="2">
            <w:col w:w="4620" w:space="220"/>
            <w:col w:w="6100"/>
          </w:cols>
          <w:pgMar w:left="320" w:top="459" w:right="639" w:bottom="1440" w:gutter="0" w:footer="0" w:header="0"/>
          <w:type w:val="continuous"/>
        </w:sectPr>
      </w:pPr>
    </w:p>
    <w:p>
      <w:pPr>
        <w:ind w:left="4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our “affiliate” as defined under Rule 405 of the Securities Act.</w:t>
      </w:r>
    </w:p>
    <w:p>
      <w:pPr>
        <w:spacing w:after="0" w:line="153" w:lineRule="exact"/>
        <w:rPr>
          <w:sz w:val="20"/>
          <w:szCs w:val="20"/>
          <w:color w:val="auto"/>
        </w:rPr>
      </w:pPr>
    </w:p>
    <w:p>
      <w:pPr>
        <w:sectPr>
          <w:pgSz w:w="11900" w:h="16838" w:orient="portrait"/>
          <w:cols w:equalWidth="0" w:num="2">
            <w:col w:w="4620" w:space="220"/>
            <w:col w:w="6100"/>
          </w:cols>
          <w:pgMar w:left="320" w:top="459" w:right="639" w:bottom="1440" w:gutter="0" w:footer="0" w:header="0"/>
          <w:type w:val="continuous"/>
        </w:sectPr>
      </w:pPr>
    </w:p>
    <w:p>
      <w:pPr>
        <w:ind w:left="4340"/>
        <w:spacing w:after="0" w:line="274" w:lineRule="auto"/>
        <w:rPr>
          <w:sz w:val="20"/>
          <w:szCs w:val="20"/>
          <w:color w:val="auto"/>
        </w:rPr>
      </w:pPr>
      <w:r>
        <w:rPr>
          <w:rFonts w:ascii="Arial" w:cs="Arial" w:eastAsia="Arial" w:hAnsi="Arial"/>
          <w:sz w:val="17"/>
          <w:szCs w:val="17"/>
          <w:color w:val="auto"/>
        </w:rPr>
        <w:t>However, any purchaser of Exchange Notes who is an affiliate of ours or who intends to participate in the Exchange Offers for the purpose of distributing the Exchange Notes</w:t>
      </w:r>
    </w:p>
    <w:p>
      <w:pPr>
        <w:jc w:val="both"/>
        <w:ind w:left="4340" w:hanging="5"/>
        <w:spacing w:after="0" w:line="252" w:lineRule="auto"/>
        <w:tabs>
          <w:tab w:leader="none" w:pos="4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SEC staff set forth in the above-mentioned no-action letters, (ii) 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200"/>
        <w:spacing w:after="0" w:line="275" w:lineRule="auto"/>
        <w:rPr>
          <w:sz w:val="20"/>
          <w:szCs w:val="20"/>
          <w:color w:val="auto"/>
        </w:rPr>
      </w:pPr>
      <w:r>
        <w:rPr>
          <w:rFonts w:ascii="Arial" w:cs="Arial" w:eastAsia="Arial" w:hAnsi="Arial"/>
          <w:sz w:val="17"/>
          <w:szCs w:val="17"/>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w:t>
      </w:r>
    </w:p>
    <w:p>
      <w:pPr>
        <w:sectPr>
          <w:pgSz w:w="11900" w:h="16838" w:orient="portrait"/>
          <w:cols w:equalWidth="0" w:num="1">
            <w:col w:w="11140"/>
          </w:cols>
          <w:pgMar w:left="320" w:top="459" w:right="439" w:bottom="1440" w:gutter="0" w:footer="0" w:header="0"/>
        </w:sectPr>
      </w:pP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Purpose of the Exchange Offers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purpose of the Exchange Offers is to satisfy our obligations under a registration rights agreement, dated as of August 19, 2021 (the “Registration Rights Agreement”).</w:t>
      </w:r>
    </w:p>
    <w:p>
      <w:pPr>
        <w:spacing w:after="0" w:line="52"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Consequences If You Do Not Exchange Your Original  Original Notes that are not tendered in the Exchange Offers or are not accepted for</w:t>
      </w:r>
    </w:p>
    <w:p>
      <w:pPr>
        <w:spacing w:after="0" w:line="35" w:lineRule="exact"/>
        <w:rPr>
          <w:sz w:val="20"/>
          <w:szCs w:val="20"/>
          <w:color w:val="auto"/>
        </w:rPr>
      </w:pPr>
    </w:p>
    <w:p>
      <w:pPr>
        <w:jc w:val="center"/>
        <w:ind w:left="4460" w:right="200"/>
        <w:spacing w:after="0" w:line="260" w:lineRule="auto"/>
        <w:tabs>
          <w:tab w:leader="none" w:pos="3520" w:val="left"/>
        </w:tabs>
        <w:rPr>
          <w:sz w:val="20"/>
          <w:szCs w:val="20"/>
          <w:color w:val="auto"/>
        </w:rPr>
      </w:pPr>
      <w:r>
        <w:rPr>
          <w:rFonts w:ascii="Arial" w:cs="Arial" w:eastAsia="Arial" w:hAnsi="Arial"/>
          <w:sz w:val="18"/>
          <w:szCs w:val="18"/>
          <w:color w:val="auto"/>
        </w:rPr>
        <w:t>Notes</w:t>
      </w:r>
      <w:r>
        <w:rPr>
          <w:sz w:val="20"/>
          <w:szCs w:val="20"/>
          <w:color w:val="auto"/>
        </w:rPr>
        <w:tab/>
      </w:r>
      <w:r>
        <w:rPr>
          <w:rFonts w:ascii="Arial" w:cs="Arial" w:eastAsia="Arial" w:hAnsi="Arial"/>
          <w:sz w:val="18"/>
          <w:szCs w:val="18"/>
          <w:color w:val="auto"/>
        </w:rPr>
        <w:t>exchange will continue to bear legends restricting their transfer. You will not be able to offer or sell such Original Notes unless:</w:t>
      </w:r>
    </w:p>
    <w:p>
      <w:pPr>
        <w:spacing w:after="0" w:line="91" w:lineRule="exact"/>
        <w:rPr>
          <w:sz w:val="20"/>
          <w:szCs w:val="20"/>
          <w:color w:val="auto"/>
        </w:rPr>
      </w:pPr>
    </w:p>
    <w:p>
      <w:pPr>
        <w:ind w:left="4840" w:hanging="289"/>
        <w:spacing w:after="0"/>
        <w:tabs>
          <w:tab w:leader="none" w:pos="4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you are able to rely on an exemption from the requirements of the Securities Act; or</w:t>
      </w:r>
    </w:p>
    <w:p>
      <w:pPr>
        <w:spacing w:after="0" w:line="142" w:lineRule="exact"/>
        <w:rPr>
          <w:rFonts w:ascii="Arial" w:cs="Arial" w:eastAsia="Arial" w:hAnsi="Arial"/>
          <w:sz w:val="17"/>
          <w:szCs w:val="17"/>
          <w:color w:val="auto"/>
        </w:rPr>
      </w:pPr>
    </w:p>
    <w:p>
      <w:pPr>
        <w:ind w:left="4840" w:hanging="289"/>
        <w:spacing w:after="0"/>
        <w:tabs>
          <w:tab w:leader="none" w:pos="4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Original Notes are registered under the Securities Act.</w:t>
      </w:r>
    </w:p>
    <w:p>
      <w:pPr>
        <w:spacing w:after="0" w:line="131" w:lineRule="exact"/>
        <w:rPr>
          <w:sz w:val="20"/>
          <w:szCs w:val="20"/>
          <w:color w:val="auto"/>
        </w:rPr>
      </w:pPr>
    </w:p>
    <w:p>
      <w:pPr>
        <w:jc w:val="both"/>
        <w:ind w:left="4340" w:right="200"/>
        <w:spacing w:after="0" w:line="257" w:lineRule="auto"/>
        <w:rPr>
          <w:sz w:val="20"/>
          <w:szCs w:val="20"/>
          <w:color w:val="auto"/>
        </w:rPr>
      </w:pPr>
      <w:r>
        <w:rPr>
          <w:rFonts w:ascii="Arial" w:cs="Arial" w:eastAsia="Arial" w:hAnsi="Arial"/>
          <w:sz w:val="18"/>
          <w:szCs w:val="18"/>
          <w:color w:val="auto"/>
        </w:rPr>
        <w:t>To the extent that Original Notes are tendered and accepted in the Exchange Offers, the trading market for any remaining Original Notes may (and likely will) be adversely affected. See “Risk Factors—Risks Relating to Participation in the Exchange Offers—If you fail to exchange your Original Notes, they will continue to be restricted securities and may become less liquid.”</w:t>
      </w:r>
    </w:p>
    <w:p>
      <w:pPr>
        <w:spacing w:after="0" w:line="93" w:lineRule="exact"/>
        <w:rPr>
          <w:sz w:val="20"/>
          <w:szCs w:val="20"/>
          <w:color w:val="auto"/>
        </w:rPr>
      </w:pPr>
    </w:p>
    <w:p>
      <w:pPr>
        <w:jc w:val="both"/>
        <w:ind w:left="4340" w:right="220"/>
        <w:spacing w:after="0" w:line="257" w:lineRule="auto"/>
        <w:rPr>
          <w:sz w:val="20"/>
          <w:szCs w:val="20"/>
          <w:color w:val="auto"/>
        </w:rPr>
      </w:pPr>
      <w:r>
        <w:rPr>
          <w:rFonts w:ascii="Arial" w:cs="Arial" w:eastAsia="Arial" w:hAnsi="Arial"/>
          <w:sz w:val="18"/>
          <w:szCs w:val="18"/>
          <w:color w:val="auto"/>
        </w:rPr>
        <w:t>After the Exchange Offers are complete, you will not have any further rights under the Registration Rights Agreement, including any right to require us to register any outstanding Original Notes that you do not exchange (except under limited circumstances) or to pay you the additional interest we agreed to pay to holders of Original Notes if we failed to timely commence and complete the Exchange Offers.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Accrued and Unpaid Interest</w:t>
            </w: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w w:val="95"/>
              </w:rPr>
              <w:t>The Exchange Notes will bear interest from the most recent date on which interest on the</w:t>
            </w:r>
          </w:p>
        </w:tc>
      </w:tr>
      <w:tr>
        <w:trPr>
          <w:trHeight w:val="216"/>
        </w:trPr>
        <w:tc>
          <w:tcPr>
            <w:tcW w:w="3440" w:type="dxa"/>
            <w:vAlign w:val="bottom"/>
          </w:tcPr>
          <w:p>
            <w:pPr>
              <w:spacing w:after="0"/>
              <w:rPr>
                <w:sz w:val="18"/>
                <w:szCs w:val="18"/>
                <w:color w:val="auto"/>
              </w:rPr>
            </w:pPr>
          </w:p>
        </w:tc>
        <w:tc>
          <w:tcPr>
            <w:tcW w:w="3860" w:type="dxa"/>
            <w:vAlign w:val="bottom"/>
            <w:gridSpan w:val="3"/>
          </w:tcPr>
          <w:p>
            <w:pPr>
              <w:ind w:left="780"/>
              <w:spacing w:after="0"/>
              <w:rPr>
                <w:sz w:val="20"/>
                <w:szCs w:val="20"/>
                <w:color w:val="auto"/>
              </w:rPr>
            </w:pPr>
            <w:r>
              <w:rPr>
                <w:rFonts w:ascii="Arial" w:cs="Arial" w:eastAsia="Arial" w:hAnsi="Arial"/>
                <w:sz w:val="18"/>
                <w:szCs w:val="18"/>
                <w:color w:val="auto"/>
              </w:rPr>
              <w:t>Original Notes has been paid (</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 If your Original Notes are accepted for</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w w:val="96"/>
              </w:rPr>
              <w:t>exchange, you will receive interest on the corresponding Exchange Notes and not on the</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w w:val="97"/>
              </w:rPr>
              <w:t>Original Notes. Any Original Notes not tendered will remain outstanding and continue to</w:t>
            </w:r>
          </w:p>
        </w:tc>
      </w:tr>
      <w:tr>
        <w:trPr>
          <w:trHeight w:val="230"/>
        </w:trPr>
        <w:tc>
          <w:tcPr>
            <w:tcW w:w="3440" w:type="dxa"/>
            <w:vAlign w:val="bottom"/>
          </w:tcPr>
          <w:p>
            <w:pPr>
              <w:spacing w:after="0"/>
              <w:rPr>
                <w:sz w:val="20"/>
                <w:szCs w:val="20"/>
                <w:color w:val="auto"/>
              </w:rPr>
            </w:pPr>
          </w:p>
        </w:tc>
        <w:tc>
          <w:tcPr>
            <w:tcW w:w="3860" w:type="dxa"/>
            <w:vAlign w:val="bottom"/>
            <w:gridSpan w:val="3"/>
          </w:tcPr>
          <w:p>
            <w:pPr>
              <w:ind w:left="780"/>
              <w:spacing w:after="0"/>
              <w:rPr>
                <w:sz w:val="20"/>
                <w:szCs w:val="20"/>
                <w:color w:val="auto"/>
              </w:rPr>
            </w:pPr>
            <w:r>
              <w:rPr>
                <w:rFonts w:ascii="Arial" w:cs="Arial" w:eastAsia="Arial" w:hAnsi="Arial"/>
                <w:sz w:val="18"/>
                <w:szCs w:val="18"/>
                <w:color w:val="auto"/>
                <w:w w:val="96"/>
              </w:rPr>
              <w:t>accrue interest according to their terms.</w:t>
            </w:r>
          </w:p>
        </w:tc>
        <w:tc>
          <w:tcPr>
            <w:tcW w:w="3720" w:type="dxa"/>
            <w:vAlign w:val="bottom"/>
          </w:tcPr>
          <w:p>
            <w:pPr>
              <w:spacing w:after="0"/>
              <w:rPr>
                <w:sz w:val="20"/>
                <w:szCs w:val="20"/>
                <w:color w:val="auto"/>
              </w:rPr>
            </w:pPr>
          </w:p>
        </w:tc>
      </w:tr>
      <w:tr>
        <w:trPr>
          <w:trHeight w:val="323"/>
        </w:trPr>
        <w:tc>
          <w:tcPr>
            <w:tcW w:w="3440" w:type="dxa"/>
            <w:vAlign w:val="bottom"/>
          </w:tcPr>
          <w:p>
            <w:pPr>
              <w:ind w:left="180"/>
              <w:spacing w:after="0"/>
              <w:rPr>
                <w:sz w:val="20"/>
                <w:szCs w:val="20"/>
                <w:color w:val="auto"/>
              </w:rPr>
            </w:pPr>
            <w:r>
              <w:rPr>
                <w:rFonts w:ascii="Arial" w:cs="Arial" w:eastAsia="Arial" w:hAnsi="Arial"/>
                <w:sz w:val="18"/>
                <w:szCs w:val="18"/>
                <w:color w:val="auto"/>
              </w:rPr>
              <w:t>Expiration Date</w:t>
            </w:r>
          </w:p>
        </w:tc>
        <w:tc>
          <w:tcPr>
            <w:tcW w:w="3860" w:type="dxa"/>
            <w:vAlign w:val="bottom"/>
            <w:gridSpan w:val="3"/>
          </w:tcPr>
          <w:p>
            <w:pPr>
              <w:ind w:left="780"/>
              <w:spacing w:after="0"/>
              <w:rPr>
                <w:sz w:val="20"/>
                <w:szCs w:val="20"/>
                <w:color w:val="auto"/>
              </w:rPr>
            </w:pPr>
            <w:r>
              <w:rPr>
                <w:rFonts w:ascii="Arial" w:cs="Arial" w:eastAsia="Arial" w:hAnsi="Arial"/>
                <w:sz w:val="18"/>
                <w:szCs w:val="18"/>
                <w:color w:val="auto"/>
              </w:rPr>
              <w:t>The Expiration Date of the Exchange</w:t>
            </w:r>
          </w:p>
        </w:tc>
        <w:tc>
          <w:tcPr>
            <w:tcW w:w="3720" w:type="dxa"/>
            <w:vAlign w:val="bottom"/>
          </w:tcPr>
          <w:p>
            <w:pPr>
              <w:jc w:val="right"/>
              <w:ind w:right="110"/>
              <w:spacing w:after="0"/>
              <w:rPr>
                <w:sz w:val="20"/>
                <w:szCs w:val="20"/>
                <w:color w:val="auto"/>
              </w:rPr>
            </w:pPr>
            <w:r>
              <w:rPr>
                <w:rFonts w:ascii="Arial" w:cs="Arial" w:eastAsia="Arial" w:hAnsi="Arial"/>
                <w:sz w:val="18"/>
                <w:szCs w:val="18"/>
                <w:color w:val="auto"/>
              </w:rPr>
              <w:t>Offers will be 11:59 p.m., New York City</w:t>
            </w:r>
          </w:p>
        </w:tc>
      </w:tr>
      <w:tr>
        <w:trPr>
          <w:trHeight w:val="216"/>
        </w:trPr>
        <w:tc>
          <w:tcPr>
            <w:tcW w:w="3440" w:type="dxa"/>
            <w:vAlign w:val="bottom"/>
          </w:tcPr>
          <w:p>
            <w:pPr>
              <w:spacing w:after="0"/>
              <w:rPr>
                <w:sz w:val="18"/>
                <w:szCs w:val="18"/>
                <w:color w:val="auto"/>
              </w:rPr>
            </w:pPr>
          </w:p>
        </w:tc>
        <w:tc>
          <w:tcPr>
            <w:tcW w:w="1540" w:type="dxa"/>
            <w:vAlign w:val="bottom"/>
          </w:tcPr>
          <w:p>
            <w:pPr>
              <w:ind w:left="780"/>
              <w:spacing w:after="0"/>
              <w:rPr>
                <w:sz w:val="20"/>
                <w:szCs w:val="20"/>
                <w:color w:val="auto"/>
              </w:rPr>
            </w:pPr>
            <w:r>
              <w:rPr>
                <w:rFonts w:ascii="Arial" w:cs="Arial" w:eastAsia="Arial" w:hAnsi="Arial"/>
                <w:sz w:val="18"/>
                <w:szCs w:val="18"/>
                <w:color w:val="auto"/>
              </w:rPr>
              <w:t>time,</w:t>
            </w: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on</w:t>
            </w:r>
          </w:p>
        </w:tc>
        <w:tc>
          <w:tcPr>
            <w:tcW w:w="4940" w:type="dxa"/>
            <w:vAlign w:val="bottom"/>
            <w:gridSpan w:val="2"/>
          </w:tcPr>
          <w:p>
            <w:pPr>
              <w:jc w:val="right"/>
              <w:ind w:right="130"/>
              <w:spacing w:after="0"/>
              <w:rPr>
                <w:sz w:val="20"/>
                <w:szCs w:val="20"/>
                <w:color w:val="auto"/>
              </w:rPr>
            </w:pPr>
            <w:r>
              <w:rPr>
                <w:rFonts w:ascii="Arial" w:cs="Arial" w:eastAsia="Arial" w:hAnsi="Arial"/>
                <w:sz w:val="18"/>
                <w:szCs w:val="18"/>
                <w:color w:val="auto"/>
                <w:w w:val="96"/>
              </w:rPr>
              <w:t>, 2022, unless extended or earlier terminated by us. The term</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w w:val="93"/>
              </w:rPr>
              <w:t>“Expiration Date” means such date and time or, if we extend any Exchange Offer, the latest</w:t>
            </w:r>
          </w:p>
        </w:tc>
      </w:tr>
      <w:tr>
        <w:trPr>
          <w:trHeight w:val="230"/>
        </w:trPr>
        <w:tc>
          <w:tcPr>
            <w:tcW w:w="3440" w:type="dxa"/>
            <w:vAlign w:val="bottom"/>
          </w:tcPr>
          <w:p>
            <w:pPr>
              <w:spacing w:after="0"/>
              <w:rPr>
                <w:sz w:val="20"/>
                <w:szCs w:val="20"/>
                <w:color w:val="auto"/>
              </w:rPr>
            </w:pP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rPr>
              <w:t>date and time to which we extend such Exchange Offer.</w:t>
            </w:r>
          </w:p>
        </w:tc>
      </w:tr>
      <w:tr>
        <w:trPr>
          <w:trHeight w:val="338"/>
        </w:trPr>
        <w:tc>
          <w:tcPr>
            <w:tcW w:w="3440" w:type="dxa"/>
            <w:vAlign w:val="bottom"/>
          </w:tcPr>
          <w:p>
            <w:pPr>
              <w:ind w:left="180"/>
              <w:spacing w:after="0"/>
              <w:rPr>
                <w:sz w:val="20"/>
                <w:szCs w:val="20"/>
                <w:color w:val="auto"/>
              </w:rPr>
            </w:pPr>
            <w:r>
              <w:rPr>
                <w:rFonts w:ascii="Arial" w:cs="Arial" w:eastAsia="Arial" w:hAnsi="Arial"/>
                <w:sz w:val="18"/>
                <w:szCs w:val="18"/>
                <w:color w:val="auto"/>
              </w:rPr>
              <w:t>Settlement Date</w:t>
            </w: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rPr>
              <w:t>The settlement of the Exchange Offers will occur promptly after the Expiration Date.</w:t>
            </w:r>
          </w:p>
        </w:tc>
      </w:tr>
      <w:tr>
        <w:trPr>
          <w:trHeight w:val="337"/>
        </w:trPr>
        <w:tc>
          <w:tcPr>
            <w:tcW w:w="3440" w:type="dxa"/>
            <w:vAlign w:val="bottom"/>
          </w:tcPr>
          <w:p>
            <w:pPr>
              <w:ind w:left="180"/>
              <w:spacing w:after="0"/>
              <w:rPr>
                <w:sz w:val="20"/>
                <w:szCs w:val="20"/>
                <w:color w:val="auto"/>
              </w:rPr>
            </w:pPr>
            <w:r>
              <w:rPr>
                <w:rFonts w:ascii="Arial" w:cs="Arial" w:eastAsia="Arial" w:hAnsi="Arial"/>
                <w:sz w:val="18"/>
                <w:szCs w:val="18"/>
                <w:color w:val="auto"/>
              </w:rPr>
              <w:t>Conditions to the Exchange Offers</w:t>
            </w: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rPr>
              <w:t>Each of the Exchange Offers is subject to customary conditions described in “The</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Arial" w:cs="Arial" w:eastAsia="Arial" w:hAnsi="Arial"/>
                <w:sz w:val="18"/>
                <w:szCs w:val="18"/>
                <w:color w:val="auto"/>
                <w:w w:val="95"/>
              </w:rPr>
              <w:t>Exchange Offers—Conditions to the Exchange Offers,” including, among other things, the</w:t>
            </w:r>
          </w:p>
        </w:tc>
      </w:tr>
      <w:tr>
        <w:trPr>
          <w:trHeight w:val="230"/>
        </w:trPr>
        <w:tc>
          <w:tcPr>
            <w:tcW w:w="3440" w:type="dxa"/>
            <w:vAlign w:val="bottom"/>
          </w:tcPr>
          <w:p>
            <w:pPr>
              <w:spacing w:after="0"/>
              <w:rPr>
                <w:sz w:val="20"/>
                <w:szCs w:val="20"/>
                <w:color w:val="auto"/>
              </w:rPr>
            </w:pPr>
          </w:p>
        </w:tc>
        <w:tc>
          <w:tcPr>
            <w:tcW w:w="2640" w:type="dxa"/>
            <w:vAlign w:val="bottom"/>
            <w:gridSpan w:val="2"/>
          </w:tcPr>
          <w:p>
            <w:pPr>
              <w:ind w:left="780"/>
              <w:spacing w:after="0"/>
              <w:rPr>
                <w:sz w:val="20"/>
                <w:szCs w:val="20"/>
                <w:color w:val="auto"/>
              </w:rPr>
            </w:pPr>
            <w:r>
              <w:rPr>
                <w:rFonts w:ascii="Arial" w:cs="Arial" w:eastAsia="Arial" w:hAnsi="Arial"/>
                <w:sz w:val="18"/>
                <w:szCs w:val="18"/>
                <w:color w:val="auto"/>
              </w:rPr>
              <w:t>condition that no stop</w:t>
            </w:r>
          </w:p>
        </w:tc>
        <w:tc>
          <w:tcPr>
            <w:tcW w:w="12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159"/>
        </w:trPr>
        <w:tc>
          <w:tcPr>
            <w:tcW w:w="3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361"/>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122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0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94"/>
              </w:rPr>
              <w:t>order has been issued for the registration statement of which this prospectus forms a part,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or any proceedings for that purpose, and that there shall not have occurred or be reasonably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likely to occur any material adverse change to our business, operations, properties,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condition, assets, liabilities, prospects or financial affairs. None of the Exchange Offers is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conditioned upon the other Exchange Offers, and we may terminate any Exchange Offer</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without terminating the other Exchange Offers.</w:t>
            </w:r>
          </w:p>
        </w:tc>
      </w:tr>
      <w:tr>
        <w:trPr>
          <w:trHeight w:val="337"/>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The Exchange Offers are not subject to any federal or state regulatory requirements or</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approvals other than securities laws and blue sky laws.</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Extension; Waivers and Amendments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Subject to applicable law, we reserve the right to (1) extend any Exchange Offer; (2) waive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any and all conditions to or amend any Exchange Offer in any respect (except as to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condition that the registration statement of which this prospectus forms a part not being</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subject to a stop order or any proceedings for that purpose, which condition we cannot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waive); or (3) terminate any Exchange Offer. None of the Exchange Offers is conditioned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upon the other Exchange Offers, and we may terminate or extend any Exchange Offer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without terminating or extending the other Exchange Offers. Any extension, waiver,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amendment or termination will be followed as promptly as practicable by a public</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announcement thereof, such announcement, in the case of an extension, to be issued no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later than 9:00 a.m., New York City time, on the next business day after the last previously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scheduled Expiration Date. See “The Exchange Offers—Expiration Date; Extension;</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Termination; Amendment.”</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Terms of Exchange Notes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The terms of the Exchange Notes are described in this prospectus under “Description of</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Exchange Notes.”</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Procedures for Tendering the Original Notes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You may tender your Original Notes by transferring them through The Depository Trust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Company’s (the “DTC”) Automated Tender Offer Program (“ATOP”) as described under</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“The Exchange Offers—Procedures for Tendering Original Notes.”</w:t>
            </w:r>
          </w:p>
        </w:tc>
      </w:tr>
      <w:tr>
        <w:trPr>
          <w:trHeight w:val="323"/>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For further information, call the Exchange Agent at the telephone numbers set forth under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“The Exchange Agent” or consult your broker, dealer, commercial bank, trust company or</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other nominee for assistance.</w:t>
            </w:r>
          </w:p>
        </w:tc>
      </w:tr>
      <w:tr>
        <w:trPr>
          <w:trHeight w:val="323"/>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If you are a beneficial owner of Original Notes that are held by or registered in the name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a broker, dealer, commercial bank, trust company or other nominee or custodian and you</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wish to tender your Original Notes in order to participate in the Exchange Offers, you</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should contact your intermediary entity promptly and instruct it to tender the Original</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Notes on your behalf. You should keep in mind that your intermediary may require you to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take action with respect to the Exchange Offers a number of days before the Expiration</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Date in order for such entity to tender Original Notes on your behalf at or</w:t>
            </w:r>
          </w:p>
        </w:tc>
      </w:tr>
      <w:tr>
        <w:trPr>
          <w:trHeight w:val="159"/>
        </w:trPr>
        <w:tc>
          <w:tcPr>
            <w:tcW w:w="3800" w:type="dxa"/>
            <w:vAlign w:val="bottom"/>
            <w:tcBorders>
              <w:left w:val="single" w:sz="8" w:color="auto"/>
              <w:bottom w:val="single" w:sz="8" w:color="auto"/>
            </w:tcBorders>
          </w:tcPr>
          <w:p>
            <w:pPr>
              <w:spacing w:after="0"/>
              <w:rPr>
                <w:sz w:val="13"/>
                <w:szCs w:val="13"/>
                <w:color w:val="auto"/>
              </w:rPr>
            </w:pPr>
          </w:p>
        </w:tc>
        <w:tc>
          <w:tcPr>
            <w:tcW w:w="7220" w:type="dxa"/>
            <w:vAlign w:val="bottom"/>
            <w:tcBorders>
              <w:bottom w:val="single" w:sz="8" w:color="auto"/>
              <w:right w:val="single" w:sz="8" w:color="auto"/>
            </w:tcBorders>
          </w:tcPr>
          <w:p>
            <w:pPr>
              <w:spacing w:after="0"/>
              <w:rPr>
                <w:sz w:val="13"/>
                <w:szCs w:val="13"/>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6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3"/>
              </w:rPr>
              <w:t>prior to the Expiration Date in accordance with the terms of the Exchange Offers. See “The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Exchange Offers—Procedures for Tendering Original Notes.”</w:t>
            </w:r>
          </w:p>
        </w:tc>
      </w:tr>
      <w:tr>
        <w:trPr>
          <w:trHeight w:val="337"/>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If you are a beneficial owner of Original Notes through Euroclear or Clearstream</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Luxembourg (each as defined herein) and wish to tender your Original Notes, you must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instruct Euroclear or Clearstream Luxembourg, as the case may be, to block the account in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respect of the tendered Original Notes in accordance with the procedures established by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Euroclear or Clearstream Luxembourg. You are encouraged to contact Euroclear 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Clearstream Luxembourg directly to ascertain their procedures for tendering Original</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Notes.</w:t>
            </w:r>
          </w:p>
        </w:tc>
      </w:tr>
      <w:tr>
        <w:trPr>
          <w:trHeight w:val="32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Withdrawal Rights; Non-Acceptance</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You may withdraw your tender of Original Notes at any time prior to the Expiration Date.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In the event that tendered Original Notes are not withdrawn and not accepted by us for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exchange, such Original Notes will be promptly returned to such holders or credited to</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such holders’ DTC account in the same manner as tendered to us, unless a holder has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indicated other delivery instructions in the related computer-generated message. See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Exchange Offers—Withdrawal of Tenders” and “The Exchange Offers—Terms of the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Exchange Offers.”</w:t>
            </w:r>
          </w:p>
        </w:tc>
      </w:tr>
      <w:tr>
        <w:trPr>
          <w:trHeight w:val="32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Absence of Dissenters’ Rights of Appraisal</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You do not have dissenters’ rights of appraisal with respect to the Exchange Offers. See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Exchange Offers—Absence of Dissenters’ Rights of Appraisal.”</w:t>
            </w:r>
          </w:p>
        </w:tc>
      </w:tr>
      <w:tr>
        <w:trPr>
          <w:trHeight w:val="32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6"/>
              </w:rPr>
              <w:t>Certain U.S. Federal Income Tax Considerations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The exchange of notes pursuant to the Exchange Offers generally should not be a taxable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event for U.S. federal income tax purposes. See “Certain U.S. Federal Income Tax</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Considerations.”</w:t>
            </w:r>
          </w:p>
        </w:tc>
      </w:tr>
      <w:tr>
        <w:trPr>
          <w:trHeight w:val="32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Accounting Treatment</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The Exchange Notes will be recorded at the same carrying value as the Original Notes as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reflected in our accounting records on the date of the exchange. Accordingly, we will not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recognize any gain or loss for accounting purposes upon the completion of the Exchange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Offers. Payments made to other third parties will be expensed as incurred in accordance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with generally accepted accounting principles. See “The Exchange Offers—Accounting</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Treatment.”</w:t>
            </w:r>
          </w:p>
        </w:tc>
      </w:tr>
      <w:tr>
        <w:trPr>
          <w:trHeight w:val="32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The Bank of New York Mellon is the Exchange Agent for the Exchange Offers. See “The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Exchange Agent” herein.</w:t>
            </w:r>
          </w:p>
        </w:tc>
      </w:tr>
      <w:tr>
        <w:trPr>
          <w:trHeight w:val="33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Information</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See “The Exchange Offers” for more information concerning the Exchange Offers.</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8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Notes</w:t>
      </w:r>
    </w:p>
    <w:p>
      <w:pPr>
        <w:spacing w:after="0" w:line="229"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i w:val="1"/>
          <w:iCs w:val="1"/>
          <w:color w:val="auto"/>
        </w:rPr>
        <w:t>The following summary contains basic information about the Exchange Notes. It does not contain all of the information that may be important to you. For a more complete description of the terms of the Exchange Notes, see “Description of Exchange Notes.”</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Issuer</w:t>
            </w:r>
          </w:p>
        </w:tc>
        <w:tc>
          <w:tcPr>
            <w:tcW w:w="5760" w:type="dxa"/>
            <w:vAlign w:val="bottom"/>
          </w:tcPr>
          <w:p>
            <w:pPr>
              <w:ind w:left="1240"/>
              <w:spacing w:after="0"/>
              <w:rPr>
                <w:sz w:val="20"/>
                <w:szCs w:val="20"/>
                <w:color w:val="auto"/>
              </w:rPr>
            </w:pPr>
            <w:r>
              <w:rPr>
                <w:rFonts w:ascii="Arial" w:cs="Arial" w:eastAsia="Arial" w:hAnsi="Arial"/>
                <w:sz w:val="18"/>
                <w:szCs w:val="18"/>
                <w:color w:val="auto"/>
              </w:rPr>
              <w:t>Comcast Corporation</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7"/>
        </w:trPr>
        <w:tc>
          <w:tcPr>
            <w:tcW w:w="2980" w:type="dxa"/>
            <w:vAlign w:val="bottom"/>
          </w:tcPr>
          <w:p>
            <w:pPr>
              <w:ind w:left="180"/>
              <w:spacing w:after="0"/>
              <w:rPr>
                <w:sz w:val="20"/>
                <w:szCs w:val="20"/>
                <w:color w:val="auto"/>
              </w:rPr>
            </w:pPr>
            <w:r>
              <w:rPr>
                <w:rFonts w:ascii="Arial" w:cs="Arial" w:eastAsia="Arial" w:hAnsi="Arial"/>
                <w:sz w:val="18"/>
                <w:szCs w:val="18"/>
                <w:color w:val="auto"/>
              </w:rPr>
              <w:t>Exchange Notes</w:t>
            </w: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w w:val="93"/>
              </w:rPr>
              <w:t>The terms of each series of the Original Notes and the applicable series of Exchange Notes</w:t>
            </w:r>
          </w:p>
        </w:tc>
      </w:tr>
      <w:tr>
        <w:trPr>
          <w:trHeight w:val="230"/>
        </w:trPr>
        <w:tc>
          <w:tcPr>
            <w:tcW w:w="2980" w:type="dxa"/>
            <w:vAlign w:val="bottom"/>
          </w:tcPr>
          <w:p>
            <w:pPr>
              <w:spacing w:after="0"/>
              <w:rPr>
                <w:sz w:val="20"/>
                <w:szCs w:val="20"/>
                <w:color w:val="auto"/>
              </w:rPr>
            </w:pPr>
          </w:p>
        </w:tc>
        <w:tc>
          <w:tcPr>
            <w:tcW w:w="7680" w:type="dxa"/>
            <w:vAlign w:val="bottom"/>
            <w:gridSpan w:val="2"/>
          </w:tcPr>
          <w:p>
            <w:pPr>
              <w:ind w:left="1240"/>
              <w:spacing w:after="0"/>
              <w:rPr>
                <w:sz w:val="20"/>
                <w:szCs w:val="20"/>
                <w:color w:val="auto"/>
              </w:rPr>
            </w:pPr>
            <w:r>
              <w:rPr>
                <w:rFonts w:ascii="Arial" w:cs="Arial" w:eastAsia="Arial" w:hAnsi="Arial"/>
                <w:sz w:val="18"/>
                <w:szCs w:val="18"/>
                <w:color w:val="auto"/>
              </w:rPr>
              <w:t>are identical, except the Exchange Notes offered in the Exchange Offers:</w:t>
            </w:r>
          </w:p>
        </w:tc>
        <w:tc>
          <w:tcPr>
            <w:tcW w:w="360" w:type="dxa"/>
            <w:vAlign w:val="bottom"/>
          </w:tcPr>
          <w:p>
            <w:pPr>
              <w:spacing w:after="0"/>
              <w:rPr>
                <w:sz w:val="20"/>
                <w:szCs w:val="20"/>
                <w:color w:val="auto"/>
              </w:rPr>
            </w:pPr>
          </w:p>
        </w:tc>
      </w:tr>
      <w:tr>
        <w:trPr>
          <w:trHeight w:val="338"/>
        </w:trPr>
        <w:tc>
          <w:tcPr>
            <w:tcW w:w="2980" w:type="dxa"/>
            <w:vAlign w:val="bottom"/>
          </w:tcPr>
          <w:p>
            <w:pPr>
              <w:spacing w:after="0"/>
              <w:rPr>
                <w:sz w:val="24"/>
                <w:szCs w:val="24"/>
                <w:color w:val="auto"/>
              </w:rPr>
            </w:pPr>
          </w:p>
        </w:tc>
        <w:tc>
          <w:tcPr>
            <w:tcW w:w="5760" w:type="dxa"/>
            <w:vAlign w:val="bottom"/>
          </w:tcPr>
          <w:p>
            <w:pPr>
              <w:ind w:left="1460"/>
              <w:spacing w:after="0"/>
              <w:rPr>
                <w:sz w:val="20"/>
                <w:szCs w:val="20"/>
                <w:color w:val="auto"/>
              </w:rPr>
            </w:pPr>
            <w:r>
              <w:rPr>
                <w:rFonts w:ascii="Arial" w:cs="Arial" w:eastAsia="Arial" w:hAnsi="Arial"/>
                <w:sz w:val="18"/>
                <w:szCs w:val="18"/>
                <w:color w:val="auto"/>
              </w:rPr>
              <w:t>•   will have been registered under the Securities Act;</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3"/>
        </w:trPr>
        <w:tc>
          <w:tcPr>
            <w:tcW w:w="2980" w:type="dxa"/>
            <w:vAlign w:val="bottom"/>
          </w:tcPr>
          <w:p>
            <w:pPr>
              <w:spacing w:after="0"/>
              <w:rPr>
                <w:sz w:val="24"/>
                <w:szCs w:val="24"/>
                <w:color w:val="auto"/>
              </w:rPr>
            </w:pPr>
          </w:p>
        </w:tc>
        <w:tc>
          <w:tcPr>
            <w:tcW w:w="8040" w:type="dxa"/>
            <w:vAlign w:val="bottom"/>
            <w:gridSpan w:val="3"/>
          </w:tcPr>
          <w:p>
            <w:pPr>
              <w:jc w:val="right"/>
              <w:ind w:right="110"/>
              <w:spacing w:after="0"/>
              <w:rPr>
                <w:sz w:val="20"/>
                <w:szCs w:val="20"/>
                <w:color w:val="auto"/>
              </w:rPr>
            </w:pPr>
            <w:r>
              <w:rPr>
                <w:rFonts w:ascii="Arial" w:cs="Arial" w:eastAsia="Arial" w:hAnsi="Arial"/>
                <w:sz w:val="18"/>
                <w:szCs w:val="18"/>
                <w:color w:val="auto"/>
              </w:rPr>
              <w:t>•   will not have transfer restrictions and registration rights that relate to the Original</w:t>
            </w:r>
          </w:p>
        </w:tc>
      </w:tr>
      <w:tr>
        <w:trPr>
          <w:trHeight w:val="230"/>
        </w:trPr>
        <w:tc>
          <w:tcPr>
            <w:tcW w:w="2980" w:type="dxa"/>
            <w:vAlign w:val="bottom"/>
          </w:tcPr>
          <w:p>
            <w:pPr>
              <w:spacing w:after="0"/>
              <w:rPr>
                <w:sz w:val="20"/>
                <w:szCs w:val="20"/>
                <w:color w:val="auto"/>
              </w:rPr>
            </w:pPr>
          </w:p>
        </w:tc>
        <w:tc>
          <w:tcPr>
            <w:tcW w:w="5760" w:type="dxa"/>
            <w:vAlign w:val="bottom"/>
          </w:tcPr>
          <w:p>
            <w:pPr>
              <w:ind w:left="1740"/>
              <w:spacing w:after="0"/>
              <w:rPr>
                <w:sz w:val="20"/>
                <w:szCs w:val="20"/>
                <w:color w:val="auto"/>
              </w:rPr>
            </w:pPr>
            <w:r>
              <w:rPr>
                <w:rFonts w:ascii="Arial" w:cs="Arial" w:eastAsia="Arial" w:hAnsi="Arial"/>
                <w:sz w:val="18"/>
                <w:szCs w:val="18"/>
                <w:color w:val="auto"/>
              </w:rPr>
              <w:t>Notes; and</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23"/>
        </w:trPr>
        <w:tc>
          <w:tcPr>
            <w:tcW w:w="2980" w:type="dxa"/>
            <w:vAlign w:val="bottom"/>
          </w:tcPr>
          <w:p>
            <w:pPr>
              <w:spacing w:after="0"/>
              <w:rPr>
                <w:sz w:val="24"/>
                <w:szCs w:val="24"/>
                <w:color w:val="auto"/>
              </w:rPr>
            </w:pPr>
          </w:p>
        </w:tc>
        <w:tc>
          <w:tcPr>
            <w:tcW w:w="8040" w:type="dxa"/>
            <w:vAlign w:val="bottom"/>
            <w:gridSpan w:val="3"/>
          </w:tcPr>
          <w:p>
            <w:pPr>
              <w:jc w:val="right"/>
              <w:ind w:right="130"/>
              <w:spacing w:after="0"/>
              <w:rPr>
                <w:sz w:val="20"/>
                <w:szCs w:val="20"/>
                <w:color w:val="auto"/>
              </w:rPr>
            </w:pPr>
            <w:r>
              <w:rPr>
                <w:rFonts w:ascii="Arial" w:cs="Arial" w:eastAsia="Arial" w:hAnsi="Arial"/>
                <w:sz w:val="18"/>
                <w:szCs w:val="18"/>
                <w:color w:val="auto"/>
              </w:rPr>
              <w:t>•   will not have rights relating to the payment of additional interest to holders of</w:t>
            </w:r>
          </w:p>
        </w:tc>
      </w:tr>
      <w:tr>
        <w:trPr>
          <w:trHeight w:val="230"/>
        </w:trPr>
        <w:tc>
          <w:tcPr>
            <w:tcW w:w="2980" w:type="dxa"/>
            <w:vAlign w:val="bottom"/>
          </w:tcPr>
          <w:p>
            <w:pPr>
              <w:spacing w:after="0"/>
              <w:rPr>
                <w:sz w:val="20"/>
                <w:szCs w:val="20"/>
                <w:color w:val="auto"/>
              </w:rPr>
            </w:pPr>
          </w:p>
        </w:tc>
        <w:tc>
          <w:tcPr>
            <w:tcW w:w="7680" w:type="dxa"/>
            <w:vAlign w:val="bottom"/>
            <w:gridSpan w:val="2"/>
          </w:tcPr>
          <w:p>
            <w:pPr>
              <w:ind w:left="1740"/>
              <w:spacing w:after="0"/>
              <w:rPr>
                <w:sz w:val="20"/>
                <w:szCs w:val="20"/>
                <w:color w:val="auto"/>
              </w:rPr>
            </w:pPr>
            <w:r>
              <w:rPr>
                <w:rFonts w:ascii="Arial" w:cs="Arial" w:eastAsia="Arial" w:hAnsi="Arial"/>
                <w:sz w:val="18"/>
                <w:szCs w:val="18"/>
                <w:color w:val="auto"/>
                <w:w w:val="93"/>
              </w:rPr>
              <w:t>Original Notes if we fail to timely commence and complete the Exchange Offers.</w:t>
            </w:r>
          </w:p>
        </w:tc>
        <w:tc>
          <w:tcPr>
            <w:tcW w:w="360" w:type="dxa"/>
            <w:vAlign w:val="bottom"/>
          </w:tcPr>
          <w:p>
            <w:pPr>
              <w:spacing w:after="0"/>
              <w:rPr>
                <w:sz w:val="20"/>
                <w:szCs w:val="20"/>
                <w:color w:val="auto"/>
              </w:rPr>
            </w:pPr>
          </w:p>
        </w:tc>
      </w:tr>
      <w:tr>
        <w:trPr>
          <w:trHeight w:val="338"/>
        </w:trPr>
        <w:tc>
          <w:tcPr>
            <w:tcW w:w="298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5760" w:type="dxa"/>
            <w:vAlign w:val="bottom"/>
          </w:tcPr>
          <w:p>
            <w:pPr>
              <w:ind w:left="1240"/>
              <w:spacing w:after="0"/>
              <w:rPr>
                <w:sz w:val="20"/>
                <w:szCs w:val="20"/>
                <w:color w:val="auto"/>
              </w:rPr>
            </w:pPr>
            <w:r>
              <w:rPr>
                <w:rFonts w:ascii="Arial" w:cs="Arial" w:eastAsia="Arial" w:hAnsi="Arial"/>
                <w:sz w:val="18"/>
                <w:szCs w:val="18"/>
                <w:color w:val="auto"/>
                <w:w w:val="91"/>
              </w:rPr>
              <w:t>2.887% Global Notes due 2051 (the “2051 Exchange Notes”),</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863"/>
        </w:trPr>
        <w:tc>
          <w:tcPr>
            <w:tcW w:w="2980" w:type="dxa"/>
            <w:vAlign w:val="bottom"/>
          </w:tcPr>
          <w:p>
            <w:pPr>
              <w:spacing w:after="0"/>
              <w:rPr>
                <w:sz w:val="24"/>
                <w:szCs w:val="24"/>
                <w:color w:val="auto"/>
              </w:rPr>
            </w:pPr>
          </w:p>
        </w:tc>
        <w:tc>
          <w:tcPr>
            <w:tcW w:w="7680" w:type="dxa"/>
            <w:vAlign w:val="bottom"/>
            <w:gridSpan w:val="2"/>
          </w:tcPr>
          <w:p>
            <w:pPr>
              <w:ind w:left="1240"/>
              <w:spacing w:after="0"/>
              <w:rPr>
                <w:sz w:val="20"/>
                <w:szCs w:val="20"/>
                <w:color w:val="auto"/>
              </w:rPr>
            </w:pPr>
            <w:r>
              <w:rPr>
                <w:rFonts w:ascii="Arial" w:cs="Arial" w:eastAsia="Arial" w:hAnsi="Arial"/>
                <w:sz w:val="18"/>
                <w:szCs w:val="18"/>
                <w:color w:val="auto"/>
              </w:rPr>
              <w:t>2.937% Global Notes due 2056 (the “2056 Exchange Notes”), and</w:t>
            </w:r>
          </w:p>
        </w:tc>
        <w:tc>
          <w:tcPr>
            <w:tcW w:w="360" w:type="dxa"/>
            <w:vAlign w:val="bottom"/>
          </w:tcPr>
          <w:p>
            <w:pPr>
              <w:spacing w:after="0"/>
              <w:rPr>
                <w:sz w:val="24"/>
                <w:szCs w:val="24"/>
                <w:color w:val="auto"/>
              </w:rPr>
            </w:pPr>
          </w:p>
        </w:tc>
      </w:tr>
      <w:tr>
        <w:trPr>
          <w:trHeight w:val="230"/>
        </w:trPr>
        <w:tc>
          <w:tcPr>
            <w:tcW w:w="2980" w:type="dxa"/>
            <w:vAlign w:val="bottom"/>
          </w:tcPr>
          <w:p>
            <w:pPr>
              <w:spacing w:after="0"/>
              <w:rPr>
                <w:sz w:val="20"/>
                <w:szCs w:val="20"/>
                <w:color w:val="auto"/>
              </w:rPr>
            </w:pPr>
          </w:p>
        </w:tc>
        <w:tc>
          <w:tcPr>
            <w:tcW w:w="5760" w:type="dxa"/>
            <w:vAlign w:val="bottom"/>
          </w:tcPr>
          <w:p>
            <w:pPr>
              <w:ind w:left="1240"/>
              <w:spacing w:after="0"/>
              <w:rPr>
                <w:sz w:val="20"/>
                <w:szCs w:val="20"/>
                <w:color w:val="auto"/>
              </w:rPr>
            </w:pPr>
            <w:r>
              <w:rPr>
                <w:rFonts w:ascii="Arial" w:cs="Arial" w:eastAsia="Arial" w:hAnsi="Arial"/>
                <w:sz w:val="18"/>
                <w:szCs w:val="18"/>
                <w:color w:val="auto"/>
                <w:w w:val="91"/>
              </w:rPr>
              <w:t>2.987% Global Notes due 2063 (the “2063 Exchange Notes”).</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7"/>
        </w:trPr>
        <w:tc>
          <w:tcPr>
            <w:tcW w:w="2980" w:type="dxa"/>
            <w:vAlign w:val="bottom"/>
          </w:tcPr>
          <w:p>
            <w:pPr>
              <w:ind w:left="180"/>
              <w:spacing w:after="0"/>
              <w:rPr>
                <w:sz w:val="20"/>
                <w:szCs w:val="20"/>
                <w:color w:val="auto"/>
              </w:rPr>
            </w:pPr>
            <w:r>
              <w:rPr>
                <w:rFonts w:ascii="Arial" w:cs="Arial" w:eastAsia="Arial" w:hAnsi="Arial"/>
                <w:sz w:val="18"/>
                <w:szCs w:val="18"/>
                <w:color w:val="auto"/>
              </w:rPr>
              <w:t>Maturity</w:t>
            </w:r>
          </w:p>
        </w:tc>
        <w:tc>
          <w:tcPr>
            <w:tcW w:w="5760" w:type="dxa"/>
            <w:vAlign w:val="bottom"/>
          </w:tcPr>
          <w:p>
            <w:pPr>
              <w:ind w:left="1240"/>
              <w:spacing w:after="0"/>
              <w:rPr>
                <w:sz w:val="20"/>
                <w:szCs w:val="20"/>
                <w:color w:val="auto"/>
              </w:rPr>
            </w:pPr>
            <w:r>
              <w:rPr>
                <w:rFonts w:ascii="Arial" w:cs="Arial" w:eastAsia="Arial" w:hAnsi="Arial"/>
                <w:sz w:val="18"/>
                <w:szCs w:val="18"/>
                <w:color w:val="auto"/>
              </w:rPr>
              <w:t>November 1, 2051 for the 2051 Exchange Notes.</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5760" w:type="dxa"/>
            <w:vAlign w:val="bottom"/>
          </w:tcPr>
          <w:p>
            <w:pPr>
              <w:ind w:left="1240"/>
              <w:spacing w:after="0"/>
              <w:rPr>
                <w:sz w:val="20"/>
                <w:szCs w:val="20"/>
                <w:color w:val="auto"/>
              </w:rPr>
            </w:pPr>
            <w:r>
              <w:rPr>
                <w:rFonts w:ascii="Arial" w:cs="Arial" w:eastAsia="Arial" w:hAnsi="Arial"/>
                <w:sz w:val="18"/>
                <w:szCs w:val="18"/>
                <w:color w:val="auto"/>
              </w:rPr>
              <w:t>November 1, 2056 for the 2056 Exchange Notes.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p>
        </w:tc>
        <w:tc>
          <w:tcPr>
            <w:tcW w:w="5760" w:type="dxa"/>
            <w:vAlign w:val="bottom"/>
          </w:tcPr>
          <w:p>
            <w:pPr>
              <w:ind w:left="1240"/>
              <w:spacing w:after="0"/>
              <w:rPr>
                <w:sz w:val="20"/>
                <w:szCs w:val="20"/>
                <w:color w:val="auto"/>
              </w:rPr>
            </w:pPr>
            <w:r>
              <w:rPr>
                <w:rFonts w:ascii="Arial" w:cs="Arial" w:eastAsia="Arial" w:hAnsi="Arial"/>
                <w:sz w:val="18"/>
                <w:szCs w:val="18"/>
                <w:color w:val="auto"/>
              </w:rPr>
              <w:t>November 1, 2063 for the 2063 Exchange Notes.</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23"/>
        </w:trPr>
        <w:tc>
          <w:tcPr>
            <w:tcW w:w="29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w w:val="96"/>
              </w:rPr>
              <w:t>Interest on the 2051 Exchange Notes will accrue at the rate of 2.887% per year, payable</w:t>
            </w:r>
          </w:p>
        </w:tc>
      </w:tr>
      <w:tr>
        <w:trPr>
          <w:trHeight w:val="216"/>
        </w:trPr>
        <w:tc>
          <w:tcPr>
            <w:tcW w:w="2980" w:type="dxa"/>
            <w:vAlign w:val="bottom"/>
          </w:tcPr>
          <w:p>
            <w:pPr>
              <w:spacing w:after="0"/>
              <w:rPr>
                <w:sz w:val="18"/>
                <w:szCs w:val="18"/>
                <w:color w:val="auto"/>
              </w:rPr>
            </w:pPr>
          </w:p>
        </w:tc>
        <w:tc>
          <w:tcPr>
            <w:tcW w:w="5760" w:type="dxa"/>
            <w:vAlign w:val="bottom"/>
          </w:tcPr>
          <w:p>
            <w:pPr>
              <w:ind w:left="1240"/>
              <w:spacing w:after="0"/>
              <w:rPr>
                <w:sz w:val="20"/>
                <w:szCs w:val="20"/>
                <w:color w:val="auto"/>
              </w:rPr>
            </w:pPr>
            <w:r>
              <w:rPr>
                <w:rFonts w:ascii="Arial" w:cs="Arial" w:eastAsia="Arial" w:hAnsi="Arial"/>
                <w:sz w:val="18"/>
                <w:szCs w:val="18"/>
                <w:color w:val="auto"/>
                <w:w w:val="95"/>
              </w:rPr>
              <w:t>semiannually in cash in arrears on May 1 and November 1,</w:t>
            </w:r>
          </w:p>
        </w:tc>
        <w:tc>
          <w:tcPr>
            <w:tcW w:w="1920" w:type="dxa"/>
            <w:vAlign w:val="bottom"/>
          </w:tcPr>
          <w:p>
            <w:pPr>
              <w:ind w:left="520"/>
              <w:spacing w:after="0"/>
              <w:rPr>
                <w:sz w:val="20"/>
                <w:szCs w:val="20"/>
                <w:color w:val="auto"/>
              </w:rPr>
            </w:pPr>
            <w:r>
              <w:rPr>
                <w:rFonts w:ascii="Arial" w:cs="Arial" w:eastAsia="Arial" w:hAnsi="Arial"/>
                <w:sz w:val="18"/>
                <w:szCs w:val="18"/>
                <w:color w:val="auto"/>
              </w:rPr>
              <w:t>beginning</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w w:val="99"/>
              </w:rPr>
              <w:t>2022. Interest on the 2056 Exchange Notes will accrue at the rate of 2.937% per year,</w:t>
            </w:r>
          </w:p>
        </w:tc>
      </w:tr>
      <w:tr>
        <w:trPr>
          <w:trHeight w:val="216"/>
        </w:trPr>
        <w:tc>
          <w:tcPr>
            <w:tcW w:w="2980" w:type="dxa"/>
            <w:vAlign w:val="bottom"/>
          </w:tcPr>
          <w:p>
            <w:pPr>
              <w:spacing w:after="0"/>
              <w:rPr>
                <w:sz w:val="18"/>
                <w:szCs w:val="18"/>
                <w:color w:val="auto"/>
              </w:rPr>
            </w:pPr>
          </w:p>
        </w:tc>
        <w:tc>
          <w:tcPr>
            <w:tcW w:w="7680" w:type="dxa"/>
            <w:vAlign w:val="bottom"/>
            <w:gridSpan w:val="2"/>
          </w:tcPr>
          <w:p>
            <w:pPr>
              <w:ind w:left="1240"/>
              <w:spacing w:after="0"/>
              <w:rPr>
                <w:sz w:val="20"/>
                <w:szCs w:val="20"/>
                <w:color w:val="auto"/>
              </w:rPr>
            </w:pPr>
            <w:r>
              <w:rPr>
                <w:rFonts w:ascii="Arial" w:cs="Arial" w:eastAsia="Arial" w:hAnsi="Arial"/>
                <w:sz w:val="18"/>
                <w:szCs w:val="18"/>
                <w:color w:val="auto"/>
              </w:rPr>
              <w:t>payable semiannually in cash in arrears on May 1 and November 1, beginning</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w w:val="99"/>
              </w:rPr>
              <w:t>2022. Interest on the 2063 Exchange Notes will accrue at the rate of 2.987% per year,</w:t>
            </w:r>
          </w:p>
        </w:tc>
      </w:tr>
      <w:tr>
        <w:trPr>
          <w:trHeight w:val="216"/>
        </w:trPr>
        <w:tc>
          <w:tcPr>
            <w:tcW w:w="2980" w:type="dxa"/>
            <w:vAlign w:val="bottom"/>
          </w:tcPr>
          <w:p>
            <w:pPr>
              <w:spacing w:after="0"/>
              <w:rPr>
                <w:sz w:val="18"/>
                <w:szCs w:val="18"/>
                <w:color w:val="auto"/>
              </w:rPr>
            </w:pPr>
          </w:p>
        </w:tc>
        <w:tc>
          <w:tcPr>
            <w:tcW w:w="5760" w:type="dxa"/>
            <w:vAlign w:val="bottom"/>
          </w:tcPr>
          <w:p>
            <w:pPr>
              <w:ind w:left="1240"/>
              <w:spacing w:after="0"/>
              <w:rPr>
                <w:sz w:val="20"/>
                <w:szCs w:val="20"/>
                <w:color w:val="auto"/>
              </w:rPr>
            </w:pPr>
            <w:r>
              <w:rPr>
                <w:rFonts w:ascii="Arial" w:cs="Arial" w:eastAsia="Arial" w:hAnsi="Arial"/>
                <w:sz w:val="18"/>
                <w:szCs w:val="18"/>
                <w:color w:val="auto"/>
              </w:rPr>
              <w:t>payable semiannually in cash in arrears on May 1</w:t>
            </w:r>
          </w:p>
        </w:tc>
        <w:tc>
          <w:tcPr>
            <w:tcW w:w="228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and November 1, beginning</w:t>
            </w:r>
          </w:p>
        </w:tc>
      </w:tr>
      <w:tr>
        <w:trPr>
          <w:trHeight w:val="230"/>
        </w:trPr>
        <w:tc>
          <w:tcPr>
            <w:tcW w:w="2980" w:type="dxa"/>
            <w:vAlign w:val="bottom"/>
          </w:tcPr>
          <w:p>
            <w:pPr>
              <w:spacing w:after="0"/>
              <w:rPr>
                <w:sz w:val="20"/>
                <w:szCs w:val="20"/>
                <w:color w:val="auto"/>
              </w:rPr>
            </w:pPr>
          </w:p>
        </w:tc>
        <w:tc>
          <w:tcPr>
            <w:tcW w:w="5760" w:type="dxa"/>
            <w:vAlign w:val="bottom"/>
          </w:tcPr>
          <w:p>
            <w:pPr>
              <w:ind w:left="1960"/>
              <w:spacing w:after="0"/>
              <w:rPr>
                <w:sz w:val="20"/>
                <w:szCs w:val="20"/>
                <w:color w:val="auto"/>
              </w:rPr>
            </w:pPr>
            <w:r>
              <w:rPr>
                <w:rFonts w:ascii="Arial" w:cs="Arial" w:eastAsia="Arial" w:hAnsi="Arial"/>
                <w:sz w:val="18"/>
                <w:szCs w:val="18"/>
                <w:color w:val="auto"/>
              </w:rPr>
              <w:t>, 2022.</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8"/>
        </w:trPr>
        <w:tc>
          <w:tcPr>
            <w:tcW w:w="2980" w:type="dxa"/>
            <w:vAlign w:val="bottom"/>
          </w:tcPr>
          <w:p>
            <w:pPr>
              <w:spacing w:after="0"/>
              <w:rPr>
                <w:sz w:val="24"/>
                <w:szCs w:val="24"/>
                <w:color w:val="auto"/>
              </w:rPr>
            </w:pPr>
          </w:p>
        </w:tc>
        <w:tc>
          <w:tcPr>
            <w:tcW w:w="5760" w:type="dxa"/>
            <w:vAlign w:val="bottom"/>
          </w:tcPr>
          <w:p>
            <w:pPr>
              <w:ind w:left="1240"/>
              <w:spacing w:after="0"/>
              <w:rPr>
                <w:sz w:val="20"/>
                <w:szCs w:val="20"/>
                <w:color w:val="auto"/>
              </w:rPr>
            </w:pPr>
            <w:r>
              <w:rPr>
                <w:rFonts w:ascii="Arial" w:cs="Arial" w:eastAsia="Arial" w:hAnsi="Arial"/>
                <w:sz w:val="18"/>
                <w:szCs w:val="18"/>
                <w:color w:val="auto"/>
              </w:rPr>
              <w:t>Interest on the Exchange Notes will accrue from .</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3"/>
        </w:trPr>
        <w:tc>
          <w:tcPr>
            <w:tcW w:w="2980" w:type="dxa"/>
            <w:vAlign w:val="bottom"/>
          </w:tcPr>
          <w:p>
            <w:pPr>
              <w:ind w:left="180"/>
              <w:spacing w:after="0"/>
              <w:rPr>
                <w:sz w:val="20"/>
                <w:szCs w:val="20"/>
                <w:color w:val="auto"/>
              </w:rPr>
            </w:pPr>
            <w:r>
              <w:rPr>
                <w:rFonts w:ascii="Arial" w:cs="Arial" w:eastAsia="Arial" w:hAnsi="Arial"/>
                <w:sz w:val="18"/>
                <w:szCs w:val="18"/>
                <w:color w:val="auto"/>
              </w:rPr>
              <w:t>Ranking</w:t>
            </w: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rPr>
              <w:t>The Exchange Notes will be unsecured and will rank equally with all of our and the</w:t>
            </w:r>
          </w:p>
        </w:tc>
      </w:tr>
      <w:tr>
        <w:trPr>
          <w:trHeight w:val="230"/>
        </w:trPr>
        <w:tc>
          <w:tcPr>
            <w:tcW w:w="2980" w:type="dxa"/>
            <w:vAlign w:val="bottom"/>
          </w:tcPr>
          <w:p>
            <w:pPr>
              <w:spacing w:after="0"/>
              <w:rPr>
                <w:sz w:val="20"/>
                <w:szCs w:val="20"/>
                <w:color w:val="auto"/>
              </w:rPr>
            </w:pPr>
          </w:p>
        </w:tc>
        <w:tc>
          <w:tcPr>
            <w:tcW w:w="5760" w:type="dxa"/>
            <w:vAlign w:val="bottom"/>
          </w:tcPr>
          <w:p>
            <w:pPr>
              <w:ind w:left="1240"/>
              <w:spacing w:after="0"/>
              <w:rPr>
                <w:sz w:val="20"/>
                <w:szCs w:val="20"/>
                <w:color w:val="auto"/>
              </w:rPr>
            </w:pPr>
            <w:r>
              <w:rPr>
                <w:rFonts w:ascii="Arial" w:cs="Arial" w:eastAsia="Arial" w:hAnsi="Arial"/>
                <w:sz w:val="18"/>
                <w:szCs w:val="18"/>
                <w:color w:val="auto"/>
                <w:w w:val="97"/>
              </w:rPr>
              <w:t>guarantors’ unsecured and unsubordinated indebtedness.</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8"/>
        </w:trPr>
        <w:tc>
          <w:tcPr>
            <w:tcW w:w="2980" w:type="dxa"/>
            <w:vAlign w:val="bottom"/>
          </w:tcPr>
          <w:p>
            <w:pPr>
              <w:ind w:left="180"/>
              <w:spacing w:after="0"/>
              <w:rPr>
                <w:sz w:val="20"/>
                <w:szCs w:val="20"/>
                <w:color w:val="auto"/>
              </w:rPr>
            </w:pPr>
            <w:r>
              <w:rPr>
                <w:rFonts w:ascii="Arial" w:cs="Arial" w:eastAsia="Arial" w:hAnsi="Arial"/>
                <w:sz w:val="18"/>
                <w:szCs w:val="18"/>
                <w:color w:val="auto"/>
              </w:rPr>
              <w:t>Guarantors</w:t>
            </w:r>
          </w:p>
        </w:tc>
        <w:tc>
          <w:tcPr>
            <w:tcW w:w="5760" w:type="dxa"/>
            <w:vAlign w:val="bottom"/>
          </w:tcPr>
          <w:p>
            <w:pPr>
              <w:ind w:left="1240"/>
              <w:spacing w:after="0"/>
              <w:rPr>
                <w:sz w:val="20"/>
                <w:szCs w:val="20"/>
                <w:color w:val="auto"/>
              </w:rPr>
            </w:pPr>
            <w:r>
              <w:rPr>
                <w:rFonts w:ascii="Arial" w:cs="Arial" w:eastAsia="Arial" w:hAnsi="Arial"/>
                <w:sz w:val="18"/>
                <w:szCs w:val="18"/>
                <w:color w:val="auto"/>
              </w:rPr>
              <w:t>Comcast Cable Communications and NBCUniversal.</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7"/>
        </w:trPr>
        <w:tc>
          <w:tcPr>
            <w:tcW w:w="2980" w:type="dxa"/>
            <w:vAlign w:val="bottom"/>
          </w:tcPr>
          <w:p>
            <w:pPr>
              <w:ind w:left="180"/>
              <w:spacing w:after="0"/>
              <w:rPr>
                <w:sz w:val="20"/>
                <w:szCs w:val="20"/>
                <w:color w:val="auto"/>
              </w:rPr>
            </w:pPr>
            <w:r>
              <w:rPr>
                <w:rFonts w:ascii="Arial" w:cs="Arial" w:eastAsia="Arial" w:hAnsi="Arial"/>
                <w:sz w:val="18"/>
                <w:szCs w:val="18"/>
                <w:color w:val="auto"/>
              </w:rPr>
              <w:t>Guarantees</w:t>
            </w: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w w:val="95"/>
              </w:rPr>
              <w:t>The guarantors will fully and unconditionally guarantee the Exchange Notes, including the</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w w:val="96"/>
              </w:rPr>
              <w:t>payment of principal, premium, if any, and interest. The guarantees will rank equally with</w:t>
            </w:r>
          </w:p>
        </w:tc>
      </w:tr>
      <w:tr>
        <w:trPr>
          <w:trHeight w:val="230"/>
        </w:trPr>
        <w:tc>
          <w:tcPr>
            <w:tcW w:w="2980" w:type="dxa"/>
            <w:vAlign w:val="bottom"/>
          </w:tcPr>
          <w:p>
            <w:pPr>
              <w:spacing w:after="0"/>
              <w:rPr>
                <w:sz w:val="20"/>
                <w:szCs w:val="20"/>
                <w:color w:val="auto"/>
              </w:rPr>
            </w:pPr>
          </w:p>
        </w:tc>
        <w:tc>
          <w:tcPr>
            <w:tcW w:w="7680" w:type="dxa"/>
            <w:vAlign w:val="bottom"/>
            <w:gridSpan w:val="2"/>
          </w:tcPr>
          <w:p>
            <w:pPr>
              <w:ind w:left="1240"/>
              <w:spacing w:after="0"/>
              <w:rPr>
                <w:sz w:val="20"/>
                <w:szCs w:val="20"/>
                <w:color w:val="auto"/>
              </w:rPr>
            </w:pPr>
            <w:r>
              <w:rPr>
                <w:rFonts w:ascii="Arial" w:cs="Arial" w:eastAsia="Arial" w:hAnsi="Arial"/>
                <w:sz w:val="18"/>
                <w:szCs w:val="18"/>
                <w:color w:val="auto"/>
              </w:rPr>
              <w:t>all other general unsecured and unsubordinated obligations of the guarantors.</w:t>
            </w:r>
          </w:p>
        </w:tc>
        <w:tc>
          <w:tcPr>
            <w:tcW w:w="360" w:type="dxa"/>
            <w:vAlign w:val="bottom"/>
          </w:tcPr>
          <w:p>
            <w:pPr>
              <w:spacing w:after="0"/>
              <w:rPr>
                <w:sz w:val="20"/>
                <w:szCs w:val="20"/>
                <w:color w:val="auto"/>
              </w:rPr>
            </w:pPr>
          </w:p>
        </w:tc>
      </w:tr>
      <w:tr>
        <w:trPr>
          <w:trHeight w:val="323"/>
        </w:trPr>
        <w:tc>
          <w:tcPr>
            <w:tcW w:w="298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w w:val="96"/>
              </w:rPr>
              <w:t>We may, at our option, redeem any series of Exchange Notes, in whole or in part, at any</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Arial" w:cs="Arial" w:eastAsia="Arial" w:hAnsi="Arial"/>
                <w:sz w:val="18"/>
                <w:szCs w:val="18"/>
                <w:color w:val="auto"/>
              </w:rPr>
              <w:t>time at the applicable Redemption Price determined as set forth under the heading</w:t>
            </w:r>
          </w:p>
        </w:tc>
      </w:tr>
      <w:tr>
        <w:trPr>
          <w:trHeight w:val="230"/>
        </w:trPr>
        <w:tc>
          <w:tcPr>
            <w:tcW w:w="2980" w:type="dxa"/>
            <w:vAlign w:val="bottom"/>
          </w:tcPr>
          <w:p>
            <w:pPr>
              <w:spacing w:after="0"/>
              <w:rPr>
                <w:sz w:val="20"/>
                <w:szCs w:val="20"/>
                <w:color w:val="auto"/>
              </w:rPr>
            </w:pPr>
          </w:p>
        </w:tc>
        <w:tc>
          <w:tcPr>
            <w:tcW w:w="7680" w:type="dxa"/>
            <w:vAlign w:val="bottom"/>
            <w:gridSpan w:val="2"/>
          </w:tcPr>
          <w:p>
            <w:pPr>
              <w:ind w:left="1240"/>
              <w:spacing w:after="0"/>
              <w:rPr>
                <w:sz w:val="20"/>
                <w:szCs w:val="20"/>
                <w:color w:val="auto"/>
              </w:rPr>
            </w:pPr>
            <w:r>
              <w:rPr>
                <w:rFonts w:ascii="Arial" w:cs="Arial" w:eastAsia="Arial" w:hAnsi="Arial"/>
                <w:sz w:val="18"/>
                <w:szCs w:val="18"/>
                <w:color w:val="auto"/>
              </w:rPr>
              <w:t>“Description of the Notes—Optional Redemption of the Exchange Notes.”</w:t>
            </w:r>
          </w:p>
        </w:tc>
        <w:tc>
          <w:tcPr>
            <w:tcW w:w="360" w:type="dxa"/>
            <w:vAlign w:val="bottom"/>
          </w:tcPr>
          <w:p>
            <w:pPr>
              <w:spacing w:after="0"/>
              <w:rPr>
                <w:sz w:val="20"/>
                <w:szCs w:val="20"/>
                <w:color w:val="auto"/>
              </w:rPr>
            </w:pPr>
          </w:p>
        </w:tc>
      </w:tr>
      <w:tr>
        <w:trPr>
          <w:trHeight w:val="159"/>
        </w:trPr>
        <w:tc>
          <w:tcPr>
            <w:tcW w:w="298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5760" w:type="dxa"/>
            <w:vAlign w:val="bottom"/>
          </w:tcPr>
          <w:p>
            <w:pPr>
              <w:ind w:left="2440"/>
              <w:spacing w:after="0"/>
              <w:rPr>
                <w:sz w:val="20"/>
                <w:szCs w:val="20"/>
                <w:color w:val="auto"/>
              </w:rPr>
            </w:pPr>
            <w:r>
              <w:rPr>
                <w:rFonts w:ascii="Arial" w:cs="Arial" w:eastAsia="Arial" w:hAnsi="Arial"/>
                <w:sz w:val="18"/>
                <w:szCs w:val="18"/>
                <w:color w:val="auto"/>
              </w:rPr>
              <w:t>10</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6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400" w:type="dxa"/>
            <w:vAlign w:val="bottom"/>
            <w:tcBorders>
              <w:top w:val="single" w:sz="8" w:color="auto"/>
              <w:right w:val="single" w:sz="8" w:color="auto"/>
            </w:tcBorders>
          </w:tcPr>
          <w:p>
            <w:pPr>
              <w:ind w:left="1600"/>
              <w:spacing w:after="0"/>
              <w:rPr>
                <w:sz w:val="20"/>
                <w:szCs w:val="20"/>
                <w:color w:val="auto"/>
              </w:rPr>
            </w:pPr>
            <w:r>
              <w:rPr>
                <w:rFonts w:ascii="Arial" w:cs="Arial" w:eastAsia="Arial" w:hAnsi="Arial"/>
                <w:sz w:val="18"/>
                <w:szCs w:val="18"/>
                <w:color w:val="auto"/>
                <w:w w:val="96"/>
              </w:rPr>
              <w:t>The Exchange Notes will be issued in book-entry form and will be represented by global</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notes deposited with, or on behalf of, DTC and registered in the name of DTC or its</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6"/>
              </w:rPr>
              <w:t>nominees. Beneficial interests in any of the notes will be shown on, and transfers will be</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9"/>
              </w:rPr>
              <w:t>effected only through, records maintained by DTC or its nominee or indirectly through</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8"/>
              </w:rPr>
              <w:t>organizations that have accounts with DTC, including Euroclear and Clearstream, and</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7"/>
              </w:rPr>
              <w:t>these beneficial interests may not be exchanged for certificated notes, except in limited</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8"/>
              </w:rPr>
              <w:t>circumstances. See “Description of the Notes—Book-Entry System” in this prospectus</w:t>
            </w:r>
          </w:p>
        </w:tc>
      </w:tr>
      <w:tr>
        <w:trPr>
          <w:trHeight w:val="230"/>
        </w:trPr>
        <w:tc>
          <w:tcPr>
            <w:tcW w:w="26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supplement.</w:t>
            </w:r>
          </w:p>
        </w:tc>
      </w:tr>
      <w:tr>
        <w:trPr>
          <w:trHeight w:val="159"/>
        </w:trPr>
        <w:tc>
          <w:tcPr>
            <w:tcW w:w="262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61"/>
        </w:trPr>
        <w:tc>
          <w:tcPr>
            <w:tcW w:w="2620" w:type="dxa"/>
            <w:vAlign w:val="bottom"/>
          </w:tcPr>
          <w:p>
            <w:pPr>
              <w:spacing w:after="0"/>
              <w:rPr>
                <w:sz w:val="24"/>
                <w:szCs w:val="24"/>
                <w:color w:val="auto"/>
              </w:rPr>
            </w:pPr>
          </w:p>
        </w:tc>
        <w:tc>
          <w:tcPr>
            <w:tcW w:w="8400" w:type="dxa"/>
            <w:vAlign w:val="bottom"/>
          </w:tcPr>
          <w:p>
            <w:pPr>
              <w:ind w:left="280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i w:val="1"/>
          <w:iCs w:val="1"/>
          <w:color w:val="auto"/>
        </w:rPr>
        <w:t>Any investment in the Exchange Notes involves a high degree of risk, including but not limited to the risks described below. In addition, you should carefully consider, among other things, the matters discussed under “Item 1A—Risk Factors” beginning on page 22 of our Annual Report on Form 10-K for the fiscal year ended December 31, 2021, as well as the other information incorporated by reference in this prospectus. The risks and uncertainties described below and in our Annual Report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Exchange Offers</w:t>
      </w:r>
    </w:p>
    <w:p>
      <w:pPr>
        <w:spacing w:after="0" w:line="121" w:lineRule="exact"/>
        <w:rPr>
          <w:sz w:val="20"/>
          <w:szCs w:val="20"/>
          <w:color w:val="auto"/>
        </w:rPr>
      </w:pPr>
    </w:p>
    <w:p>
      <w:pPr>
        <w:ind w:left="340" w:right="80"/>
        <w:spacing w:after="0" w:line="375" w:lineRule="auto"/>
        <w:rPr>
          <w:sz w:val="20"/>
          <w:szCs w:val="20"/>
          <w:color w:val="auto"/>
        </w:rPr>
      </w:pPr>
      <w:r>
        <w:rPr>
          <w:rFonts w:ascii="Arial" w:cs="Arial" w:eastAsia="Arial" w:hAnsi="Arial"/>
          <w:sz w:val="15"/>
          <w:szCs w:val="15"/>
          <w:b w:val="1"/>
          <w:bCs w:val="1"/>
          <w:i w:val="1"/>
          <w:iCs w:val="1"/>
          <w:color w:val="auto"/>
        </w:rPr>
        <w:t>Our board of directors has not made a recommendation as to whether you should tender your Original Notes in exchange for Exchange Notes in the Exchange Offers, and we have not obtained a third-party determination that the Exchange Offers are fair to holders of our Original Notes.</w:t>
      </w:r>
    </w:p>
    <w:p>
      <w:pPr>
        <w:spacing w:after="0" w:line="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board of directors has not made, and will not make, any recommendation as to whether holders of Original Notes should tender their Original Notes in exchange for Exchange Notes pursuant to the Exchange Offers. We have not retained, and do not intend to retain, any unaffiliated representative to act solely on behalf of the holders of the Original Notes for purposes of negotiating the terms of these Exchange Offers, or preparing a report or making any recommendation concerning the fairness of these Exchange Offers. Therefore, if you tender your Original Notes, you may not receive more than or as much value as if you chose to keep them. Holders of Original Notes must make their own independent decisions regarding their participation in the Exchange Offers.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Exchange Offers may be cancelled or delayed.</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consummation of the Exchange Offers is subject to, and conditional upon, the satisfaction or waiver of the conditions discussed under “The Exchange Offers—Conditions to the Exchange Offers.” We may, at our option and in our sole discretion, waive any such conditions. Even if the Exchange Offers are completed, the Exchange Offers may not be completed on the schedule described in this prospectus. Accordingly, holders participating in the Exchange Offers may have to wait longer than expected to receive their Exchange Notes, during which time those holders of the Original Notes will not be able to effect transfers of their Original Notes tendered for exchange.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you fail to exchange your Original Notes, they will continue to be restricted securities and may become less liquid.</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Original Notes that you do not tender or that we do not accept will, following the Exchange Offers, continue to be restricted securities, and you may not offer to sell them except pursuant to an exemption from, or in a transaction not subject to, the Securities Act and applicable state securities law. We will issue Exchange Notes in exchange for the Original Notes pursuant to the Exchange Offers only following the satisfaction of the procedures and conditions set forth in “The Exchange Offers—Conditions to the Exchange Offers” and “The Exchange Offers—Procedures for Tendering Original Notes.” These procedures and conditions include timely receipt by the Exchange Agent of confirmation of book-entry transfer of such Original Notes and of an agent’s message from DTC. Therefore, holders of the Original Notes desiring to tender such Original Notes in exchange for Exchange Notes should allow sufficient time to ensure timely delivery. Additionally, we are under no duty to give notification of defects or irregularities of tenders of Original Notes for exchange.</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Because we anticipate that most holders of Original Notes will elect to exchange their Original Notes, we expect that the liquidity of the market for any Original Notes remaining after the completion of the Exchange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Offers will be substantially limited. Any Original Notes tendered and exchanged in the Exchange Offers will reduce the aggregate principal amount of the applicable series of Original Notes outstanding. Following the Exchange Offers, if you do not tender your Original Notes, you generally will not have any further registration rights, and your Original Notes will continue to be subject to certain transfer restrictions. Accordingly, the liquidity of the market for the Original Notes could be adversely affected.</w:t>
      </w:r>
    </w:p>
    <w:p>
      <w:pPr>
        <w:spacing w:after="0" w:line="295"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If an active trading market does not develop for the Exchange Notes, you may be unable to sell the Exchange Notes or to sell them at a price you deem sufficient.</w:t>
      </w:r>
    </w:p>
    <w:p>
      <w:pPr>
        <w:spacing w:after="0" w:line="6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Exchange Notes are a new issue of securities for which there is currently no public trading market. We do not intend to list the Exchange Notes on any national securities exchange. Accordingly, there can be no assurances that an active trading market will develop upon completion of the Exchange Offers or, if it develops, that such market will be sustained, or as to the liquidity of any market. If an active trading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w:t>
      </w:r>
    </w:p>
    <w:p>
      <w:pPr>
        <w:spacing w:after="0" w:line="272"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We may repurchase any Original Notes that are not accepted for purchase and exchange in the Exchange Offers in future transactions on terms that are more favorable to the holders of the Original Notes than the terms of the Exchange Offers.</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may, from time to time after completion of the Exchange Offers, purchase additional Original Notes in the open market, in privately negotiated transactions, through tender offers, exchange offers or otherwise. Any future purchases or exchanges may be on the same terms or on terms that are more or less favorable to holders of Original Notes than the terms of the Exchange Offers. Any future purchases or exchanges by us will depend on various factors existing at that time. There can be no assurance as to which, if any, of these alternatives (or combinations thereof) we may choose to pursue in the future.</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Some noteholders may be required to comply with the registration and prospectus delivery requirements of the Securities Act.</w:t>
      </w:r>
    </w:p>
    <w:p>
      <w:pPr>
        <w:spacing w:after="0" w:line="129"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If you exchange your Original Notes in the Exchange Offers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Our obligation to keep the registration statement of which this prospectus forms a part effective is limited. Accordingly, we cannot guarantee that a current prospectus will be available at all times to broker-dealers wishing to resell their Exchange Notes.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Exchange Offers are intended to satisfy our obligations under the Registration Rights Agreement entered into in connection with the issuance of the Original Notes. We will not receive any cash proceeds from the issuance of the Exchange Notes in the Exchange Offers. The Original Notes surrendered and exchanged for the Exchange Notes will be retired and canceled.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OFFERS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Exchange Offers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offering to exchange our (i) 2.887% Notes due 2051, which have been registered under the Securities Act and which we refer to as the “2051 Exchange Notes”, for our outstanding 2.887% Notes due 2051, which have not been so registered and which we refer to as the “2051 Original Notes”, (ii) 2.937% Notes due 2056, which have been registered under the Securities Act and which we refer to as the “2056 Exchange Notes”, for our outstanding 2.937% Notes due 2056, which have not been so registered and which we refer to as the “2056 Original Notes” and (iii) 2.987% Notes due 2063, which have been registered under the Securities Act and which we refer to as the “2063 Exchange Notes”, for our outstanding 2.987% Notes due 2063, which have not been so registered and which we refer to as the “2063 Original Notes.” We refer to these exchange offers as the “Exchange Offers.”</w:t>
      </w:r>
    </w:p>
    <w:p>
      <w:pPr>
        <w:spacing w:after="0" w:line="19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On August 2, 2021, Comcast and NBCUniversal consummated prior private offers (i) (A) by Comcast to exchange its 6.400% Notes due 2038, 6.950% Notes due 2037, 6.450% Notes due 2037, 6.400% Notes due March 2040, 6.550% Notes due 2039, 4.600% Notes due 2038, 6.500% Notes due 2035, 5.650% Notes due 2035 and 7.050% Notes due 2033 and (B) by NBCUniversal to exchange NBCUniversal’s 6.400% Notes due April 2040 for up to $3,000,000,000 in aggregate principal amount of 2051 Original Notes, (ii) (A) by Comcast to exchange its 4.700% Notes due 2048, 4.750% Notes due 2044, 4.650% Notes due 2042 and 4.500% Notes due 2043 and (B) by NBCUniversal to exchange NBCUniversal’s 5.950% Notes due 2041 and 4.450% Notes due 2043 for up to $3,000,000,000 in aggregate principal amount of 2056 Original Notes and (iii) by Comcast to exchange its 4.600% Notes due 2045, 4.950% Notes due 2058 and 4.049% Notes due 2052 for up to $3,000,000,000 in aggregate principal amount of 2063 Original Notes.</w:t>
      </w:r>
    </w:p>
    <w:p>
      <w:pPr>
        <w:spacing w:after="0" w:line="16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connection with the previous exchange offers, Comcast and the guarantors entered into the Registration Rights Agreement, with Credit Suisse Securities (USA) LLC, Morgan Stanley &amp; Co. LLC, BofA Securities, Inc., Citigroup Global Markets Inc., J.P. Morgan Securities LLC, Mizuho Securities USA LLC and Wells Fargo Securities, LLC, as joint-lead dealer managers and as representatives of the several dealer managers for the previous exchange offers, whom we refer to collectively as the “Dealer Managers.” Under the Registration Rights Agreement, we agreed to file and to use our reasonable efforts to have declared effective the exchange offer registration statement under the Securities Act and to consummate the Exchange Offers.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 xml:space="preserve">We are making the Exchange Offers in reliance on the position of the SEC as set forth in </w:t>
      </w:r>
      <w:r>
        <w:rPr>
          <w:rFonts w:ascii="Arial" w:cs="Arial" w:eastAsia="Arial" w:hAnsi="Arial"/>
          <w:sz w:val="18"/>
          <w:szCs w:val="18"/>
          <w:i w:val="1"/>
          <w:iCs w:val="1"/>
          <w:color w:val="auto"/>
        </w:rPr>
        <w:t>Exxon Capital Holdings Corporation</w:t>
      </w:r>
      <w:r>
        <w:rPr>
          <w:rFonts w:ascii="Arial" w:cs="Arial" w:eastAsia="Arial" w:hAnsi="Arial"/>
          <w:sz w:val="18"/>
          <w:szCs w:val="18"/>
          <w:color w:val="auto"/>
        </w:rPr>
        <w:t xml:space="preserve"> and similar no-action letters. However, we have not sought our own no-action letter. Based upon these interpretations by the SEC, we believe that a holder of Exchange Notes who is not our “affiliate” within the meaning of Rule 405 of the Securities Act and who exchanges Original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9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Any holder of the Original Notes using the Exchange Offers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 You may not participate in the Exchange Offers if you are a broker-dealer tendering Original Notes that you acquired directly from us for your own account.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set forth in this prospectus, this prospectus may not be used for an offer to resell, resale or other transfer of Exchange Notes.</w:t>
      </w:r>
    </w:p>
    <w:p>
      <w:pPr>
        <w:spacing w:after="0" w:line="237"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The Exchange Offers are not being made to, nor will we accept tenders for exchange from, holders of Original Notes in any jurisdiction in which the Exchange Offers or the acceptance of them would not be in compliance with the securities or blue sky laws of such jurisdiction.</w:t>
      </w:r>
    </w:p>
    <w:p>
      <w:pPr>
        <w:spacing w:after="0" w:line="14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Each broker-dealer that receives Exchange Notes for its own account in exchange for Original Notes, where such Original Notes were acquired by such broker-dealer as a result of market-making activities or other trading activities, shall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90 days after the Expiration Date (as defined herein), we will make this prospectus available to any broker-dealer for use in connection with any such resale. See “Plan of Distribution”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Resale of Exchange Notes</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9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not a broker-dealer tendering Original Notes that you acquired directly from us for your own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have not participated in, do not intend to participate in, and have no arrangement or understanding with any person to participate in, a distribution of the Exchange Notes;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not our “affiliate” as defined under Rule 405 of the Securities Act.</w:t>
      </w:r>
    </w:p>
    <w:p>
      <w:pPr>
        <w:spacing w:after="0" w:line="225"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However, any purchaser of Exchange Notes who is an affiliate of ours or who intends to participate in the Exchange Offers for the purpose of distributing the Exchange Notes (i) will not be able to rely on the interpretations of the SEC staff set forth in the above-mentioned no-action letters,</w:t>
      </w:r>
    </w:p>
    <w:p>
      <w:pPr>
        <w:jc w:val="both"/>
        <w:ind w:left="120" w:right="20" w:hanging="4"/>
        <w:spacing w:after="0" w:line="255" w:lineRule="auto"/>
        <w:tabs>
          <w:tab w:leader="none" w:pos="421"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19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With regard to broker-dealers, any broker-dealer who holds any Original Notes acquired for its own account as a result of market-making activities or other trading activities may participate in the Exchange Offers so long as the broker-dealer has not entered into any arrangement or understanding with us or an affiliate of ours to distribute the Exchange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Offers</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Based on the terms and subject to the conditions of the Exchange Offers, we will accept any and all Original Notes validly tendered prior to 11:59 p.m., New York City time, on the Expiration Date for the Exchange Offers. Subject to the minimum denomination requirements of the Exchange Notes, we will issue $1,000 principal amount of Exchange Notes in exchange for each $1,000 principal amount of outstanding Original Notes validly tendered pursuant to the Exchange Offers on or before the Expiration Date and not validly withdrawn. Holders may tender some or all of the Original Notes pursuant to the Exchange Offers. However, Original Notes may be tendered only in minimum denominations of $2,000 and multiples of $1,000 thereafter. Promptly after the Expiration Date (unless extended as described in this prospectus), we will issue an aggregate principal amount of up to $4,999,854,000 of 2051 Exchange Notes for a like principal amount of outstanding 2051 Original Notes tendered and accepted in connection with the Exchange Offers, up to $5,999,998,000 of 2056 Exchange Notes for a like principal amount of outstanding 2056 Original Notes tendered and accepted in connection with the Exchange Offers and up to $4,000,000,000 of 2063 Exchange Notes for a like principal amount of outstanding 2063 Original Notes tendered and accepted in connection with the Exchange Offers. The Exchange Notes issued in connection with the Exchange Offers will be delivered promptly after the Expiration Date.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terms of the Exchange Notes will be substantially identical to the terms of the Original Notes, except that:</w:t>
      </w:r>
    </w:p>
    <w:p>
      <w:pPr>
        <w:spacing w:after="0" w:line="131" w:lineRule="exact"/>
        <w:rPr>
          <w:sz w:val="20"/>
          <w:szCs w:val="20"/>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 and sale of the Exchange Notes will have been registered under the Securities Act and, therefore, the Exchange Notes will not bear legends restricting the transfer of the Exchange Notes; and</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holders of the Exchange Notes will not be entitled to any rights under the Registration Rights Agreement, which rights will terminate upon the consummation of the Exchange Offers, or to the additional interest provisions of the Registration Rights Agreement.</w:t>
      </w:r>
    </w:p>
    <w:p>
      <w:pPr>
        <w:spacing w:after="0" w:line="14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Exchange Notes will evidence the same debt as the Original Notes and will be issued under the same indenture and be entitled to the same benefits under that indenture as the Original Notes being exchanged. As of the date of this prospectus, $14,999,852,000 in aggregate principal amount of the Original Notes is outstanding.</w:t>
      </w:r>
    </w:p>
    <w:p>
      <w:pPr>
        <w:spacing w:after="0" w:line="18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connection with the issuance of the Original Notes, we arranged for the Original Notes purchased by qualified institutional buyers and those sold in reliance on Regulation S under the Securities Act to be issued and transferable in book-entry form through the facilities of DTC, acting as depositary. Except as described under “Description of Exchange Notes—Book-Entry System”, Exchange Notes will be issued in the form of one or more global notes registered in the name of DTC or its nominee and each beneficial owner’s interest in it will be transferable in book-entry form through DTC. See “Description of Exchange Notes—Book-Entry System.”</w:t>
      </w:r>
    </w:p>
    <w:p>
      <w:pPr>
        <w:spacing w:after="0" w:line="18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Holders of Original Notes do not have any appraisal or dissenters’ rights in connection with the Exchange Offers. Original Notes that are not tendered for exchange or are tendered but not accepted in connection with the Exchange Offers will remain outstanding and be entitled to the benefits of our Indenture (as defined below), but certain registration and other rights under the Registration Rights Agreement will terminate and holders of the Original Notes will generally not be entitled to any registration rights under the Registration Rights Agreement. See “—Consequences of Failure to Properly Tender Original Notes in the Exchange Offers.”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Holders who tender Original Notes will not be required to pay brokerage commissions or fees or transfer taxes on exchange of Original Notes in connection with the Exchange Offers, except as described under “—Fees and Expenses” and “—Transfer Taxes.”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Date; Extension; Termination; Amendment</w:t>
      </w:r>
    </w:p>
    <w:p>
      <w:pPr>
        <w:spacing w:after="0" w:line="121" w:lineRule="exact"/>
        <w:rPr>
          <w:sz w:val="20"/>
          <w:szCs w:val="20"/>
          <w:color w:val="auto"/>
        </w:rPr>
      </w:pPr>
    </w:p>
    <w:p>
      <w:pPr>
        <w:ind w:left="560"/>
        <w:spacing w:after="0"/>
        <w:tabs>
          <w:tab w:leader="none" w:pos="7380" w:val="left"/>
        </w:tabs>
        <w:rPr>
          <w:sz w:val="20"/>
          <w:szCs w:val="20"/>
          <w:color w:val="auto"/>
        </w:rPr>
      </w:pPr>
      <w:r>
        <w:rPr>
          <w:rFonts w:ascii="Arial" w:cs="Arial" w:eastAsia="Arial" w:hAnsi="Arial"/>
          <w:sz w:val="18"/>
          <w:szCs w:val="18"/>
          <w:color w:val="auto"/>
        </w:rPr>
        <w:t>The Expiration Date for the Exchange Offers is 11:59 p.m., New York City time, on</w:t>
      </w:r>
      <w:r>
        <w:rPr>
          <w:sz w:val="20"/>
          <w:szCs w:val="20"/>
          <w:color w:val="auto"/>
        </w:rPr>
        <w:tab/>
      </w:r>
      <w:r>
        <w:rPr>
          <w:rFonts w:ascii="Arial" w:cs="Arial" w:eastAsia="Arial" w:hAnsi="Arial"/>
          <w:sz w:val="16"/>
          <w:szCs w:val="16"/>
          <w:color w:val="auto"/>
        </w:rPr>
        <w:t>, 2022, unless extended by us in our sole discretion,</w:t>
      </w:r>
    </w:p>
    <w:p>
      <w:pPr>
        <w:spacing w:after="0" w:line="23"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in which case the term “Expiration Date” shall mean the latest date and time to which the Exchange Offers are extended with respect to either or both series of Exchange Notes.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applicable law, we reserve the right, in our sole discretion:</w:t>
      </w:r>
    </w:p>
    <w:p>
      <w:pPr>
        <w:spacing w:after="0" w:line="131" w:lineRule="exact"/>
        <w:rPr>
          <w:sz w:val="20"/>
          <w:szCs w:val="20"/>
          <w:color w:val="auto"/>
        </w:rPr>
      </w:pPr>
    </w:p>
    <w:p>
      <w:pPr>
        <w:jc w:val="both"/>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delay accepting any Original Notes, to extend any Exchange Offer or to terminate any Exchange Offer if, in our reasonable judgment, any of the conditions described below shall not have been satisfied, by giving oral (to be followed by prompt written notice) or written notice of the delay, extension or termination to the Exchange Agent;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amend the terms of any Exchange Offer in any manner.</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we amend any Exchange Offer in a manner that we consider material, we will disclose such amendment by means of a prospectus supplement, and we will extend such Exchange Offer for a period of five to ten business days. No Exchange Offer is conditioned upon the other Exchange Offers, and we may terminate any Exchange Offer without terminating the other Exchange Offers.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determine to extend, amend or terminate any Exchange Offer, we will publicly announce this determination by making a timely release through an appropriate news agency.</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delay accepting any Original Notes or terminate any Exchange Offer, we promptly will pay the consideration offered, or return any Original Notes deposited, pursuant to the Exchange Offers as required by Rule 14e-1(c).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on the Exchange Notes</w:t>
      </w:r>
    </w:p>
    <w:p>
      <w:pPr>
        <w:spacing w:after="0" w:line="12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2051 Exchange Notes will bear interest at the rate of 2.887% per annum, the 2056 Exchange Notes will bear interest at the rate of 2.937% per annum and the 2063 Exchange Notes will bear interest at the rate of 2.987% per annum, each from the most recent date on which interest on the</w:t>
      </w:r>
    </w:p>
    <w:p>
      <w:pPr>
        <w:jc w:val="both"/>
        <w:ind w:left="840" w:hanging="719"/>
        <w:spacing w:after="0" w:line="250" w:lineRule="auto"/>
        <w:rPr>
          <w:sz w:val="20"/>
          <w:szCs w:val="20"/>
          <w:color w:val="auto"/>
        </w:rPr>
      </w:pPr>
      <w:r>
        <w:rPr>
          <w:rFonts w:ascii="Arial" w:cs="Arial" w:eastAsia="Arial" w:hAnsi="Arial"/>
          <w:sz w:val="18"/>
          <w:szCs w:val="18"/>
          <w:color w:val="auto"/>
        </w:rPr>
        <w:t>Original Notes has been paid (</w:t>
      </w:r>
      <w:r>
        <w:rPr>
          <w:sz w:val="20"/>
          <w:szCs w:val="20"/>
          <w:color w:val="auto"/>
        </w:rPr>
        <w:t xml:space="preserve"> </w:t>
      </w:r>
      <w:r>
        <w:rPr>
          <w:rFonts w:ascii="Arial" w:cs="Arial" w:eastAsia="Arial" w:hAnsi="Arial"/>
          <w:sz w:val="18"/>
          <w:szCs w:val="18"/>
          <w:color w:val="auto"/>
        </w:rPr>
        <w:t>). Interest will be payable semiannually in arrears on May 1 and November 1 of each year, commencing on , 2022.</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Notwithstanding any other provisions of the Exchange Offers, or any extension of the Exchange Offers, we will not be required to accept for exchange, or to exchange any Exchange Notes for, any Original Notes and we may terminate any Exchange Offer or, at our option, modify, extend or otherwise amend any Exchange Offer, if any of the following conditions are not satisfied at or prior to the Expiration Date:</w:t>
      </w:r>
    </w:p>
    <w:p>
      <w:pPr>
        <w:spacing w:after="0" w:line="71" w:lineRule="exact"/>
        <w:rPr>
          <w:sz w:val="20"/>
          <w:szCs w:val="20"/>
          <w:color w:val="auto"/>
        </w:rPr>
      </w:pPr>
    </w:p>
    <w:p>
      <w:pPr>
        <w:ind w:left="1080" w:right="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our reasonable judgment, no action or event has occurred or been threatened (including a default under an agreement, indenture or other instrument or obligation to which we or one of our affiliates is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9" w:lineRule="auto"/>
        <w:rPr>
          <w:sz w:val="20"/>
          <w:szCs w:val="20"/>
          <w:color w:val="auto"/>
        </w:rPr>
      </w:pPr>
      <w:r>
        <w:rPr>
          <w:rFonts w:ascii="Arial" w:cs="Arial" w:eastAsia="Arial" w:hAnsi="Arial"/>
          <w:sz w:val="18"/>
          <w:szCs w:val="18"/>
          <w:color w:val="auto"/>
        </w:rPr>
        <w:t>party or by which we or any of our affiliates is bound), no action is pending, no action has been taken, and no statute, rule, regulation, judgment, order, stay, decree or injunction has been promulgated, enacted, entered, enforced or deemed applicable to the Exchange Offers or the exchange of Original Notes for Exchange Notes under the Exchange Offers by or before any court or governmental regulatory or administrative agency, authority, or tribunal, which either:</w:t>
      </w:r>
    </w:p>
    <w:p>
      <w:pPr>
        <w:spacing w:after="0" w:line="92" w:lineRule="exact"/>
        <w:rPr>
          <w:sz w:val="20"/>
          <w:szCs w:val="20"/>
          <w:color w:val="auto"/>
        </w:rPr>
      </w:pPr>
    </w:p>
    <w:p>
      <w:pPr>
        <w:jc w:val="both"/>
        <w:ind w:left="1540" w:hanging="331"/>
        <w:spacing w:after="0" w:line="311"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challenges the making of the Exchange Offers or the exchange of Original Notes for Exchange Notes under the Exchange Offers or might, directly or indirectly, prohibit, prevent, restrict or delay consummation of, or might otherwise adversely affect in any material manner, the Exchange Offers or the exchange of Original Notes for Exchange Notes under the Exchange Offers; or</w:t>
      </w:r>
    </w:p>
    <w:p>
      <w:pPr>
        <w:spacing w:after="0" w:line="54" w:lineRule="exact"/>
        <w:rPr>
          <w:rFonts w:ascii="Arial" w:cs="Arial" w:eastAsia="Arial" w:hAnsi="Arial"/>
          <w:sz w:val="16"/>
          <w:szCs w:val="16"/>
          <w:color w:val="auto"/>
        </w:rPr>
      </w:pPr>
    </w:p>
    <w:p>
      <w:pPr>
        <w:jc w:val="both"/>
        <w:ind w:left="1540" w:hanging="331"/>
        <w:spacing w:after="0" w:line="311"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our reasonable judgment, could materially affect the business, condition (financial or otherwise), income, operations, properties, assets, liabilities or prospects of Comcast and its subsidiaries, taken as a whole, or materially impair the contemplated benefits to Comcast of the Exchange Offers or the exchange of Original Notes for Exchange Notes under the Exchange Offers;</w:t>
      </w:r>
    </w:p>
    <w:p>
      <w:pPr>
        <w:spacing w:after="0" w:line="1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following has occurred:</w:t>
      </w:r>
    </w:p>
    <w:p>
      <w:pPr>
        <w:spacing w:after="0" w:line="130" w:lineRule="exact"/>
        <w:rPr>
          <w:rFonts w:ascii="Arial" w:cs="Arial" w:eastAsia="Arial" w:hAnsi="Arial"/>
          <w:sz w:val="18"/>
          <w:szCs w:val="18"/>
          <w:color w:val="auto"/>
        </w:rPr>
      </w:pPr>
    </w:p>
    <w:p>
      <w:pPr>
        <w:ind w:left="1540" w:right="20" w:hanging="331"/>
        <w:spacing w:after="0" w:line="342"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SEC has issued a stop order which would suspend the effectiveness of the registration statement of which this prospectus forms a part or the qualification of the applicable indenture governing the Exchange Notes under the Trust Indenture Act of 1939;</w:t>
      </w:r>
    </w:p>
    <w:p>
      <w:pPr>
        <w:spacing w:after="0" w:line="29" w:lineRule="exact"/>
        <w:rPr>
          <w:rFonts w:ascii="Arial" w:cs="Arial" w:eastAsia="Arial" w:hAnsi="Arial"/>
          <w:sz w:val="16"/>
          <w:szCs w:val="16"/>
          <w:color w:val="auto"/>
        </w:rPr>
      </w:pPr>
    </w:p>
    <w:p>
      <w:pPr>
        <w:ind w:left="1540" w:right="20" w:hanging="331"/>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general suspension of, or limitation on, trading in securities on any United States national securities exchanges or in the over the counter market (whether or not mandatory);</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by federal or state authorities in the United States (whether or not mandatory);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material adverse change in the United States’ securities or financial markets generally; or</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case of any of the foregoing existing at the time of the commencement of the Exchange Offers, a material acceleration or worsening thereof; and</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(as defined below) under our Indenture has not objected in any respect to, or taken any action that could in our reasonable judgment adversely affect the consummation of, any of the Exchange Offers, nor has the Trustee taken any action that challenges the validity or effectiveness of the procedures used by us in making the Exchange Offers.</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expressly reserve the right to amend or terminate any Exchange Offer and to reject for exchange any Original Notes not previously accepted for exchange, upon the occurrence of any of the conditions of the Exchange Offers specified above. We will give oral or written notice (with any oral notice to be promptly confirmed in writing) of any amendment, non-acceptance, termination or waiver to the Exchange Agent as promptly as practicable, followed by a timely press release.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These conditions are for our sole benefit and, except as set forth below, may be waived by us, in whole or in part in our sole discretion. Any determination made by us concerning these events, developments or circumstances shall be conclusive and binding. We may, at our option and in our sole discretion, waive any such conditions except for the condition that the registration statement of which this prospectus forms a part is not subject to a stop order or any proceedings for that purpose.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All conditions to the Exchange Offers must be satisfied or, where permitted, waived at or by the Expiration Date. In addition, we may in our absolute discretion, subject to applicable law, terminate any Exchange Offer for any other reason.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any of the foregoing conditions are not satisfied, we may, at any time at or prior to the Expiration Date:</w:t>
      </w:r>
    </w:p>
    <w:p>
      <w:pPr>
        <w:spacing w:after="0" w:line="131" w:lineRule="exact"/>
        <w:rPr>
          <w:sz w:val="20"/>
          <w:szCs w:val="20"/>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terminate any Exchange Offer and promptly return all tendered Original Notes with respect to that Exchange Offer to the respective tendering holders;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extend or otherwise amend any Exchange Offer and retain all tendered Original Notes with respect to that Exchange Offer until the Expiration Date, as extended, subject, however, to the withdrawal rights of holders; or</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the unsatisfied conditions, except for the condition that the registration statement of which this prospectus forms a part is not subject to a stop order or any proceedings for that purpose, with respect to any Exchange Offer and accept all Original Notes tendered and not previously validly withdrawn.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Tender</w:t>
      </w:r>
    </w:p>
    <w:p>
      <w:pPr>
        <w:spacing w:after="0" w:line="12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Any tender by a holder, and our subsequent acceptance of that tender, of Original Notes will constitute a binding agreement between that holder and us upon the terms and subject to the conditions of the Exchange Offers described in this prospectus. The participation in the Exchange Offers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Absence of Dissenters’ Rights of Appraisal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the Original Notes do not have any dissenters’ rights of appraisal in connection with the Exchange Offers.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you hold Original Notes and wish to have those notes exchanged for Exchange Notes, you must validly tender (or cause the valid tender of) your Original Notes using the procedures described in this prospectus.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procedures by which you may tender or cause to be tendered Original Notes will depend upon the manner in which you hold the Original Notes, as described below.</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you are a beneficial owner which holds Original Notes through Euroclear or Clearstream Luxembourg and wish to tender your Original Notes, you must instruct Euroclear or Clearstream Luxembourg, as the case may be, to block the account in respect of the tendered Original Notes in accordance with the procedures established by Euroclear or Clearstream Luxembourg. You are encouraged to contact Euroclear and Clearstream Luxembourg directly to ascertain their procedure for tendering Original Notes.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Original Notes Held with DTC by a DTC Participant</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Pursuant to authority granted by DTC, if you are a DTC participant that has Original Notes credited to your DTC account and thereby held of record by DTC’s nominee, you may directly tender your Original Notes as if you were the record holder. Accordingly, references herein to record holders include DTC participants with Original Notes credited to their accounts. Within two business days after the date of this prospectus, the Exchange Agent will establish accounts with respect to the Original Notes at DTC for purposes of the Exchange Offers.</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Tenders of Original Notes will be accepted only in minimum denominations of $2,000 and multiples of $1,000 thereafter. No alternative, conditional or contingent tenders will be accepted. Holders who tender less than all of their Original Notes must continue to hold Original Notes in at least the minimum authorized denomination of $2,000 principal amount.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Any DTC participant may tender Original Notes by effecting a book-entry transfer of the Original Notes to be tendered in the Exchange Offers into the account of the Exchange Agent at DTC and electronically transmitting its acceptance of the Exchange Offers through DTC’s ATOP procedures for transfer before the Expiration Date of the Exchange Offers. No letter of transmittal will be used in connection with the Exchange Offers. The valid electronic transmission of acceptance through ATOP shall constitute delivery of Original Notes in connection with the Exchange Offers.</w:t>
      </w:r>
    </w:p>
    <w:p>
      <w:pPr>
        <w:spacing w:after="0" w:line="15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the Exchange Offers and that Comcast may enforce the agreement against the participant. DTC participants following this procedure should allow sufficient time for completion of the ATOP procedures prior to the Expiration Date of the Exchange Offers.</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agent’s message, and any other required documents, must be transmitted to and received by the Exchange Agent prior to the Expiration Date of the Exchange Offers at one of its addresses set forth on the back cover page of this prospectus. Delivery of these documents to Comcast or DTC does not constitute delivery to the Exchange Agent.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Original Notes Held Through a Nominee by a Beneficial Owner</w:t>
      </w:r>
    </w:p>
    <w:p>
      <w:pPr>
        <w:spacing w:after="0" w:line="11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Currently, all of the Original Notes are held in book-entry form and can only be tendered by following the procedures described under “— Procedures for Tendering Original Notes—Original Notes Held with DTC by a DTC Participant.” However, any beneficial owner whose Original Notes are registered in the name of a broker, dealer, commercial bank, trust company or other nominee and who wishes to tender should contact the registered holder promptly and instruct it to tender on the owner’s behalf if it wishes to participate in the Exchange Offers. You should keep in mind that your intermediary may require you to take action with respect to the Exchange Offers a number of days before the Expiration Date in order for such entity to tender Original Notes on your behalf at or prior to the Expiration Date in accordance with the terms of the Exchange Offers.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Beneficial owners should be aware that their broker, dealer, commercial bank, trust company or other nominee may establish its own earlier deadlines for participation in the Exchange Offers. Accordingly, beneficial owners wishing to participate in the Exchange Offers should contact their broker, dealer, commercial bank, trust company or other nominee as soon as possible in order to determine the times by which such owner must take action in order to participate in the Exchange Offers.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Warranties, Acknowledgements and Undertakings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By tendering Original Notes through the submission of an electronic acceptance instruction in accordance with the requirements of ATOP, a tendering holder of Original Notes:</w:t>
      </w:r>
    </w:p>
    <w:p>
      <w:pPr>
        <w:spacing w:after="0" w:line="76" w:lineRule="exact"/>
        <w:rPr>
          <w:sz w:val="20"/>
          <w:szCs w:val="20"/>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acknowledges receipt of this prospectus (as it may be amended or supplemented from time to time), and agrees to all of the terms of the Exchange Offers;</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understands, acknowledges and agrees that tenders of Original Notes pursuant to the Exchange Offers will, upon Comcast’s acceptance for exchange of such tendered Original Notes, constitute a binding agreement between such holder and Comcast upon the terms and subject to the conditions of the Exchange Offers;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irrevocably constitutes and appoints the Exchange Agent the true and lawful agent and attorney-in-fact of the holder with respect to any tendered Original Notes (with full knowledge that the Exchange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96" w:lineRule="auto"/>
        <w:rPr>
          <w:sz w:val="20"/>
          <w:szCs w:val="20"/>
          <w:color w:val="auto"/>
        </w:rPr>
      </w:pPr>
      <w:r>
        <w:rPr>
          <w:rFonts w:ascii="Arial" w:cs="Arial" w:eastAsia="Arial" w:hAnsi="Arial"/>
          <w:sz w:val="16"/>
          <w:szCs w:val="16"/>
          <w:color w:val="auto"/>
        </w:rPr>
        <w:t>Agent also acts as the agent of Comcast and an affiliate of the Exchange Agent acts as Trustee under the Indenture), with full powers of substitution and revocation (such power of attorney being deemed to be an irrevocable power coupled with an interest) to (a) transfer ownership of such Original Notes on the account books maintained by DTC with all accompanying evidences of transfer and authenticity to, or upon the order of, Comcast and (b) present such Original Notes for transfer on the books of Comcast and receive all benefits and otherwise exercise all rights of beneficial ownership of such Original Notes, all in accordance with the terms of the Exchange Offers;</w:t>
      </w:r>
    </w:p>
    <w:p>
      <w:pPr>
        <w:spacing w:after="0" w:line="67" w:lineRule="exact"/>
        <w:rPr>
          <w:sz w:val="20"/>
          <w:szCs w:val="20"/>
          <w:color w:val="auto"/>
        </w:rPr>
      </w:pPr>
    </w:p>
    <w:p>
      <w:pPr>
        <w:jc w:val="both"/>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and warrants that such holder has full power and authority to tender, sell, assign and transfer the Original Notes tendered thereby and that Comcast will acquire good and unencumbered title thereto, free and clear of all liens, restrictions, charges and encumbrances and not subject to any adverse claim when the same are accepted by Comcast;</w:t>
      </w:r>
    </w:p>
    <w:p>
      <w:pPr>
        <w:spacing w:after="0" w:line="89"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and agrees that such holder is not an “affiliate” of Comcast or the guarantors, any Exchange Notes to be received by such holder are being acquired in the ordinary course of its business and such holder has no arrangement or understanding with any person to participate, and is not engaged and does not intend to engage, in a distribution (within the meaning of the Securities Act) of such Exchange Notes;</w:t>
      </w:r>
    </w:p>
    <w:p>
      <w:pPr>
        <w:spacing w:after="0" w:line="92" w:lineRule="exact"/>
        <w:rPr>
          <w:rFonts w:ascii="Arial" w:cs="Arial" w:eastAsia="Arial" w:hAnsi="Arial"/>
          <w:sz w:val="18"/>
          <w:szCs w:val="18"/>
          <w:color w:val="auto"/>
        </w:rPr>
      </w:pPr>
    </w:p>
    <w:p>
      <w:pPr>
        <w:jc w:val="both"/>
        <w:ind w:left="1080" w:right="20" w:hanging="424"/>
        <w:spacing w:after="0" w:line="25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holder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such holder will not be deemed to admit that it is an “underwriter” within the meaning of the Securities Act;</w:t>
      </w:r>
    </w:p>
    <w:p>
      <w:pPr>
        <w:spacing w:after="0" w:line="93"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undertakes, upon request, to execute and deliver any additional documents deemed by Comcast or the Exchange Agent to be necessary or desirable to complete the exchange, assignment and transfer of the Original Notes tendered thereby;</w:t>
      </w:r>
    </w:p>
    <w:p>
      <w:pPr>
        <w:spacing w:after="0" w:line="75" w:lineRule="exact"/>
        <w:rPr>
          <w:rFonts w:ascii="Arial" w:cs="Arial" w:eastAsia="Arial" w:hAnsi="Arial"/>
          <w:sz w:val="18"/>
          <w:szCs w:val="18"/>
          <w:color w:val="auto"/>
        </w:rPr>
      </w:pPr>
    </w:p>
    <w:p>
      <w:pPr>
        <w:jc w:val="both"/>
        <w:ind w:left="108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understands, acknowledges and agrees that for purposes of the Exchange Offers, Comcast shall be deemed to have accepted validly tendered Original Notes when and if Comcast has given oral or written notice thereof to the Exchange Agent;</w:t>
      </w:r>
    </w:p>
    <w:p>
      <w:pPr>
        <w:spacing w:after="0" w:line="75"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understands, acknowledges and agrees that, subject to, and effective upon, the acceptance for exchange of the Original Notes tendered thereby, such holder thereby sells, assigns and transfers to, or upon the order of, Comcast, all right, title and interest in and to such Original Notes as are being tendered thereby upon the terms and subject to the conditions set forth in this prospectus (as the same may be amended or supplemented from time to time); and</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understands, acknowledges and agrees that, except as stated in this prospectus in connection with a valid withdrawal, the tender of such holder’s Original Notes is irrevocable.</w:t>
      </w:r>
    </w:p>
    <w:p>
      <w:pPr>
        <w:spacing w:after="0" w:line="170"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Comcast has agreed that, subject to the provisions of the Registration Rights Agreement, dated as of August 19, 2021, the prospectus, as it may be amended or supplemented from time to time, may be used by a broker-dealer who acquired the Original Notes for its own account as a result of market making or other trading activities (a “participating broker-dealer”) in connection with resales of Exchange Notes received in exchange for Original Notes, where such Original Notes were acquired by such participating broker-dealer for its own account as a result of market-making activities or other trading activities, for a period ending 90 days after the Expiration Date or, if earlier, when all such Exchange Notes have been disposed of by such participating broker-dealer.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that regard, each participating broker-dealer, by tendering such Original Notes through the submission of an electronic acceptance instruction in accordance with the requirements of ATOP, agrees that, upon receipt of notice from Comcast of the occurrence of any event or the discovery of any fact which makes any statement contained or incorporated by reference in the prospectus untrue in any material respect or which causes the prospectus to omit to state a material fact necessary in order to make the statements contained or incorporated by reference therein, in light of the circumstances under which they were made, not misleading, or of the occurrence of certain other events specified in the Registration Rights Agreement, such participating broker-dealer will suspend the sale of Exchange Notes pursuant to the prospectus until Comcast has amended or supplemented the prospectus to correct such misstatement or omission and has furnished copies of the amended or supplemented prospectus to the participating broker-dealer or Comcast has given notice that the sale of the Exchange Notes may be resumed, as the case may be. If Comcast gives such notice to suspend the sale of the Exchange Notes, it shall extend the 90-day period referred to above during which participating broker-dealers are entitled to use the prospectus in connection with the resale of Exchange Notes by the number of days during the period from and including the date of the giving of such notice to and including the date when participating broker-dealers shall have received copies of the supplemented or amended prospectus necessary to permit resales of the Exchange Notes or to and including the date on which Comcast has given notice that the sale of Exchange Notes may be resumed, as the case may be.</w:t>
      </w:r>
    </w:p>
    <w:p>
      <w:pPr>
        <w:spacing w:after="0" w:line="168"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By tendering Original Notes through the submission of an electronic acceptance instruction in accordance with the requirements of ATOP, a tendering holder of Original Notes also acknowledges that the Exchange Offers are being made by Comcast based upon Comcast’s understanding of an interpretation by the staff of the SEC as set forth in no-action letters issued to third parties, that the Exchange Notes issued in exchange for the Original Notes pursuant to the Exchange Offers may be offered for resale, resold and otherwise transferred by holders thereof, without compliance with the registration and prospectus delivery provisions of the Securities Act, provided that: (1) such holders are not affiliates of Comcast or the guarantors within the meaning of Rule 405 under the Securities Act; (2) such Exchange Notes are acquired in the ordinary course of such holders’ business;</w:t>
      </w:r>
    </w:p>
    <w:p>
      <w:pPr>
        <w:spacing w:after="0" w:line="4" w:lineRule="exact"/>
        <w:rPr>
          <w:sz w:val="20"/>
          <w:szCs w:val="20"/>
          <w:color w:val="auto"/>
        </w:rPr>
      </w:pPr>
    </w:p>
    <w:p>
      <w:pPr>
        <w:jc w:val="both"/>
        <w:ind w:left="120" w:hanging="4"/>
        <w:spacing w:after="0" w:line="268" w:lineRule="auto"/>
        <w:tabs>
          <w:tab w:leader="none" w:pos="3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such holders are not engaged in, and do not intend to engage in, a distribution of such Exchange Notes and have no arrangement or understanding with any person to participate in the distribution of such Exchange Notes and (4) such holders are not broker-dealers tendering Original Notes that have been acquired from Comcast for their own account. However, the staff of the SEC has not considered the Exchange Offers in the context of a no-action letter, and there can be no assurance that the staff of the SEC would make a similar determination with respect to the Exchange Offers as in other circumstances. If a holder of Original Notes is an affiliate of Comcast or the guarantors,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Offers, such holder could not rely on the applicable interpretations of the staff of the SEC and must comply with the registration and prospectus delivery requirements of the Securities Act in connection with any secondary resale transaction.</w:t>
      </w:r>
    </w:p>
    <w:p>
      <w:pPr>
        <w:spacing w:after="0" w:line="18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No alternative, conditional, irregular or contingent tenders will be accepted. By tendering Original Notes through the submission of an electronic acceptance instruction in accordance with the requirements of ATOP, the tendering holders of Original Notes waive any right to receive any notice of the acceptance for exchange of their Original Notes.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defects, irregularities or conditions of tender as to particular Original Notes, whether or not waived in the case of other Original Notes. Our interpretation of the terms and conditions of the Exchange Offers will be final and binding on all parties.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Unless waived, any defects or irregularities in connection with tenders of Original Notes must be cured within the time we determine. Although we intend to notify holders of defects or irregularities with respect to tenders of Original Notes, none of we, the Exchange Agent or any other person will be under any duty to give that notification or shall incur any liability for failure to give that notification. Tenders of Original Notes will not be deemed to have been made until any defects or irregularities therein have been cured or waived.</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addition, we reserve the right, as set forth above under the caption “—Conditions to the Exchange Offers”, to terminate any Exchange Offer. By tendering, each holder represents and acknowledges to us, among other things, that:</w:t>
      </w:r>
    </w:p>
    <w:p>
      <w:pPr>
        <w:spacing w:after="0" w:line="76" w:lineRule="exact"/>
        <w:rPr>
          <w:sz w:val="20"/>
          <w:szCs w:val="20"/>
          <w:color w:val="auto"/>
        </w:rPr>
      </w:pPr>
    </w:p>
    <w:p>
      <w:pPr>
        <w:jc w:val="both"/>
        <w:ind w:left="108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Exchange Notes acquired in connection with the Exchange Offers are being obtained in the ordinary course of business of the person receiving the Exchange Notes;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time of commencement of the Exchange Offers it had no arrangement with any person to participate in a distribution of such Exchange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an “affiliate” (as defined in Rule 405 under the Securities Act) of our company; and</w:t>
      </w:r>
    </w:p>
    <w:p>
      <w:pPr>
        <w:spacing w:after="0" w:line="130" w:lineRule="exact"/>
        <w:rPr>
          <w:rFonts w:ascii="Arial" w:cs="Arial" w:eastAsia="Arial" w:hAnsi="Arial"/>
          <w:sz w:val="18"/>
          <w:szCs w:val="18"/>
          <w:color w:val="auto"/>
        </w:rPr>
      </w:pPr>
    </w:p>
    <w:p>
      <w:pPr>
        <w:jc w:val="both"/>
        <w:ind w:left="108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holder is a broker-dealer,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No letter of transmittal will be used in connection with the Exchange Offers. The valid electronic transmission of acceptance through ATOP shall constitute delivery of Original Notes in connection with the Exchange Offers. There are no guaranteed delivery procedures for the Exchange Offers.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Tenders of Original Notes in the Exchange Offers may be validly withdrawn at any time prior to the Expiration Date.</w:t>
      </w:r>
    </w:p>
    <w:p>
      <w:pPr>
        <w:spacing w:after="0" w:line="22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Beneficial owners desiring to withdraw a tender of Original Notes previously tendered through the ATOP procedures should contact the DTC participant through which they hold their Original Notes. In order to withdraw Original Notes previously tendered, a DTC participant may, prior to the Expiration Date of the Exchange Offers, withdraw its instruction previously transmitted through ATOP by withdrawing its acceptance through ATOP.</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Withdrawal of tenders of Original Notes may not be rescinded, and any Original Notes validly withdrawn will thereafter be deemed not to have been validly tendered for purposes of the Exchange Offers. Validly withdrawn Original Notes may, however, be re-tendered by again following one of the procedures described in “—Procedures for Tendering Original Notes” at or prior to the Expiration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Bank of New York Mellon has been appointed as Exchange Agent in connection with the Exchange Offers. Questions and requests for assistance, as well as requests for additional copies of this prospectus, should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be directed to the Exchange Agent at its offices at: The Bank of New York Mellon, as Exchange Agent, c/o BNY Mellon, Corporate Trust Operations— Reorganization Unit, 2001 Bryan Street, 10th Floor, Dallas, Texas 75201, Attention: Tiffany Castor, Telephone Number: (315) 414-3034. The Exchange Agent’s e-mail address is CT_REORG_UNIT_INQUIRIES@bnymellon.com and facsimile number is (732) 667-9408.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We will not make any payment to brokers, dealers or others soliciting acceptances of the Exchange Offers. We will pay certain other expenses to be incurred in connection with the Exchange Offers, including the fees and expenses of the Exchange Agent and certain accounting and legal fees.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will not be obligated to pay any transfer taxes in connection with the tender of Original Notes in the Exchange Offers unless you instruct us to issue Exchange Notes, or request that Original Notes not tendered or accepted in the Exchange Offers be returned, to a person other than the tendering holder. In those cases, you will be responsible for the payment of any applicable transfer taxes.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Exchange Notes will be recorded at the same carrying value as the Original Notes as reflected in our accounting records on the date of the exchange. Accordingly, we will not recognize any gain or loss for accounting purposes upon the completion of the Exchange Offers. Payments made to other third parties will be expensed as incurred in accordance with GAAP.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Failure to Properly Tender Original Notes in the Exchange Offers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Issuance of the Exchange Notes in exchange for the Original Notes under the Exchange Offers will be made only after timely receipt by the Exchange Agent of an agent’s message from DTC through ATOP and confirmation of book-entry transfer of such Original Notes,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Offers, continue to be subject to the existing restrictions upon transfer thereof under the Securities Act, and, upon completion of the Exchange Offers, certain registration rights under the Registration Rights Agreement will terminate.</w:t>
      </w:r>
    </w:p>
    <w:p>
      <w:pPr>
        <w:spacing w:after="0" w:line="19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the event the Exchange Offers are completed, we generally will not be required to register the remaining Original Notes. Remaining Original Notes will continue to be subject to the following restrictions on transfer:</w:t>
      </w:r>
    </w:p>
    <w:p>
      <w:pPr>
        <w:spacing w:after="0" w:line="76" w:lineRule="exact"/>
        <w:rPr>
          <w:sz w:val="20"/>
          <w:szCs w:val="20"/>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remaining Original Notes may be resold only if registered pursuant to the Securities Act, if any exemption from registration is available, or if neither such registration nor such exemption is required by law;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do not currently anticipate that we will register the remaining Original Notes under the Securities Act. To the extent that Original Notes are tendered and accepted in connection with the Exchange Offers, any trading market for remaining Original Notes could be adversely affected. See “Risk Factors—Risks Relating to Participation in the Exchange Offers—If you fail to exchange your Original Notes, they will continue to be restricted securities and may become less liquid.”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EXCHANGE NOTES AND THE GUARANTEES</w:t>
      </w:r>
    </w:p>
    <w:p>
      <w:pPr>
        <w:spacing w:after="0" w:line="229"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The Exchange Notes will be our direct unsecured and unsubordinated obligations and will be fully and unconditionally guaranteed by Comcast Cable Communications and NBCUniversal, referred to as the guarantors, as described below. The Exchange Notes will be issued under an indenture dated as of September 18, 2013, entered into among us, the guarantors named therein and The Bank of New York Mellon, as trustee, as amended by the first supplemental indenture dated as of November 17, 2015, entered into among us, the guarantors, and The Bank of New York Mellon, as trustee (as amended, the “indenture”). The terms of the Exchange Notes include those stated in the indenture and those made part of the indenture by reference to the Trust Indenture Act of 1939, as amended. The indenture provides that we will have the ability to issue securities with terms different from those of the Exchange Notes. We also have the ability to “reopen” a series of Exchange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Exchange Notes are available from us upon request.</w:t>
      </w:r>
    </w:p>
    <w:p>
      <w:pPr>
        <w:spacing w:after="0" w:line="168"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following is a summary of the material provisions of the indenture, the Exchange Notes and the guarantees. Because this is a summary, it may not contain all the information that is important to you. For further information, you should read the Exchange Notes and the indenture.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Terms of the Exchange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Exchange Notes:</w:t>
      </w:r>
    </w:p>
    <w:p>
      <w:pPr>
        <w:spacing w:after="0" w:line="131" w:lineRule="exact"/>
        <w:rPr>
          <w:sz w:val="20"/>
          <w:szCs w:val="20"/>
          <w:color w:val="auto"/>
        </w:rPr>
      </w:pPr>
    </w:p>
    <w:p>
      <w:pPr>
        <w:ind w:left="1080" w:right="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be issued in an aggregate principal amount of 2051 Exchange Notes, 2056 Exchange Notes and 2063 Exchange Notes not to exceed the aggregate principal amount of the 2051 Original Notes, 2056 Original Notes and 2063 Original Notes, respectively, validly tendered and accepted for exchange in the Exchange Offers, comprised as follows:</w:t>
      </w:r>
    </w:p>
    <w:p>
      <w:pPr>
        <w:spacing w:after="0" w:line="89" w:lineRule="exact"/>
        <w:rPr>
          <w:sz w:val="20"/>
          <w:szCs w:val="20"/>
          <w:color w:val="auto"/>
        </w:rPr>
      </w:pPr>
    </w:p>
    <w:p>
      <w:pPr>
        <w:ind w:left="1540" w:hanging="331"/>
        <w:spacing w:after="0"/>
        <w:tabs>
          <w:tab w:leader="none" w:pos="1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2.887% 2051 Exchange Notes, maturing on November 1, 2051 with interest payable semiannually on each May 1 and November 1,</w:t>
      </w:r>
    </w:p>
    <w:p>
      <w:pPr>
        <w:spacing w:after="0" w:line="46" w:lineRule="exact"/>
        <w:rPr>
          <w:sz w:val="20"/>
          <w:szCs w:val="20"/>
          <w:color w:val="auto"/>
        </w:rPr>
      </w:pPr>
    </w:p>
    <w:p>
      <w:pPr>
        <w:ind w:left="1540"/>
        <w:spacing w:after="0"/>
        <w:tabs>
          <w:tab w:leader="none" w:pos="3000" w:val="left"/>
        </w:tabs>
        <w:rPr>
          <w:sz w:val="20"/>
          <w:szCs w:val="20"/>
          <w:color w:val="auto"/>
        </w:rPr>
      </w:pPr>
      <w:r>
        <w:rPr>
          <w:rFonts w:ascii="Arial" w:cs="Arial" w:eastAsia="Arial" w:hAnsi="Arial"/>
          <w:sz w:val="18"/>
          <w:szCs w:val="18"/>
          <w:color w:val="auto"/>
        </w:rPr>
        <w:t>beginning</w:t>
      </w:r>
      <w:r>
        <w:rPr>
          <w:sz w:val="20"/>
          <w:szCs w:val="20"/>
          <w:color w:val="auto"/>
        </w:rPr>
        <w:tab/>
      </w:r>
      <w:r>
        <w:rPr>
          <w:rFonts w:ascii="Arial" w:cs="Arial" w:eastAsia="Arial" w:hAnsi="Arial"/>
          <w:sz w:val="18"/>
          <w:szCs w:val="18"/>
          <w:color w:val="auto"/>
        </w:rPr>
        <w:t>, 2022, to holders of record on the preceding April 15 and October 15;</w:t>
      </w:r>
    </w:p>
    <w:p>
      <w:pPr>
        <w:spacing w:after="0" w:line="116" w:lineRule="exact"/>
        <w:rPr>
          <w:sz w:val="20"/>
          <w:szCs w:val="20"/>
          <w:color w:val="auto"/>
        </w:rPr>
      </w:pPr>
    </w:p>
    <w:p>
      <w:pPr>
        <w:ind w:left="1540" w:hanging="331"/>
        <w:spacing w:after="0"/>
        <w:tabs>
          <w:tab w:leader="none" w:pos="1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2.937% 2056 Exchange Notes, maturing on November 1, 2056 with interest payable semiannually on each May 1 and November 1,</w:t>
      </w:r>
    </w:p>
    <w:p>
      <w:pPr>
        <w:spacing w:after="0" w:line="46" w:lineRule="exact"/>
        <w:rPr>
          <w:sz w:val="20"/>
          <w:szCs w:val="20"/>
          <w:color w:val="auto"/>
        </w:rPr>
      </w:pPr>
    </w:p>
    <w:p>
      <w:pPr>
        <w:ind w:left="1540"/>
        <w:spacing w:after="0"/>
        <w:tabs>
          <w:tab w:leader="none" w:pos="3000" w:val="left"/>
        </w:tabs>
        <w:rPr>
          <w:sz w:val="20"/>
          <w:szCs w:val="20"/>
          <w:color w:val="auto"/>
        </w:rPr>
      </w:pPr>
      <w:r>
        <w:rPr>
          <w:rFonts w:ascii="Arial" w:cs="Arial" w:eastAsia="Arial" w:hAnsi="Arial"/>
          <w:sz w:val="18"/>
          <w:szCs w:val="18"/>
          <w:color w:val="auto"/>
        </w:rPr>
        <w:t>beginning</w:t>
      </w:r>
      <w:r>
        <w:rPr>
          <w:sz w:val="20"/>
          <w:szCs w:val="20"/>
          <w:color w:val="auto"/>
        </w:rPr>
        <w:tab/>
      </w:r>
      <w:r>
        <w:rPr>
          <w:rFonts w:ascii="Arial" w:cs="Arial" w:eastAsia="Arial" w:hAnsi="Arial"/>
          <w:sz w:val="18"/>
          <w:szCs w:val="18"/>
          <w:color w:val="auto"/>
        </w:rPr>
        <w:t>, 2022, to holders of record on the preceding April 15 and October 15; and</w:t>
      </w:r>
    </w:p>
    <w:p>
      <w:pPr>
        <w:spacing w:after="0" w:line="116" w:lineRule="exact"/>
        <w:rPr>
          <w:sz w:val="20"/>
          <w:szCs w:val="20"/>
          <w:color w:val="auto"/>
        </w:rPr>
      </w:pPr>
    </w:p>
    <w:p>
      <w:pPr>
        <w:ind w:left="1540" w:hanging="331"/>
        <w:spacing w:after="0"/>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2.987% 2063 Exchange Notes, maturing on November 1, 2063 with interest payable semiannually on each May 1 and November 1,</w:t>
      </w:r>
    </w:p>
    <w:p>
      <w:pPr>
        <w:spacing w:after="0" w:line="46" w:lineRule="exact"/>
        <w:rPr>
          <w:sz w:val="20"/>
          <w:szCs w:val="20"/>
          <w:color w:val="auto"/>
        </w:rPr>
      </w:pPr>
    </w:p>
    <w:p>
      <w:pPr>
        <w:ind w:left="1540"/>
        <w:spacing w:after="0"/>
        <w:tabs>
          <w:tab w:leader="none" w:pos="3000" w:val="left"/>
        </w:tabs>
        <w:rPr>
          <w:sz w:val="20"/>
          <w:szCs w:val="20"/>
          <w:color w:val="auto"/>
        </w:rPr>
      </w:pPr>
      <w:r>
        <w:rPr>
          <w:rFonts w:ascii="Arial" w:cs="Arial" w:eastAsia="Arial" w:hAnsi="Arial"/>
          <w:sz w:val="18"/>
          <w:szCs w:val="18"/>
          <w:color w:val="auto"/>
        </w:rPr>
        <w:t>beginning</w:t>
      </w:r>
      <w:r>
        <w:rPr>
          <w:sz w:val="20"/>
          <w:szCs w:val="20"/>
          <w:color w:val="auto"/>
        </w:rPr>
        <w:tab/>
      </w:r>
      <w:r>
        <w:rPr>
          <w:rFonts w:ascii="Arial" w:cs="Arial" w:eastAsia="Arial" w:hAnsi="Arial"/>
          <w:sz w:val="18"/>
          <w:szCs w:val="18"/>
          <w:color w:val="auto"/>
        </w:rPr>
        <w:t>, 2022, to holders of record on the preceding April 15 and October 15; and</w:t>
      </w:r>
    </w:p>
    <w:p>
      <w:pPr>
        <w:spacing w:after="0" w:line="11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multiples of $1,000 in excess thereof.</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for the Exchange Notes will be computed on the basis of a 360-day year consisting of twelve 30-day months. Interest on the Exchange</w:t>
      </w:r>
    </w:p>
    <w:p>
      <w:pPr>
        <w:spacing w:after="0" w:line="46"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Notes will accrue from the most recent date to which interest on the Original Notes has been paid ( ) and will be payable semiannually on the interest payment dates described for each year.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more information on payment and transfer procedures for the Exchange Notes, see “—Book-Entry System” and “—Same Day Payment.”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obligations under the Exchange Notes and the indenture, including, without limitation, the payment of principal, premium, if any, and interest, will be fully and unconditionally guaranteed by each of the guarantors. The guarantees will rank equally with all other general unsecured and unsubordinated obligations of the guarantors.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have the right at our option to redeem any of the Exchange Notes of each series in whole or in part, at any time or from time to time prior to their maturity, on at least 15 days’, but not more than 60 days’, prior notice mailed to the registered address of each holder of Exchange Notes, at the applicable Redemption Price.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“Redemption Price” means:</w:t>
      </w:r>
    </w:p>
    <w:p>
      <w:pPr>
        <w:spacing w:after="0" w:line="117" w:lineRule="exact"/>
        <w:rPr>
          <w:sz w:val="20"/>
          <w:szCs w:val="20"/>
          <w:color w:val="auto"/>
        </w:rPr>
      </w:pPr>
    </w:p>
    <w:p>
      <w:pPr>
        <w:jc w:val="both"/>
        <w:ind w:left="120" w:firstLine="436"/>
        <w:spacing w:after="0" w:line="273" w:lineRule="auto"/>
        <w:tabs>
          <w:tab w:leader="none" w:pos="8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the 2051 Exchange Notes, at any time prior to May 1, 2051 (six months prior to the maturity of the 2051 Exchange Notes) (the “2051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2051 Par Call Date, in each case discounted to the redemption date on a semiannual basis (assuming a 360-day year consisting of twelve 30-day months) at the Treasury Rate plus 15 basis points; provided that, if the 2051 Exchange Notes are redeemed on or after the 2051 Par Call Date, the Redemption Price will equal 100% of the principal amount of such notes;</w:t>
      </w:r>
    </w:p>
    <w:p>
      <w:pPr>
        <w:spacing w:after="0" w:line="177" w:lineRule="exact"/>
        <w:rPr>
          <w:rFonts w:ascii="Arial" w:cs="Arial" w:eastAsia="Arial" w:hAnsi="Arial"/>
          <w:sz w:val="17"/>
          <w:szCs w:val="17"/>
          <w:color w:val="auto"/>
        </w:rPr>
      </w:pPr>
    </w:p>
    <w:p>
      <w:pPr>
        <w:jc w:val="both"/>
        <w:ind w:left="120" w:firstLine="436"/>
        <w:spacing w:after="0" w:line="273" w:lineRule="auto"/>
        <w:tabs>
          <w:tab w:leader="none" w:pos="8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the 2056 Exchange Notes, at any time prior to May 1, 2056 (six months prior to the maturity of the 2056 Exchange Notes) (the “2056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2056 Par Call Date, in each case discounted to the redemption date on a semiannual basis (assuming a 360-day year consisting of twelve 30-day months) at the Treasury Rate plus 20 basis points; provided that, if the 2056 Exchange Notes are redeemed on or after the 2056 Par Call Date, the Redemption Price will equal 100% of the principal amount of such notes;</w:t>
      </w:r>
    </w:p>
    <w:p>
      <w:pPr>
        <w:spacing w:after="0" w:line="177" w:lineRule="exact"/>
        <w:rPr>
          <w:rFonts w:ascii="Arial" w:cs="Arial" w:eastAsia="Arial" w:hAnsi="Arial"/>
          <w:sz w:val="17"/>
          <w:szCs w:val="17"/>
          <w:color w:val="auto"/>
        </w:rPr>
      </w:pPr>
    </w:p>
    <w:p>
      <w:pPr>
        <w:jc w:val="both"/>
        <w:ind w:left="120" w:firstLine="436"/>
        <w:spacing w:after="0" w:line="273" w:lineRule="auto"/>
        <w:tabs>
          <w:tab w:leader="none" w:pos="8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the 2063 Exchange Notes, at any time prior to May 1, 2063 (six months prior to the maturity of the 2063 Exchange Notes) (the “2063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2063 Par Call Date, in each case discounted to the redemption date on a semiannual basis (assuming a 360-day year consisting of twelve 30-day months) at the Treasury Rate plus 20 basis points; provided that, if the 2063 Exchange Notes are redeemed on or after the 2063 Par Call Date, the Redemption Price will equal 100% of the principal amount of such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the remaining term of the Exchange Notes to be redeemed calculated as if the maturity date of such series of Exchange Notes were the applicable Par Call Date (the “Remaining Life”) that would be utilized, at the time of selection and in accordance with customary financial practice.</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2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“Reference Treasury Dealer”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On and after the redemption date, interest will cease to accrue on the Exchange Notes or any portion of the Exchange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Exchange Notes to be redeemed on such date. If less than all of the Exchange Notes of any series are to be redeemed, the Exchange Notes to be redeemed shall be selected by lot (provided that interests in Exchange Notes represented by a Global Note will be selected for redemption by The Depository Trust Company in accordance with its standard procedures therefor). Additionally, we may at any time repurchase Exchange Notes in the open market and may hold or surrender such Exchange Notes to the trustee for cancellation.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will be no mandatory redemption prior to maturity or sinking fund payments for the Exchange Notes.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225" w:lineRule="exact"/>
        <w:rPr>
          <w:sz w:val="20"/>
          <w:szCs w:val="20"/>
          <w:color w:val="auto"/>
        </w:rPr>
      </w:pPr>
    </w:p>
    <w:p>
      <w:pPr>
        <w:ind w:left="120" w:firstLine="436"/>
        <w:spacing w:after="0" w:line="308" w:lineRule="auto"/>
        <w:tabs>
          <w:tab w:leader="none" w:pos="83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aggregate principal amount of such Obligor’s Indebtedness incurred after the date of initial issuance of the senior debt securities and secured by Liens not permitted by the first sentence under “—Certain Covenants—Limitation on Liens Securing Indebtedness”; and</w:t>
      </w:r>
    </w:p>
    <w:p>
      <w:pPr>
        <w:spacing w:after="0" w:line="146" w:lineRule="exact"/>
        <w:rPr>
          <w:rFonts w:ascii="Arial" w:cs="Arial" w:eastAsia="Arial" w:hAnsi="Arial"/>
          <w:sz w:val="17"/>
          <w:szCs w:val="17"/>
          <w:color w:val="auto"/>
        </w:rPr>
      </w:pPr>
    </w:p>
    <w:p>
      <w:pPr>
        <w:ind w:left="120" w:right="20" w:firstLine="436"/>
        <w:spacing w:after="0" w:line="277" w:lineRule="auto"/>
        <w:tabs>
          <w:tab w:leader="none" w:pos="8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“—Certain Covenants—Limitation on Sale and Leaseback Transactions.”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20" w:firstLine="436"/>
        <w:spacing w:after="0" w:line="277" w:lineRule="auto"/>
        <w:tabs>
          <w:tab w:leader="none" w:pos="8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70" w:lineRule="exact"/>
        <w:rPr>
          <w:rFonts w:ascii="Arial" w:cs="Arial" w:eastAsia="Arial" w:hAnsi="Arial"/>
          <w:sz w:val="18"/>
          <w:szCs w:val="18"/>
          <w:color w:val="auto"/>
        </w:rPr>
      </w:pPr>
    </w:p>
    <w:p>
      <w:pPr>
        <w:jc w:val="both"/>
        <w:ind w:left="120" w:firstLine="436"/>
        <w:spacing w:after="0" w:line="263" w:lineRule="auto"/>
        <w:tabs>
          <w:tab w:leader="none" w:pos="8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indenture, whether entered into before or after the date of the indenture.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6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“Permitted Liens” means, with respect to an Obligor:</w:t>
      </w:r>
    </w:p>
    <w:p>
      <w:pPr>
        <w:spacing w:after="0" w:line="117" w:lineRule="exact"/>
        <w:rPr>
          <w:sz w:val="20"/>
          <w:szCs w:val="20"/>
          <w:color w:val="auto"/>
        </w:rPr>
      </w:pPr>
    </w:p>
    <w:p>
      <w:pPr>
        <w:jc w:val="both"/>
        <w:ind w:left="120" w:right="20" w:firstLine="436"/>
        <w:spacing w:after="0" w:line="263" w:lineRule="auto"/>
        <w:tabs>
          <w:tab w:leader="none" w:pos="8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3" w:lineRule="exact"/>
        <w:rPr>
          <w:rFonts w:ascii="Arial" w:cs="Arial" w:eastAsia="Arial" w:hAnsi="Arial"/>
          <w:sz w:val="18"/>
          <w:szCs w:val="18"/>
          <w:color w:val="auto"/>
        </w:rPr>
      </w:pPr>
    </w:p>
    <w:p>
      <w:pPr>
        <w:jc w:val="both"/>
        <w:ind w:left="120" w:firstLine="436"/>
        <w:spacing w:after="0" w:line="254" w:lineRule="auto"/>
        <w:tabs>
          <w:tab w:leader="none" w:pos="8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94" w:lineRule="exact"/>
        <w:rPr>
          <w:rFonts w:ascii="Arial" w:cs="Arial" w:eastAsia="Arial" w:hAnsi="Arial"/>
          <w:sz w:val="18"/>
          <w:szCs w:val="18"/>
          <w:color w:val="auto"/>
        </w:rPr>
      </w:pPr>
    </w:p>
    <w:p>
      <w:pPr>
        <w:ind w:left="120" w:right="20" w:firstLine="436"/>
        <w:spacing w:after="0" w:line="277" w:lineRule="auto"/>
        <w:tabs>
          <w:tab w:leader="none" w:pos="8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8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8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jc w:val="both"/>
        <w:ind w:left="120" w:right="20" w:firstLine="436"/>
        <w:spacing w:after="0" w:line="263" w:lineRule="auto"/>
        <w:tabs>
          <w:tab w:leader="none" w:pos="8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225" w:lineRule="exact"/>
        <w:rPr>
          <w:rFonts w:ascii="Arial" w:cs="Arial" w:eastAsia="Arial" w:hAnsi="Arial"/>
          <w:sz w:val="18"/>
          <w:szCs w:val="18"/>
          <w:color w:val="auto"/>
        </w:rPr>
      </w:pPr>
    </w:p>
    <w:p>
      <w:pPr>
        <w:jc w:val="both"/>
        <w:ind w:left="120" w:right="20" w:firstLine="436"/>
        <w:spacing w:after="0" w:line="263" w:lineRule="auto"/>
        <w:tabs>
          <w:tab w:leader="none" w:pos="8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77" w:lineRule="auto"/>
        <w:tabs>
          <w:tab w:leader="none" w:pos="7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8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Arial" w:cs="Arial" w:eastAsia="Arial" w:hAnsi="Arial"/>
          <w:sz w:val="18"/>
          <w:szCs w:val="18"/>
          <w:color w:val="auto"/>
        </w:rPr>
      </w:pPr>
    </w:p>
    <w:p>
      <w:pPr>
        <w:jc w:val="both"/>
        <w:ind w:left="120" w:right="20" w:firstLine="436"/>
        <w:spacing w:after="0" w:line="263" w:lineRule="auto"/>
        <w:tabs>
          <w:tab w:leader="none" w:pos="8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83" w:lineRule="exact"/>
        <w:rPr>
          <w:rFonts w:ascii="Arial" w:cs="Arial" w:eastAsia="Arial" w:hAnsi="Arial"/>
          <w:sz w:val="18"/>
          <w:szCs w:val="18"/>
          <w:color w:val="auto"/>
        </w:rPr>
      </w:pPr>
    </w:p>
    <w:p>
      <w:pPr>
        <w:ind w:left="780" w:hanging="224"/>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225" w:lineRule="exact"/>
        <w:rPr>
          <w:rFonts w:ascii="Arial" w:cs="Arial" w:eastAsia="Arial" w:hAnsi="Arial"/>
          <w:sz w:val="18"/>
          <w:szCs w:val="18"/>
          <w:color w:val="auto"/>
        </w:rPr>
      </w:pPr>
    </w:p>
    <w:p>
      <w:pPr>
        <w:ind w:left="120" w:right="20" w:firstLine="436"/>
        <w:spacing w:after="0" w:line="277" w:lineRule="auto"/>
        <w:tabs>
          <w:tab w:leader="none" w:pos="87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left="120" w:right="20" w:firstLine="436"/>
        <w:spacing w:after="0" w:line="277" w:lineRule="auto"/>
        <w:tabs>
          <w:tab w:leader="none" w:pos="8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70" w:lineRule="exact"/>
        <w:rPr>
          <w:rFonts w:ascii="Arial" w:cs="Arial" w:eastAsia="Arial" w:hAnsi="Arial"/>
          <w:sz w:val="18"/>
          <w:szCs w:val="18"/>
          <w:color w:val="auto"/>
        </w:rPr>
      </w:pPr>
    </w:p>
    <w:p>
      <w:pPr>
        <w:ind w:left="120" w:firstLine="436"/>
        <w:spacing w:after="0" w:line="277" w:lineRule="auto"/>
        <w:tabs>
          <w:tab w:leader="none" w:pos="8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70" w:lineRule="exact"/>
        <w:rPr>
          <w:rFonts w:ascii="Arial" w:cs="Arial" w:eastAsia="Arial" w:hAnsi="Arial"/>
          <w:sz w:val="18"/>
          <w:szCs w:val="18"/>
          <w:color w:val="auto"/>
        </w:rPr>
      </w:pPr>
    </w:p>
    <w:p>
      <w:pPr>
        <w:jc w:val="both"/>
        <w:ind w:left="120" w:right="20" w:firstLine="436"/>
        <w:spacing w:after="0" w:line="263" w:lineRule="auto"/>
        <w:tabs>
          <w:tab w:leader="none" w:pos="8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83" w:lineRule="exact"/>
        <w:rPr>
          <w:rFonts w:ascii="Arial" w:cs="Arial" w:eastAsia="Arial" w:hAnsi="Arial"/>
          <w:sz w:val="18"/>
          <w:szCs w:val="18"/>
          <w:color w:val="auto"/>
        </w:rPr>
      </w:pPr>
    </w:p>
    <w:p>
      <w:pPr>
        <w:jc w:val="both"/>
        <w:ind w:left="120" w:firstLine="436"/>
        <w:spacing w:after="0" w:line="286" w:lineRule="auto"/>
        <w:tabs>
          <w:tab w:leader="none" w:pos="79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65" w:lineRule="exact"/>
        <w:rPr>
          <w:rFonts w:ascii="Arial" w:cs="Arial" w:eastAsia="Arial" w:hAnsi="Arial"/>
          <w:sz w:val="17"/>
          <w:szCs w:val="17"/>
          <w:color w:val="auto"/>
        </w:rPr>
      </w:pPr>
    </w:p>
    <w:p>
      <w:pPr>
        <w:ind w:left="800" w:hanging="24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indenture does not contain any financial covenants other than those summarized below and does not restrict us or our subsidiaries from paying dividends or incurring additional debt. In addition, the indenture will not protect holders of notes issued under it in the event of a highly leveraged transaction or a change in control.</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Liens Securing Indebtedness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With respect to the senior debt securities of each series, each Obligor will covenant under the indenture not to create or incur any Lien on any of its Properties, whether owned at the time the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9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75" w:lineRule="exact"/>
        <w:rPr>
          <w:rFonts w:ascii="Arial" w:cs="Arial" w:eastAsia="Arial" w:hAnsi="Arial"/>
          <w:sz w:val="18"/>
          <w:szCs w:val="18"/>
          <w:color w:val="auto"/>
        </w:rPr>
      </w:pPr>
    </w:p>
    <w:p>
      <w:pPr>
        <w:jc w:val="both"/>
        <w:ind w:left="108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With respect to the senior debt securities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2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89" w:lineRule="exact"/>
        <w:rPr>
          <w:rFonts w:ascii="Arial" w:cs="Arial" w:eastAsia="Arial" w:hAnsi="Arial"/>
          <w:sz w:val="18"/>
          <w:szCs w:val="18"/>
          <w:color w:val="auto"/>
        </w:rPr>
      </w:pPr>
    </w:p>
    <w:p>
      <w:pPr>
        <w:jc w:val="both"/>
        <w:ind w:left="108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Exchange Notes of such series.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9" w:lineRule="exact"/>
        <w:rPr>
          <w:sz w:val="20"/>
          <w:szCs w:val="20"/>
          <w:color w:val="auto"/>
        </w:rPr>
      </w:pPr>
    </w:p>
    <w:p>
      <w:pPr>
        <w:jc w:val="both"/>
        <w:ind w:left="108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131" w:lineRule="exact"/>
        <w:rPr>
          <w:sz w:val="20"/>
          <w:szCs w:val="20"/>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and be substituted for us,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Exchange Notes).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Existence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the guarantors and the trustee may amend or modify the indenture or the senior debt securities of any series issued under the indenture without notice to or the consent of any holder in order to:</w:t>
      </w:r>
    </w:p>
    <w:p>
      <w:pPr>
        <w:spacing w:after="0" w:line="76" w:lineRule="exact"/>
        <w:rPr>
          <w:sz w:val="20"/>
          <w:szCs w:val="20"/>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indenture in a manner that does not adversely affect the interests of the holders in any material respect;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Exchange Notes and Guarantees”;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Other amendments and modifications of the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by the amendment or modification (voting together as a single class), and our compliance with any provision of the indenture with respect to the debt securities of any series issued under the indenture (including the Exchange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63" w:lineRule="exact"/>
        <w:rPr>
          <w:sz w:val="20"/>
          <w:szCs w:val="20"/>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Each of the following will constitute an event of default in the indenture with respect to the senior debt securities of any series issued under the indenture:</w:t>
      </w:r>
    </w:p>
    <w:p>
      <w:pPr>
        <w:spacing w:after="0" w:line="76" w:lineRule="exact"/>
        <w:rPr>
          <w:sz w:val="20"/>
          <w:szCs w:val="20"/>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paying interest on the senior debt securities of such series when it becomes due and the default continues for a period of 30 days or more;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30" w:lineRule="exact"/>
        <w:rPr>
          <w:rFonts w:ascii="Arial" w:cs="Arial" w:eastAsia="Arial" w:hAnsi="Arial"/>
          <w:sz w:val="18"/>
          <w:szCs w:val="18"/>
          <w:color w:val="auto"/>
        </w:rPr>
      </w:pPr>
    </w:p>
    <w:p>
      <w:pPr>
        <w:jc w:val="both"/>
        <w:ind w:left="1080" w:right="20" w:hanging="532"/>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default by any Obligor in the performance, or breach, of any covenant in the indenture (other than defaults specified in clause (1) or (2)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indenture (voting together as a single class);</w:t>
      </w:r>
    </w:p>
    <w:p>
      <w:pPr>
        <w:spacing w:after="0" w:line="76"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or any Obligor have occurred;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If an event of default (other than an event of default specified in clause (4) above) under the indenture occurs and is continuing, then the trustee may and, at the direction of the holders of at least 25% in aggregate principal amount of the senior debt securities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an event of default under the indenture specified in clause (4) occurs and is continuing, then the entire principal amount of the outstanding senior debt securities will automatically become due immediately and payable without any declaration or other act on the part of the trustee or any holder.</w:t>
      </w:r>
    </w:p>
    <w:p>
      <w:pPr>
        <w:spacing w:after="0" w:line="184"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After a declaration of acceleration or any automatic acceleration under clause (4)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9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holders of a majority in principal amount of the senior debt securities of all affected series and the debt securities of all other affected series outstanding under the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7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6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7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trustee will, within 90 days after any default occurs with respect to the senior debt securities of any series, give notice of the default to the holders of the senior debt securities of such series, unless the default was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indenture within 120 days of the end of each fiscal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and Defeasance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75" w:lineRule="exact"/>
        <w:rPr>
          <w:rFonts w:ascii="Arial" w:cs="Arial" w:eastAsia="Arial" w:hAnsi="Arial"/>
          <w:sz w:val="18"/>
          <w:szCs w:val="18"/>
          <w:color w:val="auto"/>
        </w:rPr>
      </w:pPr>
    </w:p>
    <w:p>
      <w:pPr>
        <w:jc w:val="both"/>
        <w:ind w:left="1540" w:hanging="331"/>
        <w:spacing w:after="0" w:line="296" w:lineRule="auto"/>
        <w:tabs>
          <w:tab w:leader="none" w:pos="15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6" w:lineRule="exact"/>
        <w:rPr>
          <w:rFonts w:ascii="Arial" w:cs="Arial" w:eastAsia="Arial" w:hAnsi="Arial"/>
          <w:sz w:val="16"/>
          <w:szCs w:val="16"/>
          <w:color w:val="auto"/>
        </w:rPr>
      </w:pPr>
    </w:p>
    <w:p>
      <w:pPr>
        <w:ind w:left="1540" w:right="20" w:hanging="331"/>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75" w:lineRule="exact"/>
        <w:rPr>
          <w:rFonts w:ascii="Arial" w:cs="Arial" w:eastAsia="Arial" w:hAnsi="Arial"/>
          <w:sz w:val="18"/>
          <w:szCs w:val="18"/>
          <w:color w:val="auto"/>
        </w:rPr>
      </w:pPr>
    </w:p>
    <w:p>
      <w:pPr>
        <w:jc w:val="both"/>
        <w:ind w:left="1540" w:hanging="331"/>
        <w:spacing w:after="0" w:line="263"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54"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If covenant defeasance occurs, certain events, not including nonpayment, bankruptcy and insolvency events, described under “—Events of Default” will no longer constitute an event of default for that series.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54" w:lineRule="exact"/>
        <w:rPr>
          <w:sz w:val="20"/>
          <w:szCs w:val="20"/>
          <w:color w:val="auto"/>
        </w:rPr>
      </w:pPr>
    </w:p>
    <w:p>
      <w:pPr>
        <w:jc w:val="both"/>
        <w:ind w:left="1080" w:right="2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cash;</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17" w:lineRule="exact"/>
        <w:rPr>
          <w:sz w:val="20"/>
          <w:szCs w:val="20"/>
          <w:color w:val="auto"/>
        </w:rPr>
      </w:pPr>
    </w:p>
    <w:p>
      <w:pPr>
        <w:jc w:val="both"/>
        <w:ind w:left="1100"/>
        <w:spacing w:after="0" w:line="259"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92" w:lineRule="exact"/>
        <w:rPr>
          <w:sz w:val="20"/>
          <w:szCs w:val="20"/>
          <w:color w:val="auto"/>
        </w:rPr>
      </w:pPr>
    </w:p>
    <w:p>
      <w:pPr>
        <w:jc w:val="both"/>
        <w:ind w:left="1080" w:right="20" w:hanging="424"/>
        <w:spacing w:after="0" w:line="30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62" w:lineRule="exact"/>
        <w:rPr>
          <w:rFonts w:ascii="Arial" w:cs="Arial" w:eastAsia="Arial" w:hAnsi="Arial"/>
          <w:sz w:val="16"/>
          <w:szCs w:val="16"/>
          <w:color w:val="auto"/>
        </w:rPr>
      </w:pPr>
    </w:p>
    <w:p>
      <w:pPr>
        <w:jc w:val="both"/>
        <w:ind w:left="108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92" w:lineRule="exact"/>
        <w:rPr>
          <w:rFonts w:ascii="Arial" w:cs="Arial" w:eastAsia="Arial" w:hAnsi="Arial"/>
          <w:sz w:val="18"/>
          <w:szCs w:val="18"/>
          <w:color w:val="auto"/>
        </w:rPr>
      </w:pPr>
    </w:p>
    <w:p>
      <w:pPr>
        <w:jc w:val="both"/>
        <w:ind w:left="1080" w:right="20" w:hanging="424"/>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93"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Incorporators, Stockholders, Officers, Directors or Employees</w:t>
      </w:r>
    </w:p>
    <w:p>
      <w:pPr>
        <w:spacing w:after="0" w:line="121"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contained in the indenture, the guarantees or in any note,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certain officers of the trustee shall have actual knowledge or shall have received written notice from us or any holder of our senior debt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indenture, including any guarantee, and the Exchange Notes will be governed by and construed in accordance with the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will initially issue the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8"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Holders may hold interests in the Exchange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64"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Exchange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70"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78"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We will make payments of principal of, premium, if any, and interest on the Exchange Notes represented by the Global Notes registered in the name of and held by DTC or its nominee to DTC or its nominee, as the case may be, as the registered owner and holder of the Global Notes.</w:t>
      </w:r>
    </w:p>
    <w:p>
      <w:pPr>
        <w:spacing w:after="0" w:line="14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Subject to certain conditions, the Exchange Notes represented by the Global Notes are exchangeable for certificated Exchange Notes in definitive form of like tenor in denominations of $2,000 principal amount and multiples of $1,000 in excess thereof if:</w:t>
      </w:r>
    </w:p>
    <w:p>
      <w:pPr>
        <w:spacing w:after="0" w:line="76" w:lineRule="exact"/>
        <w:rPr>
          <w:sz w:val="20"/>
          <w:szCs w:val="20"/>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Exchange Notes represented by the Global Notes;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default entitling the holders of the applicable Exchange Notes to accelerate the maturity thereof has occurred and is continuing.</w:t>
      </w:r>
    </w:p>
    <w:p>
      <w:pPr>
        <w:spacing w:after="0" w:line="23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Exchange Note that is exchangeable as above is for certificated Exchange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indenture requires payments to be made in respect of the applicable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exchange of Original Notes for Exchange Notes in the Exchange Offers will not result in any United States federal income tax consequences to holders. The tax consequences of holding the Exchange Notes are identical to those of holding the Original Notes. Accordingly, when a holder exchanges an Original Note for an Exchange Note in the Exchange Offer, the holder will have the same adjusted basis and holding period in the Exchange Note as in the Original Note immediately before the exchange, and the Exchange Note will have the same adjusted issue price as the adjusted issue price of the Original Note immediately before the exchange.</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want to participate in the Exchange Offers, you must represent, among other things, that you:</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not a broker-dealer tendering Original Notes that you acquired directly from us for your own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acquiring the Exchange Notes in the ordinary course of your business;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not participated in, do not intend to participate in, and have no arrangement or understanding with any person to participate in, a distribution of the Exchange Notes;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not an “affiliate” as defined under Rule 405 of the Securities Act.</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you fail to satisfy any of these conditions, you cannot rely on the position of the SEC set forth in the no-action letters referred to above under “Summary—The Exchange Offers—Resale of Exchange Notes” and you must comply with the registration and prospectus delivery requirements of the Securities Act in connection with a resale of the Exchange Notes.</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Each broker-dealer that receives Exchange Notes for its own account pursuant to the Exchange Offers will be deemed to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Comcast has agreed that, for a period of 90 days after the Expiration Date, it will make this prospectus, as amended or supplemented, available to any broker-dealer for use in connection with any such resale.</w:t>
      </w:r>
    </w:p>
    <w:p>
      <w:pPr>
        <w:spacing w:after="0" w:line="16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Comcast will not receive any proceeds from any sale of Exchange Notes by broker-dealers. Exchange Notes received by broker-dealers for their own account pursuant to the Exchange Offers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Offers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w:t>
      </w:r>
    </w:p>
    <w:p>
      <w:pPr>
        <w:spacing w:after="0" w:line="18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a period of 90 days after the Expiration Date, Comcast will promptly send additional copies of this prospectus and any amendment or supplement to this prospectus to any broker-dealer that requests such documents. We have agreed to pay all expenses incident to the Exchange Offers other than commissions or concessions of any brokers or dealers, and will indemnify the holders of the Exchange Notes (including any broker-dealers) against certain liabilities, including liabilities under the Securities Act.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AGENT</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Bank of New York Mellon has been appointed as the Exchange Agent for the Exchange Offers. All correspondence in connection with the Exchange Offers should be sent or delivered by each holder of Original Notes, or a beneficial owner’s commercial bank, broker, dealer, trust company or other nominee, to the Exchange Agent at the address and telephone number set forth on the back cover of this prospectus.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Questions concerning tender procedures and requests for additional copies of this prospectus should be directed to the Exchange Agent at the address and telephone numbers listed below. Holders of Original Notes may also contact their commercial bank, broker, dealer, trust company or other nominee for assistance concerning the Exchange Offers.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pay the Exchange Agent reasonable and customary fees for its services and will reimburse it for its reasonable out-of-pocket expenses.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address for The Bank of New York Mellon 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of New York Mellon, as Exchange Agent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 BNY Mellon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Corporate Trust Operations—Reorganization Unit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2001 Bryan Street, 10th Floor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Tiffany Castor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(315) 414-3034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Fax: (732) 667-9408</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CT_REORG_UNIT_INQUIRIES@bnymellon.com</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Questions and requests for assistance related to the Exchange Offers or for additional copies of this prospectus may be directed to the Exchange Agent at the telephone number and address listed above.</w:t>
      </w:r>
    </w:p>
    <w:p>
      <w:pPr>
        <w:spacing w:after="0" w:line="166"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TRANSMISSION OF INSTRUCTIONS TO AN ADDRESS OR FACSIMILE NUMBER OTHER THAN THAT OF THE EXCHANGE AGENT AS SET FORTH ON THE BACK COVER OF THIS PROSPECTUS DOES NOT CONSTITUTE VALID DELIVERY.</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financial statements of Comcast Corporation as of December 31, 2021 and 2020, and for each of the three years in the period ended December 31, 2021, incorporated by reference in this Prospectus,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965835</wp:posOffset>
            </wp:positionV>
            <wp:extent cx="1397000" cy="488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560705</wp:posOffset>
            </wp:positionV>
            <wp:extent cx="1474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Exchange Agent for the Exchange Offers is: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The Bank of New York Mellon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By Facsimile (Eligible Institutions Only):</w:t>
      </w:r>
    </w:p>
    <w:p>
      <w:pPr>
        <w:spacing w:after="0" w:line="23" w:lineRule="exact"/>
        <w:rPr>
          <w:sz w:val="20"/>
          <w:szCs w:val="20"/>
          <w:color w:val="auto"/>
        </w:rPr>
      </w:pPr>
    </w:p>
    <w:p>
      <w:pPr>
        <w:ind w:left="4980" w:right="4880" w:firstLine="82"/>
        <w:spacing w:after="0" w:line="277" w:lineRule="auto"/>
        <w:tabs>
          <w:tab w:leader="none" w:pos="549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667-9408 </w:t>
      </w:r>
      <w:r>
        <w:rPr>
          <w:rFonts w:ascii="Arial" w:cs="Arial" w:eastAsia="Arial" w:hAnsi="Arial"/>
          <w:sz w:val="17"/>
          <w:szCs w:val="17"/>
          <w:i w:val="1"/>
          <w:iCs w:val="1"/>
          <w:color w:val="auto"/>
        </w:rPr>
        <w:t xml:space="preserve">By Mail or Hand: </w:t>
      </w:r>
      <w:r>
        <w:rPr>
          <w:rFonts w:ascii="Arial" w:cs="Arial" w:eastAsia="Arial" w:hAnsi="Arial"/>
          <w:sz w:val="17"/>
          <w:szCs w:val="17"/>
          <w:color w:val="auto"/>
        </w:rPr>
        <w:t>c/o BNY Mellon</w:t>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Corporate Trust Operations—Reorganization Unit</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2001 Bryan Street, 10th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Tiffany Castor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Telephone: (315) 414-3034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CT_REORG_UNIT_INQUIRIES@bnymellon.com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Requests for additional copies of this prospectus may be directed to the Exchange Agent at the address or telephone number set forth above.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Beneficial owners may also contact their custodian for assistance concerning the Exchange Offers.</w:t>
      </w:r>
    </w:p>
    <w:p>
      <w:pPr>
        <w:spacing w:after="0" w:line="207"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auto"/>
        </w:rPr>
        <w:t>Until , 2022, all dealers that effect transactions in the Exchange Notes, whether or not participating in the Exchange Offers,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191770</wp:posOffset>
            </wp:positionV>
            <wp:extent cx="699516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4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88"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65"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7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the Registrant’s charter, by-laws and indemnification agreements.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NBCUniversal Media, LLC</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Cable Communications, LLC</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w:t>
      </w:r>
    </w:p>
    <w:p>
      <w:pPr>
        <w:spacing w:after="0" w:line="184"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66"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6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21.</w:t>
            </w:r>
          </w:p>
        </w:tc>
        <w:tc>
          <w:tcPr>
            <w:tcW w:w="10300" w:type="dxa"/>
            <w:vAlign w:val="bottom"/>
            <w:gridSpan w:val="21"/>
          </w:tcPr>
          <w:p>
            <w:pPr>
              <w:ind w:left="360"/>
              <w:spacing w:after="0"/>
              <w:rPr>
                <w:sz w:val="20"/>
                <w:szCs w:val="20"/>
                <w:color w:val="auto"/>
              </w:rPr>
            </w:pPr>
            <w:r>
              <w:rPr>
                <w:rFonts w:ascii="Arial" w:cs="Arial" w:eastAsia="Arial" w:hAnsi="Arial"/>
                <w:sz w:val="18"/>
                <w:szCs w:val="18"/>
                <w:b w:val="1"/>
                <w:bCs w:val="1"/>
                <w:color w:val="auto"/>
              </w:rPr>
              <w:t>Exhibits and Financial Statement Schedule</w:t>
            </w:r>
          </w:p>
        </w:tc>
      </w:tr>
      <w:tr>
        <w:trPr>
          <w:trHeight w:val="338"/>
        </w:trPr>
        <w:tc>
          <w:tcPr>
            <w:tcW w:w="720" w:type="dxa"/>
            <w:vAlign w:val="bottom"/>
          </w:tcPr>
          <w:p>
            <w:pPr>
              <w:jc w:val="right"/>
              <w:ind w:right="11"/>
              <w:spacing w:after="0"/>
              <w:rPr>
                <w:sz w:val="20"/>
                <w:szCs w:val="20"/>
                <w:color w:val="auto"/>
              </w:rPr>
            </w:pPr>
            <w:r>
              <w:rPr>
                <w:rFonts w:ascii="Arial" w:cs="Arial" w:eastAsia="Arial" w:hAnsi="Arial"/>
                <w:sz w:val="18"/>
                <w:szCs w:val="18"/>
                <w:color w:val="auto"/>
              </w:rPr>
              <w:t>(a)</w:t>
            </w:r>
          </w:p>
        </w:tc>
        <w:tc>
          <w:tcPr>
            <w:tcW w:w="10300" w:type="dxa"/>
            <w:vAlign w:val="bottom"/>
            <w:gridSpan w:val="21"/>
          </w:tcPr>
          <w:p>
            <w:pPr>
              <w:ind w:left="240"/>
              <w:spacing w:after="0"/>
              <w:rPr>
                <w:sz w:val="20"/>
                <w:szCs w:val="20"/>
                <w:color w:val="auto"/>
              </w:rPr>
            </w:pPr>
            <w:r>
              <w:rPr>
                <w:rFonts w:ascii="Arial" w:cs="Arial" w:eastAsia="Arial" w:hAnsi="Arial"/>
                <w:sz w:val="18"/>
                <w:szCs w:val="18"/>
                <w:color w:val="auto"/>
              </w:rPr>
              <w:t>The following exhibits are filed as part of this Registration Statement:</w:t>
            </w:r>
          </w:p>
        </w:tc>
      </w:tr>
      <w:tr>
        <w:trPr>
          <w:trHeight w:val="39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Document</w:t>
            </w:r>
          </w:p>
        </w:tc>
      </w:tr>
      <w:tr>
        <w:trPr>
          <w:trHeight w:val="27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60" w:type="dxa"/>
            <w:vAlign w:val="bottom"/>
            <w:gridSpan w:val="19"/>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Senior Indenture dated September 18, 2013 among the Company, the guarantors party thereto and The Bank of New York Mellon,</w:t>
              </w:r>
            </w:hyperlink>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as Trustee (incorporated by reference to Comcast’s Registration Statement on Form S-3, as amended, filed on September 18, 2013)</w:t>
              </w:r>
            </w:hyperlink>
          </w:p>
        </w:tc>
        <w:tc>
          <w:tcPr>
            <w:tcW w:w="20" w:type="dxa"/>
            <w:vAlign w:val="bottom"/>
          </w:tcPr>
          <w:p>
            <w:pPr>
              <w:spacing w:after="0"/>
              <w:rPr>
                <w:sz w:val="17"/>
                <w:szCs w:val="17"/>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First Supplemental Indenture dated November 17, 2015 among the Company, the guarantors party thereto and The Bank of New</w:t>
              </w:r>
            </w:hyperlink>
          </w:p>
        </w:tc>
        <w:tc>
          <w:tcPr>
            <w:tcW w:w="16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York Mellon, as Trustee (incorporated by reference to Comcast’s Registration Statement on Form S-3, filed on November 23,</w:t>
              </w:r>
            </w:hyperlink>
          </w:p>
        </w:tc>
        <w:tc>
          <w:tcPr>
            <w:tcW w:w="38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860" w:type="dxa"/>
            <w:vAlign w:val="bottom"/>
            <w:gridSpan w:val="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2015)</w:t>
              </w:r>
            </w:hyperlink>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Form of Officers’ Certificate setting forth the terms of the Original Notes (incorporated by reference to Comcast’s Current Report</w:t>
              </w:r>
            </w:hyperlink>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on Form 8-K, filed on August 19, 2021)</w:t>
              </w:r>
            </w:hyperlink>
          </w:p>
        </w:tc>
        <w:tc>
          <w:tcPr>
            <w:tcW w:w="12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Form of Officers’ Certificate setting forth the terms of the Exchange Notes*</w:t>
              </w:r>
            </w:hyperlink>
          </w:p>
        </w:tc>
        <w:tc>
          <w:tcPr>
            <w:tcW w:w="3980" w:type="dxa"/>
            <w:vAlign w:val="bottom"/>
            <w:gridSpan w:val="7"/>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Registration Rights Agreement, dated as of August 19, 2021 (incorporated by reference to Comcast’s Current Report on Form 8-K,</w:t>
              </w:r>
            </w:hyperlink>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filed on August 19, 2021)</w:t>
              </w:r>
            </w:hyperlink>
          </w:p>
        </w:tc>
        <w:tc>
          <w:tcPr>
            <w:tcW w:w="758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Opinion of Elizabeth Wideman, Esquire*</w:t>
              </w:r>
            </w:hyperlink>
          </w:p>
        </w:tc>
        <w:tc>
          <w:tcPr>
            <w:tcW w:w="6480" w:type="dxa"/>
            <w:vAlign w:val="bottom"/>
            <w:gridSpan w:val="13"/>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Opinion of Davis Polk &amp; Wardwell LLP*</w:t>
              </w:r>
            </w:hyperlink>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Borders>
              <w:top w:val="single" w:sz="8" w:color="0000EE"/>
            </w:tcBorders>
            <w:gridSpan w:val="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Consent of Deloitte &amp; Touche LLP*</w:t>
              </w:r>
            </w:hyperlink>
          </w:p>
        </w:tc>
        <w:tc>
          <w:tcPr>
            <w:tcW w:w="6460" w:type="dxa"/>
            <w:vAlign w:val="bottom"/>
            <w:gridSpan w:val="12"/>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Consent of Elizabeth Wideman, Esquire (included in Exhibit 5.1)</w:t>
              </w:r>
            </w:hyperlink>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Consent of Davis Polk &amp; Wardwell LLP (included in Exhibit 5.2)</w:t>
              </w:r>
            </w:hyperlink>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tcBorders>
              <w:top w:val="single" w:sz="8" w:color="0000EE"/>
            </w:tcBorders>
            <w:gridSpan w:val="11"/>
          </w:tcPr>
          <w:p>
            <w:pPr>
              <w:spacing w:after="0"/>
              <w:rPr>
                <w:rFonts w:ascii="Arial" w:cs="Arial" w:eastAsia="Arial" w:hAnsi="Arial"/>
                <w:sz w:val="18"/>
                <w:szCs w:val="18"/>
                <w:color w:val="0000EE"/>
                <w:w w:val="97"/>
              </w:rPr>
            </w:pPr>
            <w:hyperlink w:anchor="page58">
              <w:r>
                <w:rPr>
                  <w:rFonts w:ascii="Arial" w:cs="Arial" w:eastAsia="Arial" w:hAnsi="Arial"/>
                  <w:sz w:val="18"/>
                  <w:szCs w:val="18"/>
                  <w:color w:val="0000EE"/>
                  <w:w w:val="97"/>
                </w:rPr>
                <w:t>Powers of Attorney (included on the signature pages hereof)</w:t>
              </w:r>
            </w:hyperlink>
          </w:p>
        </w:tc>
        <w:tc>
          <w:tcPr>
            <w:tcW w:w="4740" w:type="dxa"/>
            <w:vAlign w:val="bottom"/>
            <w:gridSpan w:val="8"/>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25.1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Statement of Eligibility under the Trust Indenture Act of 1939, as amended, of The Bank of New York Mellon, as Trustee under</w:t>
              </w:r>
            </w:hyperlink>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the Senior Indenture, dated as of September 18, 2013*</w:t>
              </w:r>
            </w:hyperlink>
          </w:p>
        </w:tc>
        <w:tc>
          <w:tcPr>
            <w:tcW w:w="5280" w:type="dxa"/>
            <w:vAlign w:val="bottom"/>
            <w:tcBorders>
              <w:top w:val="single" w:sz="8" w:color="0000EE"/>
            </w:tcBorders>
            <w:gridSpan w:val="6"/>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Calculation of Filing Fee Table</w:t>
              </w:r>
            </w:hyperlink>
          </w:p>
        </w:tc>
      </w:tr>
      <w:tr>
        <w:trPr>
          <w:trHeight w:val="155"/>
        </w:trPr>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44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1020" w:type="dxa"/>
            <w:vAlign w:val="bottom"/>
            <w:gridSpan w:val="22"/>
          </w:tcPr>
          <w:p>
            <w:pPr>
              <w:spacing w:after="0"/>
              <w:rPr>
                <w:sz w:val="20"/>
                <w:szCs w:val="20"/>
                <w:color w:val="auto"/>
              </w:rPr>
            </w:pPr>
            <w:r>
              <w:rPr>
                <w:rFonts w:ascii="Arial" w:cs="Arial" w:eastAsia="Arial" w:hAnsi="Arial"/>
                <w:sz w:val="18"/>
                <w:szCs w:val="18"/>
                <w:color w:val="auto"/>
              </w:rPr>
              <w:t>*  Filed herewith</w:t>
            </w:r>
          </w:p>
        </w:tc>
      </w:tr>
      <w:tr>
        <w:trPr>
          <w:trHeight w:val="580"/>
        </w:trPr>
        <w:tc>
          <w:tcPr>
            <w:tcW w:w="720" w:type="dxa"/>
            <w:vAlign w:val="bottom"/>
          </w:tcPr>
          <w:p>
            <w:pPr>
              <w:spacing w:after="0"/>
              <w:rPr>
                <w:sz w:val="20"/>
                <w:szCs w:val="20"/>
                <w:color w:val="auto"/>
              </w:rPr>
            </w:pPr>
            <w:r>
              <w:rPr>
                <w:rFonts w:ascii="Arial" w:cs="Arial" w:eastAsia="Arial" w:hAnsi="Arial"/>
                <w:sz w:val="18"/>
                <w:szCs w:val="18"/>
                <w:b w:val="1"/>
                <w:bCs w:val="1"/>
                <w:color w:val="auto"/>
              </w:rPr>
              <w:t>Item 22.</w:t>
            </w:r>
          </w:p>
        </w:tc>
        <w:tc>
          <w:tcPr>
            <w:tcW w:w="10300" w:type="dxa"/>
            <w:vAlign w:val="bottom"/>
            <w:gridSpan w:val="21"/>
          </w:tcPr>
          <w:p>
            <w:pPr>
              <w:ind w:left="360"/>
              <w:spacing w:after="0"/>
              <w:rPr>
                <w:sz w:val="20"/>
                <w:szCs w:val="20"/>
                <w:color w:val="auto"/>
              </w:rPr>
            </w:pPr>
            <w:r>
              <w:rPr>
                <w:rFonts w:ascii="Arial" w:cs="Arial" w:eastAsia="Arial" w:hAnsi="Arial"/>
                <w:sz w:val="18"/>
                <w:szCs w:val="18"/>
                <w:b w:val="1"/>
                <w:bCs w:val="1"/>
                <w:color w:val="auto"/>
              </w:rPr>
              <w:t>Undertakings</w:t>
            </w:r>
          </w:p>
        </w:tc>
      </w:tr>
    </w:tbl>
    <w:p>
      <w:pPr>
        <w:spacing w:after="0" w:line="107"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undersigned registrants hereby undertakes: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2200" w:hanging="545"/>
        <w:spacing w:after="0"/>
        <w:tabs>
          <w:tab w:leader="none" w:pos="22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jc w:val="both"/>
        <w:ind w:left="2200" w:hanging="545"/>
        <w:spacing w:after="0" w:line="263" w:lineRule="auto"/>
        <w:tabs>
          <w:tab w:leader="none" w:pos="22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9" w:lineRule="exact"/>
        <w:rPr>
          <w:rFonts w:ascii="Arial" w:cs="Arial" w:eastAsia="Arial" w:hAnsi="Arial"/>
          <w:sz w:val="18"/>
          <w:szCs w:val="18"/>
          <w:color w:val="auto"/>
        </w:rPr>
      </w:pPr>
    </w:p>
    <w:p>
      <w:pPr>
        <w:jc w:val="both"/>
        <w:ind w:left="2200" w:right="20" w:hanging="545"/>
        <w:spacing w:after="0" w:line="296" w:lineRule="auto"/>
        <w:tabs>
          <w:tab w:leader="none" w:pos="22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0" w:hanging="545"/>
        <w:spacing w:after="0" w:line="277" w:lineRule="auto"/>
        <w:tabs>
          <w:tab w:leader="none" w:pos="22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540" w:hanging="439"/>
        <w:spacing w:after="0" w:line="263"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540" w:right="2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jc w:val="both"/>
        <w:ind w:left="1540" w:hanging="439"/>
        <w:spacing w:after="0" w:line="271"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jc w:val="both"/>
        <w:ind w:left="1540" w:right="20" w:hanging="439"/>
        <w:spacing w:after="0" w:line="275"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2200" w:right="20" w:hanging="545"/>
        <w:spacing w:after="0" w:line="277" w:lineRule="auto"/>
        <w:tabs>
          <w:tab w:leader="none" w:pos="22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2200" w:right="20" w:hanging="545"/>
        <w:spacing w:after="0" w:line="277" w:lineRule="auto"/>
        <w:tabs>
          <w:tab w:leader="none" w:pos="22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2200" w:right="20" w:hanging="545"/>
        <w:spacing w:after="0" w:line="277" w:lineRule="auto"/>
        <w:tabs>
          <w:tab w:leader="none" w:pos="22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jc w:val="both"/>
        <w:ind w:left="1080" w:hanging="532"/>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undersigned registrants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Arial" w:cs="Arial" w:eastAsia="Arial" w:hAnsi="Arial"/>
          <w:sz w:val="17"/>
          <w:szCs w:val="17"/>
          <w:color w:val="auto"/>
        </w:rPr>
      </w:pPr>
    </w:p>
    <w:p>
      <w:pPr>
        <w:jc w:val="both"/>
        <w:ind w:left="1080" w:right="20" w:hanging="532"/>
        <w:spacing w:after="0" w:line="27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7" w:lineRule="auto"/>
        <w:rPr>
          <w:sz w:val="20"/>
          <w:szCs w:val="20"/>
          <w:color w:val="auto"/>
        </w:rPr>
      </w:pPr>
      <w:r>
        <w:rPr>
          <w:rFonts w:ascii="Arial" w:cs="Arial" w:eastAsia="Arial" w:hAnsi="Arial"/>
          <w:sz w:val="18"/>
          <w:szCs w:val="18"/>
          <w:color w:val="auto"/>
        </w:rPr>
        <w:t>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3" w:lineRule="exact"/>
        <w:rPr>
          <w:sz w:val="20"/>
          <w:szCs w:val="20"/>
          <w:color w:val="auto"/>
        </w:rPr>
      </w:pPr>
    </w:p>
    <w:p>
      <w:pPr>
        <w:jc w:val="both"/>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undersigned registrants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undersigned registrants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Comcast Corporation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March 18, 2022.</w:t>
      </w:r>
    </w:p>
    <w:p>
      <w:pPr>
        <w:spacing w:after="0" w:line="19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Legal Officer and Secretary</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Michael J. Cavanagh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Daniel C. Murdock</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Kenneth J. Bacon</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Madeline S. Bell</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NAOMI M.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Naomi M. Bergman</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Edward D. Breen</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Gerald L. Hassell</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31546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Jeffrey A. Honickman</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MARITZA G.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Maritza G. Montiel</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Asuka Nakahara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72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Chairman and CEO; Director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Executive Vice President and CFO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Executive Vice President, Chief Accounting Officer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6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ectPr>
          <w:pgSz w:w="11900" w:h="16838" w:orient="portrait"/>
          <w:cols w:equalWidth="0" w:num="3">
            <w:col w:w="4540" w:space="720"/>
            <w:col w:w="3740" w:space="620"/>
            <w:col w:w="1520"/>
          </w:cols>
          <w:pgMar w:left="32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DAVID C. NOVAK</w:t>
            </w:r>
          </w:p>
        </w:tc>
        <w:tc>
          <w:tcPr>
            <w:tcW w:w="3440" w:type="dxa"/>
            <w:vAlign w:val="bottom"/>
            <w:gridSpan w:val="3"/>
            <w:vMerge w:val="restart"/>
          </w:tcPr>
          <w:p>
            <w:pPr>
              <w:jc w:val="center"/>
              <w:ind w:left="55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9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David C. Novak</w:t>
            </w:r>
          </w:p>
        </w:tc>
        <w:tc>
          <w:tcPr>
            <w:tcW w:w="3440" w:type="dxa"/>
            <w:vAlign w:val="bottom"/>
            <w:gridSpan w:val="3"/>
            <w:vMerge w:val="continue"/>
          </w:tcPr>
          <w:p>
            <w:pPr>
              <w:spacing w:after="0"/>
              <w:rPr>
                <w:sz w:val="8"/>
                <w:szCs w:val="8"/>
                <w:color w:val="auto"/>
              </w:rPr>
            </w:pPr>
          </w:p>
        </w:tc>
        <w:tc>
          <w:tcPr>
            <w:tcW w:w="2260" w:type="dxa"/>
            <w:vAlign w:val="bottom"/>
            <w:gridSpan w:val="3"/>
            <w:vMerge w:val="restart"/>
          </w:tcPr>
          <w:p>
            <w:pPr>
              <w:jc w:val="center"/>
              <w:ind w:left="1010"/>
              <w:spacing w:after="0"/>
              <w:rPr>
                <w:sz w:val="20"/>
                <w:szCs w:val="20"/>
                <w:color w:val="auto"/>
              </w:rPr>
            </w:pPr>
            <w:r>
              <w:rPr>
                <w:rFonts w:ascii="Arial" w:cs="Arial" w:eastAsia="Arial" w:hAnsi="Arial"/>
                <w:sz w:val="18"/>
                <w:szCs w:val="18"/>
                <w:color w:val="auto"/>
                <w:w w:val="92"/>
              </w:rPr>
              <w:t>March 18, 2022</w:t>
            </w:r>
          </w:p>
        </w:tc>
        <w:tc>
          <w:tcPr>
            <w:tcW w:w="0" w:type="dxa"/>
            <w:vAlign w:val="bottom"/>
          </w:tcPr>
          <w:p>
            <w:pPr>
              <w:spacing w:after="0"/>
              <w:rPr>
                <w:sz w:val="1"/>
                <w:szCs w:val="1"/>
                <w:color w:val="auto"/>
              </w:rPr>
            </w:pPr>
          </w:p>
        </w:tc>
      </w:tr>
      <w:tr>
        <w:trPr>
          <w:trHeight w:val="122"/>
        </w:trPr>
        <w:tc>
          <w:tcPr>
            <w:tcW w:w="496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59" w:right="7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 AND POWER OF ATTORNEY FOR NBCUNIVERSAL MEDIA, LLC</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NBCUniversal Media, LLC certifies that it has reasonable grounds to believe that it meets all the requirements for filing on Form S-4 and has duly caused this Registration Statement to be signed on its behalf by the undersigned, thereunto duly authorized, in the City of New York, State of New York, on March 18, 2022.</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Title: Senior Executive Vice President and Assistant</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BRIAN L. ROBERTS</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3"/>
              </w:rPr>
              <w:t>Principal Executive Officer of NBCUniversal Media,</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Brian L. Roberts</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rPr>
              <w:t>LLC</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w w:val="91"/>
              </w:rPr>
              <w:t>March 18, 2022</w:t>
            </w: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MICHAEL J. CAVANAGH</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4"/>
              </w:rPr>
              <w:t>Principal Financial Officer of NBCUniversal Media,</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0"/>
              </w:rPr>
              <w:t>Michael J. Cavanagh</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rPr>
              <w:t>LLC</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w w:val="91"/>
              </w:rPr>
              <w:t>March 18, 2022</w:t>
            </w: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DANIEL C. MURDOCK</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Principal Accounting Officer of NBCUniversal</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Daniel C. Murdock</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7"/>
              </w:rPr>
              <w:t>Media, LLC</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w w:val="91"/>
              </w:rPr>
              <w:t>March 18, 2022</w:t>
            </w: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MICHAEL J. CAVANAGH</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0"/>
              </w:rPr>
              <w:t>Michael J. Cavanagh</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2"/>
              </w:rPr>
              <w:t>Sole Member of</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5"/>
              </w:rPr>
              <w:t>Director of NBCUniversal, LLC</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6"/>
              </w:rPr>
              <w:t>NBCUniversal Media, LLC</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w w:val="91"/>
              </w:rPr>
              <w:t>March 18, 2022</w:t>
            </w:r>
          </w:p>
        </w:tc>
      </w:tr>
      <w:tr>
        <w:trPr>
          <w:trHeight w:val="432"/>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THOMAS J. REID</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88"/>
              </w:rPr>
              <w:t>Thomas J. Reid</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2"/>
              </w:rPr>
              <w:t>Sole Member of</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5"/>
              </w:rPr>
              <w:t>Director of NBCUniversal, LLC</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6"/>
              </w:rPr>
              <w:t>NBCUniversal Media, LLC</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w w:val="91"/>
              </w:rPr>
              <w:t>March 18, 2022</w:t>
            </w:r>
          </w:p>
        </w:tc>
      </w:tr>
      <w:tr>
        <w:trPr>
          <w:trHeight w:val="432"/>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ADAM L. MILLER</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7"/>
              </w:rPr>
              <w:t>Adam L. Miller</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2"/>
              </w:rPr>
              <w:t>Sole Member of</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5"/>
              </w:rPr>
              <w:t>Director of NBCUniversal, LLC</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6"/>
              </w:rPr>
              <w:t>NBCUniversal Media, LLC</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w w:val="91"/>
              </w:rPr>
              <w:t>March 18, 2022</w:t>
            </w:r>
          </w:p>
        </w:tc>
      </w:tr>
    </w:tbl>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 AND POWER OF ATTORNEY FOR COMCAST CABLE COMMUNICATIONS, LLC</w:t>
      </w:r>
    </w:p>
    <w:p>
      <w:pPr>
        <w:spacing w:after="0" w:line="2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as amended, Comcast Cable Communications, LLC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March 18, 2022.</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Senior Executive Vice President, General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ind w:left="23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31546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8"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Michael J. Cavanagh</w:t>
      </w:r>
    </w:p>
    <w:p>
      <w:pPr>
        <w:spacing w:after="0" w:line="22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Daniel C. Murdock</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546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Thomas J. Reid</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Sole Director of</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Comcast Holdings Corporation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Principal Executive Officer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Comcast Cable Communications, LLC</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Principal Financial Officer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Comcast Cable Communications, LLC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Accounting Officer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Comcast Cable Communications, LLC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Sole Member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Comcast Cable Communications, LLC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68"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91"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March 18, 2022</w:t>
      </w:r>
    </w:p>
    <w:p>
      <w:pPr>
        <w:sectPr>
          <w:pgSz w:w="11900" w:h="16838" w:orient="portrait"/>
          <w:cols w:equalWidth="0" w:num="3">
            <w:col w:w="5000" w:space="720"/>
            <w:col w:w="2820" w:space="720"/>
            <w:col w:w="1880"/>
          </w:cols>
          <w:pgMar w:left="320" w:top="459" w:right="4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17" w:lineRule="exact"/>
        <w:rPr>
          <w:sz w:val="20"/>
          <w:szCs w:val="20"/>
          <w:color w:val="auto"/>
        </w:rPr>
      </w:pPr>
    </w:p>
    <w:p>
      <w:pPr>
        <w:ind w:left="5360" w:hanging="231"/>
        <w:spacing w:after="0"/>
        <w:tabs>
          <w:tab w:leader="none" w:pos="5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 2022</w:t>
      </w:r>
    </w:p>
    <w:p>
      <w:pPr>
        <w:spacing w:after="0" w:line="225" w:lineRule="exact"/>
        <w:rPr>
          <w:sz w:val="20"/>
          <w:szCs w:val="20"/>
          <w:color w:val="auto"/>
        </w:rPr>
      </w:pPr>
    </w:p>
    <w:p>
      <w:pPr>
        <w:jc w:val="both"/>
        <w:ind w:firstLine="440"/>
        <w:spacing w:after="0" w:line="292" w:lineRule="auto"/>
        <w:rPr>
          <w:sz w:val="20"/>
          <w:szCs w:val="20"/>
          <w:color w:val="auto"/>
        </w:rPr>
      </w:pPr>
      <w:r>
        <w:rPr>
          <w:rFonts w:ascii="Arial" w:cs="Arial" w:eastAsia="Arial" w:hAnsi="Arial"/>
          <w:sz w:val="16"/>
          <w:szCs w:val="16"/>
          <w:color w:val="auto"/>
        </w:rPr>
        <w:t>Pursuant to Section 2.03 of the Indenture dated as of September 18, 2013,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guarantors named therein and the Trustee, and guaranteed on an unsecured and unsubordinated basis by Comcast Cable Communications, LLC and NBCUniversal Media, LLC (the “</w:t>
      </w:r>
      <w:r>
        <w:rPr>
          <w:rFonts w:ascii="Arial" w:cs="Arial" w:eastAsia="Arial" w:hAnsi="Arial"/>
          <w:sz w:val="16"/>
          <w:szCs w:val="16"/>
          <w:b w:val="1"/>
          <w:bCs w:val="1"/>
          <w:color w:val="auto"/>
        </w:rPr>
        <w:t>Guarantors</w:t>
      </w:r>
      <w:r>
        <w:rPr>
          <w:rFonts w:ascii="Arial" w:cs="Arial" w:eastAsia="Arial" w:hAnsi="Arial"/>
          <w:sz w:val="16"/>
          <w:szCs w:val="16"/>
          <w:color w:val="auto"/>
        </w:rPr>
        <w:t>”), the undersigned officers of the Company do hereby certify, in connection with the issuance of the Company’s $[ ] aggregate principal amount of 2.887% Notes due 2051 (the “</w:t>
      </w:r>
      <w:r>
        <w:rPr>
          <w:rFonts w:ascii="Arial" w:cs="Arial" w:eastAsia="Arial" w:hAnsi="Arial"/>
          <w:sz w:val="16"/>
          <w:szCs w:val="16"/>
          <w:b w:val="1"/>
          <w:bCs w:val="1"/>
          <w:color w:val="auto"/>
        </w:rPr>
        <w:t>2051 Notes</w:t>
      </w:r>
      <w:r>
        <w:rPr>
          <w:rFonts w:ascii="Arial" w:cs="Arial" w:eastAsia="Arial" w:hAnsi="Arial"/>
          <w:sz w:val="16"/>
          <w:szCs w:val="16"/>
          <w:color w:val="auto"/>
        </w:rPr>
        <w:t>”), $[ ] aggregate principal amount of 2.937% Notes due 2056 (the “</w:t>
      </w:r>
      <w:r>
        <w:rPr>
          <w:rFonts w:ascii="Arial" w:cs="Arial" w:eastAsia="Arial" w:hAnsi="Arial"/>
          <w:sz w:val="16"/>
          <w:szCs w:val="16"/>
          <w:b w:val="1"/>
          <w:bCs w:val="1"/>
          <w:color w:val="auto"/>
        </w:rPr>
        <w:t>2056 Notes</w:t>
      </w:r>
      <w:r>
        <w:rPr>
          <w:rFonts w:ascii="Arial" w:cs="Arial" w:eastAsia="Arial" w:hAnsi="Arial"/>
          <w:sz w:val="16"/>
          <w:szCs w:val="16"/>
          <w:color w:val="auto"/>
        </w:rPr>
        <w:t>”) and $[ ] aggregate principal amount of 2.987% Notes due 2063 (the “</w:t>
      </w:r>
      <w:r>
        <w:rPr>
          <w:rFonts w:ascii="Arial" w:cs="Arial" w:eastAsia="Arial" w:hAnsi="Arial"/>
          <w:sz w:val="16"/>
          <w:szCs w:val="16"/>
          <w:b w:val="1"/>
          <w:bCs w:val="1"/>
          <w:color w:val="auto"/>
        </w:rPr>
        <w:t>2063 Notes</w:t>
      </w:r>
      <w:r>
        <w:rPr>
          <w:rFonts w:ascii="Arial" w:cs="Arial" w:eastAsia="Arial" w:hAnsi="Arial"/>
          <w:sz w:val="16"/>
          <w:szCs w:val="16"/>
          <w:color w:val="auto"/>
        </w:rPr>
        <w:t>,” and together with the 2051 and the 2056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b w:val="1"/>
                <w:bCs w:val="1"/>
                <w:u w:val="single" w:color="auto"/>
                <w:color w:val="auto"/>
              </w:rPr>
              <w:t>887%</w:t>
            </w:r>
            <w:r>
              <w:rPr>
                <w:rFonts w:ascii="Arial" w:cs="Arial" w:eastAsia="Arial" w:hAnsi="Arial"/>
                <w:sz w:val="20"/>
                <w:szCs w:val="20"/>
                <w:b w:val="1"/>
                <w:bCs w:val="1"/>
                <w:color w:val="auto"/>
              </w:rPr>
              <w:t xml:space="preserve"> Notes due 2051</w:t>
            </w:r>
          </w:p>
        </w:tc>
      </w:tr>
      <w:tr>
        <w:trPr>
          <w:trHeight w:val="20"/>
        </w:trPr>
        <w:tc>
          <w:tcPr>
            <w:tcW w:w="3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2.887% Notes due 2051</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1100" w:type="dxa"/>
            <w:vAlign w:val="bottom"/>
          </w:tcPr>
          <w:p>
            <w:pPr>
              <w:ind w:left="440"/>
              <w:spacing w:after="0"/>
              <w:rPr>
                <w:sz w:val="20"/>
                <w:szCs w:val="20"/>
                <w:color w:val="auto"/>
              </w:rPr>
            </w:pPr>
            <w:r>
              <w:rPr>
                <w:rFonts w:ascii="Arial" w:cs="Arial" w:eastAsia="Arial" w:hAnsi="Arial"/>
                <w:sz w:val="18"/>
                <w:szCs w:val="18"/>
                <w:color w:val="auto"/>
              </w:rPr>
              <w:t>$[  ]</w:t>
            </w:r>
          </w:p>
        </w:tc>
        <w:tc>
          <w:tcPr>
            <w:tcW w:w="19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November 1, 2051</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100" w:type="dxa"/>
            <w:vAlign w:val="bottom"/>
          </w:tcPr>
          <w:p>
            <w:pPr>
              <w:ind w:left="440"/>
              <w:spacing w:after="0"/>
              <w:rPr>
                <w:sz w:val="20"/>
                <w:szCs w:val="20"/>
                <w:color w:val="auto"/>
              </w:rPr>
            </w:pPr>
            <w:r>
              <w:rPr>
                <w:rFonts w:ascii="Arial" w:cs="Arial" w:eastAsia="Arial" w:hAnsi="Arial"/>
                <w:sz w:val="18"/>
                <w:szCs w:val="18"/>
                <w:color w:val="auto"/>
              </w:rPr>
              <w:t>2.887%</w:t>
            </w:r>
          </w:p>
        </w:tc>
        <w:tc>
          <w:tcPr>
            <w:tcW w:w="19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5"/>
              </w:rPr>
              <w:t>The Company may at its option redeem the 2051 Notes in whole or in part, at any time or from</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6"/>
              </w:rPr>
              <w:t>time to time prior to their maturity, on at least 15 days, but not more than 60 days, prior notice</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1"/>
              </w:rPr>
              <w:t>transmitted to the registered address of each holder of the 2051 Notes, at the “Redemption Price.”</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4"/>
              </w:rPr>
              <w:t>Prior to May 1, 2051 (the “2051 Par Call Date”), the Redemption Price is the greater of (i) 100%</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4"/>
              </w:rPr>
              <w:t>of the principal amount of the 2051 Notes, and (ii) the sum of the present values of the principal</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89"/>
              </w:rPr>
              <w:t>amount of such notes and the scheduled payments of interest thereon (exclusive of interest accrued</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7"/>
              </w:rPr>
              <w:t>to the date of redemption) from the redemption date to the 2051 Par Call Date, in each case</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2"/>
              </w:rPr>
              <w:t>discounted to the redemption date on a semiannual basis (assuming a 360-day year consisting of</w:t>
            </w:r>
          </w:p>
        </w:tc>
      </w:tr>
      <w:tr>
        <w:trPr>
          <w:trHeight w:val="230"/>
        </w:trPr>
        <w:tc>
          <w:tcPr>
            <w:tcW w:w="3420" w:type="dxa"/>
            <w:vAlign w:val="bottom"/>
          </w:tcPr>
          <w:p>
            <w:pPr>
              <w:spacing w:after="0"/>
              <w:rPr>
                <w:sz w:val="20"/>
                <w:szCs w:val="20"/>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twelve 30-day months)</w:t>
            </w:r>
          </w:p>
        </w:tc>
      </w:tr>
    </w:tbl>
    <w:p>
      <w:pPr>
        <w:sectPr>
          <w:pgSz w:w="11900" w:h="16838" w:orient="portrait"/>
          <w:cols w:equalWidth="0" w:num="1">
            <w:col w:w="11020"/>
          </w:cols>
          <w:pgMar w:left="440" w:top="121" w:right="43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0"/>
              </w:rPr>
              <w:t>at the Treasury Rate (as defined in the 2051 Notes) plus 15 basis points. On and after the 2047 Par</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4"/>
              </w:rPr>
              <w:t>Call Date, the Redemption Price will equal 100% of the principal amount of such notes. In each</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3"/>
              </w:rPr>
              <w:t>case described in this paragraph, the Redemption Price will include accrued and unpaid interest</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5"/>
              </w:rPr>
              <w:t>thereon to the date of redemption, and in each case described in this paragraph, subject to the</w:t>
            </w:r>
          </w:p>
        </w:tc>
      </w:tr>
      <w:tr>
        <w:trPr>
          <w:trHeight w:val="230"/>
        </w:trPr>
        <w:tc>
          <w:tcPr>
            <w:tcW w:w="3420" w:type="dxa"/>
            <w:vAlign w:val="bottom"/>
          </w:tcPr>
          <w:p>
            <w:pPr>
              <w:spacing w:after="0"/>
              <w:rPr>
                <w:sz w:val="20"/>
                <w:szCs w:val="20"/>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rPr>
              <w:t>further description in the Prospectus dated [  ], 2022.</w:t>
            </w:r>
          </w:p>
        </w:tc>
      </w:tr>
      <w:tr>
        <w:trPr>
          <w:trHeight w:val="310"/>
        </w:trPr>
        <w:tc>
          <w:tcPr>
            <w:tcW w:w="34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88"/>
              </w:rPr>
              <w:t>The 2051 Notes need not be issued at the same time and the series may be reopened for issuance of</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1"/>
              </w:rPr>
              <w:t>an unlimited principal amount of additional 2051 Notes under this series. Additional 2051 Notes of</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2"/>
              </w:rPr>
              <w:t>this series may be consolidated with, and form a single series with, 2051 Notes then outstanding,</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1"/>
              </w:rPr>
              <w:t>including for purposes of determining whether the required percentage of the holders of record has</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5"/>
              </w:rPr>
              <w:t>given approval or consent to an amendment or waiver or joined in directing the Trustee to take</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1"/>
              </w:rPr>
              <w:t>certain actions on behalf of all holders; provided that if such additional 2051 Notes are not fungible</w:t>
            </w:r>
          </w:p>
        </w:tc>
      </w:tr>
      <w:tr>
        <w:trPr>
          <w:trHeight w:val="216"/>
        </w:trPr>
        <w:tc>
          <w:tcPr>
            <w:tcW w:w="3420" w:type="dxa"/>
            <w:vAlign w:val="bottom"/>
          </w:tcPr>
          <w:p>
            <w:pPr>
              <w:spacing w:after="0"/>
              <w:rPr>
                <w:sz w:val="18"/>
                <w:szCs w:val="18"/>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2"/>
              </w:rPr>
              <w:t>with the 2051 Notes then outstanding for U.S. federal income tax purposes, such additional 2051</w:t>
            </w:r>
          </w:p>
        </w:tc>
      </w:tr>
      <w:tr>
        <w:trPr>
          <w:trHeight w:val="230"/>
        </w:trPr>
        <w:tc>
          <w:tcPr>
            <w:tcW w:w="3420" w:type="dxa"/>
            <w:vAlign w:val="bottom"/>
          </w:tcPr>
          <w:p>
            <w:pPr>
              <w:spacing w:after="0"/>
              <w:rPr>
                <w:sz w:val="20"/>
                <w:szCs w:val="20"/>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rPr>
              <w:t>Notes will have one or more separate CUSIP numbers.</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rPr>
              <w:t>None</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rPr>
              <w:t>None</w:t>
            </w:r>
          </w:p>
        </w:tc>
      </w:tr>
      <w:tr>
        <w:trPr>
          <w:trHeight w:val="306"/>
        </w:trPr>
        <w:tc>
          <w:tcPr>
            <w:tcW w:w="34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0"/>
              </w:rPr>
              <w:t>The terms of the 2051 Notes shall include such other terms as are set forth in the Form of Note due</w:t>
            </w:r>
          </w:p>
        </w:tc>
      </w:tr>
      <w:tr>
        <w:trPr>
          <w:trHeight w:val="194"/>
        </w:trPr>
        <w:tc>
          <w:tcPr>
            <w:tcW w:w="3420" w:type="dxa"/>
            <w:vAlign w:val="bottom"/>
          </w:tcPr>
          <w:p>
            <w:pPr>
              <w:spacing w:after="0"/>
              <w:rPr>
                <w:sz w:val="16"/>
                <w:szCs w:val="16"/>
                <w:color w:val="auto"/>
              </w:rPr>
            </w:pPr>
          </w:p>
        </w:tc>
        <w:tc>
          <w:tcPr>
            <w:tcW w:w="7600" w:type="dxa"/>
            <w:vAlign w:val="bottom"/>
            <w:gridSpan w:val="5"/>
          </w:tcPr>
          <w:p>
            <w:pPr>
              <w:ind w:left="440"/>
              <w:spacing w:after="0" w:line="194" w:lineRule="exact"/>
              <w:rPr>
                <w:sz w:val="20"/>
                <w:szCs w:val="20"/>
                <w:color w:val="auto"/>
              </w:rPr>
            </w:pPr>
            <w:r>
              <w:rPr>
                <w:rFonts w:ascii="Arial" w:cs="Arial" w:eastAsia="Arial" w:hAnsi="Arial"/>
                <w:sz w:val="18"/>
                <w:szCs w:val="18"/>
                <w:color w:val="auto"/>
              </w:rPr>
              <w:t xml:space="preserve">2051 attached hereto as </w:t>
            </w:r>
            <w:r>
              <w:rPr>
                <w:rFonts w:ascii="Arial" w:cs="Arial" w:eastAsia="Arial" w:hAnsi="Arial"/>
                <w:sz w:val="18"/>
                <w:szCs w:val="18"/>
                <w:b w:val="1"/>
                <w:bCs w:val="1"/>
                <w:color w:val="auto"/>
              </w:rPr>
              <w:t>Exhibit A.</w:t>
            </w:r>
          </w:p>
        </w:tc>
      </w:tr>
      <w:tr>
        <w:trPr>
          <w:trHeight w:val="20"/>
        </w:trPr>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39"/>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18"/>
                <w:szCs w:val="18"/>
                <w:b w:val="1"/>
                <w:bCs w:val="1"/>
                <w:u w:val="single" w:color="auto"/>
                <w:color w:val="auto"/>
                <w:w w:val="89"/>
              </w:rPr>
              <w:t>937%</w:t>
            </w:r>
            <w:r>
              <w:rPr>
                <w:rFonts w:ascii="Arial" w:cs="Arial" w:eastAsia="Arial" w:hAnsi="Arial"/>
                <w:sz w:val="18"/>
                <w:szCs w:val="18"/>
                <w:b w:val="1"/>
                <w:bCs w:val="1"/>
                <w:color w:val="auto"/>
                <w:w w:val="89"/>
              </w:rPr>
              <w:t xml:space="preserve"> Notes due 2056</w:t>
            </w:r>
          </w:p>
        </w:tc>
        <w:tc>
          <w:tcPr>
            <w:tcW w:w="4620" w:type="dxa"/>
            <w:vAlign w:val="bottom"/>
          </w:tcPr>
          <w:p>
            <w:pPr>
              <w:spacing w:after="0"/>
              <w:rPr>
                <w:sz w:val="24"/>
                <w:szCs w:val="24"/>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rPr>
              <w:t>2.937% Notes due 2056</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1180" w:type="dxa"/>
            <w:vAlign w:val="bottom"/>
          </w:tcPr>
          <w:p>
            <w:pPr>
              <w:ind w:left="440"/>
              <w:spacing w:after="0"/>
              <w:rPr>
                <w:sz w:val="20"/>
                <w:szCs w:val="20"/>
                <w:color w:val="auto"/>
              </w:rPr>
            </w:pPr>
            <w:r>
              <w:rPr>
                <w:rFonts w:ascii="Arial" w:cs="Arial" w:eastAsia="Arial" w:hAnsi="Arial"/>
                <w:sz w:val="18"/>
                <w:szCs w:val="18"/>
                <w:color w:val="auto"/>
              </w:rPr>
              <w:t>$[  ]</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rPr>
              <w:t>November 1, 2056</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180" w:type="dxa"/>
            <w:vAlign w:val="bottom"/>
          </w:tcPr>
          <w:p>
            <w:pPr>
              <w:ind w:left="440"/>
              <w:spacing w:after="0"/>
              <w:rPr>
                <w:sz w:val="20"/>
                <w:szCs w:val="20"/>
                <w:color w:val="auto"/>
              </w:rPr>
            </w:pPr>
            <w:r>
              <w:rPr>
                <w:rFonts w:ascii="Arial" w:cs="Arial" w:eastAsia="Arial" w:hAnsi="Arial"/>
                <w:sz w:val="18"/>
                <w:szCs w:val="18"/>
                <w:color w:val="auto"/>
              </w:rPr>
              <w:t>2.937%</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w w:val="95"/>
              </w:rPr>
              <w:t>The Company may at its option redeem the 2056 Notes in whole or in part, at any time or from</w:t>
            </w:r>
          </w:p>
        </w:tc>
      </w:tr>
      <w:tr>
        <w:trPr>
          <w:trHeight w:val="230"/>
        </w:trPr>
        <w:tc>
          <w:tcPr>
            <w:tcW w:w="3420" w:type="dxa"/>
            <w:vAlign w:val="bottom"/>
          </w:tcPr>
          <w:p>
            <w:pPr>
              <w:spacing w:after="0"/>
              <w:rPr>
                <w:sz w:val="20"/>
                <w:szCs w:val="20"/>
                <w:color w:val="auto"/>
              </w:rPr>
            </w:pPr>
          </w:p>
        </w:tc>
        <w:tc>
          <w:tcPr>
            <w:tcW w:w="7600" w:type="dxa"/>
            <w:vAlign w:val="bottom"/>
            <w:gridSpan w:val="5"/>
          </w:tcPr>
          <w:p>
            <w:pPr>
              <w:ind w:left="440"/>
              <w:spacing w:after="0"/>
              <w:rPr>
                <w:sz w:val="20"/>
                <w:szCs w:val="20"/>
                <w:color w:val="auto"/>
              </w:rPr>
            </w:pPr>
            <w:r>
              <w:rPr>
                <w:rFonts w:ascii="Arial" w:cs="Arial" w:eastAsia="Arial" w:hAnsi="Arial"/>
                <w:sz w:val="18"/>
                <w:szCs w:val="18"/>
                <w:color w:val="auto"/>
              </w:rPr>
              <w:t>time to time prior to their maturity, on at least 15 days,</w:t>
            </w:r>
          </w:p>
        </w:tc>
      </w:tr>
    </w:tbl>
    <w:p>
      <w:pPr>
        <w:sectPr>
          <w:pgSz w:w="11900" w:h="16838" w:orient="portrait"/>
          <w:cols w:equalWidth="0" w:num="1">
            <w:col w:w="11020"/>
          </w:cols>
          <w:pgMar w:left="440" w:top="274" w:right="4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but not more than 60 days, prior notice transmitted to the registered address of each holder of the</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8"/>
              </w:rPr>
              <w:t>2056 Notes, at the “Redemption Price.” Prior to May 1, 2056 (the “2056 Par Call Date”), the</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Redemption Price is the greater of (i) 100% of the principal amount of the 2056 Notes, and (ii) the</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3"/>
              </w:rPr>
              <w:t>sum of the present values of the principal amount of such notes and the scheduled payments of</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1"/>
              </w:rPr>
              <w:t>interest thereon (exclusive of interest accrued to the date of redemption) from the redemption date</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to the 2056 Par Call Date, in each case discounted to the redemption date on a semiannual basis</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1"/>
              </w:rPr>
              <w:t>(assuming a 360-day year consisting of twelve 30-day months) at the Treasury Rate (as defined in</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the 2056 Notes) plus 20 basis points. On and after the 2056 Par Call Date, the Redemption Price</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3"/>
              </w:rPr>
              <w:t>will equal 100% of the principal amount of such notes. In each case described in this paragraph,</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the Redemption Price will include accrued and unpaid interest thereon to the date of redemption,</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and in each case described in this paragraph, subject to the further description in the Prospectus</w:t>
            </w:r>
          </w:p>
        </w:tc>
      </w:tr>
      <w:tr>
        <w:trPr>
          <w:trHeight w:val="230"/>
        </w:trPr>
        <w:tc>
          <w:tcPr>
            <w:tcW w:w="2700" w:type="dxa"/>
            <w:vAlign w:val="bottom"/>
          </w:tcPr>
          <w:p>
            <w:pPr>
              <w:spacing w:after="0"/>
              <w:rPr>
                <w:sz w:val="20"/>
                <w:szCs w:val="20"/>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rPr>
              <w:t>dated [  ], 2022.</w:t>
            </w:r>
          </w:p>
        </w:tc>
      </w:tr>
      <w:tr>
        <w:trPr>
          <w:trHeight w:val="310"/>
        </w:trPr>
        <w:tc>
          <w:tcPr>
            <w:tcW w:w="27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88"/>
              </w:rPr>
              <w:t>The 2056 Notes need not be issued at the same time and the series may be reopened for issuance of</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1"/>
              </w:rPr>
              <w:t>an unlimited principal amount of additional 2056 Notes under this series. Additional 2056 Notes of</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this series may be consolidated with, and form a single series with, 2056 Notes then outstanding,</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1"/>
              </w:rPr>
              <w:t>including for purposes of determining whether the required percentage of the holders of record has</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5"/>
              </w:rPr>
              <w:t>given approval or consent to an amendment or waiver or joined in directing the Trustee to take</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1"/>
              </w:rPr>
              <w:t>certain actions on behalf of all holders; provided that if such additional 2056 Notes are not fungible</w:t>
            </w:r>
          </w:p>
        </w:tc>
      </w:tr>
      <w:tr>
        <w:trPr>
          <w:trHeight w:val="216"/>
        </w:trPr>
        <w:tc>
          <w:tcPr>
            <w:tcW w:w="2700" w:type="dxa"/>
            <w:vAlign w:val="bottom"/>
          </w:tcPr>
          <w:p>
            <w:pPr>
              <w:spacing w:after="0"/>
              <w:rPr>
                <w:sz w:val="18"/>
                <w:szCs w:val="18"/>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2"/>
              </w:rPr>
              <w:t>with the 2056 Notes then outstanding for U.S. federal income tax purposes, such additional 2056</w:t>
            </w:r>
          </w:p>
        </w:tc>
      </w:tr>
      <w:tr>
        <w:trPr>
          <w:trHeight w:val="230"/>
        </w:trPr>
        <w:tc>
          <w:tcPr>
            <w:tcW w:w="2700" w:type="dxa"/>
            <w:vAlign w:val="bottom"/>
          </w:tcPr>
          <w:p>
            <w:pPr>
              <w:spacing w:after="0"/>
              <w:rPr>
                <w:sz w:val="20"/>
                <w:szCs w:val="20"/>
                <w:color w:val="auto"/>
              </w:rPr>
            </w:pP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rPr>
              <w:t>Notes will have one or more separate CUSIP numbers.</w:t>
            </w:r>
          </w:p>
        </w:tc>
      </w:tr>
      <w:tr>
        <w:trPr>
          <w:trHeight w:val="324"/>
        </w:trPr>
        <w:tc>
          <w:tcPr>
            <w:tcW w:w="27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rPr>
              <w:t>None</w:t>
            </w:r>
          </w:p>
        </w:tc>
      </w:tr>
      <w:tr>
        <w:trPr>
          <w:trHeight w:val="324"/>
        </w:trPr>
        <w:tc>
          <w:tcPr>
            <w:tcW w:w="27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rPr>
              <w:t>None</w:t>
            </w:r>
          </w:p>
        </w:tc>
      </w:tr>
      <w:tr>
        <w:trPr>
          <w:trHeight w:val="306"/>
        </w:trPr>
        <w:tc>
          <w:tcPr>
            <w:tcW w:w="27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320" w:type="dxa"/>
            <w:vAlign w:val="bottom"/>
            <w:gridSpan w:val="3"/>
          </w:tcPr>
          <w:p>
            <w:pPr>
              <w:ind w:left="1160"/>
              <w:spacing w:after="0"/>
              <w:rPr>
                <w:sz w:val="20"/>
                <w:szCs w:val="20"/>
                <w:color w:val="auto"/>
              </w:rPr>
            </w:pPr>
            <w:r>
              <w:rPr>
                <w:rFonts w:ascii="Arial" w:cs="Arial" w:eastAsia="Arial" w:hAnsi="Arial"/>
                <w:sz w:val="18"/>
                <w:szCs w:val="18"/>
                <w:color w:val="auto"/>
                <w:w w:val="90"/>
              </w:rPr>
              <w:t>The terms of the 2056 Notes shall include such other terms as are set forth in the Form of Note due</w:t>
            </w:r>
          </w:p>
        </w:tc>
      </w:tr>
      <w:tr>
        <w:trPr>
          <w:trHeight w:val="194"/>
        </w:trPr>
        <w:tc>
          <w:tcPr>
            <w:tcW w:w="2700" w:type="dxa"/>
            <w:vAlign w:val="bottom"/>
          </w:tcPr>
          <w:p>
            <w:pPr>
              <w:spacing w:after="0"/>
              <w:rPr>
                <w:sz w:val="16"/>
                <w:szCs w:val="16"/>
                <w:color w:val="auto"/>
              </w:rPr>
            </w:pPr>
          </w:p>
        </w:tc>
        <w:tc>
          <w:tcPr>
            <w:tcW w:w="8320" w:type="dxa"/>
            <w:vAlign w:val="bottom"/>
            <w:gridSpan w:val="3"/>
          </w:tcPr>
          <w:p>
            <w:pPr>
              <w:ind w:left="1160"/>
              <w:spacing w:after="0" w:line="194" w:lineRule="exact"/>
              <w:rPr>
                <w:sz w:val="20"/>
                <w:szCs w:val="20"/>
                <w:color w:val="auto"/>
              </w:rPr>
            </w:pPr>
            <w:r>
              <w:rPr>
                <w:rFonts w:ascii="Arial" w:cs="Arial" w:eastAsia="Arial" w:hAnsi="Arial"/>
                <w:sz w:val="18"/>
                <w:szCs w:val="18"/>
                <w:color w:val="auto"/>
              </w:rPr>
              <w:t xml:space="preserve">2056 attached hereto as </w:t>
            </w:r>
            <w:r>
              <w:rPr>
                <w:rFonts w:ascii="Arial" w:cs="Arial" w:eastAsia="Arial" w:hAnsi="Arial"/>
                <w:sz w:val="18"/>
                <w:szCs w:val="18"/>
                <w:b w:val="1"/>
                <w:bCs w:val="1"/>
                <w:color w:val="auto"/>
              </w:rPr>
              <w:t>Exhibit B.</w:t>
            </w:r>
          </w:p>
        </w:tc>
      </w:tr>
      <w:tr>
        <w:trPr>
          <w:trHeight w:val="20"/>
        </w:trPr>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18"/>
                <w:szCs w:val="18"/>
                <w:b w:val="1"/>
                <w:bCs w:val="1"/>
                <w:u w:val="single" w:color="auto"/>
                <w:color w:val="auto"/>
                <w:w w:val="89"/>
              </w:rPr>
              <w:t>987%</w:t>
            </w:r>
            <w:r>
              <w:rPr>
                <w:rFonts w:ascii="Arial" w:cs="Arial" w:eastAsia="Arial" w:hAnsi="Arial"/>
                <w:sz w:val="18"/>
                <w:szCs w:val="18"/>
                <w:b w:val="1"/>
                <w:bCs w:val="1"/>
                <w:color w:val="auto"/>
                <w:w w:val="89"/>
              </w:rPr>
              <w:t xml:space="preserve"> Notes due 2063</w:t>
            </w:r>
          </w:p>
        </w:tc>
        <w:tc>
          <w:tcPr>
            <w:tcW w:w="4620" w:type="dxa"/>
            <w:vAlign w:val="bottom"/>
          </w:tcPr>
          <w:p>
            <w:pPr>
              <w:spacing w:after="0"/>
              <w:rPr>
                <w:sz w:val="17"/>
                <w:szCs w:val="17"/>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2.987% Notes due 2063</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1180" w:type="dxa"/>
            <w:vAlign w:val="bottom"/>
          </w:tcPr>
          <w:p>
            <w:pPr>
              <w:ind w:left="440"/>
              <w:spacing w:after="0"/>
              <w:rPr>
                <w:sz w:val="20"/>
                <w:szCs w:val="20"/>
                <w:color w:val="auto"/>
              </w:rPr>
            </w:pPr>
            <w:r>
              <w:rPr>
                <w:rFonts w:ascii="Arial" w:cs="Arial" w:eastAsia="Arial" w:hAnsi="Arial"/>
                <w:sz w:val="18"/>
                <w:szCs w:val="18"/>
                <w:color w:val="auto"/>
              </w:rPr>
              <w:t>$[  ]</w:t>
            </w:r>
          </w:p>
        </w:tc>
        <w:tc>
          <w:tcPr>
            <w:tcW w:w="18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November 1, 2063</w:t>
            </w:r>
          </w:p>
        </w:tc>
      </w:tr>
      <w:tr>
        <w:trPr>
          <w:trHeight w:val="324"/>
        </w:trPr>
        <w:tc>
          <w:tcPr>
            <w:tcW w:w="34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180" w:type="dxa"/>
            <w:vAlign w:val="bottom"/>
          </w:tcPr>
          <w:p>
            <w:pPr>
              <w:ind w:left="440"/>
              <w:spacing w:after="0"/>
              <w:rPr>
                <w:sz w:val="20"/>
                <w:szCs w:val="20"/>
                <w:color w:val="auto"/>
              </w:rPr>
            </w:pPr>
            <w:r>
              <w:rPr>
                <w:rFonts w:ascii="Arial" w:cs="Arial" w:eastAsia="Arial" w:hAnsi="Arial"/>
                <w:sz w:val="18"/>
                <w:szCs w:val="18"/>
                <w:color w:val="auto"/>
              </w:rPr>
              <w:t>2.987%</w:t>
            </w:r>
          </w:p>
        </w:tc>
        <w:tc>
          <w:tcPr>
            <w:tcW w:w="18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5"/>
              </w:rPr>
              <w:t>The Company may at its option redeem the 2063 Notes in whole or in part, at any time or from</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6"/>
              </w:rPr>
              <w:t>time to time prior to their maturity, on at least 15 days, but not more than 60 days, prior notice</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1"/>
              </w:rPr>
              <w:t>transmitted to the registered address of each holder of the 2063 Notes, at the “Redemption Price.”</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4"/>
              </w:rPr>
              <w:t>Prior to May 1, 2063 (the “2063 Par Call Date”), the Redemption Price is the greater of (i) 100%</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4"/>
              </w:rPr>
              <w:t>of the principal amount of the 2063 Notes, and (ii) the sum of the present values of the principal</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89"/>
              </w:rPr>
              <w:t>amount of such notes and the scheduled payments of interest thereon (exclusive of interest accrued</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7"/>
              </w:rPr>
              <w:t>to the date of redemption) from the redemption date to the 2063 Par Call Date, in each case</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2"/>
              </w:rPr>
              <w:t>discounted to the redemption date on a semiannual basis (assuming a 360-day year consisting of</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89"/>
              </w:rPr>
              <w:t>twelve 30-day months) at the Treasury Rate (as defined in the 2063 Notes) plus 20 basis points. On</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1"/>
              </w:rPr>
              <w:t>and after the 2063 Par Call Date, the Redemption Price will equal 100% of the principal amount of</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3"/>
              </w:rPr>
              <w:t>such notes. In each case described in this paragraph, the Redemption Price will include accrued</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89"/>
              </w:rPr>
              <w:t>and unpaid interest thereon to the date of redemption, and in each case described in this paragraph,</w:t>
            </w:r>
          </w:p>
        </w:tc>
      </w:tr>
      <w:tr>
        <w:trPr>
          <w:trHeight w:val="230"/>
        </w:trPr>
        <w:tc>
          <w:tcPr>
            <w:tcW w:w="3420" w:type="dxa"/>
            <w:vAlign w:val="bottom"/>
          </w:tcPr>
          <w:p>
            <w:pPr>
              <w:spacing w:after="0"/>
              <w:rPr>
                <w:sz w:val="20"/>
                <w:szCs w:val="20"/>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subject to the further description in the Prospectus dated [  ], 2022.</w:t>
            </w:r>
          </w:p>
        </w:tc>
      </w:tr>
      <w:tr>
        <w:trPr>
          <w:trHeight w:val="310"/>
        </w:trPr>
        <w:tc>
          <w:tcPr>
            <w:tcW w:w="34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88"/>
              </w:rPr>
              <w:t>The 2063 Notes need not be issued at the same time and the series may be reopened for issuance of</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1"/>
              </w:rPr>
              <w:t>an unlimited principal amount of additional 2063 Notes under this series. Additional 2063 Notes of</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2"/>
              </w:rPr>
              <w:t>this series may be consolidated with, and form a single series with, 2063 Notes then outstanding,</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1"/>
              </w:rPr>
              <w:t>including for purposes of determining whether the required percentage of the holders of record has</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5"/>
              </w:rPr>
              <w:t>given approval or consent to an amendment or waiver or joined in directing the Trustee to take</w:t>
            </w:r>
          </w:p>
        </w:tc>
      </w:tr>
      <w:tr>
        <w:trPr>
          <w:trHeight w:val="216"/>
        </w:trPr>
        <w:tc>
          <w:tcPr>
            <w:tcW w:w="3420" w:type="dxa"/>
            <w:vAlign w:val="bottom"/>
          </w:tcPr>
          <w:p>
            <w:pPr>
              <w:spacing w:after="0"/>
              <w:rPr>
                <w:sz w:val="18"/>
                <w:szCs w:val="18"/>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w w:val="91"/>
              </w:rPr>
              <w:t>certain actions on behalf of all holders; provided that if such additional 2063 Notes are not fungible</w:t>
            </w:r>
          </w:p>
        </w:tc>
      </w:tr>
      <w:tr>
        <w:trPr>
          <w:trHeight w:val="230"/>
        </w:trPr>
        <w:tc>
          <w:tcPr>
            <w:tcW w:w="3420" w:type="dxa"/>
            <w:vAlign w:val="bottom"/>
          </w:tcPr>
          <w:p>
            <w:pPr>
              <w:spacing w:after="0"/>
              <w:rPr>
                <w:sz w:val="20"/>
                <w:szCs w:val="20"/>
                <w:color w:val="auto"/>
              </w:rPr>
            </w:pPr>
          </w:p>
        </w:tc>
        <w:tc>
          <w:tcPr>
            <w:tcW w:w="7600" w:type="dxa"/>
            <w:vAlign w:val="bottom"/>
            <w:gridSpan w:val="3"/>
          </w:tcPr>
          <w:p>
            <w:pPr>
              <w:ind w:left="440"/>
              <w:spacing w:after="0"/>
              <w:rPr>
                <w:sz w:val="20"/>
                <w:szCs w:val="20"/>
                <w:color w:val="auto"/>
              </w:rPr>
            </w:pPr>
            <w:r>
              <w:rPr>
                <w:rFonts w:ascii="Arial" w:cs="Arial" w:eastAsia="Arial" w:hAnsi="Arial"/>
                <w:sz w:val="18"/>
                <w:szCs w:val="18"/>
                <w:color w:val="auto"/>
              </w:rPr>
              <w:t>with the 2063 Notes then outstanding for U.S.</w:t>
            </w:r>
          </w:p>
        </w:tc>
      </w:tr>
    </w:tbl>
    <w:p>
      <w:pPr>
        <w:sectPr>
          <w:pgSz w:w="11900" w:h="16838" w:orient="portrait"/>
          <w:cols w:equalWidth="0" w:num="1">
            <w:col w:w="11020"/>
          </w:cols>
          <w:pgMar w:left="440" w:top="257" w:right="43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p>
        </w:tc>
        <w:tc>
          <w:tcPr>
            <w:tcW w:w="8860" w:type="dxa"/>
            <w:vAlign w:val="bottom"/>
            <w:gridSpan w:val="3"/>
          </w:tcPr>
          <w:p>
            <w:pPr>
              <w:ind w:left="1060"/>
              <w:spacing w:after="0"/>
              <w:rPr>
                <w:sz w:val="20"/>
                <w:szCs w:val="20"/>
                <w:color w:val="auto"/>
              </w:rPr>
            </w:pPr>
            <w:r>
              <w:rPr>
                <w:rFonts w:ascii="Arial" w:cs="Arial" w:eastAsia="Arial" w:hAnsi="Arial"/>
                <w:sz w:val="18"/>
                <w:szCs w:val="18"/>
                <w:color w:val="auto"/>
                <w:w w:val="92"/>
              </w:rPr>
              <w:t>federal income tax purposes, such additional 2063 Notes will have one or more separate CUSIP numbers.</w:t>
            </w:r>
          </w:p>
        </w:tc>
      </w:tr>
      <w:tr>
        <w:trPr>
          <w:trHeight w:val="324"/>
        </w:trPr>
        <w:tc>
          <w:tcPr>
            <w:tcW w:w="21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860" w:type="dxa"/>
            <w:vAlign w:val="bottom"/>
            <w:gridSpan w:val="3"/>
          </w:tcPr>
          <w:p>
            <w:pPr>
              <w:ind w:left="1060"/>
              <w:spacing w:after="0"/>
              <w:rPr>
                <w:sz w:val="20"/>
                <w:szCs w:val="20"/>
                <w:color w:val="auto"/>
              </w:rPr>
            </w:pPr>
            <w:r>
              <w:rPr>
                <w:rFonts w:ascii="Arial" w:cs="Arial" w:eastAsia="Arial" w:hAnsi="Arial"/>
                <w:sz w:val="18"/>
                <w:szCs w:val="18"/>
                <w:color w:val="auto"/>
              </w:rPr>
              <w:t>None</w:t>
            </w:r>
          </w:p>
        </w:tc>
      </w:tr>
      <w:tr>
        <w:trPr>
          <w:trHeight w:val="324"/>
        </w:trPr>
        <w:tc>
          <w:tcPr>
            <w:tcW w:w="21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860" w:type="dxa"/>
            <w:vAlign w:val="bottom"/>
            <w:gridSpan w:val="3"/>
          </w:tcPr>
          <w:p>
            <w:pPr>
              <w:ind w:left="1060"/>
              <w:spacing w:after="0"/>
              <w:rPr>
                <w:sz w:val="20"/>
                <w:szCs w:val="20"/>
                <w:color w:val="auto"/>
              </w:rPr>
            </w:pPr>
            <w:r>
              <w:rPr>
                <w:rFonts w:ascii="Arial" w:cs="Arial" w:eastAsia="Arial" w:hAnsi="Arial"/>
                <w:sz w:val="18"/>
                <w:szCs w:val="18"/>
                <w:color w:val="auto"/>
              </w:rPr>
              <w:t>None</w:t>
            </w:r>
          </w:p>
        </w:tc>
      </w:tr>
      <w:tr>
        <w:trPr>
          <w:trHeight w:val="306"/>
        </w:trPr>
        <w:tc>
          <w:tcPr>
            <w:tcW w:w="21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860" w:type="dxa"/>
            <w:vAlign w:val="bottom"/>
            <w:gridSpan w:val="3"/>
          </w:tcPr>
          <w:p>
            <w:pPr>
              <w:ind w:left="1060"/>
              <w:spacing w:after="0"/>
              <w:rPr>
                <w:sz w:val="20"/>
                <w:szCs w:val="20"/>
                <w:color w:val="auto"/>
              </w:rPr>
            </w:pPr>
            <w:r>
              <w:rPr>
                <w:rFonts w:ascii="Arial" w:cs="Arial" w:eastAsia="Arial" w:hAnsi="Arial"/>
                <w:sz w:val="18"/>
                <w:szCs w:val="18"/>
                <w:color w:val="auto"/>
                <w:w w:val="93"/>
              </w:rPr>
              <w:t>The terms of the 2063 Notes shall include such other terms as are set forth in the Form of Note due 2063</w:t>
            </w:r>
          </w:p>
        </w:tc>
      </w:tr>
      <w:tr>
        <w:trPr>
          <w:trHeight w:val="194"/>
        </w:trPr>
        <w:tc>
          <w:tcPr>
            <w:tcW w:w="2140" w:type="dxa"/>
            <w:vAlign w:val="bottom"/>
          </w:tcPr>
          <w:p>
            <w:pPr>
              <w:spacing w:after="0"/>
              <w:rPr>
                <w:sz w:val="16"/>
                <w:szCs w:val="16"/>
                <w:color w:val="auto"/>
              </w:rPr>
            </w:pPr>
          </w:p>
        </w:tc>
        <w:tc>
          <w:tcPr>
            <w:tcW w:w="8860" w:type="dxa"/>
            <w:vAlign w:val="bottom"/>
            <w:gridSpan w:val="3"/>
          </w:tcPr>
          <w:p>
            <w:pPr>
              <w:ind w:left="106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C.</w:t>
            </w:r>
          </w:p>
        </w:tc>
      </w:tr>
      <w:tr>
        <w:trPr>
          <w:trHeight w:val="20"/>
        </w:trPr>
        <w:tc>
          <w:tcPr>
            <w:tcW w:w="2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precedent of such Indenture relating to the issuance and authentication of the Notes have been complied with. In such officer’s opinion, such covenants and conditions precedent have been complied with.</w:t>
      </w:r>
    </w:p>
    <w:p>
      <w:pPr>
        <w:sectPr>
          <w:pgSz w:w="11900" w:h="16838" w:orient="portrait"/>
          <w:cols w:equalWidth="0" w:num="1">
            <w:col w:w="11000"/>
          </w:cols>
          <w:pgMar w:left="440" w:top="274" w:right="4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Executive Vice President and Treasurer</w:t>
      </w:r>
    </w:p>
    <w:p>
      <w:pPr>
        <w:spacing w:after="0" w:line="24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Senior Vice President, Senior Deputy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General Counsel and Assistant Secretary</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020"/>
          </w:cols>
          <w:pgMar w:left="880" w:top="274" w:right="9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2051]</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2.887% Note due 2051</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DS7</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US20030NDS71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60" w:space="180"/>
            <w:col w:w="7780" w:space="720"/>
            <w:col w:w="1980"/>
          </w:cols>
          <w:pgMar w:left="440" w:top="270" w:right="4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w:t>
      </w:r>
    </w:p>
    <w:p>
      <w:pPr>
        <w:spacing w:after="0" w:line="39" w:lineRule="exact"/>
        <w:rPr>
          <w:sz w:val="20"/>
          <w:szCs w:val="20"/>
          <w:color w:val="auto"/>
        </w:rPr>
      </w:pPr>
    </w:p>
    <w:p>
      <w:pPr>
        <w:spacing w:after="0"/>
        <w:tabs>
          <w:tab w:leader="none" w:pos="6300" w:val="left"/>
          <w:tab w:leader="none" w:pos="7240" w:val="left"/>
        </w:tabs>
        <w:rPr>
          <w:sz w:val="20"/>
          <w:szCs w:val="20"/>
          <w:color w:val="auto"/>
        </w:rPr>
      </w:pPr>
      <w:r>
        <w:rPr>
          <w:rFonts w:ascii="Arial" w:cs="Arial" w:eastAsia="Arial" w:hAnsi="Arial"/>
          <w:sz w:val="18"/>
          <w:szCs w:val="18"/>
          <w:color w:val="auto"/>
        </w:rPr>
        <w:t>promises to pay to CEDE &amp; CO. or registered assigns, the principal sum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 Million Dollars) on November 1, 2051.</w:t>
      </w:r>
    </w:p>
    <w:p>
      <w:pPr>
        <w:spacing w:after="0" w:line="207" w:lineRule="exact"/>
        <w:rPr>
          <w:sz w:val="20"/>
          <w:szCs w:val="20"/>
          <w:color w:val="auto"/>
        </w:rPr>
      </w:pPr>
    </w:p>
    <w:p>
      <w:pPr>
        <w:ind w:left="440"/>
        <w:spacing w:after="0"/>
        <w:tabs>
          <w:tab w:leader="none" w:pos="8100" w:val="left"/>
        </w:tabs>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w:t>
      </w:r>
      <w:r>
        <w:rPr>
          <w:sz w:val="20"/>
          <w:szCs w:val="20"/>
          <w:color w:val="auto"/>
        </w:rPr>
        <w:tab/>
      </w:r>
      <w:r>
        <w:rPr>
          <w:rFonts w:ascii="Arial" w:cs="Arial" w:eastAsia="Arial" w:hAnsi="Arial"/>
          <w:sz w:val="16"/>
          <w:szCs w:val="16"/>
          <w:color w:val="auto"/>
        </w:rPr>
        <w:t>] 1,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71" w:name="page72"/>
    <w:bookmarkEnd w:id="7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 Senior Vice President, Senior Deputy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Counsel and Assistant Secretary</w:t>
      </w:r>
    </w:p>
    <w:p>
      <w:pPr>
        <w:sectPr>
          <w:pgSz w:w="11900" w:h="16838" w:orient="portrait"/>
          <w:cols w:equalWidth="0" w:num="1">
            <w:col w:w="11020"/>
          </w:cols>
          <w:pgMar w:left="440" w:top="274" w:right="43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6"/>
          <w:szCs w:val="16"/>
          <w:color w:val="auto"/>
        </w:rPr>
        <w:t>],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2.887% Note due 2051</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1.Interest.</w:t>
      </w:r>
    </w:p>
    <w:p>
      <w:pPr>
        <w:spacing w:after="0" w:line="221"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19, 2021. The Issuer will pay interest semi-annually in arrears on each Interest Payment Date, commencing [ ] 1, 2022. Interest will be computed on the basis of a 360-day year of twelve 30-day months.</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9" w:lineRule="exact"/>
        <w:rPr>
          <w:sz w:val="20"/>
          <w:szCs w:val="20"/>
          <w:color w:val="auto"/>
        </w:rPr>
      </w:pPr>
    </w:p>
    <w:p>
      <w:pPr>
        <w:ind w:left="960" w:hanging="53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20"/>
          </w:cols>
          <w:pgMar w:left="440" w:top="274" w:right="439" w:bottom="1440" w:gutter="0" w:footer="0" w:header="0"/>
        </w:sectPr>
      </w:pPr>
    </w:p>
    <w:bookmarkStart w:id="74" w:name="page75"/>
    <w:bookmarkEnd w:id="7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4.Indenture.</w:t>
      </w:r>
    </w:p>
    <w:p>
      <w:pPr>
        <w:spacing w:after="0" w:line="225"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208" w:lineRule="exact"/>
        <w:rPr>
          <w:sz w:val="20"/>
          <w:szCs w:val="20"/>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6" w:lineRule="exact"/>
        <w:rPr>
          <w:sz w:val="20"/>
          <w:szCs w:val="20"/>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19"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that, all liability of the Trustee and such Paying Agent with respect to such funds shall cease.</w:t>
      </w:r>
    </w:p>
    <w:p>
      <w:pPr>
        <w:spacing w:after="0" w:line="252" w:lineRule="exact"/>
        <w:rPr>
          <w:sz w:val="20"/>
          <w:szCs w:val="20"/>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2" w:lineRule="exact"/>
        <w:rPr>
          <w:sz w:val="20"/>
          <w:szCs w:val="20"/>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04" w:lineRule="exact"/>
        <w:rPr>
          <w:sz w:val="20"/>
          <w:szCs w:val="20"/>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6"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80" w:lineRule="exact"/>
        <w:rPr>
          <w:sz w:val="20"/>
          <w:szCs w:val="20"/>
          <w:color w:val="auto"/>
        </w:rPr>
      </w:pPr>
    </w:p>
    <w:p>
      <w:pPr>
        <w:jc w:val="both"/>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May 1, 2051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76" w:name="page77"/>
    <w:bookmarkEnd w:id="76"/>
    <w:p>
      <w:pPr>
        <w:jc w:val="both"/>
        <w:ind w:right="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3"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7" w:name="page78"/>
    <w:bookmarkEnd w:id="77"/>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Defaults and Remedies.</w:t>
      </w:r>
    </w:p>
    <w:p>
      <w:pPr>
        <w:spacing w:after="0" w:line="225" w:lineRule="exact"/>
        <w:rPr>
          <w:sz w:val="20"/>
          <w:szCs w:val="20"/>
          <w:color w:val="auto"/>
        </w:rPr>
      </w:pPr>
    </w:p>
    <w:p>
      <w:pPr>
        <w:jc w:val="both"/>
        <w:ind w:right="20"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93" w:lineRule="exact"/>
        <w:rPr>
          <w:sz w:val="20"/>
          <w:szCs w:val="20"/>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78" w:name="page79"/>
    <w:bookmarkEnd w:id="78"/>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Numbers.</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92" w:lineRule="exact"/>
        <w:rPr>
          <w:sz w:val="20"/>
          <w:szCs w:val="20"/>
          <w:color w:val="auto"/>
        </w:rPr>
      </w:pPr>
    </w:p>
    <w:p>
      <w:pPr>
        <w:ind w:left="960" w:hanging="532"/>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Arial" w:cs="Arial" w:eastAsia="Arial" w:hAnsi="Arial"/>
                <w:sz w:val="18"/>
                <w:szCs w:val="18"/>
                <w:color w:val="auto"/>
              </w:rPr>
              <w:t>Dated:</w:t>
            </w:r>
          </w:p>
        </w:tc>
        <w:tc>
          <w:tcPr>
            <w:tcW w:w="8340" w:type="dxa"/>
            <w:vAlign w:val="bottom"/>
            <w:gridSpan w:val="3"/>
          </w:tcPr>
          <w:p>
            <w:pPr>
              <w:ind w:left="2860"/>
              <w:spacing w:after="0"/>
              <w:rPr>
                <w:sz w:val="20"/>
                <w:szCs w:val="20"/>
                <w:color w:val="auto"/>
              </w:rPr>
            </w:pPr>
            <w:r>
              <w:rPr>
                <w:rFonts w:ascii="Arial" w:cs="Arial" w:eastAsia="Arial" w:hAnsi="Arial"/>
                <w:sz w:val="18"/>
                <w:szCs w:val="18"/>
                <w:color w:val="auto"/>
              </w:rPr>
              <w:t>Signed:</w:t>
            </w:r>
          </w:p>
        </w:tc>
      </w:tr>
      <w:tr>
        <w:trPr>
          <w:trHeight w:val="21"/>
        </w:trPr>
        <w:tc>
          <w:tcPr>
            <w:tcW w:w="48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Security)</w:t>
            </w:r>
          </w:p>
        </w:tc>
      </w:tr>
      <w:tr>
        <w:trPr>
          <w:trHeight w:val="459"/>
        </w:trPr>
        <w:tc>
          <w:tcPr>
            <w:tcW w:w="268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3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180" w:type="dxa"/>
            <w:vAlign w:val="bottom"/>
            <w:gridSpan w:val="2"/>
          </w:tcPr>
          <w:p>
            <w:pPr>
              <w:ind w:left="100"/>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w:t>
            </w:r>
          </w:p>
        </w:tc>
      </w:tr>
      <w:tr>
        <w:trPr>
          <w:trHeight w:val="216"/>
        </w:trPr>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w w:val="94"/>
              </w:rPr>
              <w:t>(or other signature guarantor program reasonably acceptable to the</w:t>
            </w:r>
          </w:p>
        </w:tc>
      </w:tr>
      <w:tr>
        <w:trPr>
          <w:trHeight w:val="230"/>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Trustee)</w:t>
            </w:r>
          </w:p>
        </w:tc>
      </w:tr>
      <w:tr>
        <w:trPr>
          <w:trHeight w:val="608"/>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exchanges of a part of this Global Security for certificated Notes or a part of another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2"/>
          </w:tcPr>
          <w:p>
            <w:pPr>
              <w:jc w:val="center"/>
              <w:ind w:right="340"/>
              <w:spacing w:after="0"/>
              <w:rPr>
                <w:sz w:val="20"/>
                <w:szCs w:val="20"/>
                <w:color w:val="auto"/>
              </w:rPr>
            </w:pPr>
            <w:r>
              <w:rPr>
                <w:rFonts w:ascii="Arial" w:cs="Arial" w:eastAsia="Arial" w:hAnsi="Arial"/>
                <w:sz w:val="14"/>
                <w:szCs w:val="14"/>
                <w:color w:val="auto"/>
              </w:rPr>
              <w:t>Amount of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w:t>
            </w:r>
          </w:p>
        </w:tc>
        <w:tc>
          <w:tcPr>
            <w:tcW w:w="780" w:type="dxa"/>
            <w:vAlign w:val="bottom"/>
          </w:tcPr>
          <w:p>
            <w:pPr>
              <w:spacing w:after="0"/>
              <w:rPr>
                <w:sz w:val="14"/>
                <w:szCs w:val="14"/>
                <w:color w:val="auto"/>
              </w:rPr>
            </w:pP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increase</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Amount of</w:t>
            </w:r>
          </w:p>
        </w:tc>
        <w:tc>
          <w:tcPr>
            <w:tcW w:w="78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Amount of</w:t>
            </w: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in Principal</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this Global</w:t>
            </w:r>
          </w:p>
        </w:tc>
        <w:tc>
          <w:tcPr>
            <w:tcW w:w="78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decrease</w:t>
            </w: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Amount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Security</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in Principal</w:t>
            </w: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this</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following such</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w:t>
            </w: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Amount of this</w:t>
            </w: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Global</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decrease or</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signatory of</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214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Global Security</w:t>
            </w:r>
          </w:p>
        </w:tc>
        <w:tc>
          <w:tcPr>
            <w:tcW w:w="10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Security</w:t>
            </w:r>
          </w:p>
        </w:tc>
        <w:tc>
          <w:tcPr>
            <w:tcW w:w="3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increase</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Trustee</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2056]</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2.937% Note due 2056</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DU2</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US20030NDU28</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60" w:space="180"/>
            <w:col w:w="7740" w:space="720"/>
            <w:col w:w="2020"/>
          </w:cols>
          <w:pgMar w:left="440" w:top="270" w:right="4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w:t>
      </w:r>
    </w:p>
    <w:p>
      <w:pPr>
        <w:spacing w:after="0" w:line="39" w:lineRule="exact"/>
        <w:rPr>
          <w:sz w:val="20"/>
          <w:szCs w:val="20"/>
          <w:color w:val="auto"/>
        </w:rPr>
      </w:pPr>
    </w:p>
    <w:p>
      <w:pPr>
        <w:spacing w:after="0"/>
        <w:tabs>
          <w:tab w:leader="none" w:pos="6300" w:val="left"/>
          <w:tab w:leader="none" w:pos="7240" w:val="left"/>
        </w:tabs>
        <w:rPr>
          <w:sz w:val="20"/>
          <w:szCs w:val="20"/>
          <w:color w:val="auto"/>
        </w:rPr>
      </w:pPr>
      <w:r>
        <w:rPr>
          <w:rFonts w:ascii="Arial" w:cs="Arial" w:eastAsia="Arial" w:hAnsi="Arial"/>
          <w:sz w:val="18"/>
          <w:szCs w:val="18"/>
          <w:color w:val="auto"/>
        </w:rPr>
        <w:t>promises to pay to CEDE &amp; CO. or registered assigns, the principal sum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 Million Dollars) on November 1, 2056.</w:t>
      </w:r>
    </w:p>
    <w:p>
      <w:pPr>
        <w:spacing w:after="0" w:line="207" w:lineRule="exact"/>
        <w:rPr>
          <w:sz w:val="20"/>
          <w:szCs w:val="20"/>
          <w:color w:val="auto"/>
        </w:rPr>
      </w:pPr>
    </w:p>
    <w:p>
      <w:pPr>
        <w:ind w:left="440"/>
        <w:spacing w:after="0"/>
        <w:tabs>
          <w:tab w:leader="none" w:pos="8100" w:val="left"/>
        </w:tabs>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w:t>
      </w:r>
      <w:r>
        <w:rPr>
          <w:sz w:val="20"/>
          <w:szCs w:val="20"/>
          <w:color w:val="auto"/>
        </w:rPr>
        <w:tab/>
      </w:r>
      <w:r>
        <w:rPr>
          <w:rFonts w:ascii="Arial" w:cs="Arial" w:eastAsia="Arial" w:hAnsi="Arial"/>
          <w:sz w:val="16"/>
          <w:szCs w:val="16"/>
          <w:color w:val="auto"/>
        </w:rPr>
        <w:t>] 1,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82" w:name="page83"/>
    <w:bookmarkEnd w:id="8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Vice President, Senior Deputy General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Counsel and Assistant Secretary</w:t>
      </w:r>
    </w:p>
    <w:p>
      <w:pPr>
        <w:sectPr>
          <w:pgSz w:w="11900" w:h="16838" w:orient="portrait"/>
          <w:cols w:equalWidth="0" w:num="1">
            <w:col w:w="11020"/>
          </w:cols>
          <w:pgMar w:left="440" w:top="274" w:right="43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6"/>
          <w:szCs w:val="16"/>
          <w:color w:val="auto"/>
        </w:rPr>
        <w:t>],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420"/>
          </w:cols>
          <w:pgMar w:left="440" w:top="274" w:right="10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2.937% Note due 2056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19, 2021. The Issuer will pay interest semi-annually in arrears on each Interest Payment Date, commencing [ ] 1, 2022. Interest will be computed on the basis of a 360-day year of twelve 30-day months.</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225"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20"/>
          </w:cols>
          <w:pgMar w:left="440" w:top="274" w:right="43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Indenture.</w:t>
      </w:r>
    </w:p>
    <w:p>
      <w:pPr>
        <w:spacing w:after="0" w:line="225"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225"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225"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Legal Defeasance and Covenant Defeasance.</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80" w:lineRule="exact"/>
        <w:rPr>
          <w:sz w:val="20"/>
          <w:szCs w:val="20"/>
          <w:color w:val="auto"/>
        </w:rPr>
      </w:pPr>
    </w:p>
    <w:p>
      <w:pPr>
        <w:jc w:val="both"/>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May 1, 2056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87" w:name="page88"/>
    <w:bookmarkEnd w:id="87"/>
    <w:p>
      <w:pPr>
        <w:jc w:val="both"/>
        <w:ind w:right="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3"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Defaults and Remedies.</w:t>
      </w:r>
    </w:p>
    <w:p>
      <w:pPr>
        <w:spacing w:after="0" w:line="225" w:lineRule="exact"/>
        <w:rPr>
          <w:sz w:val="20"/>
          <w:szCs w:val="20"/>
          <w:color w:val="auto"/>
        </w:rPr>
      </w:pPr>
    </w:p>
    <w:p>
      <w:pPr>
        <w:jc w:val="both"/>
        <w:ind w:right="20"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 CUSIP Numbers.</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Arial" w:cs="Arial" w:eastAsia="Arial" w:hAnsi="Arial"/>
                <w:sz w:val="18"/>
                <w:szCs w:val="18"/>
                <w:color w:val="auto"/>
              </w:rPr>
              <w:t>Dated:</w:t>
            </w:r>
          </w:p>
        </w:tc>
        <w:tc>
          <w:tcPr>
            <w:tcW w:w="100" w:type="dxa"/>
            <w:vAlign w:val="bottom"/>
          </w:tcPr>
          <w:p>
            <w:pPr>
              <w:spacing w:after="0"/>
              <w:rPr>
                <w:sz w:val="17"/>
                <w:szCs w:val="17"/>
                <w:color w:val="auto"/>
              </w:rPr>
            </w:pPr>
          </w:p>
        </w:tc>
        <w:tc>
          <w:tcPr>
            <w:tcW w:w="6500" w:type="dxa"/>
            <w:vAlign w:val="bottom"/>
            <w:gridSpan w:val="3"/>
          </w:tcPr>
          <w:p>
            <w:pPr>
              <w:ind w:left="1020"/>
              <w:spacing w:after="0"/>
              <w:rPr>
                <w:sz w:val="20"/>
                <w:szCs w:val="20"/>
                <w:color w:val="auto"/>
              </w:rPr>
            </w:pPr>
            <w:r>
              <w:rPr>
                <w:rFonts w:ascii="Arial" w:cs="Arial" w:eastAsia="Arial" w:hAnsi="Arial"/>
                <w:sz w:val="18"/>
                <w:szCs w:val="18"/>
                <w:color w:val="auto"/>
              </w:rPr>
              <w:t>Signed:</w:t>
            </w:r>
          </w:p>
        </w:tc>
      </w:tr>
      <w:tr>
        <w:trPr>
          <w:trHeight w:val="20"/>
        </w:trPr>
        <w:tc>
          <w:tcPr>
            <w:tcW w:w="48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8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(Signed exactly as name appears</w:t>
            </w:r>
          </w:p>
        </w:tc>
      </w:tr>
      <w:tr>
        <w:trPr>
          <w:trHeight w:val="230"/>
        </w:trPr>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on the other side of this Security)</w:t>
            </w:r>
          </w:p>
        </w:tc>
      </w:tr>
      <w:tr>
        <w:trPr>
          <w:trHeight w:val="473"/>
        </w:trPr>
        <w:tc>
          <w:tcPr>
            <w:tcW w:w="442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Participant in a recognized Signature Guarantee</w:t>
            </w:r>
          </w:p>
        </w:tc>
        <w:tc>
          <w:tcPr>
            <w:tcW w:w="188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program reasonably acceptable to the Trustee)</w:t>
            </w:r>
          </w:p>
        </w:tc>
      </w:tr>
      <w:tr>
        <w:trPr>
          <w:trHeight w:val="378"/>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7</w:t>
            </w:r>
          </w:p>
        </w:tc>
        <w:tc>
          <w:tcPr>
            <w:tcW w:w="29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exchanges of a part of this Global Security for certificated Notes or a part of another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w:t>
            </w:r>
          </w:p>
        </w:tc>
        <w:tc>
          <w:tcPr>
            <w:tcW w:w="210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Amount of</w:t>
            </w:r>
          </w:p>
        </w:tc>
        <w:tc>
          <w:tcPr>
            <w:tcW w:w="210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Amount of</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this Global</w:t>
            </w:r>
          </w:p>
        </w:tc>
        <w:tc>
          <w:tcPr>
            <w:tcW w:w="2100" w:type="dxa"/>
            <w:vAlign w:val="bottom"/>
          </w:tcPr>
          <w:p>
            <w:pPr>
              <w:spacing w:after="0"/>
              <w:rPr>
                <w:sz w:val="12"/>
                <w:szCs w:val="12"/>
                <w:color w:val="auto"/>
              </w:rPr>
            </w:pPr>
          </w:p>
        </w:tc>
      </w:tr>
      <w:tr>
        <w:trPr>
          <w:trHeight w:val="148"/>
        </w:trPr>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decrease</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increase</w:t>
            </w: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Security</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8"/>
        </w:trPr>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in Principal</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in Principal</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following such</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1"/>
              </w:rPr>
              <w:t>authorized</w:t>
            </w:r>
          </w:p>
        </w:tc>
      </w:tr>
      <w:tr>
        <w:trPr>
          <w:trHeight w:val="148"/>
        </w:trPr>
        <w:tc>
          <w:tcPr>
            <w:tcW w:w="580" w:type="dxa"/>
            <w:vAlign w:val="bottom"/>
          </w:tcPr>
          <w:p>
            <w:pPr>
              <w:spacing w:after="0" w:line="149" w:lineRule="exact"/>
              <w:rPr>
                <w:sz w:val="20"/>
                <w:szCs w:val="20"/>
                <w:color w:val="auto"/>
              </w:rPr>
            </w:pPr>
            <w:r>
              <w:rPr>
                <w:rFonts w:ascii="Arial" w:cs="Arial" w:eastAsia="Arial" w:hAnsi="Arial"/>
                <w:sz w:val="14"/>
                <w:szCs w:val="14"/>
                <w:color w:val="auto"/>
              </w:rPr>
              <w:t>Date of</w:t>
            </w:r>
          </w:p>
        </w:tc>
        <w:tc>
          <w:tcPr>
            <w:tcW w:w="15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Amount of this</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Amount of this</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decrease or</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signatory of</w:t>
            </w:r>
          </w:p>
        </w:tc>
      </w:tr>
      <w:tr>
        <w:trPr>
          <w:trHeight w:val="174"/>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Exchange</w:t>
            </w:r>
          </w:p>
        </w:tc>
        <w:tc>
          <w:tcPr>
            <w:tcW w:w="152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Global Security</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Global Security</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Trustee</w:t>
            </w: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2063]</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2.987% Note due 2063</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DW8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US20030NDW83</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60" w:space="180"/>
            <w:col w:w="7700" w:space="720"/>
            <w:col w:w="2060"/>
          </w:cols>
          <w:pgMar w:left="440" w:top="270" w:right="4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w:t>
      </w:r>
    </w:p>
    <w:p>
      <w:pPr>
        <w:spacing w:after="0" w:line="39" w:lineRule="exact"/>
        <w:rPr>
          <w:sz w:val="20"/>
          <w:szCs w:val="20"/>
          <w:color w:val="auto"/>
        </w:rPr>
      </w:pPr>
    </w:p>
    <w:p>
      <w:pPr>
        <w:spacing w:after="0"/>
        <w:tabs>
          <w:tab w:leader="none" w:pos="6300" w:val="left"/>
          <w:tab w:leader="none" w:pos="7240" w:val="left"/>
        </w:tabs>
        <w:rPr>
          <w:sz w:val="20"/>
          <w:szCs w:val="20"/>
          <w:color w:val="auto"/>
        </w:rPr>
      </w:pPr>
      <w:r>
        <w:rPr>
          <w:rFonts w:ascii="Arial" w:cs="Arial" w:eastAsia="Arial" w:hAnsi="Arial"/>
          <w:sz w:val="18"/>
          <w:szCs w:val="18"/>
          <w:color w:val="auto"/>
        </w:rPr>
        <w:t>promises to pay to CEDE &amp; CO. or registered assigns, the principal sum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 Million Dollars) on November 1, 2063.</w:t>
      </w:r>
    </w:p>
    <w:p>
      <w:pPr>
        <w:spacing w:after="0" w:line="207" w:lineRule="exact"/>
        <w:rPr>
          <w:sz w:val="20"/>
          <w:szCs w:val="20"/>
          <w:color w:val="auto"/>
        </w:rPr>
      </w:pPr>
    </w:p>
    <w:p>
      <w:pPr>
        <w:ind w:left="440"/>
        <w:spacing w:after="0"/>
        <w:tabs>
          <w:tab w:leader="none" w:pos="8100" w:val="left"/>
        </w:tabs>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w:t>
      </w:r>
      <w:r>
        <w:rPr>
          <w:sz w:val="20"/>
          <w:szCs w:val="20"/>
          <w:color w:val="auto"/>
        </w:rPr>
        <w:tab/>
      </w:r>
      <w:r>
        <w:rPr>
          <w:rFonts w:ascii="Arial" w:cs="Arial" w:eastAsia="Arial" w:hAnsi="Arial"/>
          <w:sz w:val="16"/>
          <w:szCs w:val="16"/>
          <w:color w:val="auto"/>
        </w:rPr>
        <w:t>] 1,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93" w:name="page94"/>
    <w:bookmarkEnd w:id="9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Vice President, Senior Deputy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General Counsel and Assistant Secretary</w:t>
      </w:r>
    </w:p>
    <w:p>
      <w:pPr>
        <w:sectPr>
          <w:pgSz w:w="11900" w:h="16838" w:orient="portrait"/>
          <w:cols w:equalWidth="0" w:num="1">
            <w:col w:w="11020"/>
          </w:cols>
          <w:pgMar w:left="440" w:top="274" w:right="43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within-mentioned Indenture.</w:t>
      </w:r>
    </w:p>
    <w:p>
      <w:pPr>
        <w:spacing w:after="0" w:line="33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6"/>
          <w:szCs w:val="16"/>
          <w:color w:val="auto"/>
        </w:rPr>
        <w:t>], 2022</w:t>
      </w:r>
    </w:p>
    <w:p>
      <w:pPr>
        <w:spacing w:after="0" w:line="13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420"/>
          </w:cols>
          <w:pgMar w:left="440" w:top="274" w:right="10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2.987% Note due 2063</w:t>
      </w:r>
    </w:p>
    <w:p>
      <w:pPr>
        <w:spacing w:after="0" w:line="252" w:lineRule="exact"/>
        <w:rPr>
          <w:sz w:val="20"/>
          <w:szCs w:val="20"/>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19, 2021. The Issuer will pay interest semi-annually in arrears on each Interest Payment Date, commencing [ ] 1, 2022. Interest will be computed on the basis of a 360-day year of twelve 30-day months.</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9" w:lineRule="exact"/>
        <w:rPr>
          <w:sz w:val="20"/>
          <w:szCs w:val="20"/>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20"/>
          </w:cols>
          <w:pgMar w:left="440" w:top="274" w:right="439" w:bottom="1440" w:gutter="0" w:footer="0" w:header="0"/>
        </w:sectPr>
      </w:pPr>
    </w:p>
    <w:bookmarkStart w:id="96" w:name="page97"/>
    <w:bookmarkEnd w:id="96"/>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p>
    <w:p>
      <w:pPr>
        <w:spacing w:after="0" w:line="225"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208" w:lineRule="exact"/>
        <w:rPr>
          <w:sz w:val="20"/>
          <w:szCs w:val="20"/>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6" w:lineRule="exact"/>
        <w:rPr>
          <w:sz w:val="20"/>
          <w:szCs w:val="20"/>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19" w:lineRule="exact"/>
        <w:rPr>
          <w:sz w:val="20"/>
          <w:szCs w:val="20"/>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that, all liability of the Trustee and such Paying Agent with respect to such funds shall cease.</w:t>
      </w:r>
    </w:p>
    <w:p>
      <w:pPr>
        <w:spacing w:after="0" w:line="252" w:lineRule="exact"/>
        <w:rPr>
          <w:sz w:val="20"/>
          <w:szCs w:val="20"/>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2"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04" w:lineRule="exact"/>
        <w:rPr>
          <w:sz w:val="20"/>
          <w:szCs w:val="20"/>
          <w:color w:val="auto"/>
        </w:rPr>
      </w:pPr>
    </w:p>
    <w:p>
      <w:pPr>
        <w:ind w:left="960" w:hanging="532"/>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6" w:lineRule="exact"/>
        <w:rPr>
          <w:sz w:val="20"/>
          <w:szCs w:val="20"/>
          <w:color w:val="auto"/>
        </w:rPr>
      </w:pPr>
    </w:p>
    <w:p>
      <w:pPr>
        <w:ind w:left="960" w:hanging="53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80" w:lineRule="exact"/>
        <w:rPr>
          <w:sz w:val="20"/>
          <w:szCs w:val="20"/>
          <w:color w:val="auto"/>
        </w:rPr>
      </w:pPr>
    </w:p>
    <w:p>
      <w:pPr>
        <w:jc w:val="both"/>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May 1, 2063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8" w:name="page99"/>
    <w:bookmarkEnd w:id="98"/>
    <w:p>
      <w:pPr>
        <w:jc w:val="both"/>
        <w:ind w:right="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3"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99" w:name="page100"/>
    <w:bookmarkEnd w:id="99"/>
    <w:p>
      <w:pPr>
        <w:ind w:left="960" w:hanging="53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Defaults and Remedies.</w:t>
      </w:r>
    </w:p>
    <w:p>
      <w:pPr>
        <w:spacing w:after="0" w:line="225" w:lineRule="exact"/>
        <w:rPr>
          <w:sz w:val="20"/>
          <w:szCs w:val="20"/>
          <w:color w:val="auto"/>
        </w:rPr>
      </w:pPr>
    </w:p>
    <w:p>
      <w:pPr>
        <w:jc w:val="both"/>
        <w:ind w:right="20"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93" w:lineRule="exact"/>
        <w:rPr>
          <w:sz w:val="20"/>
          <w:szCs w:val="20"/>
          <w:color w:val="auto"/>
        </w:rPr>
      </w:pPr>
    </w:p>
    <w:p>
      <w:pPr>
        <w:ind w:left="960" w:hanging="532"/>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960" w:hanging="5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960" w:hanging="5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00" w:name="page101"/>
    <w:bookmarkEnd w:id="100"/>
    <w:p>
      <w:pPr>
        <w:ind w:left="960" w:hanging="532"/>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Numbers.</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92" w:lineRule="exact"/>
        <w:rPr>
          <w:sz w:val="20"/>
          <w:szCs w:val="20"/>
          <w:color w:val="auto"/>
        </w:rPr>
      </w:pPr>
    </w:p>
    <w:p>
      <w:pPr>
        <w:ind w:left="960" w:hanging="532"/>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7000" w:type="dxa"/>
            <w:vAlign w:val="bottom"/>
            <w:gridSpan w:val="2"/>
          </w:tcPr>
          <w:p>
            <w:pPr>
              <w:ind w:left="1800"/>
              <w:spacing w:after="0"/>
              <w:rPr>
                <w:sz w:val="20"/>
                <w:szCs w:val="20"/>
                <w:color w:val="auto"/>
              </w:rPr>
            </w:pPr>
            <w:r>
              <w:rPr>
                <w:rFonts w:ascii="Arial" w:cs="Arial" w:eastAsia="Arial" w:hAnsi="Arial"/>
                <w:sz w:val="18"/>
                <w:szCs w:val="18"/>
                <w:color w:val="auto"/>
              </w:rPr>
              <w:t>Signed:_____________________________</w:t>
            </w:r>
          </w:p>
        </w:tc>
        <w:tc>
          <w:tcPr>
            <w:tcW w:w="0" w:type="dxa"/>
            <w:vAlign w:val="bottom"/>
          </w:tcPr>
          <w:p>
            <w:pPr>
              <w:spacing w:after="0"/>
              <w:rPr>
                <w:sz w:val="1"/>
                <w:szCs w:val="1"/>
                <w:color w:val="auto"/>
              </w:rPr>
            </w:pPr>
          </w:p>
        </w:tc>
      </w:tr>
      <w:tr>
        <w:trPr>
          <w:trHeight w:val="230"/>
        </w:trPr>
        <w:tc>
          <w:tcPr>
            <w:tcW w:w="4020" w:type="dxa"/>
            <w:vAlign w:val="bottom"/>
            <w:vMerge w:val="restart"/>
          </w:tcPr>
          <w:p>
            <w:pPr>
              <w:spacing w:after="0"/>
              <w:rPr>
                <w:sz w:val="20"/>
                <w:szCs w:val="20"/>
                <w:color w:val="auto"/>
              </w:rPr>
            </w:pPr>
            <w:r>
              <w:rPr>
                <w:rFonts w:ascii="Arial" w:cs="Arial" w:eastAsia="Arial" w:hAnsi="Arial"/>
                <w:sz w:val="18"/>
                <w:szCs w:val="18"/>
                <w:color w:val="auto"/>
              </w:rPr>
              <w:t>Signature Guarantee:</w:t>
            </w:r>
          </w:p>
        </w:tc>
        <w:tc>
          <w:tcPr>
            <w:tcW w:w="182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w w:val="94"/>
              </w:rPr>
              <w:t>(Signed exactly as name appears on the other side of this Security)</w:t>
            </w:r>
          </w:p>
        </w:tc>
        <w:tc>
          <w:tcPr>
            <w:tcW w:w="0" w:type="dxa"/>
            <w:vAlign w:val="bottom"/>
          </w:tcPr>
          <w:p>
            <w:pPr>
              <w:spacing w:after="0"/>
              <w:rPr>
                <w:sz w:val="1"/>
                <w:szCs w:val="1"/>
                <w:color w:val="auto"/>
              </w:rPr>
            </w:pPr>
          </w:p>
        </w:tc>
      </w:tr>
      <w:tr>
        <w:trPr>
          <w:trHeight w:val="216"/>
        </w:trPr>
        <w:tc>
          <w:tcPr>
            <w:tcW w:w="402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w w:val="94"/>
              </w:rPr>
              <w:t>(or other signature guarantor program reasonably acceptable to the</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78"/>
        </w:trPr>
        <w:tc>
          <w:tcPr>
            <w:tcW w:w="4020" w:type="dxa"/>
            <w:vAlign w:val="bottom"/>
          </w:tcPr>
          <w:p>
            <w:pPr>
              <w:spacing w:after="0"/>
              <w:rPr>
                <w:sz w:val="24"/>
                <w:szCs w:val="24"/>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exchanges of a part of this Global Security for certificated Notes or a part of another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w:t>
            </w:r>
          </w:p>
        </w:tc>
        <w:tc>
          <w:tcPr>
            <w:tcW w:w="780" w:type="dxa"/>
            <w:vAlign w:val="bottom"/>
          </w:tcPr>
          <w:p>
            <w:pPr>
              <w:spacing w:after="0"/>
              <w:rPr>
                <w:sz w:val="14"/>
                <w:szCs w:val="14"/>
                <w:color w:val="auto"/>
              </w:rPr>
            </w:pP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Amount of</w:t>
            </w:r>
          </w:p>
        </w:tc>
        <w:tc>
          <w:tcPr>
            <w:tcW w:w="78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this Global</w:t>
            </w:r>
          </w:p>
        </w:tc>
        <w:tc>
          <w:tcPr>
            <w:tcW w:w="78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Amount of increase</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Security</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Amount of decrease</w:t>
            </w: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in Principal</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following such</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w:t>
            </w:r>
          </w:p>
        </w:tc>
      </w:tr>
      <w:tr>
        <w:trPr>
          <w:trHeight w:val="149"/>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in Principal Amount of this Global</w:t>
            </w:r>
          </w:p>
        </w:tc>
        <w:tc>
          <w:tcPr>
            <w:tcW w:w="3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Amount of this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decrease or</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signatory of</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214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Security</w:t>
            </w:r>
          </w:p>
        </w:tc>
        <w:tc>
          <w:tcPr>
            <w:tcW w:w="10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Global Security</w:t>
            </w:r>
          </w:p>
        </w:tc>
        <w:tc>
          <w:tcPr>
            <w:tcW w:w="3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increase</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Trustee</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 am Senior Vice President, Senior Deputy General Counsel and Assistant Secretary of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have acted for the Company in connection with the Company’s offer (the “Exchange Offer”) to exchange its 2.887% Notes due 2051, 2.937% Notes due 2056 and 2.987% Notes due 2063 (the “New Notes”), issued pursuant to an indenture dated as of September 18, 2013 (the “Base Indenture”) by and among the Company, the guarantors named therein and The Bank of New York Mellon, as trustee (the “Trustee”), as supplemented by the First Supplemental Indenture dated as of November 17, 2015 (the “First Supplemental Indenture” and, together with the Base Indenture, the “Indenture”) among the Company, the guarantors named therein (the “Guarantors”) and the Trustee, and guaranteed on an unsecured and unsubordinated basis by the Guarantors, for any and all of its outstanding 2.887% Notes due 2051, 2.937% Notes due 2056 and 2.987% Notes due 2063 (the “Old Notes”) pursuant to the registration statement on Form S-4 (the “Registration Statement”) filed by the Company with the Securities and Exchange Commission.</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 advise you that, in my opinion:</w:t>
      </w:r>
    </w:p>
    <w:p>
      <w:pPr>
        <w:spacing w:after="0" w:line="131" w:lineRule="exact"/>
        <w:rPr>
          <w:sz w:val="20"/>
          <w:szCs w:val="20"/>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New Notes have been duly authorized by the Company.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w:t>
      </w:r>
    </w:p>
    <w:p>
      <w:pPr>
        <w:sectPr>
          <w:pgSz w:w="11900" w:h="16838" w:orient="portrait"/>
          <w:cols w:equalWidth="0" w:num="1">
            <w:col w:w="11020"/>
          </w:cols>
          <w:pgMar w:left="440" w:top="121" w:right="439" w:bottom="1440" w:gutter="0" w:footer="0" w:header="0"/>
        </w:sectPr>
      </w:pPr>
    </w:p>
    <w:bookmarkStart w:id="104" w:name="page105"/>
    <w:bookmarkEnd w:id="104"/>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 of 1933.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Elizabeth Wideman</w:t>
      </w:r>
    </w:p>
    <w:p>
      <w:pPr>
        <w:sectPr>
          <w:pgSz w:w="11900" w:h="16838" w:orient="portrait"/>
          <w:cols w:equalWidth="0" w:num="1">
            <w:col w:w="11000"/>
          </w:cols>
          <w:pgMar w:left="440" w:top="274" w:right="4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+1 212 450 4000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98552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985520" cy="274320"/>
                    </a:xfrm>
                    <a:prstGeom prst="rect">
                      <a:avLst/>
                    </a:prstGeom>
                    <a:noFill/>
                  </pic:spPr>
                </pic:pic>
              </a:graphicData>
            </a:graphic>
          </wp:anchor>
        </w:drawing>
      </w:r>
    </w:p>
    <w:p>
      <w:pPr>
        <w:spacing w:after="0" w:line="2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davispolk.com</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Davis Polk &amp; Wardwell </w:t>
      </w:r>
      <w:r>
        <w:rPr>
          <w:rFonts w:ascii="Arial" w:cs="Arial" w:eastAsia="Arial" w:hAnsi="Arial"/>
          <w:sz w:val="13"/>
          <w:szCs w:val="13"/>
          <w:color w:val="auto"/>
        </w:rPr>
        <w:t>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6900" w:space="720"/>
            <w:col w:w="3400"/>
          </w:cols>
          <w:pgMar w:left="440" w:top="121"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acted as special counsel to Comcast Corporation, a Pennsylvania corporation (the “Company”), NBCUniversal Media, LLC, a Delaware limited liability company and Comcast Cable Communications, LLC, a Delaware limited liability company (the “Guarantors”) in connection with the Company’s offer (the “Exchange Offer”) to exchange its 2.887% Notes due 2051, 2.937% Notes due 2056 and 2.987% Notes due 2063 (the “New Notes”, and together with the related guarantees by the Guarantors, collectively, the “New Securities”), issued pursuant to an indenture dated as of September 18, 2013 (the “Base Indenture”) by and among the Company, the guarantors named therein and The Bank of New York Mellon, as trustee (the “Trustee”), as supplemented by the First Supplemental Indenture dated as of November 17, 2015 (the “First Supplemental Indenture” and, together with the Base Indenture, the “Indenture”) among the Company, the Guarantors and the Trustee, for any and all of its outstanding 2.887% Notes due 2051, 2.937% Notes due 2056 and 2.987% Notes due 2063 (the “Old Notes”, and together with the related guarantees by the Guarantors, collectively, the “Old Securities”) pursuant to the registration statement on Form S-4 (the “Registration Statement”) filed by the Company with the Securities and Exchange Commission.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 the New Securities, when the New Securities are executed, authenticated and delivered in exchange for the Old Securities in accordance with the terms of the Indenture and the Exchange Offer,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w:t>
      </w:r>
    </w:p>
    <w:p>
      <w:pPr>
        <w:sectPr>
          <w:pgSz w:w="11900" w:h="16838" w:orient="portrait"/>
          <w:cols w:equalWidth="0" w:num="1">
            <w:col w:w="11020"/>
          </w:cols>
          <w:pgMar w:left="440" w:top="121" w:right="439" w:bottom="1440" w:gutter="0" w:footer="0" w:header="0"/>
          <w:type w:val="continuous"/>
        </w:sectPr>
      </w:pPr>
    </w:p>
    <w:bookmarkStart w:id="106" w:name="page107"/>
    <w:bookmarkEnd w:id="106"/>
    <w:p>
      <w:pPr>
        <w:spacing w:after="0"/>
        <w:tabs>
          <w:tab w:leader="none" w:pos="5680" w:val="left"/>
          <w:tab w:leader="none" w:pos="9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18, 2022</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applicability; provided that we express no opinion as to (x) the effect of fraudulent conveyance, fraudulent transfer or similar provision of applicable law on the conclusions expressed above, (y) any provision of the Indenture that purports to avoid the effect of fraudulent conveyance, fraudulent transfer or similar provision of applicable law by limiting the amount of any Guarantor’s obligation or (z) the validity, legally binding effect or enforceability of any provision that permits holders to collect any portion of stated principal amount upon acceleration of the New Securities to the extent determined to constitute unearned interest.</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opinions expressed above, we have assumed that (i) the Registration Statement shall have been declared effective and such effectiveness shall not have been suspended; (ii) the Indenture and the New Securities are each valid, binding and enforceable agreements of each party thereto (other than as expressly covered above in respect of the Company and the Guarantors); and (iii) there shall not have occurred any change in law affecting the validity or enforceability of any of the New Securities.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and Limited Liability Company Laws of the State of Delaware. Insofar as the foregoing opinion involves matters governed by the laws of Pennsylvania, we have relied, without independent inquiry or investigation, on the opinion of the Senior Deputy General Counsel of Comcast Corporation, filed with the Registration Statement on the date hereof.</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 of 1933.</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020"/>
          </w:cols>
          <w:pgMar w:left="440" w:top="274"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S-4 of our report dated February 2, 2022, relating to the financial statements of Comcast Corporation and the effectiveness of Comcast Corporation’s internal control over financial reporting, appearing in the Annual Report on Form 10-K of Comcast Corporation for the year ended December 31, 2021.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ectPr>
          <w:pgSz w:w="11900" w:h="16838" w:orient="portrait"/>
          <w:cols w:equalWidth="0" w:num="1">
            <w:col w:w="11020"/>
          </w:cols>
          <w:pgMar w:left="440" w:top="121" w:right="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right="20" w:hanging="424"/>
        <w:spacing w:after="0" w:line="256" w:lineRule="auto"/>
        <w:tabs>
          <w:tab w:leader="none" w:pos="424" w:val="left"/>
        </w:tabs>
        <w:numPr>
          <w:ilvl w:val="0"/>
          <w:numId w:val="87"/>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206375</wp:posOffset>
            </wp:positionV>
            <wp:extent cx="1474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84" w:type="dxa"/>
        <w:tblCellMar>
          <w:top w:w="0" w:type="dxa"/>
          <w:left w:w="0" w:type="dxa"/>
          <w:bottom w:w="0" w:type="dxa"/>
          <w:right w:w="0" w:type="dxa"/>
        </w:tblCellMar>
      </w:tblPr>
      <w:tr>
        <w:trPr>
          <w:trHeight w:val="212"/>
        </w:trPr>
        <w:tc>
          <w:tcPr>
            <w:tcW w:w="612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92"/>
              </w:rPr>
              <w:t>New York</w:t>
            </w:r>
          </w:p>
        </w:tc>
        <w:tc>
          <w:tcPr>
            <w:tcW w:w="148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13-5160382</w:t>
            </w:r>
          </w:p>
        </w:tc>
      </w:tr>
      <w:tr>
        <w:trPr>
          <w:trHeight w:val="148"/>
        </w:trPr>
        <w:tc>
          <w:tcPr>
            <w:tcW w:w="6120" w:type="dxa"/>
            <w:vAlign w:val="bottom"/>
            <w:gridSpan w:val="3"/>
          </w:tcPr>
          <w:p>
            <w:pPr>
              <w:jc w:val="center"/>
              <w:ind w:right="3160"/>
              <w:spacing w:after="0" w:line="149" w:lineRule="exact"/>
              <w:rPr>
                <w:sz w:val="20"/>
                <w:szCs w:val="20"/>
                <w:color w:val="auto"/>
              </w:rPr>
            </w:pPr>
            <w:r>
              <w:rPr>
                <w:rFonts w:ascii="Arial" w:cs="Arial" w:eastAsia="Arial" w:hAnsi="Arial"/>
                <w:sz w:val="14"/>
                <w:szCs w:val="14"/>
                <w:b w:val="1"/>
                <w:bCs w:val="1"/>
                <w:color w:val="auto"/>
                <w:w w:val="94"/>
              </w:rPr>
              <w:t>(Jurisdiction of incorporation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12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if not a U.S. national bank)</w:t>
            </w:r>
          </w:p>
        </w:tc>
        <w:tc>
          <w:tcPr>
            <w:tcW w:w="1480" w:type="dxa"/>
            <w:vAlign w:val="bottom"/>
          </w:tcPr>
          <w:p>
            <w:pPr>
              <w:jc w:val="center"/>
              <w:ind w:left="321"/>
              <w:spacing w:after="0"/>
              <w:rPr>
                <w:sz w:val="20"/>
                <w:szCs w:val="20"/>
                <w:color w:val="auto"/>
              </w:rPr>
            </w:pPr>
            <w:r>
              <w:rPr>
                <w:rFonts w:ascii="Arial" w:cs="Arial" w:eastAsia="Arial" w:hAnsi="Arial"/>
                <w:sz w:val="14"/>
                <w:szCs w:val="14"/>
                <w:b w:val="1"/>
                <w:bCs w:val="1"/>
                <w:color w:val="auto"/>
                <w:w w:val="92"/>
              </w:rPr>
              <w:t>identification no.)</w:t>
            </w:r>
          </w:p>
        </w:tc>
      </w:tr>
      <w:tr>
        <w:trPr>
          <w:trHeight w:val="421"/>
        </w:trPr>
        <w:tc>
          <w:tcPr>
            <w:tcW w:w="612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91"/>
              </w:rPr>
              <w:t>240 Greenwich Street, New York, N.Y.</w:t>
            </w:r>
          </w:p>
        </w:tc>
        <w:tc>
          <w:tcPr>
            <w:tcW w:w="1480" w:type="dxa"/>
            <w:vAlign w:val="bottom"/>
          </w:tcPr>
          <w:p>
            <w:pPr>
              <w:jc w:val="center"/>
              <w:ind w:left="281"/>
              <w:spacing w:after="0"/>
              <w:rPr>
                <w:sz w:val="20"/>
                <w:szCs w:val="20"/>
                <w:color w:val="auto"/>
              </w:rPr>
            </w:pPr>
            <w:r>
              <w:rPr>
                <w:rFonts w:ascii="Arial" w:cs="Arial" w:eastAsia="Arial" w:hAnsi="Arial"/>
                <w:sz w:val="18"/>
                <w:szCs w:val="18"/>
                <w:b w:val="1"/>
                <w:bCs w:val="1"/>
                <w:color w:val="auto"/>
                <w:w w:val="87"/>
              </w:rPr>
              <w:t>10286</w:t>
            </w:r>
          </w:p>
        </w:tc>
      </w:tr>
      <w:tr>
        <w:trPr>
          <w:trHeight w:val="186"/>
        </w:trPr>
        <w:tc>
          <w:tcPr>
            <w:tcW w:w="612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21"/>
              <w:spacing w:after="0"/>
              <w:rPr>
                <w:sz w:val="20"/>
                <w:szCs w:val="20"/>
                <w:color w:val="auto"/>
              </w:rPr>
            </w:pPr>
            <w:r>
              <w:rPr>
                <w:rFonts w:ascii="Arial" w:cs="Arial" w:eastAsia="Arial" w:hAnsi="Arial"/>
                <w:sz w:val="14"/>
                <w:szCs w:val="14"/>
                <w:b w:val="1"/>
                <w:bCs w:val="1"/>
                <w:color w:val="auto"/>
                <w:w w:val="95"/>
              </w:rPr>
              <w:t>(Zip code)</w:t>
            </w:r>
          </w:p>
        </w:tc>
      </w:tr>
      <w:tr>
        <w:trPr>
          <w:trHeight w:val="350"/>
        </w:trPr>
        <w:tc>
          <w:tcPr>
            <w:tcW w:w="30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3"/>
        </w:trPr>
        <w:tc>
          <w:tcPr>
            <w:tcW w:w="3060" w:type="dxa"/>
            <w:vAlign w:val="bottom"/>
          </w:tcPr>
          <w:p>
            <w:pPr>
              <w:spacing w:after="0"/>
              <w:rPr>
                <w:sz w:val="24"/>
                <w:szCs w:val="24"/>
                <w:color w:val="auto"/>
              </w:rPr>
            </w:pPr>
          </w:p>
        </w:tc>
        <w:tc>
          <w:tcPr>
            <w:tcW w:w="30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COMCAST CORPORATION</w:t>
            </w:r>
          </w:p>
        </w:tc>
        <w:tc>
          <w:tcPr>
            <w:tcW w:w="1480" w:type="dxa"/>
            <w:vAlign w:val="bottom"/>
          </w:tcPr>
          <w:p>
            <w:pPr>
              <w:spacing w:after="0"/>
              <w:rPr>
                <w:sz w:val="24"/>
                <w:szCs w:val="24"/>
                <w:color w:val="auto"/>
              </w:rPr>
            </w:pPr>
          </w:p>
        </w:tc>
      </w:tr>
      <w:tr>
        <w:trPr>
          <w:trHeight w:val="186"/>
        </w:trPr>
        <w:tc>
          <w:tcPr>
            <w:tcW w:w="6120" w:type="dxa"/>
            <w:vAlign w:val="bottom"/>
            <w:gridSpan w:val="3"/>
          </w:tcPr>
          <w:p>
            <w:pPr>
              <w:jc w:val="center"/>
              <w:ind w:left="2261"/>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480" w:type="dxa"/>
            <w:vAlign w:val="bottom"/>
          </w:tcPr>
          <w:p>
            <w:pPr>
              <w:spacing w:after="0"/>
              <w:rPr>
                <w:sz w:val="16"/>
                <w:szCs w:val="16"/>
                <w:color w:val="auto"/>
              </w:rPr>
            </w:pPr>
          </w:p>
        </w:tc>
      </w:tr>
      <w:tr>
        <w:trPr>
          <w:trHeight w:val="336"/>
        </w:trPr>
        <w:tc>
          <w:tcPr>
            <w:tcW w:w="30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0"/>
        </w:trPr>
        <w:tc>
          <w:tcPr>
            <w:tcW w:w="612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8"/>
              </w:rPr>
              <w:t>Pennsylvania</w:t>
            </w:r>
          </w:p>
        </w:tc>
        <w:tc>
          <w:tcPr>
            <w:tcW w:w="148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6120" w:type="dxa"/>
            <w:vAlign w:val="bottom"/>
            <w:gridSpan w:val="3"/>
          </w:tcPr>
          <w:p>
            <w:pPr>
              <w:jc w:val="center"/>
              <w:ind w:right="31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120" w:type="dxa"/>
            <w:vAlign w:val="bottom"/>
            <w:gridSpan w:val="3"/>
          </w:tcPr>
          <w:p>
            <w:pPr>
              <w:jc w:val="center"/>
              <w:ind w:right="3120"/>
              <w:spacing w:after="0"/>
              <w:rPr>
                <w:sz w:val="20"/>
                <w:szCs w:val="20"/>
                <w:color w:val="auto"/>
              </w:rPr>
            </w:pPr>
            <w:r>
              <w:rPr>
                <w:rFonts w:ascii="Arial" w:cs="Arial" w:eastAsia="Arial" w:hAnsi="Arial"/>
                <w:sz w:val="14"/>
                <w:szCs w:val="14"/>
                <w:b w:val="1"/>
                <w:bCs w:val="1"/>
                <w:color w:val="auto"/>
                <w:w w:val="94"/>
              </w:rPr>
              <w:t>incorporation or organization)</w:t>
            </w:r>
          </w:p>
        </w:tc>
        <w:tc>
          <w:tcPr>
            <w:tcW w:w="1480" w:type="dxa"/>
            <w:vAlign w:val="bottom"/>
          </w:tcPr>
          <w:p>
            <w:pPr>
              <w:jc w:val="center"/>
              <w:ind w:left="321"/>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6120" w:type="dxa"/>
            <w:vAlign w:val="bottom"/>
            <w:gridSpan w:val="3"/>
          </w:tcPr>
          <w:p>
            <w:pPr>
              <w:jc w:val="center"/>
              <w:ind w:right="3120"/>
              <w:spacing w:after="0"/>
              <w:rPr>
                <w:sz w:val="20"/>
                <w:szCs w:val="20"/>
                <w:color w:val="auto"/>
              </w:rPr>
            </w:pPr>
            <w:r>
              <w:rPr>
                <w:rFonts w:ascii="Arial" w:cs="Arial" w:eastAsia="Arial" w:hAnsi="Arial"/>
                <w:sz w:val="18"/>
                <w:szCs w:val="18"/>
                <w:b w:val="1"/>
                <w:bCs w:val="1"/>
                <w:color w:val="auto"/>
                <w:w w:val="89"/>
              </w:rPr>
              <w:t>One Comcast Center</w:t>
            </w:r>
          </w:p>
        </w:tc>
        <w:tc>
          <w:tcPr>
            <w:tcW w:w="1480" w:type="dxa"/>
            <w:vAlign w:val="bottom"/>
          </w:tcPr>
          <w:p>
            <w:pPr>
              <w:spacing w:after="0"/>
              <w:rPr>
                <w:sz w:val="24"/>
                <w:szCs w:val="24"/>
                <w:color w:val="auto"/>
              </w:rPr>
            </w:pPr>
          </w:p>
        </w:tc>
      </w:tr>
      <w:tr>
        <w:trPr>
          <w:trHeight w:val="225"/>
        </w:trPr>
        <w:tc>
          <w:tcPr>
            <w:tcW w:w="612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89"/>
              </w:rPr>
              <w:t>Philadelphia, Pennsylvania</w:t>
            </w:r>
          </w:p>
        </w:tc>
        <w:tc>
          <w:tcPr>
            <w:tcW w:w="148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612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21"/>
              <w:spacing w:after="0"/>
              <w:rPr>
                <w:sz w:val="20"/>
                <w:szCs w:val="20"/>
                <w:color w:val="auto"/>
              </w:rPr>
            </w:pPr>
            <w:r>
              <w:rPr>
                <w:rFonts w:ascii="Arial" w:cs="Arial" w:eastAsia="Arial" w:hAnsi="Arial"/>
                <w:sz w:val="14"/>
                <w:szCs w:val="14"/>
                <w:b w:val="1"/>
                <w:bCs w:val="1"/>
                <w:color w:val="auto"/>
                <w:w w:val="95"/>
              </w:rPr>
              <w:t>(Zip code)</w:t>
            </w:r>
          </w:p>
        </w:tc>
      </w:tr>
    </w:tbl>
    <w:p>
      <w:pPr>
        <w:sectPr>
          <w:pgSz w:w="11900" w:h="16838" w:orient="portrait"/>
          <w:cols w:equalWidth="0" w:num="1">
            <w:col w:w="11024"/>
          </w:cols>
          <w:pgMar w:left="436" w:top="121" w:right="43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251460</wp:posOffset>
            </wp:positionV>
            <wp:extent cx="1474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31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5"/>
              </w:rPr>
              <w:t>NBCUniversal Media, LLC</w:t>
            </w:r>
          </w:p>
        </w:tc>
        <w:tc>
          <w:tcPr>
            <w:tcW w:w="3580" w:type="dxa"/>
            <w:vAlign w:val="bottom"/>
          </w:tcPr>
          <w:p>
            <w:pPr>
              <w:spacing w:after="0"/>
              <w:rPr>
                <w:sz w:val="18"/>
                <w:szCs w:val="18"/>
                <w:color w:val="auto"/>
              </w:rPr>
            </w:pPr>
          </w:p>
        </w:tc>
      </w:tr>
      <w:tr>
        <w:trPr>
          <w:trHeight w:val="186"/>
        </w:trPr>
        <w:tc>
          <w:tcPr>
            <w:tcW w:w="7440" w:type="dxa"/>
            <w:vAlign w:val="bottom"/>
            <w:gridSpan w:val="3"/>
          </w:tcPr>
          <w:p>
            <w:pPr>
              <w:jc w:val="center"/>
              <w:ind w:left="35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580" w:type="dxa"/>
            <w:vAlign w:val="bottom"/>
          </w:tcPr>
          <w:p>
            <w:pPr>
              <w:spacing w:after="0"/>
              <w:rPr>
                <w:sz w:val="16"/>
                <w:szCs w:val="16"/>
                <w:color w:val="auto"/>
              </w:rPr>
            </w:pPr>
          </w:p>
        </w:tc>
      </w:tr>
      <w:tr>
        <w:trPr>
          <w:trHeight w:val="349"/>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57"/>
        </w:trPr>
        <w:tc>
          <w:tcPr>
            <w:tcW w:w="744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Pr>
          <w:p>
            <w:pPr>
              <w:jc w:val="center"/>
              <w:ind w:right="1741"/>
              <w:spacing w:after="0"/>
              <w:rPr>
                <w:sz w:val="20"/>
                <w:szCs w:val="20"/>
                <w:color w:val="auto"/>
              </w:rPr>
            </w:pPr>
            <w:r>
              <w:rPr>
                <w:rFonts w:ascii="Arial" w:cs="Arial" w:eastAsia="Arial" w:hAnsi="Arial"/>
                <w:sz w:val="18"/>
                <w:szCs w:val="18"/>
                <w:b w:val="1"/>
                <w:bCs w:val="1"/>
                <w:color w:val="auto"/>
                <w:w w:val="91"/>
              </w:rPr>
              <w:t>14-1682529</w:t>
            </w:r>
          </w:p>
        </w:tc>
      </w:tr>
      <w:tr>
        <w:trPr>
          <w:trHeight w:val="148"/>
        </w:trPr>
        <w:tc>
          <w:tcPr>
            <w:tcW w:w="744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80" w:type="dxa"/>
            <w:vAlign w:val="bottom"/>
          </w:tcPr>
          <w:p>
            <w:pPr>
              <w:jc w:val="center"/>
              <w:ind w:right="17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4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4"/>
              </w:rPr>
              <w:t>incorporation or organization)</w:t>
            </w:r>
          </w:p>
        </w:tc>
        <w:tc>
          <w:tcPr>
            <w:tcW w:w="3580" w:type="dxa"/>
            <w:vAlign w:val="bottom"/>
          </w:tcPr>
          <w:p>
            <w:pPr>
              <w:jc w:val="center"/>
              <w:ind w:right="1701"/>
              <w:spacing w:after="0"/>
              <w:rPr>
                <w:sz w:val="20"/>
                <w:szCs w:val="20"/>
                <w:color w:val="auto"/>
              </w:rPr>
            </w:pPr>
            <w:r>
              <w:rPr>
                <w:rFonts w:ascii="Arial" w:cs="Arial" w:eastAsia="Arial" w:hAnsi="Arial"/>
                <w:sz w:val="14"/>
                <w:szCs w:val="14"/>
                <w:b w:val="1"/>
                <w:bCs w:val="1"/>
                <w:color w:val="auto"/>
                <w:w w:val="92"/>
              </w:rPr>
              <w:t>identification no.)</w:t>
            </w:r>
          </w:p>
        </w:tc>
      </w:tr>
      <w:tr>
        <w:trPr>
          <w:trHeight w:val="439"/>
        </w:trPr>
        <w:tc>
          <w:tcPr>
            <w:tcW w:w="744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0"/>
              </w:rPr>
              <w:t>30 Rockefeller Plaza</w:t>
            </w:r>
          </w:p>
        </w:tc>
        <w:tc>
          <w:tcPr>
            <w:tcW w:w="3580" w:type="dxa"/>
            <w:vAlign w:val="bottom"/>
          </w:tcPr>
          <w:p>
            <w:pPr>
              <w:spacing w:after="0"/>
              <w:rPr>
                <w:sz w:val="24"/>
                <w:szCs w:val="24"/>
                <w:color w:val="auto"/>
              </w:rPr>
            </w:pPr>
          </w:p>
        </w:tc>
      </w:tr>
      <w:tr>
        <w:trPr>
          <w:trHeight w:val="212"/>
        </w:trPr>
        <w:tc>
          <w:tcPr>
            <w:tcW w:w="744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3"/>
              </w:rPr>
              <w:t>New York, New York</w:t>
            </w:r>
          </w:p>
        </w:tc>
        <w:tc>
          <w:tcPr>
            <w:tcW w:w="3580" w:type="dxa"/>
            <w:vAlign w:val="bottom"/>
          </w:tcPr>
          <w:p>
            <w:pPr>
              <w:jc w:val="center"/>
              <w:ind w:right="1761"/>
              <w:spacing w:after="0"/>
              <w:rPr>
                <w:sz w:val="20"/>
                <w:szCs w:val="20"/>
                <w:color w:val="auto"/>
              </w:rPr>
            </w:pPr>
            <w:r>
              <w:rPr>
                <w:rFonts w:ascii="Arial" w:cs="Arial" w:eastAsia="Arial" w:hAnsi="Arial"/>
                <w:sz w:val="18"/>
                <w:szCs w:val="18"/>
                <w:b w:val="1"/>
                <w:bCs w:val="1"/>
                <w:color w:val="auto"/>
                <w:w w:val="89"/>
              </w:rPr>
              <w:t>10112-0015</w:t>
            </w:r>
          </w:p>
        </w:tc>
      </w:tr>
      <w:tr>
        <w:trPr>
          <w:trHeight w:val="186"/>
        </w:trPr>
        <w:tc>
          <w:tcPr>
            <w:tcW w:w="74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701"/>
              <w:spacing w:after="0"/>
              <w:rPr>
                <w:sz w:val="20"/>
                <w:szCs w:val="20"/>
                <w:color w:val="auto"/>
              </w:rPr>
            </w:pPr>
            <w:r>
              <w:rPr>
                <w:rFonts w:ascii="Arial" w:cs="Arial" w:eastAsia="Arial" w:hAnsi="Arial"/>
                <w:sz w:val="14"/>
                <w:szCs w:val="14"/>
                <w:b w:val="1"/>
                <w:bCs w:val="1"/>
                <w:color w:val="auto"/>
                <w:w w:val="95"/>
              </w:rPr>
              <w:t>(Zip code)</w:t>
            </w: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3"/>
        </w:trPr>
        <w:tc>
          <w:tcPr>
            <w:tcW w:w="7440" w:type="dxa"/>
            <w:vAlign w:val="bottom"/>
            <w:gridSpan w:val="3"/>
          </w:tcPr>
          <w:p>
            <w:pPr>
              <w:jc w:val="center"/>
              <w:ind w:left="3500"/>
              <w:spacing w:after="0"/>
              <w:rPr>
                <w:sz w:val="20"/>
                <w:szCs w:val="20"/>
                <w:color w:val="auto"/>
              </w:rPr>
            </w:pPr>
            <w:r>
              <w:rPr>
                <w:rFonts w:ascii="Arial" w:cs="Arial" w:eastAsia="Arial" w:hAnsi="Arial"/>
                <w:sz w:val="18"/>
                <w:szCs w:val="18"/>
                <w:b w:val="1"/>
                <w:bCs w:val="1"/>
                <w:color w:val="auto"/>
                <w:w w:val="91"/>
              </w:rPr>
              <w:t>Comcast Cable Communications, LLC</w:t>
            </w:r>
          </w:p>
        </w:tc>
        <w:tc>
          <w:tcPr>
            <w:tcW w:w="3580" w:type="dxa"/>
            <w:vAlign w:val="bottom"/>
          </w:tcPr>
          <w:p>
            <w:pPr>
              <w:spacing w:after="0"/>
              <w:rPr>
                <w:sz w:val="24"/>
                <w:szCs w:val="24"/>
                <w:color w:val="auto"/>
              </w:rPr>
            </w:pPr>
          </w:p>
        </w:tc>
      </w:tr>
      <w:tr>
        <w:trPr>
          <w:trHeight w:val="186"/>
        </w:trPr>
        <w:tc>
          <w:tcPr>
            <w:tcW w:w="7440" w:type="dxa"/>
            <w:vAlign w:val="bottom"/>
            <w:gridSpan w:val="3"/>
          </w:tcPr>
          <w:p>
            <w:pPr>
              <w:jc w:val="center"/>
              <w:ind w:left="35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58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70"/>
        </w:trPr>
        <w:tc>
          <w:tcPr>
            <w:tcW w:w="744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Pr>
          <w:p>
            <w:pPr>
              <w:jc w:val="center"/>
              <w:ind w:right="1701"/>
              <w:spacing w:after="0"/>
              <w:rPr>
                <w:sz w:val="20"/>
                <w:szCs w:val="20"/>
                <w:color w:val="auto"/>
              </w:rPr>
            </w:pPr>
            <w:r>
              <w:rPr>
                <w:rFonts w:ascii="Arial" w:cs="Arial" w:eastAsia="Arial" w:hAnsi="Arial"/>
                <w:sz w:val="18"/>
                <w:szCs w:val="18"/>
                <w:b w:val="1"/>
                <w:bCs w:val="1"/>
                <w:color w:val="auto"/>
                <w:w w:val="91"/>
              </w:rPr>
              <w:t>23-2175755</w:t>
            </w:r>
          </w:p>
        </w:tc>
      </w:tr>
      <w:tr>
        <w:trPr>
          <w:trHeight w:val="148"/>
        </w:trPr>
        <w:tc>
          <w:tcPr>
            <w:tcW w:w="744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80" w:type="dxa"/>
            <w:vAlign w:val="bottom"/>
          </w:tcPr>
          <w:p>
            <w:pPr>
              <w:jc w:val="center"/>
              <w:ind w:right="17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4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4"/>
              </w:rPr>
              <w:t>incorporation or organization)</w:t>
            </w:r>
          </w:p>
        </w:tc>
        <w:tc>
          <w:tcPr>
            <w:tcW w:w="3580" w:type="dxa"/>
            <w:vAlign w:val="bottom"/>
          </w:tcPr>
          <w:p>
            <w:pPr>
              <w:jc w:val="center"/>
              <w:ind w:right="1701"/>
              <w:spacing w:after="0"/>
              <w:rPr>
                <w:sz w:val="20"/>
                <w:szCs w:val="20"/>
                <w:color w:val="auto"/>
              </w:rPr>
            </w:pPr>
            <w:r>
              <w:rPr>
                <w:rFonts w:ascii="Arial" w:cs="Arial" w:eastAsia="Arial" w:hAnsi="Arial"/>
                <w:sz w:val="14"/>
                <w:szCs w:val="14"/>
                <w:b w:val="1"/>
                <w:bCs w:val="1"/>
                <w:color w:val="auto"/>
                <w:w w:val="92"/>
              </w:rPr>
              <w:t>identification no.)</w:t>
            </w:r>
          </w:p>
        </w:tc>
      </w:tr>
      <w:tr>
        <w:trPr>
          <w:trHeight w:val="439"/>
        </w:trPr>
        <w:tc>
          <w:tcPr>
            <w:tcW w:w="744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89"/>
              </w:rPr>
              <w:t>One Comcast Center</w:t>
            </w:r>
          </w:p>
        </w:tc>
        <w:tc>
          <w:tcPr>
            <w:tcW w:w="3580" w:type="dxa"/>
            <w:vAlign w:val="bottom"/>
          </w:tcPr>
          <w:p>
            <w:pPr>
              <w:spacing w:after="0"/>
              <w:rPr>
                <w:sz w:val="24"/>
                <w:szCs w:val="24"/>
                <w:color w:val="auto"/>
              </w:rPr>
            </w:pPr>
          </w:p>
        </w:tc>
      </w:tr>
      <w:tr>
        <w:trPr>
          <w:trHeight w:val="225"/>
        </w:trPr>
        <w:tc>
          <w:tcPr>
            <w:tcW w:w="744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89"/>
              </w:rPr>
              <w:t>Philadelphia, Pennsylvania</w:t>
            </w:r>
          </w:p>
        </w:tc>
        <w:tc>
          <w:tcPr>
            <w:tcW w:w="3580" w:type="dxa"/>
            <w:vAlign w:val="bottom"/>
          </w:tcPr>
          <w:p>
            <w:pPr>
              <w:jc w:val="center"/>
              <w:ind w:right="1741"/>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74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701"/>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7"/>
        </w:trPr>
        <w:tc>
          <w:tcPr>
            <w:tcW w:w="4340" w:type="dxa"/>
            <w:vAlign w:val="bottom"/>
          </w:tcPr>
          <w:p>
            <w:pPr>
              <w:spacing w:after="0"/>
              <w:rPr>
                <w:sz w:val="24"/>
                <w:szCs w:val="24"/>
                <w:color w:val="auto"/>
              </w:rPr>
            </w:pPr>
          </w:p>
        </w:tc>
        <w:tc>
          <w:tcPr>
            <w:tcW w:w="31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2.887% Notes due 2051</w:t>
            </w:r>
          </w:p>
        </w:tc>
        <w:tc>
          <w:tcPr>
            <w:tcW w:w="3580" w:type="dxa"/>
            <w:vAlign w:val="bottom"/>
          </w:tcPr>
          <w:p>
            <w:pPr>
              <w:spacing w:after="0"/>
              <w:rPr>
                <w:sz w:val="24"/>
                <w:szCs w:val="24"/>
                <w:color w:val="auto"/>
              </w:rPr>
            </w:pPr>
          </w:p>
        </w:tc>
      </w:tr>
      <w:tr>
        <w:trPr>
          <w:trHeight w:val="216"/>
        </w:trPr>
        <w:tc>
          <w:tcPr>
            <w:tcW w:w="4340" w:type="dxa"/>
            <w:vAlign w:val="bottom"/>
          </w:tcPr>
          <w:p>
            <w:pPr>
              <w:spacing w:after="0"/>
              <w:rPr>
                <w:sz w:val="18"/>
                <w:szCs w:val="18"/>
                <w:color w:val="auto"/>
              </w:rPr>
            </w:pPr>
          </w:p>
        </w:tc>
        <w:tc>
          <w:tcPr>
            <w:tcW w:w="31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2.937% Notes due 2056</w:t>
            </w:r>
          </w:p>
        </w:tc>
        <w:tc>
          <w:tcPr>
            <w:tcW w:w="3580" w:type="dxa"/>
            <w:vAlign w:val="bottom"/>
          </w:tcPr>
          <w:p>
            <w:pPr>
              <w:spacing w:after="0"/>
              <w:rPr>
                <w:sz w:val="18"/>
                <w:szCs w:val="18"/>
                <w:color w:val="auto"/>
              </w:rPr>
            </w:pPr>
          </w:p>
        </w:tc>
      </w:tr>
      <w:tr>
        <w:trPr>
          <w:trHeight w:val="212"/>
        </w:trPr>
        <w:tc>
          <w:tcPr>
            <w:tcW w:w="4340" w:type="dxa"/>
            <w:vAlign w:val="bottom"/>
          </w:tcPr>
          <w:p>
            <w:pPr>
              <w:spacing w:after="0"/>
              <w:rPr>
                <w:sz w:val="18"/>
                <w:szCs w:val="18"/>
                <w:color w:val="auto"/>
              </w:rPr>
            </w:pPr>
          </w:p>
        </w:tc>
        <w:tc>
          <w:tcPr>
            <w:tcW w:w="31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2.987% Notes due 2063</w:t>
            </w:r>
          </w:p>
        </w:tc>
        <w:tc>
          <w:tcPr>
            <w:tcW w:w="3580" w:type="dxa"/>
            <w:vAlign w:val="bottom"/>
          </w:tcPr>
          <w:p>
            <w:pPr>
              <w:spacing w:after="0"/>
              <w:rPr>
                <w:sz w:val="18"/>
                <w:szCs w:val="18"/>
                <w:color w:val="auto"/>
              </w:rPr>
            </w:pPr>
          </w:p>
        </w:tc>
      </w:tr>
      <w:tr>
        <w:trPr>
          <w:trHeight w:val="186"/>
        </w:trPr>
        <w:tc>
          <w:tcPr>
            <w:tcW w:w="4340" w:type="dxa"/>
            <w:vAlign w:val="bottom"/>
          </w:tcPr>
          <w:p>
            <w:pPr>
              <w:spacing w:after="0"/>
              <w:rPr>
                <w:sz w:val="16"/>
                <w:szCs w:val="16"/>
                <w:color w:val="auto"/>
              </w:rPr>
            </w:pPr>
          </w:p>
        </w:tc>
        <w:tc>
          <w:tcPr>
            <w:tcW w:w="31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(Title of the indenture securities)</w:t>
            </w:r>
          </w:p>
        </w:tc>
        <w:tc>
          <w:tcPr>
            <w:tcW w:w="3580" w:type="dxa"/>
            <w:vAlign w:val="bottom"/>
          </w:tcPr>
          <w:p>
            <w:pPr>
              <w:spacing w:after="0"/>
              <w:rPr>
                <w:sz w:val="16"/>
                <w:szCs w:val="16"/>
                <w:color w:val="auto"/>
              </w:rPr>
            </w:pPr>
          </w:p>
        </w:tc>
      </w:tr>
      <w:tr>
        <w:trPr>
          <w:trHeight w:val="215"/>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607" w:right="439" w:bottom="1440" w:gutter="0" w:footer="0" w:header="0"/>
        </w:sectPr>
      </w:pPr>
    </w:p>
    <w:bookmarkStart w:id="110" w:name="page111"/>
    <w:bookmarkEnd w:id="110"/>
    <w:p>
      <w:pPr>
        <w:ind w:left="424" w:hanging="424"/>
        <w:spacing w:after="0"/>
        <w:tabs>
          <w:tab w:leader="none" w:pos="42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48" w:lineRule="exact"/>
        <w:rPr>
          <w:sz w:val="20"/>
          <w:szCs w:val="20"/>
          <w:color w:val="auto"/>
        </w:rPr>
      </w:pPr>
    </w:p>
    <w:p>
      <w:pPr>
        <w:ind w:left="4"/>
        <w:spacing w:after="0"/>
        <w:tabs>
          <w:tab w:leader="none" w:pos="8104"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Superintendent of the Department of Financial Services of the State of New One State Street, New York, N.Y. 10004-1417, and Albany, N.Y. 12223 York</w:t>
      </w:r>
    </w:p>
    <w:p>
      <w:pPr>
        <w:spacing w:after="0" w:line="6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Federal Reserve Bank of New York</w:t>
            </w:r>
          </w:p>
        </w:tc>
        <w:tc>
          <w:tcPr>
            <w:tcW w:w="4720" w:type="dxa"/>
            <w:vAlign w:val="bottom"/>
            <w:gridSpan w:val="2"/>
          </w:tcPr>
          <w:p>
            <w:pPr>
              <w:ind w:left="1440"/>
              <w:spacing w:after="0"/>
              <w:rPr>
                <w:sz w:val="20"/>
                <w:szCs w:val="20"/>
                <w:color w:val="auto"/>
              </w:rPr>
            </w:pPr>
            <w:r>
              <w:rPr>
                <w:rFonts w:ascii="Arial" w:cs="Arial" w:eastAsia="Arial" w:hAnsi="Arial"/>
                <w:sz w:val="18"/>
                <w:szCs w:val="18"/>
                <w:color w:val="auto"/>
              </w:rPr>
              <w:t>33 Liberty Street, New York, N.Y. 10045</w:t>
            </w:r>
          </w:p>
        </w:tc>
      </w:tr>
      <w:tr>
        <w:trPr>
          <w:trHeight w:val="324"/>
        </w:trPr>
        <w:tc>
          <w:tcPr>
            <w:tcW w:w="430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1720" w:type="dxa"/>
            <w:vAlign w:val="bottom"/>
          </w:tcPr>
          <w:p>
            <w:pPr>
              <w:ind w:left="1440"/>
              <w:spacing w:after="0"/>
              <w:rPr>
                <w:sz w:val="20"/>
                <w:szCs w:val="20"/>
                <w:color w:val="auto"/>
              </w:rPr>
            </w:pPr>
            <w:r>
              <w:rPr>
                <w:rFonts w:ascii="Arial" w:cs="Arial" w:eastAsia="Arial" w:hAnsi="Arial"/>
                <w:sz w:val="18"/>
                <w:szCs w:val="18"/>
                <w:color w:val="auto"/>
                <w:w w:val="86"/>
              </w:rPr>
              <w:t>550</w:t>
            </w:r>
          </w:p>
        </w:tc>
        <w:tc>
          <w:tcPr>
            <w:tcW w:w="3000" w:type="dxa"/>
            <w:vAlign w:val="bottom"/>
          </w:tcPr>
          <w:p>
            <w:pPr>
              <w:ind w:left="20"/>
              <w:spacing w:after="0"/>
              <w:rPr>
                <w:sz w:val="20"/>
                <w:szCs w:val="20"/>
                <w:color w:val="auto"/>
              </w:rPr>
            </w:pPr>
            <w:r>
              <w:rPr>
                <w:rFonts w:ascii="Arial" w:cs="Arial" w:eastAsia="Arial" w:hAnsi="Arial"/>
                <w:sz w:val="18"/>
                <w:szCs w:val="18"/>
                <w:color w:val="auto"/>
                <w:w w:val="90"/>
              </w:rPr>
              <w:t>17</w:t>
            </w:r>
            <w:r>
              <w:rPr>
                <w:rFonts w:ascii="Arial" w:cs="Arial" w:eastAsia="Arial" w:hAnsi="Arial"/>
                <w:sz w:val="15"/>
                <w:szCs w:val="15"/>
                <w:color w:val="auto"/>
                <w:w w:val="90"/>
              </w:rPr>
              <w:t>th</w:t>
            </w:r>
            <w:r>
              <w:rPr>
                <w:rFonts w:ascii="Arial" w:cs="Arial" w:eastAsia="Arial" w:hAnsi="Arial"/>
                <w:sz w:val="18"/>
                <w:szCs w:val="18"/>
                <w:color w:val="auto"/>
                <w:w w:val="90"/>
              </w:rPr>
              <w:t xml:space="preserve"> Street, NW Washington, D.C. 20429</w:t>
            </w:r>
          </w:p>
        </w:tc>
      </w:tr>
      <w:tr>
        <w:trPr>
          <w:trHeight w:val="324"/>
        </w:trPr>
        <w:tc>
          <w:tcPr>
            <w:tcW w:w="4300" w:type="dxa"/>
            <w:vAlign w:val="bottom"/>
          </w:tcPr>
          <w:p>
            <w:pPr>
              <w:spacing w:after="0"/>
              <w:rPr>
                <w:sz w:val="20"/>
                <w:szCs w:val="20"/>
                <w:color w:val="auto"/>
              </w:rPr>
            </w:pPr>
            <w:r>
              <w:rPr>
                <w:rFonts w:ascii="Arial" w:cs="Arial" w:eastAsia="Arial" w:hAnsi="Arial"/>
                <w:sz w:val="18"/>
                <w:szCs w:val="18"/>
                <w:color w:val="auto"/>
              </w:rPr>
              <w:t>The Clearing House Association L.L.C.</w:t>
            </w:r>
          </w:p>
        </w:tc>
        <w:tc>
          <w:tcPr>
            <w:tcW w:w="1720" w:type="dxa"/>
            <w:vAlign w:val="bottom"/>
          </w:tcPr>
          <w:p>
            <w:pPr>
              <w:ind w:left="1440"/>
              <w:spacing w:after="0"/>
              <w:rPr>
                <w:sz w:val="20"/>
                <w:szCs w:val="20"/>
                <w:color w:val="auto"/>
              </w:rPr>
            </w:pPr>
            <w:r>
              <w:rPr>
                <w:rFonts w:ascii="Arial" w:cs="Arial" w:eastAsia="Arial" w:hAnsi="Arial"/>
                <w:sz w:val="18"/>
                <w:szCs w:val="18"/>
                <w:color w:val="auto"/>
                <w:w w:val="86"/>
              </w:rPr>
              <w:t>100</w:t>
            </w:r>
          </w:p>
        </w:tc>
        <w:tc>
          <w:tcPr>
            <w:tcW w:w="3000" w:type="dxa"/>
            <w:vAlign w:val="bottom"/>
          </w:tcPr>
          <w:p>
            <w:pPr>
              <w:ind w:left="20"/>
              <w:spacing w:after="0"/>
              <w:rPr>
                <w:sz w:val="20"/>
                <w:szCs w:val="20"/>
                <w:color w:val="auto"/>
              </w:rPr>
            </w:pPr>
            <w:r>
              <w:rPr>
                <w:rFonts w:ascii="Arial" w:cs="Arial" w:eastAsia="Arial" w:hAnsi="Arial"/>
                <w:sz w:val="18"/>
                <w:szCs w:val="18"/>
                <w:color w:val="auto"/>
              </w:rPr>
              <w:t>Broad Street New York, N.Y. 10004</w:t>
            </w:r>
          </w:p>
        </w:tc>
      </w:tr>
    </w:tbl>
    <w:p>
      <w:pPr>
        <w:spacing w:after="0" w:line="103" w:lineRule="exact"/>
        <w:rPr>
          <w:sz w:val="20"/>
          <w:szCs w:val="20"/>
          <w:color w:val="auto"/>
        </w:rPr>
      </w:pPr>
    </w:p>
    <w:p>
      <w:pPr>
        <w:ind w:left="964" w:hanging="532"/>
        <w:spacing w:after="0"/>
        <w:tabs>
          <w:tab w:leader="none" w:pos="964"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Yes.</w:t>
      </w:r>
    </w:p>
    <w:p>
      <w:pPr>
        <w:spacing w:after="0" w:line="127"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If the obligor is an affiliate of the trustee, describe each such affiliation.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424" w:hanging="424"/>
        <w:spacing w:after="0"/>
        <w:tabs>
          <w:tab w:leader="none" w:pos="42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333" w:lineRule="exact"/>
        <w:rPr>
          <w:rFonts w:ascii="Arial" w:cs="Arial" w:eastAsia="Arial" w:hAnsi="Arial"/>
          <w:sz w:val="18"/>
          <w:szCs w:val="18"/>
          <w:b w:val="1"/>
          <w:bCs w:val="1"/>
          <w:color w:val="auto"/>
        </w:rPr>
      </w:pPr>
    </w:p>
    <w:p>
      <w:pPr>
        <w:ind w:left="444" w:right="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71" w:lineRule="exact"/>
        <w:rPr>
          <w:rFonts w:ascii="Arial" w:cs="Arial" w:eastAsia="Arial" w:hAnsi="Arial"/>
          <w:sz w:val="18"/>
          <w:szCs w:val="18"/>
          <w:b w:val="1"/>
          <w:bCs w:val="1"/>
          <w:color w:val="auto"/>
        </w:rPr>
      </w:pPr>
    </w:p>
    <w:p>
      <w:pPr>
        <w:jc w:val="both"/>
        <w:ind w:left="964" w:hanging="532"/>
        <w:spacing w:after="0" w:line="296" w:lineRule="auto"/>
        <w:tabs>
          <w:tab w:leader="none" w:pos="964" w:val="left"/>
        </w:tabs>
        <w:numPr>
          <w:ilvl w:val="1"/>
          <w:numId w:val="91"/>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93" w:lineRule="exact"/>
        <w:rPr>
          <w:rFonts w:ascii="Arial" w:cs="Arial" w:eastAsia="Arial" w:hAnsi="Arial"/>
          <w:sz w:val="16"/>
          <w:szCs w:val="16"/>
          <w:color w:val="auto"/>
        </w:rPr>
      </w:pPr>
    </w:p>
    <w:p>
      <w:pPr>
        <w:ind w:left="5464" w:hanging="106"/>
        <w:spacing w:after="0"/>
        <w:tabs>
          <w:tab w:leader="none" w:pos="5464" w:val="left"/>
        </w:tabs>
        <w:numPr>
          <w:ilvl w:val="2"/>
          <w:numId w:val="9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4"/>
          </w:cols>
          <w:pgMar w:left="436" w:top="270" w:right="459" w:bottom="1440" w:gutter="0" w:footer="0" w:header="0"/>
        </w:sectPr>
      </w:pPr>
    </w:p>
    <w:bookmarkStart w:id="111" w:name="page112"/>
    <w:bookmarkEnd w:id="111"/>
    <w:p>
      <w:pPr>
        <w:ind w:left="540" w:hanging="532"/>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existing By-laws of the Trustee (Exhibit 4 to Form T-1 filed with Registration Statement No. 333-261533).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10260" w:type="dxa"/>
            <w:vAlign w:val="bottom"/>
          </w:tcPr>
          <w:p>
            <w:pPr>
              <w:ind w:left="200"/>
              <w:spacing w:after="0"/>
              <w:rPr>
                <w:sz w:val="20"/>
                <w:szCs w:val="20"/>
                <w:color w:val="auto"/>
              </w:rPr>
            </w:pPr>
            <w:r>
              <w:rPr>
                <w:rFonts w:ascii="Arial" w:cs="Arial" w:eastAsia="Arial" w:hAnsi="Arial"/>
                <w:sz w:val="18"/>
                <w:szCs w:val="18"/>
                <w:color w:val="auto"/>
              </w:rPr>
              <w:t>The consent of the Trustee required by Section 321(b) of the Act (Exhibit 6 to Form T-1 filed with Registration Statement</w:t>
            </w:r>
          </w:p>
        </w:tc>
      </w:tr>
      <w:tr>
        <w:trPr>
          <w:trHeight w:val="230"/>
        </w:trPr>
        <w:tc>
          <w:tcPr>
            <w:tcW w:w="34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No. 333-229519).</w:t>
            </w:r>
          </w:p>
        </w:tc>
      </w:tr>
    </w:tbl>
    <w:p>
      <w:pPr>
        <w:spacing w:after="0" w:line="107" w:lineRule="exact"/>
        <w:rPr>
          <w:sz w:val="20"/>
          <w:szCs w:val="20"/>
          <w:color w:val="auto"/>
        </w:rPr>
      </w:pPr>
    </w:p>
    <w:p>
      <w:pPr>
        <w:ind w:left="540" w:hanging="532"/>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102" w:lineRule="exact"/>
        <w:rPr>
          <w:rFonts w:ascii="Arial" w:cs="Arial" w:eastAsia="Arial" w:hAnsi="Arial"/>
          <w:sz w:val="18"/>
          <w:szCs w:val="18"/>
          <w:color w:val="auto"/>
        </w:rPr>
      </w:pPr>
    </w:p>
    <w:p>
      <w:pPr>
        <w:ind w:left="5040" w:hanging="106"/>
        <w:spacing w:after="0"/>
        <w:tabs>
          <w:tab w:leader="none" w:pos="5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600"/>
          </w:cols>
          <w:pgMar w:left="860" w:top="274" w:right="4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the16th day of March, 2022.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4"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240 Greenwich Street, New York, N.Y. 10286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 member of the Federal Reserve System, at the close of business December 31, 2021, published in accordance with a call made by the Federal Reserve Bank of this District pursuant to the provisions of the Federal Reserve Act.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Dollar amounts in thousands</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balances and currency and coin</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5,236,000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Interest-bearing balances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111,594,000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Held-to-maturity securities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56,862,000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debt securities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101,202,000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color w:val="auto"/>
              </w:rPr>
              <w:t>Federal funds sold in domestic offices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Securities purchased under agreements to resell</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12,623,000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held for sale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Loans and leases held for investment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31,038,000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Allowance for loan and lease losses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177,000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Loans and leases held for investment, net of allowance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30,861,000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11,791,000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2,938,000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1,523,000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7,069,000</w:t>
            </w: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14,522,000</w:t>
            </w:r>
          </w:p>
        </w:tc>
        <w:tc>
          <w:tcPr>
            <w:tcW w:w="6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356,225,000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domestic offices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197,707,000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89,955,000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107,752,000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In foreign offices, Edge and Agreement subsidiaries, and IBFs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114,105,000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7,084,000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107,021,000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Federal funds purchased in domestic offices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sold under agreements to repurchase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4,711,000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Trading liabilities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2,940,000</w:t>
            </w:r>
          </w:p>
        </w:tc>
      </w:tr>
      <w:tr>
        <w:trPr>
          <w:trHeight w:val="202"/>
        </w:trPr>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borrowed money:</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4"/>
        </w:trPr>
        <w:tc>
          <w:tcPr>
            <w:tcW w:w="10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7,623,000</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327,827,000</w:t>
            </w:r>
          </w:p>
        </w:tc>
        <w:tc>
          <w:tcPr>
            <w:tcW w:w="60" w:type="dxa"/>
            <w:vAlign w:val="bottom"/>
          </w:tcPr>
          <w:p>
            <w:pPr>
              <w:spacing w:after="0"/>
              <w:rPr>
                <w:sz w:val="19"/>
                <w:szCs w:val="19"/>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11,763,000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16,487,000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-987,000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28,398,000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Total equity capital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28,398,000</w:t>
            </w:r>
          </w:p>
        </w:tc>
        <w:tc>
          <w:tcPr>
            <w:tcW w:w="60" w:type="dxa"/>
            <w:vAlign w:val="bottom"/>
          </w:tcPr>
          <w:p>
            <w:pPr>
              <w:spacing w:after="0"/>
              <w:rPr>
                <w:sz w:val="19"/>
                <w:szCs w:val="19"/>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356,225,000</w:t>
            </w:r>
          </w:p>
        </w:tc>
      </w:tr>
      <w:tr>
        <w:trPr>
          <w:trHeight w:val="20"/>
        </w:trPr>
        <w:tc>
          <w:tcPr>
            <w:tcW w:w="10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115" w:name="page116"/>
    <w:bookmarkEnd w:id="115"/>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Emily Portney, Chief Financial Officer of the above-named bank do hereby declare that this Report of Condition is true and correct to the best of my knowledge and belief.</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Emily Portney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Thomas P. Gibbons</w:t>
            </w:r>
          </w:p>
        </w:tc>
        <w:tc>
          <w:tcPr>
            <w:tcW w:w="388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Samuel C. Scott</w:t>
            </w:r>
          </w:p>
        </w:tc>
        <w:tc>
          <w:tcPr>
            <w:tcW w:w="3880" w:type="dxa"/>
            <w:vAlign w:val="bottom"/>
          </w:tcPr>
          <w:p>
            <w:pPr>
              <w:spacing w:after="0"/>
              <w:rPr>
                <w:sz w:val="18"/>
                <w:szCs w:val="18"/>
                <w:color w:val="auto"/>
              </w:rPr>
            </w:pPr>
          </w:p>
        </w:tc>
      </w:tr>
      <w:tr>
        <w:trPr>
          <w:trHeight w:val="244"/>
        </w:trPr>
        <w:tc>
          <w:tcPr>
            <w:tcW w:w="4680" w:type="dxa"/>
            <w:vAlign w:val="bottom"/>
          </w:tcPr>
          <w:p>
            <w:pPr>
              <w:spacing w:after="0"/>
              <w:rPr>
                <w:sz w:val="20"/>
                <w:szCs w:val="20"/>
                <w:color w:val="auto"/>
              </w:rPr>
            </w:pPr>
            <w:r>
              <w:rPr>
                <w:rFonts w:ascii="Arial" w:cs="Arial" w:eastAsia="Arial" w:hAnsi="Arial"/>
                <w:sz w:val="18"/>
                <w:szCs w:val="18"/>
                <w:color w:val="auto"/>
              </w:rPr>
              <w:t>Joseph J. Echevarria</w:t>
            </w:r>
          </w:p>
        </w:tc>
        <w:tc>
          <w:tcPr>
            <w:tcW w:w="3880" w:type="dxa"/>
            <w:vAlign w:val="bottom"/>
          </w:tcPr>
          <w:p>
            <w:pPr>
              <w:ind w:left="3220"/>
              <w:spacing w:after="0"/>
              <w:rPr>
                <w:sz w:val="20"/>
                <w:szCs w:val="20"/>
                <w:color w:val="auto"/>
              </w:rPr>
            </w:pPr>
            <w:r>
              <w:rPr>
                <w:rFonts w:ascii="Arial" w:cs="Arial" w:eastAsia="Arial" w:hAnsi="Arial"/>
                <w:sz w:val="18"/>
                <w:szCs w:val="18"/>
                <w:color w:val="auto"/>
                <w:w w:val="88"/>
              </w:rPr>
              <w:t>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-419735</wp:posOffset>
            </wp:positionV>
            <wp:extent cx="8255" cy="420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8255" cy="42037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NBCUniversal Media, LLC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Comcast Cable Communications, LLC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Securities</w:t>
      </w:r>
    </w:p>
    <w:p>
      <w:pPr>
        <w:spacing w:after="0" w:line="250" w:lineRule="exact"/>
        <w:rPr>
          <w:sz w:val="20"/>
          <w:szCs w:val="20"/>
          <w:color w:val="auto"/>
        </w:rPr>
      </w:pPr>
    </w:p>
    <w:tbl>
      <w:tblPr>
        <w:tblLayout w:type="fixed"/>
        <w:tblInd w:w="774" w:type="dxa"/>
        <w:tblCellMar>
          <w:top w:w="0" w:type="dxa"/>
          <w:left w:w="0" w:type="dxa"/>
          <w:bottom w:w="0" w:type="dxa"/>
          <w:right w:w="0" w:type="dxa"/>
        </w:tblCellMar>
      </w:tblPr>
      <w:tr>
        <w:trPr>
          <w:trHeight w:val="148"/>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jc w:val="center"/>
              <w:ind w:left="1"/>
              <w:spacing w:after="0" w:line="148" w:lineRule="exact"/>
              <w:rPr>
                <w:sz w:val="20"/>
                <w:szCs w:val="20"/>
                <w:color w:val="auto"/>
              </w:rPr>
            </w:pPr>
            <w:r>
              <w:rPr>
                <w:rFonts w:ascii="Arial" w:cs="Arial" w:eastAsia="Arial" w:hAnsi="Arial"/>
                <w:sz w:val="13"/>
                <w:szCs w:val="13"/>
                <w:color w:val="auto"/>
                <w:w w:val="80"/>
              </w:rPr>
              <w:t>Fee</w:t>
            </w:r>
          </w:p>
        </w:tc>
        <w:tc>
          <w:tcPr>
            <w:tcW w:w="12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6"/>
              </w:rPr>
              <w:t>Proposed</w:t>
            </w:r>
          </w:p>
        </w:tc>
        <w:tc>
          <w:tcPr>
            <w:tcW w:w="4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Proposed</w:t>
            </w:r>
          </w:p>
        </w:tc>
        <w:tc>
          <w:tcPr>
            <w:tcW w:w="94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jc w:val="center"/>
              <w:ind w:left="1"/>
              <w:spacing w:after="0" w:line="123" w:lineRule="exact"/>
              <w:rPr>
                <w:sz w:val="20"/>
                <w:szCs w:val="20"/>
                <w:color w:val="auto"/>
              </w:rPr>
            </w:pPr>
            <w:r>
              <w:rPr>
                <w:rFonts w:ascii="Arial" w:cs="Arial" w:eastAsia="Arial" w:hAnsi="Arial"/>
                <w:sz w:val="13"/>
                <w:szCs w:val="13"/>
                <w:color w:val="auto"/>
                <w:w w:val="90"/>
              </w:rPr>
              <w:t>Calculation</w:t>
            </w:r>
          </w:p>
        </w:tc>
        <w:tc>
          <w:tcPr>
            <w:tcW w:w="12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color w:val="auto"/>
                <w:w w:val="99"/>
              </w:rPr>
              <w:t>Maximum</w:t>
            </w:r>
          </w:p>
        </w:tc>
        <w:tc>
          <w:tcPr>
            <w:tcW w:w="40" w:type="dxa"/>
            <w:vAlign w:val="bottom"/>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060" w:type="dxa"/>
            <w:vAlign w:val="bottom"/>
            <w:tcBorders>
              <w:right w:val="single" w:sz="8" w:color="auto"/>
            </w:tcBorders>
          </w:tcPr>
          <w:p>
            <w:pPr>
              <w:jc w:val="center"/>
              <w:ind w:left="1"/>
              <w:spacing w:after="0" w:line="135" w:lineRule="exact"/>
              <w:rPr>
                <w:sz w:val="20"/>
                <w:szCs w:val="20"/>
                <w:color w:val="auto"/>
              </w:rPr>
            </w:pPr>
            <w:r>
              <w:rPr>
                <w:rFonts w:ascii="Arial" w:cs="Arial" w:eastAsia="Arial" w:hAnsi="Arial"/>
                <w:sz w:val="13"/>
                <w:szCs w:val="13"/>
                <w:color w:val="auto"/>
                <w:w w:val="89"/>
              </w:rPr>
              <w:t>or Carry</w:t>
            </w: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40" w:type="dxa"/>
            <w:vAlign w:val="bottom"/>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9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1060" w:type="dxa"/>
            <w:vAlign w:val="bottom"/>
            <w:tcBorders>
              <w:right w:val="single" w:sz="8" w:color="auto"/>
            </w:tcBorders>
          </w:tcPr>
          <w:p>
            <w:pPr>
              <w:jc w:val="center"/>
              <w:ind w:left="1"/>
              <w:spacing w:after="0" w:line="135" w:lineRule="exact"/>
              <w:rPr>
                <w:sz w:val="20"/>
                <w:szCs w:val="20"/>
                <w:color w:val="auto"/>
              </w:rPr>
            </w:pPr>
            <w:r>
              <w:rPr>
                <w:rFonts w:ascii="Arial" w:cs="Arial" w:eastAsia="Arial" w:hAnsi="Arial"/>
                <w:sz w:val="13"/>
                <w:szCs w:val="13"/>
                <w:color w:val="auto"/>
                <w:w w:val="88"/>
              </w:rPr>
              <w:t>Forward</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700" w:type="dxa"/>
            <w:vAlign w:val="bottom"/>
            <w:tcBorders>
              <w:right w:val="single" w:sz="8" w:color="auto"/>
            </w:tcBorders>
          </w:tcPr>
          <w:p>
            <w:pPr>
              <w:jc w:val="center"/>
              <w:ind w:left="2"/>
              <w:spacing w:after="0" w:line="135" w:lineRule="exact"/>
              <w:rPr>
                <w:sz w:val="20"/>
                <w:szCs w:val="20"/>
                <w:color w:val="auto"/>
              </w:rPr>
            </w:pPr>
            <w:r>
              <w:rPr>
                <w:rFonts w:ascii="Arial" w:cs="Arial" w:eastAsia="Arial" w:hAnsi="Arial"/>
                <w:sz w:val="13"/>
                <w:szCs w:val="13"/>
                <w:color w:val="auto"/>
                <w:w w:val="85"/>
              </w:rPr>
              <w:t>Price Per</w:t>
            </w:r>
          </w:p>
        </w:tc>
        <w:tc>
          <w:tcPr>
            <w:tcW w:w="40" w:type="dxa"/>
            <w:vAlign w:val="bottom"/>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4"/>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Type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Registered</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94"/>
              </w:rPr>
              <w:t>Unit</w:t>
            </w: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Offering 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143"/>
        </w:trPr>
        <w:tc>
          <w:tcPr>
            <w:tcW w:w="1040" w:type="dxa"/>
            <w:vAlign w:val="bottom"/>
            <w:tcBorders>
              <w:left w:val="single" w:sz="8" w:color="auto"/>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ind w:left="380"/>
              <w:spacing w:after="0" w:line="143" w:lineRule="exact"/>
              <w:rPr>
                <w:sz w:val="20"/>
                <w:szCs w:val="20"/>
                <w:color w:val="auto"/>
              </w:rPr>
            </w:pPr>
            <w:r>
              <w:rPr>
                <w:rFonts w:ascii="Arial" w:cs="Arial" w:eastAsia="Arial" w:hAnsi="Arial"/>
                <w:sz w:val="14"/>
                <w:szCs w:val="14"/>
                <w:color w:val="auto"/>
                <w:w w:val="92"/>
              </w:rPr>
              <w:t>Newly Registered Securities</w:t>
            </w:r>
          </w:p>
        </w:tc>
        <w:tc>
          <w:tcPr>
            <w:tcW w:w="1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Fees to Be</w:t>
            </w: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2.887%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Paid</w:t>
            </w: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2051</w:t>
            </w:r>
          </w:p>
        </w:tc>
        <w:tc>
          <w:tcPr>
            <w:tcW w:w="10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1"/>
              </w:rPr>
              <w:t>Rule 457(a)</w:t>
            </w: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w w:val="91"/>
              </w:rPr>
              <w:t>$4,999,854,000</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1"/>
              </w:rPr>
              <w:t>100%</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$4,999,854,000 (1)</w:t>
            </w:r>
          </w:p>
        </w:tc>
        <w:tc>
          <w:tcPr>
            <w:tcW w:w="9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w w:val="93"/>
              </w:rPr>
              <w:t>0.0000927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$463,486.47 (2)</w:t>
            </w: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Guarantees</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of 2.887%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Debt</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2051 (3)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 (4)</w:t>
            </w: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2.937%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2056</w:t>
            </w:r>
          </w:p>
        </w:tc>
        <w:tc>
          <w:tcPr>
            <w:tcW w:w="10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1"/>
              </w:rPr>
              <w:t>Rule 457(a)</w:t>
            </w: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w w:val="91"/>
              </w:rPr>
              <w:t>$5,999,998,000</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1"/>
              </w:rPr>
              <w:t>100%</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$5,999,998,000 (1)</w:t>
            </w:r>
          </w:p>
        </w:tc>
        <w:tc>
          <w:tcPr>
            <w:tcW w:w="9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w w:val="93"/>
              </w:rPr>
              <w:t>0.0000927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$556,199.82 (2)</w:t>
            </w: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Guarantees</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of 2.937%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2056 (3)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 (4)</w:t>
            </w: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2.987%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2063</w:t>
            </w:r>
          </w:p>
        </w:tc>
        <w:tc>
          <w:tcPr>
            <w:tcW w:w="1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Rule 457(a)</w:t>
            </w: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w w:val="91"/>
              </w:rPr>
              <w:t>$4,000,000,000</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1"/>
              </w:rPr>
              <w:t>100%</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$4,000,000,000 (1)</w:t>
            </w:r>
          </w:p>
        </w:tc>
        <w:tc>
          <w:tcPr>
            <w:tcW w:w="9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w w:val="93"/>
              </w:rPr>
              <w:t>0.0000927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$370,800.00 (2)</w:t>
            </w: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Guarantees</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of 2.987%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2063 (3)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 (4)</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Total Offering Amount</w:t>
            </w:r>
          </w:p>
        </w:tc>
        <w:tc>
          <w:tcPr>
            <w:tcW w:w="7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8"/>
                <w:szCs w:val="18"/>
                <w:color w:val="auto"/>
                <w:w w:val="90"/>
              </w:rPr>
              <w:t>$14,999,852,000 (5)</w:t>
            </w:r>
          </w:p>
        </w:tc>
        <w:tc>
          <w:tcPr>
            <w:tcW w:w="9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Net Fee Due</w:t>
            </w:r>
          </w:p>
        </w:tc>
        <w:tc>
          <w:tcPr>
            <w:tcW w:w="7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$1,390,486.29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Represents the aggregate principal amount of each series of notes to be offered in the exchange offers to which the registration statement relates.</w:t>
      </w:r>
    </w:p>
    <w:p>
      <w:pPr>
        <w:spacing w:after="0" w:line="46" w:lineRule="exact"/>
        <w:rPr>
          <w:rFonts w:ascii="Arial" w:cs="Arial" w:eastAsia="Arial" w:hAnsi="Arial"/>
          <w:sz w:val="16"/>
          <w:szCs w:val="16"/>
          <w:color w:val="auto"/>
        </w:rPr>
      </w:pPr>
    </w:p>
    <w:p>
      <w:pPr>
        <w:ind w:left="424" w:hanging="424"/>
        <w:spacing w:after="0"/>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Calculated in accordance with Rule 457(f) of the Securities Act of 1933, as amended.</w:t>
      </w:r>
    </w:p>
    <w:p>
      <w:pPr>
        <w:spacing w:after="0" w:line="9"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separate consideration will be received for the guarantees. Each of NBCUniversal Media, LLC and Comcast Cable Communications, LLC will guarantee the notes being registered.</w:t>
      </w:r>
    </w:p>
    <w:p>
      <w:pPr>
        <w:ind w:left="424" w:hanging="424"/>
        <w:spacing w:after="0"/>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Pursuant to Rule 457(n) under the Securities Act of 1933, as amended, no additional registration fee is due for the guarantees.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Represents the maximum aggregate offering price of all notes to be offered in the exchange offers to which the registration statement relates.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215"/>
    </w:lvl>
  </w:abstractNum>
  <w:abstractNum w:abstractNumId="1">
    <w:nsid w:val="7644A45C"/>
    <w:multiLevelType w:val="hybridMultilevel"/>
    <w:lvl w:ilvl="0">
      <w:lvlJc w:val="left"/>
      <w:lvlText w:val="(%1)"/>
      <w:numFmt w:val="decimal"/>
      <w:start w:val="212"/>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lowerRoman"/>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lowerRoman"/>
      <w:start w:val="2"/>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1)"/>
      <w:numFmt w:val="decimal"/>
      <w:start w:val="1"/>
    </w:lvl>
    <w:lvl w:ilvl="1">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3"/>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lowerLetter"/>
      <w:start w:val="1"/>
    </w:lvl>
  </w:abstractNum>
  <w:abstractNum w:abstractNumId="28">
    <w:nsid w:val="3F6AB60F"/>
    <w:multiLevelType w:val="hybridMultilevel"/>
    <w:lvl w:ilvl="0">
      <w:lvlJc w:val="left"/>
      <w:lvlText w:val="(%1)"/>
      <w:numFmt w:val="lowerLetter"/>
      <w:start w:val="9"/>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
      <w:numFmt w:val="bullet"/>
      <w:start w:val="1"/>
    </w:lvl>
    <w:lvl w:ilvl="1">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lvl w:ilvl="1">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decimal"/>
      <w:start w:val="732"/>
    </w:lvl>
  </w:abstractNum>
  <w:abstractNum w:abstractNumId="44">
    <w:nsid w:val="15014AC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5">
    <w:nsid w:val="5F5E7FD0"/>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6">
    <w:nsid w:val="98A3148"/>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7">
    <w:nsid w:val="799D0247"/>
    <w:multiLevelType w:val="hybridMultilevel"/>
    <w:lvl w:ilvl="0">
      <w:lvlJc w:val="left"/>
      <w:lvlText w:val="(%1)"/>
      <w:numFmt w:val="lowerLetter"/>
      <w:start w:val="4"/>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2"/>
    </w:lvl>
  </w:abstractNum>
  <w:abstractNum w:abstractNumId="50">
    <w:nsid w:val="168E121F"/>
    <w:multiLevelType w:val="hybridMultilevel"/>
    <w:lvl w:ilvl="0">
      <w:lvlJc w:val="left"/>
      <w:lvlText w:val="%1."/>
      <w:numFmt w:val="decimal"/>
      <w:start w:val="3"/>
    </w:lvl>
  </w:abstractNum>
  <w:abstractNum w:abstractNumId="51">
    <w:nsid w:val="1EBA5D23"/>
    <w:multiLevelType w:val="hybridMultilevel"/>
    <w:lvl w:ilvl="0">
      <w:lvlJc w:val="left"/>
      <w:lvlText w:val="%1."/>
      <w:numFmt w:val="decimal"/>
      <w:start w:val="5"/>
    </w:lvl>
  </w:abstractNum>
  <w:abstractNum w:abstractNumId="52">
    <w:nsid w:val="661E3F1E"/>
    <w:multiLevelType w:val="hybridMultilevel"/>
    <w:lvl w:ilvl="0">
      <w:lvlJc w:val="left"/>
      <w:lvlText w:val="%1."/>
      <w:numFmt w:val="decimal"/>
      <w:start w:val="6"/>
    </w:lvl>
  </w:abstractNum>
  <w:abstractNum w:abstractNumId="53">
    <w:nsid w:val="5DC79EA8"/>
    <w:multiLevelType w:val="hybridMultilevel"/>
    <w:lvl w:ilvl="0">
      <w:lvlJc w:val="left"/>
      <w:lvlText w:val="%1."/>
      <w:numFmt w:val="decimal"/>
      <w:start w:val="7"/>
    </w:lvl>
  </w:abstractNum>
  <w:abstractNum w:abstractNumId="54">
    <w:nsid w:val="540A471C"/>
    <w:multiLevelType w:val="hybridMultilevel"/>
    <w:lvl w:ilvl="0">
      <w:lvlJc w:val="left"/>
      <w:lvlText w:val="%1."/>
      <w:numFmt w:val="decimal"/>
      <w:start w:val="8"/>
    </w:lvl>
  </w:abstractNum>
  <w:abstractNum w:abstractNumId="55">
    <w:nsid w:val="7BD3EE7B"/>
    <w:multiLevelType w:val="hybridMultilevel"/>
    <w:lvl w:ilvl="0">
      <w:lvlJc w:val="left"/>
      <w:lvlText w:val="%1."/>
      <w:numFmt w:val="decimal"/>
      <w:start w:val="9"/>
    </w:lvl>
  </w:abstractNum>
  <w:abstractNum w:abstractNumId="56">
    <w:nsid w:val="51D9C564"/>
    <w:multiLevelType w:val="hybridMultilevel"/>
    <w:lvl w:ilvl="0">
      <w:lvlJc w:val="left"/>
      <w:lvlText w:val="%1."/>
      <w:numFmt w:val="decimal"/>
      <w:start w:val="10"/>
    </w:lvl>
  </w:abstractNum>
  <w:abstractNum w:abstractNumId="57">
    <w:nsid w:val="613EFDC5"/>
    <w:multiLevelType w:val="hybridMultilevel"/>
    <w:lvl w:ilvl="0">
      <w:lvlJc w:val="left"/>
      <w:lvlText w:val="%1."/>
      <w:numFmt w:val="decimal"/>
      <w:start w:val="11"/>
    </w:lvl>
  </w:abstractNum>
  <w:abstractNum w:abstractNumId="58">
    <w:nsid w:val="BF72B14"/>
    <w:multiLevelType w:val="hybridMultilevel"/>
    <w:lvl w:ilvl="0">
      <w:lvlJc w:val="left"/>
      <w:lvlText w:val="%1."/>
      <w:numFmt w:val="decimal"/>
      <w:start w:val="12"/>
    </w:lvl>
  </w:abstractNum>
  <w:abstractNum w:abstractNumId="59">
    <w:nsid w:val="11447B73"/>
    <w:multiLevelType w:val="hybridMultilevel"/>
    <w:lvl w:ilvl="0">
      <w:lvlJc w:val="left"/>
      <w:lvlText w:val="%1."/>
      <w:numFmt w:val="decimal"/>
      <w:start w:val="13"/>
    </w:lvl>
  </w:abstractNum>
  <w:abstractNum w:abstractNumId="60">
    <w:nsid w:val="42963E5A"/>
    <w:multiLevelType w:val="hybridMultilevel"/>
    <w:lvl w:ilvl="0">
      <w:lvlJc w:val="left"/>
      <w:lvlText w:val="%1."/>
      <w:numFmt w:val="decimal"/>
      <w:start w:val="14"/>
    </w:lvl>
  </w:abstractNum>
  <w:abstractNum w:abstractNumId="61">
    <w:nsid w:val="A0382C5"/>
    <w:multiLevelType w:val="hybridMultilevel"/>
    <w:lvl w:ilvl="0">
      <w:lvlJc w:val="left"/>
      <w:lvlText w:val="%1."/>
      <w:numFmt w:val="decimal"/>
      <w:start w:val="15"/>
    </w:lvl>
  </w:abstractNum>
  <w:abstractNum w:abstractNumId="62">
    <w:nsid w:val="8F2B15E"/>
    <w:multiLevelType w:val="hybridMultilevel"/>
    <w:lvl w:ilvl="0">
      <w:lvlJc w:val="left"/>
      <w:lvlText w:val="%1."/>
      <w:numFmt w:val="decimal"/>
      <w:start w:val="16"/>
    </w:lvl>
  </w:abstractNum>
  <w:abstractNum w:abstractNumId="63">
    <w:nsid w:val="1A32234B"/>
    <w:multiLevelType w:val="hybridMultilevel"/>
    <w:lvl w:ilvl="0">
      <w:lvlJc w:val="left"/>
      <w:lvlText w:val="%1."/>
      <w:numFmt w:val="decimal"/>
      <w:start w:val="17"/>
    </w:lvl>
  </w:abstractNum>
  <w:abstractNum w:abstractNumId="64">
    <w:nsid w:val="3B0FD379"/>
    <w:multiLevelType w:val="hybridMultilevel"/>
    <w:lvl w:ilvl="0">
      <w:lvlJc w:val="left"/>
      <w:lvlText w:val="%1."/>
      <w:numFmt w:val="decimal"/>
      <w:start w:val="18"/>
    </w:lvl>
  </w:abstractNum>
  <w:abstractNum w:abstractNumId="65">
    <w:nsid w:val="68EB2F63"/>
    <w:multiLevelType w:val="hybridMultilevel"/>
    <w:lvl w:ilvl="0">
      <w:lvlJc w:val="left"/>
      <w:lvlText w:val="%1."/>
      <w:numFmt w:val="decimal"/>
      <w:start w:val="19"/>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2"/>
    </w:lvl>
  </w:abstractNum>
  <w:abstractNum w:abstractNumId="68">
    <w:nsid w:val="6A5EE64"/>
    <w:multiLevelType w:val="hybridMultilevel"/>
    <w:lvl w:ilvl="0">
      <w:lvlJc w:val="left"/>
      <w:lvlText w:val="%1."/>
      <w:numFmt w:val="decimal"/>
      <w:start w:val="3"/>
    </w:lvl>
  </w:abstractNum>
  <w:abstractNum w:abstractNumId="69">
    <w:nsid w:val="14330624"/>
    <w:multiLevelType w:val="hybridMultilevel"/>
    <w:lvl w:ilvl="0">
      <w:lvlJc w:val="left"/>
      <w:lvlText w:val="%1."/>
      <w:numFmt w:val="decimal"/>
      <w:start w:val="4"/>
    </w:lvl>
  </w:abstractNum>
  <w:abstractNum w:abstractNumId="70">
    <w:nsid w:val="7FFFCA11"/>
    <w:multiLevelType w:val="hybridMultilevel"/>
    <w:lvl w:ilvl="0">
      <w:lvlJc w:val="left"/>
      <w:lvlText w:val="%1."/>
      <w:numFmt w:val="decimal"/>
      <w:start w:val="5"/>
    </w:lvl>
  </w:abstractNum>
  <w:abstractNum w:abstractNumId="71">
    <w:nsid w:val="1A27709E"/>
    <w:multiLevelType w:val="hybridMultilevel"/>
    <w:lvl w:ilvl="0">
      <w:lvlJc w:val="left"/>
      <w:lvlText w:val="%1."/>
      <w:numFmt w:val="decimal"/>
      <w:start w:val="6"/>
    </w:lvl>
  </w:abstractNum>
  <w:abstractNum w:abstractNumId="72">
    <w:nsid w:val="71EA1109"/>
    <w:multiLevelType w:val="hybridMultilevel"/>
    <w:lvl w:ilvl="0">
      <w:lvlJc w:val="left"/>
      <w:lvlText w:val="%1."/>
      <w:numFmt w:val="decimal"/>
      <w:start w:val="7"/>
    </w:lvl>
  </w:abstractNum>
  <w:abstractNum w:abstractNumId="73">
    <w:nsid w:val="100F59DC"/>
    <w:multiLevelType w:val="hybridMultilevel"/>
    <w:lvl w:ilvl="0">
      <w:lvlJc w:val="left"/>
      <w:lvlText w:val="%1."/>
      <w:numFmt w:val="decimal"/>
      <w:start w:val="8"/>
    </w:lvl>
  </w:abstractNum>
  <w:abstractNum w:abstractNumId="74">
    <w:nsid w:val="7FB7E0AA"/>
    <w:multiLevelType w:val="hybridMultilevel"/>
    <w:lvl w:ilvl="0">
      <w:lvlJc w:val="left"/>
      <w:lvlText w:val="%1."/>
      <w:numFmt w:val="decimal"/>
      <w:start w:val="9"/>
    </w:lvl>
  </w:abstractNum>
  <w:abstractNum w:abstractNumId="75">
    <w:nsid w:val="6EB5BD4"/>
    <w:multiLevelType w:val="hybridMultilevel"/>
    <w:lvl w:ilvl="0">
      <w:lvlJc w:val="left"/>
      <w:lvlText w:val="%1."/>
      <w:numFmt w:val="decimal"/>
      <w:start w:val="10"/>
    </w:lvl>
  </w:abstractNum>
  <w:abstractNum w:abstractNumId="76">
    <w:nsid w:val="6F6DD9AC"/>
    <w:multiLevelType w:val="hybridMultilevel"/>
    <w:lvl w:ilvl="0">
      <w:lvlJc w:val="left"/>
      <w:lvlText w:val="%1."/>
      <w:numFmt w:val="decimal"/>
      <w:start w:val="11"/>
    </w:lvl>
  </w:abstractNum>
  <w:abstractNum w:abstractNumId="77">
    <w:nsid w:val="94211F2"/>
    <w:multiLevelType w:val="hybridMultilevel"/>
    <w:lvl w:ilvl="0">
      <w:lvlJc w:val="left"/>
      <w:lvlText w:val="%1."/>
      <w:numFmt w:val="decimal"/>
      <w:start w:val="12"/>
    </w:lvl>
  </w:abstractNum>
  <w:abstractNum w:abstractNumId="78">
    <w:nsid w:val="885E1B"/>
    <w:multiLevelType w:val="hybridMultilevel"/>
    <w:lvl w:ilvl="0">
      <w:lvlJc w:val="left"/>
      <w:lvlText w:val="%1."/>
      <w:numFmt w:val="decimal"/>
      <w:start w:val="13"/>
    </w:lvl>
  </w:abstractNum>
  <w:abstractNum w:abstractNumId="79">
    <w:nsid w:val="76272110"/>
    <w:multiLevelType w:val="hybridMultilevel"/>
    <w:lvl w:ilvl="0">
      <w:lvlJc w:val="left"/>
      <w:lvlText w:val="%1."/>
      <w:numFmt w:val="decimal"/>
      <w:start w:val="14"/>
    </w:lvl>
  </w:abstractNum>
  <w:abstractNum w:abstractNumId="80">
    <w:nsid w:val="4C04A8AF"/>
    <w:multiLevelType w:val="hybridMultilevel"/>
    <w:lvl w:ilvl="0">
      <w:lvlJc w:val="left"/>
      <w:lvlText w:val="%1."/>
      <w:numFmt w:val="decimal"/>
      <w:start w:val="15"/>
    </w:lvl>
  </w:abstractNum>
  <w:abstractNum w:abstractNumId="81">
    <w:nsid w:val="1716703B"/>
    <w:multiLevelType w:val="hybridMultilevel"/>
    <w:lvl w:ilvl="0">
      <w:lvlJc w:val="left"/>
      <w:lvlText w:val="%1."/>
      <w:numFmt w:val="decimal"/>
      <w:start w:val="16"/>
    </w:lvl>
  </w:abstractNum>
  <w:abstractNum w:abstractNumId="82">
    <w:nsid w:val="14E17E33"/>
    <w:multiLevelType w:val="hybridMultilevel"/>
    <w:lvl w:ilvl="0">
      <w:lvlJc w:val="left"/>
      <w:lvlText w:val="%1."/>
      <w:numFmt w:val="decimal"/>
      <w:start w:val="17"/>
    </w:lvl>
  </w:abstractNum>
  <w:abstractNum w:abstractNumId="83">
    <w:nsid w:val="3222E7CD"/>
    <w:multiLevelType w:val="hybridMultilevel"/>
    <w:lvl w:ilvl="0">
      <w:lvlJc w:val="left"/>
      <w:lvlText w:val="%1."/>
      <w:numFmt w:val="decimal"/>
      <w:start w:val="18"/>
    </w:lvl>
  </w:abstractNum>
  <w:abstractNum w:abstractNumId="84">
    <w:nsid w:val="74DE0EE3"/>
    <w:multiLevelType w:val="hybridMultilevel"/>
    <w:lvl w:ilvl="0">
      <w:lvlJc w:val="left"/>
      <w:lvlText w:val="%1."/>
      <w:numFmt w:val="decimal"/>
      <w:start w:val="19"/>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1."/>
      <w:numFmt w:val="decimal"/>
      <w:start w:val="1"/>
    </w:lvl>
    <w:lvl w:ilvl="1">
      <w:lvlJc w:val="left"/>
      <w:lvlText w:val="(%2)"/>
      <w:numFmt w:val="lowerLetter"/>
      <w:start w:val="1"/>
    </w:lvl>
  </w:abstractNum>
  <w:abstractNum w:abstractNumId="88">
    <w:nsid w:val="4A2AC315"/>
    <w:multiLevelType w:val="hybridMultilevel"/>
    <w:lvl w:ilvl="0">
      <w:lvlJc w:val="left"/>
      <w:lvlText w:val="(%1)"/>
      <w:numFmt w:val="lowerLetter"/>
      <w:start w:val="2"/>
    </w:lvl>
  </w:abstractNum>
  <w:abstractNum w:abstractNumId="89">
    <w:nsid w:val="39EE015C"/>
    <w:multiLevelType w:val="hybridMultilevel"/>
    <w:lvl w:ilvl="0">
      <w:lvlJc w:val="left"/>
      <w:lvlText w:val="%1."/>
      <w:numFmt w:val="decimal"/>
      <w:start w:val="2"/>
    </w:lvl>
  </w:abstractNum>
  <w:abstractNum w:abstractNumId="90">
    <w:nsid w:val="57FC4FBB"/>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91">
    <w:nsid w:val="CC1016F"/>
    <w:multiLevelType w:val="hybridMultilevel"/>
    <w:lvl w:ilvl="0">
      <w:lvlJc w:val="left"/>
      <w:lvlText w:val="%1."/>
      <w:numFmt w:val="decimal"/>
      <w:start w:val="4"/>
    </w:lvl>
  </w:abstractNum>
  <w:abstractNum w:abstractNumId="92">
    <w:nsid w:val="43F18422"/>
    <w:multiLevelType w:val="hybridMultilevel"/>
    <w:lvl w:ilvl="0">
      <w:lvlJc w:val="left"/>
      <w:lvlText w:val="%1."/>
      <w:numFmt w:val="decimal"/>
      <w:start w:val="7"/>
    </w:lvl>
    <w:lvl w:ilvl="1">
      <w:lvlJc w:val="left"/>
      <w:lvlText w:val="-"/>
      <w:numFmt w:val="bullet"/>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jpe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27" Type="http://schemas.openxmlformats.org/officeDocument/2006/relationships/hyperlink" Target="http://www.sec.gov/ix?doc=/Archives/edgar/data/1166691/000116669122000009/cmcsa-20211231.htm" TargetMode="External"/><Relationship Id="rId28" Type="http://schemas.openxmlformats.org/officeDocument/2006/relationships/hyperlink" Target="http://www.sec.gov/Archives/edgar/data/1166691/000120677421001222/cmcsa3829211-def14a.htm" TargetMode="External"/><Relationship Id="rId89" Type="http://schemas.openxmlformats.org/officeDocument/2006/relationships/hyperlink" Target="http://www.sec.gov/Archives/edgar/data/355069/000119312513370526/d554661dex43.htm" TargetMode="External"/><Relationship Id="rId90" Type="http://schemas.openxmlformats.org/officeDocument/2006/relationships/hyperlink" Target="http://www.sec.gov/Archives/edgar/data/902739/000119312515384253/d60854dex44.htm" TargetMode="External"/><Relationship Id="rId91" Type="http://schemas.openxmlformats.org/officeDocument/2006/relationships/hyperlink" Target="http://www.sec.gov/Archives/edgar/data/0001166691/000095010321012610/dp156478_ex0401.htm" TargetMode="External"/><Relationship Id="rId92" Type="http://schemas.openxmlformats.org/officeDocument/2006/relationships/hyperlink" Target="http://www.sec.gov/Archives/edgar/data/0001166691/000095010321012610/dp156478_ex04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2022-03-18T08:31:16Z</dcterms:created>
  <dcterms:modified xsi:type="dcterms:W3CDTF">2022-03-18T08:31:16Z</dcterms:modified>
</cp:coreProperties>
</file>