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333-266390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1, 2023</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8420" w:type="dxa"/>
            <w:vAlign w:val="bottom"/>
          </w:tcPr>
          <w:p>
            <w:pPr>
              <w:jc w:val="center"/>
              <w:ind w:right="2450"/>
              <w:spacing w:after="0"/>
              <w:rPr>
                <w:sz w:val="20"/>
                <w:szCs w:val="20"/>
                <w:color w:val="auto"/>
              </w:rPr>
            </w:pPr>
            <w:r>
              <w:rPr>
                <w:rFonts w:ascii="Arial" w:cs="Arial" w:eastAsia="Arial" w:hAnsi="Arial"/>
                <w:sz w:val="18"/>
                <w:szCs w:val="18"/>
                <w:b w:val="1"/>
                <w:bCs w:val="1"/>
                <w:color w:val="auto"/>
              </w:rPr>
              <w:t>COMCAST CORPORATION</w:t>
            </w:r>
          </w:p>
        </w:tc>
      </w:tr>
      <w:tr>
        <w:trPr>
          <w:trHeight w:val="414"/>
        </w:trPr>
        <w:tc>
          <w:tcPr>
            <w:tcW w:w="2680" w:type="dxa"/>
            <w:vAlign w:val="bottom"/>
          </w:tcPr>
          <w:p>
            <w:pPr>
              <w:spacing w:after="0"/>
              <w:rPr>
                <w:sz w:val="24"/>
                <w:szCs w:val="24"/>
                <w:color w:val="auto"/>
              </w:rPr>
            </w:pPr>
          </w:p>
        </w:tc>
        <w:tc>
          <w:tcPr>
            <w:tcW w:w="8420" w:type="dxa"/>
            <w:vAlign w:val="bottom"/>
          </w:tcPr>
          <w:p>
            <w:pPr>
              <w:jc w:val="center"/>
              <w:ind w:right="2450"/>
              <w:spacing w:after="0"/>
              <w:rPr>
                <w:sz w:val="20"/>
                <w:szCs w:val="20"/>
                <w:color w:val="auto"/>
              </w:rPr>
            </w:pPr>
            <w:r>
              <w:rPr>
                <w:rFonts w:ascii="Arial" w:cs="Arial" w:eastAsia="Arial" w:hAnsi="Arial"/>
                <w:sz w:val="18"/>
                <w:szCs w:val="18"/>
                <w:b w:val="1"/>
                <w:bCs w:val="1"/>
                <w:color w:val="auto"/>
                <w:w w:val="93"/>
              </w:rPr>
              <w:t>$1,000,000,000 4.550% NOTES DUE 2029</w:t>
            </w:r>
          </w:p>
        </w:tc>
      </w:tr>
      <w:tr>
        <w:trPr>
          <w:trHeight w:val="216"/>
        </w:trPr>
        <w:tc>
          <w:tcPr>
            <w:tcW w:w="2680" w:type="dxa"/>
            <w:vAlign w:val="bottom"/>
          </w:tcPr>
          <w:p>
            <w:pPr>
              <w:spacing w:after="0"/>
              <w:rPr>
                <w:sz w:val="18"/>
                <w:szCs w:val="18"/>
                <w:color w:val="auto"/>
              </w:rPr>
            </w:pPr>
          </w:p>
        </w:tc>
        <w:tc>
          <w:tcPr>
            <w:tcW w:w="8420" w:type="dxa"/>
            <w:vAlign w:val="bottom"/>
          </w:tcPr>
          <w:p>
            <w:pPr>
              <w:jc w:val="center"/>
              <w:ind w:right="2450"/>
              <w:spacing w:after="0"/>
              <w:rPr>
                <w:sz w:val="20"/>
                <w:szCs w:val="20"/>
                <w:color w:val="auto"/>
              </w:rPr>
            </w:pPr>
            <w:r>
              <w:rPr>
                <w:rFonts w:ascii="Arial" w:cs="Arial" w:eastAsia="Arial" w:hAnsi="Arial"/>
                <w:sz w:val="18"/>
                <w:szCs w:val="18"/>
                <w:b w:val="1"/>
                <w:bCs w:val="1"/>
                <w:color w:val="auto"/>
                <w:w w:val="93"/>
              </w:rPr>
              <w:t>$1,000,000,000 4.800% NOTES DUE 2033</w:t>
            </w:r>
          </w:p>
        </w:tc>
      </w:tr>
      <w:tr>
        <w:trPr>
          <w:trHeight w:val="216"/>
        </w:trPr>
        <w:tc>
          <w:tcPr>
            <w:tcW w:w="2680" w:type="dxa"/>
            <w:vAlign w:val="bottom"/>
          </w:tcPr>
          <w:p>
            <w:pPr>
              <w:spacing w:after="0"/>
              <w:rPr>
                <w:sz w:val="18"/>
                <w:szCs w:val="18"/>
                <w:color w:val="auto"/>
              </w:rPr>
            </w:pPr>
          </w:p>
        </w:tc>
        <w:tc>
          <w:tcPr>
            <w:tcW w:w="8420" w:type="dxa"/>
            <w:vAlign w:val="bottom"/>
          </w:tcPr>
          <w:p>
            <w:pPr>
              <w:jc w:val="center"/>
              <w:ind w:right="2450"/>
              <w:spacing w:after="0"/>
              <w:rPr>
                <w:sz w:val="20"/>
                <w:szCs w:val="20"/>
                <w:color w:val="auto"/>
              </w:rPr>
            </w:pPr>
            <w:r>
              <w:rPr>
                <w:rFonts w:ascii="Arial" w:cs="Arial" w:eastAsia="Arial" w:hAnsi="Arial"/>
                <w:sz w:val="18"/>
                <w:szCs w:val="18"/>
                <w:b w:val="1"/>
                <w:bCs w:val="1"/>
                <w:color w:val="auto"/>
                <w:w w:val="93"/>
              </w:rPr>
              <w:t>$1,600,000,000 5.350% NOTES DUE 2053</w:t>
            </w:r>
          </w:p>
        </w:tc>
      </w:tr>
      <w:tr>
        <w:trPr>
          <w:trHeight w:val="234"/>
        </w:trPr>
        <w:tc>
          <w:tcPr>
            <w:tcW w:w="2680" w:type="dxa"/>
            <w:vAlign w:val="bottom"/>
          </w:tcPr>
          <w:p>
            <w:pPr>
              <w:spacing w:after="0"/>
              <w:rPr>
                <w:sz w:val="20"/>
                <w:szCs w:val="20"/>
                <w:color w:val="auto"/>
              </w:rPr>
            </w:pPr>
          </w:p>
        </w:tc>
        <w:tc>
          <w:tcPr>
            <w:tcW w:w="8420" w:type="dxa"/>
            <w:vAlign w:val="bottom"/>
          </w:tcPr>
          <w:p>
            <w:pPr>
              <w:jc w:val="center"/>
              <w:ind w:right="2450"/>
              <w:spacing w:after="0"/>
              <w:rPr>
                <w:sz w:val="20"/>
                <w:szCs w:val="20"/>
                <w:color w:val="auto"/>
              </w:rPr>
            </w:pPr>
            <w:r>
              <w:rPr>
                <w:rFonts w:ascii="Arial" w:cs="Arial" w:eastAsia="Arial" w:hAnsi="Arial"/>
                <w:sz w:val="18"/>
                <w:szCs w:val="18"/>
                <w:b w:val="1"/>
                <w:bCs w:val="1"/>
                <w:color w:val="auto"/>
                <w:w w:val="93"/>
              </w:rPr>
              <w:t>$1,400,000,000 5.500% NOTES DUE 2064</w:t>
            </w:r>
          </w:p>
        </w:tc>
      </w:tr>
      <w:tr>
        <w:trPr>
          <w:trHeight w:val="432"/>
        </w:trPr>
        <w:tc>
          <w:tcPr>
            <w:tcW w:w="2680" w:type="dxa"/>
            <w:vAlign w:val="bottom"/>
          </w:tcPr>
          <w:p>
            <w:pPr>
              <w:spacing w:after="0"/>
              <w:rPr>
                <w:sz w:val="24"/>
                <w:szCs w:val="24"/>
                <w:color w:val="auto"/>
              </w:rPr>
            </w:pPr>
          </w:p>
        </w:tc>
        <w:tc>
          <w:tcPr>
            <w:tcW w:w="8420" w:type="dxa"/>
            <w:vAlign w:val="bottom"/>
          </w:tcPr>
          <w:p>
            <w:pPr>
              <w:jc w:val="center"/>
              <w:ind w:right="2450"/>
              <w:spacing w:after="0"/>
              <w:rPr>
                <w:sz w:val="20"/>
                <w:szCs w:val="20"/>
                <w:color w:val="auto"/>
              </w:rPr>
            </w:pPr>
            <w:r>
              <w:rPr>
                <w:rFonts w:ascii="Arial" w:cs="Arial" w:eastAsia="Arial" w:hAnsi="Arial"/>
                <w:sz w:val="18"/>
                <w:szCs w:val="18"/>
                <w:b w:val="1"/>
                <w:bCs w:val="1"/>
                <w:color w:val="auto"/>
                <w:w w:val="90"/>
              </w:rPr>
              <w:t>Final Term Sheet</w:t>
            </w:r>
          </w:p>
        </w:tc>
      </w:tr>
      <w:tr>
        <w:trPr>
          <w:trHeight w:val="540"/>
        </w:trPr>
        <w:tc>
          <w:tcPr>
            <w:tcW w:w="2680" w:type="dxa"/>
            <w:vAlign w:val="bottom"/>
          </w:tcPr>
          <w:p>
            <w:pPr>
              <w:spacing w:after="0"/>
              <w:rPr>
                <w:sz w:val="20"/>
                <w:szCs w:val="20"/>
                <w:color w:val="auto"/>
              </w:rPr>
            </w:pPr>
            <w:r>
              <w:rPr>
                <w:rFonts w:ascii="Arial" w:cs="Arial" w:eastAsia="Arial" w:hAnsi="Arial"/>
                <w:sz w:val="18"/>
                <w:szCs w:val="18"/>
                <w:color w:val="auto"/>
              </w:rPr>
              <w:t>Issuer</w:t>
            </w:r>
          </w:p>
        </w:tc>
        <w:tc>
          <w:tcPr>
            <w:tcW w:w="8420" w:type="dxa"/>
            <w:vAlign w:val="bottom"/>
          </w:tcPr>
          <w:p>
            <w:pPr>
              <w:ind w:left="272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Guarantors</w:t>
            </w:r>
          </w:p>
        </w:tc>
        <w:tc>
          <w:tcPr>
            <w:tcW w:w="8420" w:type="dxa"/>
            <w:vAlign w:val="bottom"/>
          </w:tcPr>
          <w:p>
            <w:pPr>
              <w:ind w:left="2720"/>
              <w:spacing w:after="0"/>
              <w:rPr>
                <w:sz w:val="20"/>
                <w:szCs w:val="20"/>
                <w:color w:val="auto"/>
              </w:rPr>
            </w:pPr>
            <w:r>
              <w:rPr>
                <w:rFonts w:ascii="Arial" w:cs="Arial" w:eastAsia="Arial" w:hAnsi="Arial"/>
                <w:sz w:val="18"/>
                <w:szCs w:val="18"/>
                <w:color w:val="auto"/>
              </w:rPr>
              <w:t>Comcast Cable Communications, LLC and NBCUniversal Media, LLC</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Issue of Securities</w:t>
            </w:r>
          </w:p>
        </w:tc>
        <w:tc>
          <w:tcPr>
            <w:tcW w:w="8420" w:type="dxa"/>
            <w:vAlign w:val="bottom"/>
          </w:tcPr>
          <w:p>
            <w:pPr>
              <w:ind w:left="2720"/>
              <w:spacing w:after="0"/>
              <w:rPr>
                <w:sz w:val="20"/>
                <w:szCs w:val="20"/>
                <w:color w:val="auto"/>
              </w:rPr>
            </w:pPr>
            <w:r>
              <w:rPr>
                <w:rFonts w:ascii="Arial" w:cs="Arial" w:eastAsia="Arial" w:hAnsi="Arial"/>
                <w:sz w:val="18"/>
                <w:szCs w:val="18"/>
                <w:color w:val="auto"/>
              </w:rPr>
              <w:t>4.550% Notes due 2029</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4.800% Notes due 2033</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5.350% Notes due 2053</w:t>
            </w:r>
          </w:p>
        </w:tc>
      </w:tr>
      <w:tr>
        <w:trPr>
          <w:trHeight w:val="230"/>
        </w:trPr>
        <w:tc>
          <w:tcPr>
            <w:tcW w:w="2680" w:type="dxa"/>
            <w:vAlign w:val="bottom"/>
          </w:tcPr>
          <w:p>
            <w:pPr>
              <w:spacing w:after="0"/>
              <w:rPr>
                <w:sz w:val="20"/>
                <w:szCs w:val="20"/>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5.500% Notes due 2064</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Denominations</w:t>
            </w:r>
          </w:p>
        </w:tc>
        <w:tc>
          <w:tcPr>
            <w:tcW w:w="8420" w:type="dxa"/>
            <w:vAlign w:val="bottom"/>
          </w:tcPr>
          <w:p>
            <w:pPr>
              <w:ind w:left="2720"/>
              <w:spacing w:after="0"/>
              <w:rPr>
                <w:sz w:val="20"/>
                <w:szCs w:val="20"/>
                <w:color w:val="auto"/>
              </w:rPr>
            </w:pPr>
            <w:r>
              <w:rPr>
                <w:rFonts w:ascii="Arial" w:cs="Arial" w:eastAsia="Arial" w:hAnsi="Arial"/>
                <w:sz w:val="18"/>
                <w:szCs w:val="18"/>
                <w:color w:val="auto"/>
              </w:rPr>
              <w:t>$2,000 and multiples of $1,000 in excess thereof</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420" w:type="dxa"/>
            <w:vAlign w:val="bottom"/>
          </w:tcPr>
          <w:p>
            <w:pPr>
              <w:ind w:left="2720"/>
              <w:spacing w:after="0"/>
              <w:rPr>
                <w:sz w:val="20"/>
                <w:szCs w:val="20"/>
                <w:color w:val="auto"/>
              </w:rPr>
            </w:pPr>
            <w:r>
              <w:rPr>
                <w:rFonts w:ascii="Arial" w:cs="Arial" w:eastAsia="Arial" w:hAnsi="Arial"/>
                <w:sz w:val="18"/>
                <w:szCs w:val="18"/>
                <w:color w:val="auto"/>
                <w:w w:val="95"/>
              </w:rPr>
              <w:t>The Company intends to use the net proceeds from the offering to fund the</w:t>
            </w:r>
          </w:p>
        </w:tc>
      </w:tr>
      <w:tr>
        <w:trPr>
          <w:trHeight w:val="212"/>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3"/>
              </w:rPr>
              <w:t>purchase of the securities accepted pursuant to its tender offers (collectively,</w:t>
            </w:r>
          </w:p>
        </w:tc>
      </w:tr>
      <w:tr>
        <w:trPr>
          <w:trHeight w:val="220"/>
        </w:trPr>
        <w:tc>
          <w:tcPr>
            <w:tcW w:w="2680" w:type="dxa"/>
            <w:vAlign w:val="bottom"/>
          </w:tcPr>
          <w:p>
            <w:pPr>
              <w:spacing w:after="0"/>
              <w:rPr>
                <w:sz w:val="19"/>
                <w:szCs w:val="19"/>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color w:val="auto"/>
                <w:w w:val="92"/>
              </w:rPr>
              <w:t>Comcast Tender Offers</w:t>
            </w:r>
            <w:r>
              <w:rPr>
                <w:rFonts w:ascii="Arial" w:cs="Arial" w:eastAsia="Arial" w:hAnsi="Arial"/>
                <w:sz w:val="18"/>
                <w:szCs w:val="18"/>
                <w:color w:val="auto"/>
                <w:w w:val="92"/>
              </w:rPr>
              <w:t>”) to purchase for cash any and all of its 3.700%</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3"/>
              </w:rPr>
              <w:t>Notes due 2024, its Floating Rate Notes due 2024 and its 3.375% Notes due</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0"/>
              </w:rPr>
              <w:t>2025, and the payment of related accrued and unpaid interest, premiums, fees</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and expenses. In the event that the Comcast Tender Offers are not</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89"/>
              </w:rPr>
              <w:t>consummated, or the net proceeds from the offering exceed the amount needed</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89"/>
              </w:rPr>
              <w:t>to fund the purchase of the securities accepted pursuant to the Comcast Tender</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5"/>
              </w:rPr>
              <w:t>Offers, the Company intends to use such net proceeds from the offering for</w:t>
            </w:r>
          </w:p>
        </w:tc>
      </w:tr>
      <w:tr>
        <w:trPr>
          <w:trHeight w:val="230"/>
        </w:trPr>
        <w:tc>
          <w:tcPr>
            <w:tcW w:w="2680" w:type="dxa"/>
            <w:vAlign w:val="bottom"/>
          </w:tcPr>
          <w:p>
            <w:pPr>
              <w:spacing w:after="0"/>
              <w:rPr>
                <w:sz w:val="20"/>
                <w:szCs w:val="20"/>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general corporate purposes, including the repayment of debt.</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Indenture</w:t>
            </w:r>
          </w:p>
        </w:tc>
        <w:tc>
          <w:tcPr>
            <w:tcW w:w="8420" w:type="dxa"/>
            <w:vAlign w:val="bottom"/>
          </w:tcPr>
          <w:p>
            <w:pPr>
              <w:ind w:left="2720"/>
              <w:spacing w:after="0"/>
              <w:rPr>
                <w:sz w:val="20"/>
                <w:szCs w:val="20"/>
                <w:color w:val="auto"/>
              </w:rPr>
            </w:pPr>
            <w:r>
              <w:rPr>
                <w:rFonts w:ascii="Arial" w:cs="Arial" w:eastAsia="Arial" w:hAnsi="Arial"/>
                <w:sz w:val="18"/>
                <w:szCs w:val="18"/>
                <w:color w:val="auto"/>
                <w:w w:val="93"/>
              </w:rPr>
              <w:t>Indenture dated as of September 18, 2013 by and among the Company, the</w:t>
            </w:r>
          </w:p>
        </w:tc>
      </w:tr>
      <w:tr>
        <w:trPr>
          <w:trHeight w:val="212"/>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3"/>
              </w:rPr>
              <w:t>guarantors named therein and The Bank of New York Mellon, as trustee (the</w:t>
            </w:r>
          </w:p>
        </w:tc>
      </w:tr>
      <w:tr>
        <w:trPr>
          <w:trHeight w:val="220"/>
        </w:trPr>
        <w:tc>
          <w:tcPr>
            <w:tcW w:w="2680" w:type="dxa"/>
            <w:vAlign w:val="bottom"/>
          </w:tcPr>
          <w:p>
            <w:pPr>
              <w:spacing w:after="0"/>
              <w:rPr>
                <w:sz w:val="19"/>
                <w:szCs w:val="19"/>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Trustee</w:t>
            </w:r>
            <w:r>
              <w:rPr>
                <w:rFonts w:ascii="Arial" w:cs="Arial" w:eastAsia="Arial" w:hAnsi="Arial"/>
                <w:sz w:val="18"/>
                <w:szCs w:val="18"/>
                <w:color w:val="auto"/>
                <w:w w:val="98"/>
              </w:rPr>
              <w:t>”), as amended by the First Supplemental Indenture dated as of</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89"/>
              </w:rPr>
              <w:t>November 17, 2015 by and among the Company, the guarantors named therein</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88"/>
              </w:rPr>
              <w:t>and the Trustee and as further amended by the Second Supplemental Indenture</w:t>
            </w:r>
          </w:p>
        </w:tc>
      </w:tr>
      <w:tr>
        <w:trPr>
          <w:trHeight w:val="216"/>
        </w:trPr>
        <w:tc>
          <w:tcPr>
            <w:tcW w:w="2680" w:type="dxa"/>
            <w:vAlign w:val="bottom"/>
          </w:tcPr>
          <w:p>
            <w:pPr>
              <w:spacing w:after="0"/>
              <w:rPr>
                <w:sz w:val="18"/>
                <w:szCs w:val="18"/>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w w:val="91"/>
              </w:rPr>
              <w:t>dated as of July 29, 2022 by and among the Company, the guarantors named</w:t>
            </w:r>
          </w:p>
        </w:tc>
      </w:tr>
      <w:tr>
        <w:trPr>
          <w:trHeight w:val="230"/>
        </w:trPr>
        <w:tc>
          <w:tcPr>
            <w:tcW w:w="2680" w:type="dxa"/>
            <w:vAlign w:val="bottom"/>
          </w:tcPr>
          <w:p>
            <w:pPr>
              <w:spacing w:after="0"/>
              <w:rPr>
                <w:sz w:val="20"/>
                <w:szCs w:val="20"/>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therein and the Trustee.</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Trustee</w:t>
            </w:r>
          </w:p>
        </w:tc>
        <w:tc>
          <w:tcPr>
            <w:tcW w:w="8420" w:type="dxa"/>
            <w:vAlign w:val="bottom"/>
          </w:tcPr>
          <w:p>
            <w:pPr>
              <w:ind w:left="2720"/>
              <w:spacing w:after="0"/>
              <w:rPr>
                <w:sz w:val="20"/>
                <w:szCs w:val="20"/>
                <w:color w:val="auto"/>
              </w:rPr>
            </w:pPr>
            <w:r>
              <w:rPr>
                <w:rFonts w:ascii="Arial" w:cs="Arial" w:eastAsia="Arial" w:hAnsi="Arial"/>
                <w:sz w:val="18"/>
                <w:szCs w:val="18"/>
                <w:color w:val="auto"/>
              </w:rPr>
              <w:t>The Bank of New York Mellon</w:t>
            </w:r>
          </w:p>
        </w:tc>
      </w:tr>
      <w:tr>
        <w:trPr>
          <w:trHeight w:val="595"/>
        </w:trPr>
        <w:tc>
          <w:tcPr>
            <w:tcW w:w="2680" w:type="dxa"/>
            <w:vAlign w:val="bottom"/>
          </w:tcPr>
          <w:p>
            <w:pPr>
              <w:spacing w:after="0"/>
              <w:rPr>
                <w:sz w:val="20"/>
                <w:szCs w:val="20"/>
                <w:color w:val="auto"/>
              </w:rPr>
            </w:pPr>
            <w:r>
              <w:rPr>
                <w:rFonts w:ascii="Arial" w:cs="Arial" w:eastAsia="Arial" w:hAnsi="Arial"/>
                <w:sz w:val="18"/>
                <w:szCs w:val="18"/>
                <w:color w:val="auto"/>
              </w:rPr>
              <w:t>Expected Ratings</w:t>
            </w:r>
            <w:r>
              <w:rPr>
                <w:rFonts w:ascii="Arial" w:cs="Arial" w:eastAsia="Arial" w:hAnsi="Arial"/>
                <w:sz w:val="29"/>
                <w:szCs w:val="29"/>
                <w:color w:val="auto"/>
                <w:vertAlign w:val="superscript"/>
              </w:rPr>
              <w:t>1</w:t>
            </w:r>
          </w:p>
        </w:tc>
        <w:tc>
          <w:tcPr>
            <w:tcW w:w="8420" w:type="dxa"/>
            <w:vAlign w:val="bottom"/>
          </w:tcPr>
          <w:p>
            <w:pPr>
              <w:ind w:left="2720"/>
              <w:spacing w:after="0"/>
              <w:rPr>
                <w:sz w:val="20"/>
                <w:szCs w:val="20"/>
                <w:color w:val="auto"/>
              </w:rPr>
            </w:pPr>
            <w:r>
              <w:rPr>
                <w:rFonts w:ascii="Arial" w:cs="Arial" w:eastAsia="Arial" w:hAnsi="Arial"/>
                <w:sz w:val="18"/>
                <w:szCs w:val="18"/>
                <w:color w:val="auto"/>
              </w:rPr>
              <w:t>Moody’s: A3; S&amp;P: A-; Fitch: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071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70" w:lineRule="exact"/>
        <w:rPr>
          <w:sz w:val="24"/>
          <w:szCs w:val="24"/>
          <w:color w:val="auto"/>
        </w:rPr>
      </w:pPr>
    </w:p>
    <w:p>
      <w:pPr>
        <w:ind w:right="200" w:firstLine="8"/>
        <w:spacing w:after="0" w:line="206" w:lineRule="auto"/>
        <w:tabs>
          <w:tab w:leader="none" w:pos="132" w:val="left"/>
        </w:tabs>
        <w:numPr>
          <w:ilvl w:val="0"/>
          <w:numId w:val="1"/>
        </w:numPr>
        <w:rPr>
          <w:rFonts w:ascii="Arial" w:cs="Arial" w:eastAsia="Arial" w:hAnsi="Arial"/>
          <w:sz w:val="33"/>
          <w:szCs w:val="33"/>
          <w:b w:val="1"/>
          <w:bCs w:val="1"/>
          <w:color w:val="auto"/>
          <w:vertAlign w:val="superscript"/>
        </w:rPr>
      </w:pPr>
      <w:r>
        <w:rPr>
          <w:rFonts w:ascii="Arial" w:cs="Arial" w:eastAsia="Arial" w:hAnsi="Arial"/>
          <w:sz w:val="20"/>
          <w:szCs w:val="20"/>
          <w:b w:val="1"/>
          <w:bCs w:val="1"/>
          <w:color w:val="auto"/>
        </w:rPr>
        <w:t>A securities rating is not a recommendation to buy, sell or hold securities and may be subject to revision or withdrawal at any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420" w:type="dxa"/>
            <w:vAlign w:val="bottom"/>
          </w:tcPr>
          <w:p>
            <w:pPr>
              <w:ind w:left="1580"/>
              <w:spacing w:after="0"/>
              <w:rPr>
                <w:sz w:val="20"/>
                <w:szCs w:val="20"/>
                <w:color w:val="auto"/>
              </w:rPr>
            </w:pPr>
            <w:r>
              <w:rPr>
                <w:rFonts w:ascii="Arial" w:cs="Arial" w:eastAsia="Arial" w:hAnsi="Arial"/>
                <w:sz w:val="18"/>
                <w:szCs w:val="18"/>
                <w:color w:val="auto"/>
              </w:rPr>
              <w:t>Goldman Sachs &amp; Co.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Morgan Stanley &amp; Co.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Wells Fargo Securities,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Mizuho Securities USA LLC</w:t>
            </w:r>
          </w:p>
        </w:tc>
      </w:tr>
      <w:tr>
        <w:trPr>
          <w:trHeight w:val="230"/>
        </w:trPr>
        <w:tc>
          <w:tcPr>
            <w:tcW w:w="3820" w:type="dxa"/>
            <w:vAlign w:val="bottom"/>
          </w:tcPr>
          <w:p>
            <w:pPr>
              <w:spacing w:after="0"/>
              <w:rPr>
                <w:sz w:val="20"/>
                <w:szCs w:val="20"/>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U.S. Bancorp Investments, Inc.</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Co-Managers</w:t>
            </w:r>
          </w:p>
        </w:tc>
        <w:tc>
          <w:tcPr>
            <w:tcW w:w="7420" w:type="dxa"/>
            <w:vAlign w:val="bottom"/>
          </w:tcPr>
          <w:p>
            <w:pPr>
              <w:ind w:left="1580"/>
              <w:spacing w:after="0"/>
              <w:rPr>
                <w:sz w:val="20"/>
                <w:szCs w:val="20"/>
                <w:color w:val="auto"/>
              </w:rPr>
            </w:pPr>
            <w:r>
              <w:rPr>
                <w:rFonts w:ascii="Arial" w:cs="Arial" w:eastAsia="Arial" w:hAnsi="Arial"/>
                <w:sz w:val="18"/>
                <w:szCs w:val="18"/>
                <w:color w:val="auto"/>
              </w:rPr>
              <w:t>Barclays Capital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BofA Securities,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Commerz Markets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J.P. Morgan Securities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RBC Capital Markets,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Santander US Capital Markets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TD Securities (USA)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DNB Markets,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ICBC Standard Bank Plc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PNC Capital Markets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SG Americas Securities,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Academy Securities,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ING Financial Markets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Intesa Sanpaolo S.p.A.</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Loop Capital Markets LLC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NatWest Markets Securities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Scotia Capital (USA)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Truist Securities,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AmeriVet Securities,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C.L. King &amp; Associates,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MFR Securities, Inc.</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Multi-Bank Securities, Inc.</w:t>
            </w:r>
          </w:p>
        </w:tc>
      </w:tr>
      <w:tr>
        <w:trPr>
          <w:trHeight w:val="230"/>
        </w:trPr>
        <w:tc>
          <w:tcPr>
            <w:tcW w:w="3820" w:type="dxa"/>
            <w:vAlign w:val="bottom"/>
          </w:tcPr>
          <w:p>
            <w:pPr>
              <w:spacing w:after="0"/>
              <w:rPr>
                <w:sz w:val="20"/>
                <w:szCs w:val="20"/>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Stern Brothers &amp; Co.</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Trade Date</w:t>
            </w:r>
          </w:p>
        </w:tc>
        <w:tc>
          <w:tcPr>
            <w:tcW w:w="7420" w:type="dxa"/>
            <w:vAlign w:val="bottom"/>
          </w:tcPr>
          <w:p>
            <w:pPr>
              <w:ind w:left="1580"/>
              <w:spacing w:after="0"/>
              <w:rPr>
                <w:sz w:val="20"/>
                <w:szCs w:val="20"/>
                <w:color w:val="auto"/>
              </w:rPr>
            </w:pPr>
            <w:r>
              <w:rPr>
                <w:rFonts w:ascii="Arial" w:cs="Arial" w:eastAsia="Arial" w:hAnsi="Arial"/>
                <w:sz w:val="18"/>
                <w:szCs w:val="18"/>
                <w:color w:val="auto"/>
              </w:rPr>
              <w:t>May 1, 2023</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Settlement Date</w:t>
            </w:r>
          </w:p>
        </w:tc>
        <w:tc>
          <w:tcPr>
            <w:tcW w:w="7420" w:type="dxa"/>
            <w:vAlign w:val="bottom"/>
          </w:tcPr>
          <w:p>
            <w:pPr>
              <w:ind w:left="1580"/>
              <w:spacing w:after="0"/>
              <w:rPr>
                <w:sz w:val="20"/>
                <w:szCs w:val="20"/>
                <w:color w:val="auto"/>
              </w:rPr>
            </w:pPr>
            <w:r>
              <w:rPr>
                <w:rFonts w:ascii="Arial" w:cs="Arial" w:eastAsia="Arial" w:hAnsi="Arial"/>
                <w:sz w:val="18"/>
                <w:szCs w:val="18"/>
                <w:color w:val="auto"/>
              </w:rPr>
              <w:t>May 9, 2023 (T+6)</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Risk Factors</w:t>
            </w:r>
          </w:p>
        </w:tc>
        <w:tc>
          <w:tcPr>
            <w:tcW w:w="7420" w:type="dxa"/>
            <w:vAlign w:val="bottom"/>
          </w:tcPr>
          <w:p>
            <w:pPr>
              <w:ind w:left="1580"/>
              <w:spacing w:after="0"/>
              <w:rPr>
                <w:sz w:val="20"/>
                <w:szCs w:val="20"/>
                <w:color w:val="auto"/>
              </w:rPr>
            </w:pPr>
            <w:r>
              <w:rPr>
                <w:rFonts w:ascii="Arial" w:cs="Arial" w:eastAsia="Arial" w:hAnsi="Arial"/>
                <w:sz w:val="18"/>
                <w:szCs w:val="18"/>
                <w:color w:val="auto"/>
              </w:rPr>
              <w:t>Investing in the notes involves certain risks. See “Item 1A-Risk Factors”</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w w:val="95"/>
              </w:rPr>
              <w:t>beginning on page 24 of the Company’s Annual Report on Form 10-K for the</w:t>
            </w:r>
          </w:p>
        </w:tc>
      </w:tr>
      <w:tr>
        <w:trPr>
          <w:trHeight w:val="230"/>
        </w:trPr>
        <w:tc>
          <w:tcPr>
            <w:tcW w:w="3820" w:type="dxa"/>
            <w:vAlign w:val="bottom"/>
          </w:tcPr>
          <w:p>
            <w:pPr>
              <w:spacing w:after="0"/>
              <w:rPr>
                <w:sz w:val="20"/>
                <w:szCs w:val="20"/>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year ended December 31, 2022.</w:t>
            </w:r>
          </w:p>
        </w:tc>
      </w:tr>
      <w:tr>
        <w:trPr>
          <w:trHeight w:val="414"/>
        </w:trPr>
        <w:tc>
          <w:tcPr>
            <w:tcW w:w="3820" w:type="dxa"/>
            <w:vAlign w:val="bottom"/>
          </w:tcPr>
          <w:p>
            <w:pPr>
              <w:spacing w:after="0"/>
              <w:rPr>
                <w:sz w:val="20"/>
                <w:szCs w:val="20"/>
                <w:color w:val="auto"/>
              </w:rPr>
            </w:pPr>
            <w:r>
              <w:rPr>
                <w:rFonts w:ascii="Arial" w:cs="Arial" w:eastAsia="Arial" w:hAnsi="Arial"/>
                <w:sz w:val="18"/>
                <w:szCs w:val="18"/>
                <w:color w:val="auto"/>
              </w:rPr>
              <w:t>Concurrent Tender Offers</w:t>
            </w:r>
          </w:p>
        </w:tc>
        <w:tc>
          <w:tcPr>
            <w:tcW w:w="7420" w:type="dxa"/>
            <w:vAlign w:val="bottom"/>
          </w:tcPr>
          <w:p>
            <w:pPr>
              <w:ind w:left="1580"/>
              <w:spacing w:after="0"/>
              <w:rPr>
                <w:sz w:val="20"/>
                <w:szCs w:val="20"/>
                <w:color w:val="auto"/>
              </w:rPr>
            </w:pPr>
            <w:r>
              <w:rPr>
                <w:rFonts w:ascii="Arial" w:cs="Arial" w:eastAsia="Arial" w:hAnsi="Arial"/>
                <w:sz w:val="18"/>
                <w:szCs w:val="18"/>
                <w:color w:val="auto"/>
                <w:w w:val="95"/>
              </w:rPr>
              <w:t>On May 1, 2023, the Company commenced the Comcast Tender Offers, and</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w w:val="94"/>
              </w:rPr>
              <w:t>Sky Limited commenced a tender offer (the “</w:t>
            </w:r>
            <w:r>
              <w:rPr>
                <w:rFonts w:ascii="Arial" w:cs="Arial" w:eastAsia="Arial" w:hAnsi="Arial"/>
                <w:sz w:val="18"/>
                <w:szCs w:val="18"/>
                <w:b w:val="1"/>
                <w:bCs w:val="1"/>
                <w:color w:val="auto"/>
                <w:w w:val="94"/>
              </w:rPr>
              <w:t>Sky Tender Offer</w:t>
            </w:r>
            <w:r>
              <w:rPr>
                <w:rFonts w:ascii="Arial" w:cs="Arial" w:eastAsia="Arial" w:hAnsi="Arial"/>
                <w:sz w:val="18"/>
                <w:szCs w:val="18"/>
                <w:color w:val="auto"/>
                <w:w w:val="94"/>
              </w:rPr>
              <w:t>” and, together</w:t>
            </w:r>
          </w:p>
        </w:tc>
      </w:tr>
      <w:tr>
        <w:trPr>
          <w:trHeight w:val="220"/>
        </w:trPr>
        <w:tc>
          <w:tcPr>
            <w:tcW w:w="3820" w:type="dxa"/>
            <w:vAlign w:val="bottom"/>
          </w:tcPr>
          <w:p>
            <w:pPr>
              <w:spacing w:after="0"/>
              <w:rPr>
                <w:sz w:val="19"/>
                <w:szCs w:val="19"/>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w w:val="97"/>
              </w:rPr>
              <w:t>with the Comcast Tender Offers, the “</w:t>
            </w:r>
            <w:r>
              <w:rPr>
                <w:rFonts w:ascii="Arial" w:cs="Arial" w:eastAsia="Arial" w:hAnsi="Arial"/>
                <w:sz w:val="18"/>
                <w:szCs w:val="18"/>
                <w:b w:val="1"/>
                <w:bCs w:val="1"/>
                <w:color w:val="auto"/>
                <w:w w:val="97"/>
              </w:rPr>
              <w:t>Tender Offers</w:t>
            </w:r>
            <w:r>
              <w:rPr>
                <w:rFonts w:ascii="Arial" w:cs="Arial" w:eastAsia="Arial" w:hAnsi="Arial"/>
                <w:sz w:val="18"/>
                <w:szCs w:val="18"/>
                <w:color w:val="auto"/>
                <w:w w:val="97"/>
              </w:rPr>
              <w:t>”) to purchase for cash</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w w:val="96"/>
              </w:rPr>
              <w:t>any and all of its 3.750% Senior Unsecured Notes due 2024. Sky intends to</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w w:val="93"/>
              </w:rPr>
              <w:t>fund the purchase of the securities accepted pursuant to the Sky Tender Offer</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with cash on hand. As of the date hereof, there is $2.5 billion aggregate</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principal amount of the Company’s 3.700% Notes due 2024 outstanding,</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w w:val="98"/>
              </w:rPr>
              <w:t>$500.0 million aggregate principal amount of the Company’s Floating Rate</w:t>
            </w:r>
          </w:p>
        </w:tc>
      </w:tr>
      <w:tr>
        <w:trPr>
          <w:trHeight w:val="216"/>
        </w:trPr>
        <w:tc>
          <w:tcPr>
            <w:tcW w:w="382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w w:val="93"/>
              </w:rPr>
              <w:t>Notes due 2024 outstanding, $993.4 million aggregate principal amount of the</w:t>
            </w:r>
          </w:p>
        </w:tc>
      </w:tr>
      <w:tr>
        <w:trPr>
          <w:trHeight w:val="230"/>
        </w:trPr>
        <w:tc>
          <w:tcPr>
            <w:tcW w:w="3820" w:type="dxa"/>
            <w:vAlign w:val="bottom"/>
          </w:tcPr>
          <w:p>
            <w:pPr>
              <w:spacing w:after="0"/>
              <w:rPr>
                <w:sz w:val="20"/>
                <w:szCs w:val="20"/>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Company’s</w:t>
            </w:r>
          </w:p>
        </w:tc>
      </w:tr>
      <w:tr>
        <w:trPr>
          <w:trHeight w:val="432"/>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652"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4.550% Notes Due 2029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ind w:right="400"/>
        <w:spacing w:after="0" w:line="263" w:lineRule="auto"/>
        <w:rPr>
          <w:sz w:val="20"/>
          <w:szCs w:val="20"/>
          <w:color w:val="auto"/>
        </w:rPr>
      </w:pPr>
      <w:r>
        <w:rPr>
          <w:rFonts w:ascii="Arial" w:cs="Arial" w:eastAsia="Arial" w:hAnsi="Arial"/>
          <w:sz w:val="18"/>
          <w:szCs w:val="18"/>
          <w:color w:val="auto"/>
        </w:rPr>
        <w:t>3.375% Notes due 2025 outstanding and $1.25 billion aggregate principal amount of Sky Limited’s 3.750% Senior Unsecured Notes due 2024 outstanding.</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Tender Offers will expire on May 5, 2023 at 5:00 p.m., unless extended. The offering of the notes is not conditioned upon the completion of any or all of the Tender Offers. However, the Tender Offers are subject to a number of conditions that may be waived or changed. The Company and Sky Limited are permitted, subject to applicable law, to amend, extend, terminate or withdraw the Tender Offers, as applicable, and there can be no assurance that either the Company or Sky Limited will consummate the Tender Offers on the terms described herein or at all.</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foregoing description of the Tender Offers is provided for informational purposes only does not constitute an offer to buy or the solicitation of an offer to sell any securities subject to the Tender Offers.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15, 2029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4.550% per annum, accruing from May 9, 2023 (calculated on the basis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360-day year consisting of twelve 30-day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January 15,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3.500% due April 30, 2028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99-11+ / 3.641%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+95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4.591%</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Prior to December 15, 2028 (one (1) month prior to the maturity date of the 4.550% Notes due 2029) (the “</w:t>
      </w:r>
      <w:r>
        <w:rPr>
          <w:rFonts w:ascii="Arial" w:cs="Arial" w:eastAsia="Arial" w:hAnsi="Arial"/>
          <w:sz w:val="16"/>
          <w:szCs w:val="16"/>
          <w:b w:val="1"/>
          <w:bCs w:val="1"/>
          <w:color w:val="auto"/>
        </w:rPr>
        <w:t>2029 Par Call Date</w:t>
      </w:r>
      <w:r>
        <w:rPr>
          <w:rFonts w:ascii="Arial" w:cs="Arial" w:eastAsia="Arial" w:hAnsi="Arial"/>
          <w:sz w:val="16"/>
          <w:szCs w:val="16"/>
          <w:color w:val="auto"/>
        </w:rPr>
        <w:t>”), the Company may redeem the 4.550% Notes due 2029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4.550% Notes due 2029 matured on the 2029 Par Call Date) on a semi-annual basis (assuming a 360-day year consisting of twelve 30-day months) at the Treasury Rate (as defined below) plus 15 basis points, less (b) interest accrued to the date of redemption, and (2) 100% of the principal amount of the 4.550% Notes due 2029 to be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52" w:right="4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4.800% Notes Due 2033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redeemed, plus, in either case, accrued and unpaid interest thereon to the redemption date.</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or after the 2029 Par Call Date, the Company may redeem the 4.550% Notes due 2029, in whole or in part, at any time and from time to time, at a redemption price equal to 100% of the principal amount of the 4.550% Notes due 2029 being redeemed plus accrued and unpaid interest thereon to the redemption date.</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An unlimited amount of additional 4.550% Notes due 2029 may be issued. The 4.550% Notes due 2029 and any additional 4.550% Notes due 2029 that may be issued may be treated as a single series for all purposes under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20030N ED9 / US20030NED93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99.784% plus accrued interest, if any, from May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0.250%</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99.534% per $1,000 principal amount of 4.550% Notes due 2029; $995,340,000 total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2033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4.800% per annum, accruing from May 9, 2023 (calculated on the basis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360-day year consisting of twelve 30-day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November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3.500% due February 15, 2033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99-08+ / 3.589%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+125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4.839%</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February 15, 2033 (three (3) months prior to the maturity date of the 4.800% Notes due 2033) (the “</w:t>
      </w:r>
      <w:r>
        <w:rPr>
          <w:rFonts w:ascii="Arial" w:cs="Arial" w:eastAsia="Arial" w:hAnsi="Arial"/>
          <w:sz w:val="16"/>
          <w:szCs w:val="16"/>
          <w:b w:val="1"/>
          <w:bCs w:val="1"/>
          <w:color w:val="auto"/>
        </w:rPr>
        <w:t>2033 Par Call Date</w:t>
      </w:r>
      <w:r>
        <w:rPr>
          <w:rFonts w:ascii="Arial" w:cs="Arial" w:eastAsia="Arial" w:hAnsi="Arial"/>
          <w:sz w:val="16"/>
          <w:szCs w:val="16"/>
          <w:color w:val="auto"/>
        </w:rPr>
        <w:t>”), the Company may redeem the 4.800% Notes due 2033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4.800% Notes due 2033 matured on the 2033 Par Call Date) on a semi-annual basis (assuming a 360-day year consisting of twelve 30-day months) at the Treasury Rate (as defined below) plus 20 basis points, less (b) interest</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52" w:right="4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5.350% Notes Due 2053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accrued to the date of redemption, and (2) 100% of the principal amount of the 4.800% Notes due 2033 to be redeemed, plus, in either case, accrued and unpaid interest thereon to the redemption date.</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or after the 2033 Par Call Date, the Company may redeem the 4.800% Notes due 2033, in whole or in part, at any time and from time to time, at a redemption price equal to 100% of the principal amount of the 4.800% Notes due 2033 being redeemed plus accrued and unpaid interest thereon to the redemption date.</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An unlimited amount of additional 4.800% Notes due 2033 may be issued. The 4.800% Notes due 2033 and any additional 4.800% Notes due 2033 that may be issued may be treated as a single series for all purposes under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20030N EE7 / US20030NEE76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99.692% plus accrued interest, if any, from May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0.400%</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99.292% per $1,000 principal amount of 4.800% Notes due 2033; $992,920,000 total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$1,600,000,000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2053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5.350% per annum, accruing from May 9, 2023 (calculated on the basis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360-day year consisting of twelve 30-day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November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4.000% due November 15, 2052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103-00 / 3.829%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+155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5.379%</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 to November 15, 2052 (six (6) months prior to the maturity date of the 5.350% Notes due 2053) (the “</w:t>
      </w:r>
      <w:r>
        <w:rPr>
          <w:rFonts w:ascii="Arial" w:cs="Arial" w:eastAsia="Arial" w:hAnsi="Arial"/>
          <w:sz w:val="16"/>
          <w:szCs w:val="16"/>
          <w:b w:val="1"/>
          <w:bCs w:val="1"/>
          <w:color w:val="auto"/>
        </w:rPr>
        <w:t>2053 Par Call Date</w:t>
      </w:r>
      <w:r>
        <w:rPr>
          <w:rFonts w:ascii="Arial" w:cs="Arial" w:eastAsia="Arial" w:hAnsi="Arial"/>
          <w:sz w:val="16"/>
          <w:szCs w:val="16"/>
          <w:color w:val="auto"/>
        </w:rPr>
        <w:t>”), the Company may redeem the 5.350% Notes due 2053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5.350% Notes due 2053 matured on the 2053 Par Call Date) on a semi-annual basis (assuming a 360-day year</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52" w:right="4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5.500% Notes Due 2064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ind w:right="20"/>
        <w:spacing w:after="0" w:line="301" w:lineRule="auto"/>
        <w:rPr>
          <w:sz w:val="20"/>
          <w:szCs w:val="20"/>
          <w:color w:val="auto"/>
        </w:rPr>
      </w:pPr>
      <w:r>
        <w:rPr>
          <w:rFonts w:ascii="Arial" w:cs="Arial" w:eastAsia="Arial" w:hAnsi="Arial"/>
          <w:sz w:val="16"/>
          <w:szCs w:val="16"/>
          <w:color w:val="auto"/>
        </w:rPr>
        <w:t>consisting of twelve 30-day months) at the Treasury Rate (as defined below) plus 25 basis points, less (b) interest accrued to the date of redemption, and (2) 100% of the principal amount of the 5.350% Notes due 2053 to be redeemed, plus, in either case, accrued and unpaid interest thereon to the redemption date.</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or after the 2053 Par Call Date, the Company may redeem the 5.350% Notes due 2053, in whole or in part, at any time and from time to time, at a redemption price equal to 100% of the principal amount of the 5.350% Notes due 2053 being redeemed plus accrued and unpaid interest thereon to the redemption date.</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An unlimited amount of additional 5.350% Notes due 2053 may be issued. The 5.350% Notes due 2053 and any additional 5.350% Notes due 2053 that may be issued may be treated as a single series for all purposes under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20030N EF4 / US20030NEF42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99.569% plus accrued interest, if any, from May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0.750%</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98.819% per $1,000 principal amount of 5.350% Notes due 2053; $1,581,104,000 total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$1,400,000,000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2064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5.500% per annum, accruing from May 9, 2023 (calculated on the basis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360-day year consisting of twelve 30-day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November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4.000% due November 15, 2052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103-00 / 3.829%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5.529%</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Prior to November 15, 2063 (six (6) months prior to the maturity date of the 5.500% Notes due 2064) (the “</w:t>
      </w:r>
      <w:r>
        <w:rPr>
          <w:rFonts w:ascii="Arial" w:cs="Arial" w:eastAsia="Arial" w:hAnsi="Arial"/>
          <w:sz w:val="17"/>
          <w:szCs w:val="17"/>
          <w:b w:val="1"/>
          <w:bCs w:val="1"/>
          <w:color w:val="auto"/>
        </w:rPr>
        <w:t>2064 Par Call Date</w:t>
      </w:r>
      <w:r>
        <w:rPr>
          <w:rFonts w:ascii="Arial" w:cs="Arial" w:eastAsia="Arial" w:hAnsi="Arial"/>
          <w:sz w:val="17"/>
          <w:szCs w:val="17"/>
          <w:color w:val="auto"/>
        </w:rPr>
        <w:t>”; and, together with the 2029 Par Call Date, the 2033 Par Call Date and the 2053 Par Call Date, each a “</w:t>
      </w:r>
      <w:r>
        <w:rPr>
          <w:rFonts w:ascii="Arial" w:cs="Arial" w:eastAsia="Arial" w:hAnsi="Arial"/>
          <w:sz w:val="17"/>
          <w:szCs w:val="17"/>
          <w:b w:val="1"/>
          <w:bCs w:val="1"/>
          <w:color w:val="auto"/>
        </w:rPr>
        <w:t>Par Call Date</w:t>
      </w:r>
      <w:r>
        <w:rPr>
          <w:rFonts w:ascii="Arial" w:cs="Arial" w:eastAsia="Arial" w:hAnsi="Arial"/>
          <w:sz w:val="17"/>
          <w:szCs w:val="17"/>
          <w:color w:val="auto"/>
        </w:rPr>
        <w:t>”), the Company may redeem the 5.500% Notes due 2064 at its option, in whole or in part, at any time and from time to time, at a redemption price (expressed as a percentage of the principal amount and rounded to three decimal places) equal to the greater of: (1) (a) the sum of the present values of the remaining</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680" w:space="720"/>
            <w:col w:w="5720"/>
          </w:cols>
          <w:pgMar w:left="320" w:top="652" w:right="459" w:bottom="1440" w:gutter="0" w:footer="0" w:header="0"/>
        </w:sectPr>
      </w:pPr>
    </w:p>
    <w:bookmarkStart w:id="6" w:name="page7"/>
    <w:bookmarkEnd w:id="6"/>
    <w:p>
      <w:pPr>
        <w:ind w:left="5400" w:right="80"/>
        <w:spacing w:after="0" w:line="291" w:lineRule="auto"/>
        <w:rPr>
          <w:sz w:val="20"/>
          <w:szCs w:val="20"/>
          <w:color w:val="auto"/>
        </w:rPr>
      </w:pPr>
      <w:r>
        <w:rPr>
          <w:rFonts w:ascii="Arial" w:cs="Arial" w:eastAsia="Arial" w:hAnsi="Arial"/>
          <w:sz w:val="16"/>
          <w:szCs w:val="16"/>
          <w:color w:val="auto"/>
        </w:rPr>
        <w:t>scheduled payments of principal and interest thereon discounted to the redemption date (assuming that the 5.500% Notes due 2064 matured on the 2064 Par Call Date) on a semi-annual basis (assuming a 360-day year consisting of twelve 30-day months) at the Treasury Rate (as defined below) plus 30 basis points, less (b) interest accrued to the date of redemption, and (2) 100% of the principal amount of the 5.500% Notes due 2064 to be redeemed, plus, in either case, accrued and unpaid interest thereon to the redemption date.</w:t>
      </w:r>
    </w:p>
    <w:p>
      <w:pPr>
        <w:spacing w:after="0" w:line="166"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On or after the 2064 Par Call Date, the Company may redeem the 5.500%</w:t>
      </w:r>
    </w:p>
    <w:p>
      <w:pPr>
        <w:spacing w:after="0" w:line="35"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Notes due 2064, in whole or in part, at any time and from time to time, at a</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redemption price equal to 100% of the principal amount of the 5.500% Notes</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due 2064 being redeemed plus accrued and unpaid interest thereon to the</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redemption date.</w:t>
      </w:r>
    </w:p>
    <w:p>
      <w:pPr>
        <w:sectPr>
          <w:pgSz w:w="11900" w:h="16838" w:orient="portrait"/>
          <w:cols w:equalWidth="0" w:num="1">
            <w:col w:w="11180"/>
          </w:cols>
          <w:pgMar w:left="320" w:top="652" w:right="3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Additional Issuances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 unlimited amount of additional 5.500% Notes due 2064 may be issued. The 5.500% Notes due 2064 and any additional 5.500% Notes due 2064 that may be issued may be treated as a single series for all purposes under the Indenture.</w:t>
      </w:r>
    </w:p>
    <w:p>
      <w:pPr>
        <w:spacing w:after="0" w:line="149" w:lineRule="exact"/>
        <w:rPr>
          <w:sz w:val="20"/>
          <w:szCs w:val="20"/>
          <w:color w:val="auto"/>
        </w:rPr>
      </w:pPr>
    </w:p>
    <w:p>
      <w:pPr>
        <w:sectPr>
          <w:pgSz w:w="11900" w:h="16838" w:orient="portrait"/>
          <w:cols w:equalWidth="0" w:num="2">
            <w:col w:w="4680" w:space="720"/>
            <w:col w:w="5780"/>
          </w:cols>
          <w:pgMar w:left="320" w:top="652" w:right="399" w:bottom="1440" w:gutter="0" w:footer="0" w:header="0"/>
          <w:type w:val="continuous"/>
        </w:sect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20030N EG2 / US20030NEG25</w:t>
      </w:r>
    </w:p>
    <w:p>
      <w:pPr>
        <w:spacing w:after="0" w:line="211" w:lineRule="exact"/>
        <w:rPr>
          <w:sz w:val="20"/>
          <w:szCs w:val="20"/>
          <w:color w:val="auto"/>
        </w:rPr>
      </w:pPr>
    </w:p>
    <w:p>
      <w:pPr>
        <w:sectPr>
          <w:pgSz w:w="11900" w:h="16838" w:orient="portrait"/>
          <w:cols w:equalWidth="0" w:num="2">
            <w:col w:w="4680" w:space="720"/>
            <w:col w:w="5780"/>
          </w:cols>
          <w:pgMar w:left="320" w:top="652"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99.530% plus accrued interest, if any, from May 9, 2023</w:t>
      </w:r>
    </w:p>
    <w:p>
      <w:pPr>
        <w:spacing w:after="0" w:line="200" w:lineRule="exact"/>
        <w:rPr>
          <w:sz w:val="20"/>
          <w:szCs w:val="20"/>
          <w:color w:val="auto"/>
        </w:rPr>
      </w:pPr>
    </w:p>
    <w:p>
      <w:pPr>
        <w:sectPr>
          <w:pgSz w:w="11900" w:h="16838" w:orient="portrait"/>
          <w:cols w:equalWidth="0" w:num="2">
            <w:col w:w="4680" w:space="720"/>
            <w:col w:w="5780"/>
          </w:cols>
          <w:pgMar w:left="320" w:top="652" w:right="3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Underwriters’ Discount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0.800%</w:t>
      </w:r>
    </w:p>
    <w:p>
      <w:pPr>
        <w:spacing w:after="0" w:line="211" w:lineRule="exact"/>
        <w:rPr>
          <w:sz w:val="20"/>
          <w:szCs w:val="20"/>
          <w:color w:val="auto"/>
        </w:rPr>
      </w:pPr>
    </w:p>
    <w:p>
      <w:pPr>
        <w:sectPr>
          <w:pgSz w:w="11900" w:h="16838" w:orient="portrait"/>
          <w:cols w:equalWidth="0" w:num="2">
            <w:col w:w="4680" w:space="720"/>
            <w:col w:w="5780"/>
          </w:cols>
          <w:pgMar w:left="320" w:top="652"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98.730% per $1,000 principal amount of 5.500% Notes due 2064; $1,382,220,000 total</w:t>
      </w:r>
    </w:p>
    <w:p>
      <w:pPr>
        <w:spacing w:after="0" w:line="200" w:lineRule="exact"/>
        <w:rPr>
          <w:sz w:val="20"/>
          <w:szCs w:val="20"/>
          <w:color w:val="auto"/>
        </w:rPr>
      </w:pPr>
    </w:p>
    <w:p>
      <w:pPr>
        <w:sectPr>
          <w:pgSz w:w="11900" w:h="16838" w:orient="portrait"/>
          <w:cols w:equalWidth="0" w:num="2">
            <w:col w:w="4680" w:space="720"/>
            <w:col w:w="5780"/>
          </w:cols>
          <w:pgMar w:left="320" w:top="652" w:right="39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“Treasury Rate” used for Optional Redemptions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“Treasury Rate” means, with respect to any redemption date, the yield determined by the Company in accordance with the following two paragraphs.</w:t>
      </w:r>
    </w:p>
    <w:p>
      <w:pPr>
        <w:spacing w:after="0" w:line="24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Company shall select, as applicable: (1) the yield for the Treasury constant maturity on H.15 exactly equal to the period from the redemption date to the applicable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type w:val="continuous"/>
        </w:sectPr>
      </w:pPr>
    </w:p>
    <w:bookmarkStart w:id="7" w:name="page8"/>
    <w:bookmarkEnd w:id="7"/>
    <w:p>
      <w:pPr>
        <w:spacing w:after="0" w:line="269" w:lineRule="auto"/>
        <w:rPr>
          <w:sz w:val="20"/>
          <w:szCs w:val="20"/>
          <w:color w:val="auto"/>
        </w:rPr>
      </w:pPr>
      <w:r>
        <w:rPr>
          <w:rFonts w:ascii="Arial" w:cs="Arial" w:eastAsia="Arial" w:hAnsi="Arial"/>
          <w:sz w:val="17"/>
          <w:szCs w:val="17"/>
          <w:color w:val="auto"/>
        </w:rPr>
        <w:t>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8" w:name="page9"/>
    <w:bookmarkEnd w:id="8"/>
    <w:p>
      <w:pPr>
        <w:ind w:right="120" w:firstLine="324"/>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May 9, 2023,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T+6, to specify an alternative settlement cycle at the time of any such trade to prevent failed settlement and should consult their own advisors.</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Goldman Sachs &amp; Co. LLC at 1-866-471-2526, Morgan Stanley &amp; Co. LLC at 1-866-718-1649, SMBC Nikko Securities America, Inc. toll-free at 1-888-868-6856 or Wells Fargo Securities, LLC toll-free at 1-800-645-3751.</w:t>
      </w:r>
    </w:p>
    <w:p>
      <w:pPr>
        <w:spacing w:after="0" w:line="188" w:lineRule="exact"/>
        <w:rPr>
          <w:sz w:val="20"/>
          <w:szCs w:val="20"/>
          <w:color w:val="auto"/>
        </w:rPr>
      </w:pPr>
    </w:p>
    <w:p>
      <w:pPr>
        <w:ind w:right="60" w:firstLine="324"/>
        <w:spacing w:after="0" w:line="312"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54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2023-05-01T16:22:00Z</dcterms:created>
  <dcterms:modified xsi:type="dcterms:W3CDTF">2023-05-01T16:22:00Z</dcterms:modified>
</cp:coreProperties>
</file>