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27, 2017</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351"/>
        </w:trPr>
        <w:tc>
          <w:tcPr>
            <w:tcW w:w="2800" w:type="dxa"/>
            <w:vAlign w:val="bottom"/>
          </w:tcPr>
          <w:p>
            <w:pPr>
              <w:spacing w:after="0"/>
              <w:rPr>
                <w:sz w:val="24"/>
                <w:szCs w:val="24"/>
                <w:color w:val="auto"/>
              </w:rPr>
            </w:pPr>
          </w:p>
        </w:tc>
        <w:tc>
          <w:tcPr>
            <w:tcW w:w="6200" w:type="dxa"/>
            <w:vAlign w:val="bottom"/>
          </w:tcPr>
          <w:p>
            <w:pPr>
              <w:jc w:val="center"/>
              <w:ind w:right="2514"/>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800" w:type="dxa"/>
            <w:vAlign w:val="bottom"/>
          </w:tcPr>
          <w:p>
            <w:pPr>
              <w:spacing w:after="0"/>
              <w:rPr>
                <w:sz w:val="12"/>
                <w:szCs w:val="12"/>
                <w:color w:val="auto"/>
              </w:rPr>
            </w:pPr>
          </w:p>
        </w:tc>
        <w:tc>
          <w:tcPr>
            <w:tcW w:w="6200" w:type="dxa"/>
            <w:vAlign w:val="bottom"/>
          </w:tcPr>
          <w:p>
            <w:pPr>
              <w:jc w:val="center"/>
              <w:ind w:right="2534"/>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800" w:type="dxa"/>
            <w:vAlign w:val="bottom"/>
          </w:tcPr>
          <w:p>
            <w:pPr>
              <w:spacing w:after="0"/>
              <w:rPr>
                <w:sz w:val="24"/>
                <w:szCs w:val="24"/>
                <w:color w:val="auto"/>
              </w:rPr>
            </w:pPr>
          </w:p>
        </w:tc>
        <w:tc>
          <w:tcPr>
            <w:tcW w:w="6200" w:type="dxa"/>
            <w:vAlign w:val="bottom"/>
          </w:tcPr>
          <w:p>
            <w:pPr>
              <w:jc w:val="center"/>
              <w:ind w:right="2534"/>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001-32871</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4"/>
              </w:rPr>
              <w:t>(Commission File Number)</w:t>
            </w:r>
          </w:p>
        </w:tc>
        <w:tc>
          <w:tcPr>
            <w:tcW w:w="6200" w:type="dxa"/>
            <w:vAlign w:val="bottom"/>
          </w:tcPr>
          <w:p>
            <w:pPr>
              <w:jc w:val="center"/>
              <w:ind w:left="4134"/>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One Comcast Center</w:t>
            </w:r>
          </w:p>
        </w:tc>
        <w:tc>
          <w:tcPr>
            <w:tcW w:w="6200" w:type="dxa"/>
            <w:vAlign w:val="bottom"/>
          </w:tcPr>
          <w:p>
            <w:pPr>
              <w:spacing w:after="0"/>
              <w:rPr>
                <w:sz w:val="24"/>
                <w:szCs w:val="24"/>
                <w:color w:val="auto"/>
              </w:rPr>
            </w:pPr>
          </w:p>
        </w:tc>
      </w:tr>
      <w:tr>
        <w:trPr>
          <w:trHeight w:val="216"/>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2"/>
              </w:rPr>
              <w:t>Philadelphia, PA</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5"/>
              </w:rPr>
              <w:t>(Address of Principal Executive Offices)</w:t>
            </w:r>
          </w:p>
        </w:tc>
        <w:tc>
          <w:tcPr>
            <w:tcW w:w="620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10"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July 27, 2017, Comcast Corporation (“Comcast”) issued a press release reporting the results of its operations for the three and six months ended June 30, 2017.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ectPr>
          <w:pgSz w:w="11900" w:h="16838" w:orient="portrait"/>
          <w:cols w:equalWidth="0" w:num="1">
            <w:col w:w="11420"/>
          </w:cols>
          <w:pgMar w:left="240" w:top="553" w:right="239" w:bottom="295"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Exhibits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Comcast Corporation press release dated July 27, 2017.</w:t>
      </w:r>
    </w:p>
    <w:p>
      <w:pPr>
        <w:spacing w:after="0" w:line="77"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900" w:type="dxa"/>
            <w:vAlign w:val="bottom"/>
            <w:gridSpan w:val="2"/>
          </w:tcPr>
          <w:p>
            <w:pPr>
              <w:ind w:left="20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27, 2017</w:t>
            </w:r>
          </w:p>
        </w:tc>
        <w:tc>
          <w:tcPr>
            <w:tcW w:w="7900" w:type="dxa"/>
            <w:vAlign w:val="bottom"/>
            <w:gridSpan w:val="2"/>
          </w:tcPr>
          <w:p>
            <w:pPr>
              <w:ind w:left="206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2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139700</wp:posOffset>
            </wp:positionV>
            <wp:extent cx="137223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54038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Arial" w:cs="Arial" w:eastAsia="Arial" w:hAnsi="Arial"/>
          <w:sz w:val="22"/>
          <w:szCs w:val="22"/>
          <w:b w:val="1"/>
          <w:bCs w:val="1"/>
          <w:u w:val="single" w:color="auto"/>
          <w:color w:val="auto"/>
        </w:rPr>
        <w:t>COMCAST REPORTS 2nd QUARTER 2017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2nd Quarter 2017 Highlights:</w:t>
      </w:r>
    </w:p>
    <w:p>
      <w:pPr>
        <w:spacing w:after="0" w:line="22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9.8%; Net Income Attributable to Comcast Increased 23.9%; Adjusted EBITDA Increased 10.0%</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$5.2 Billion; Free Cash Flow was $2.2 Billion</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26.8% to $0.52</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Dividends Paid Totaled $747 Million and Share Repurchases were $1.4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2nd Quarter 2017 Highlights:</w:t>
      </w:r>
    </w:p>
    <w:p>
      <w:pPr>
        <w:spacing w:after="0" w:line="220"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5.5% and Adjusted EBITDA Increased 5.4%</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Relationships Increased by 114,000; Total Revenue per Customer Relationship Increased 2.2%</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9.2%; Total Customers Increased by 175,000</w:t>
      </w:r>
    </w:p>
    <w:p>
      <w:pPr>
        <w:spacing w:after="0" w:line="211" w:lineRule="exact"/>
        <w:rPr>
          <w:rFonts w:ascii="Arial" w:cs="Arial" w:eastAsia="Arial" w:hAnsi="Arial"/>
          <w:sz w:val="18"/>
          <w:szCs w:val="18"/>
          <w:color w:val="auto"/>
        </w:rPr>
      </w:pPr>
    </w:p>
    <w:p>
      <w:pPr>
        <w:ind w:left="660" w:right="160" w:hanging="328"/>
        <w:spacing w:after="0" w:line="262"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Residential Revenue Increased 3.9% and 55% of Residential Video Customers Now Have X1; Total Customer Net Losses were 34,000</w:t>
      </w:r>
    </w:p>
    <w:p>
      <w:pPr>
        <w:spacing w:after="0" w:line="169"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Services Revenue Increased 12.6%, Over $6.0 Billion in Annualized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2nd Quarter 2017 Highlights:</w:t>
      </w:r>
    </w:p>
    <w:p>
      <w:pPr>
        <w:spacing w:after="0" w:line="22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Increased 17.3% and Adjusted EBITDA Increased 22.6%</w:t>
      </w:r>
    </w:p>
    <w:p>
      <w:pPr>
        <w:spacing w:after="0" w:line="211"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Theme Parks Revenue Increased 15.6% and Adjusted EBITDA Increased 17.3%</w:t>
      </w:r>
    </w:p>
    <w:p>
      <w:pPr>
        <w:spacing w:after="0" w:line="211" w:lineRule="exact"/>
        <w:rPr>
          <w:rFonts w:ascii="Arial" w:cs="Arial" w:eastAsia="Arial" w:hAnsi="Arial"/>
          <w:sz w:val="18"/>
          <w:szCs w:val="18"/>
          <w:color w:val="auto"/>
        </w:rPr>
      </w:pPr>
    </w:p>
    <w:p>
      <w:pPr>
        <w:ind w:left="660" w:right="26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Filmed Entertainment Revenue Increased 59.6% and Adjusted EBITDA Increased $229 Million to $285 Million, Driven by Strong Box Office Performance and Home Entertainment</w:t>
      </w:r>
    </w:p>
    <w:p>
      <w:pPr>
        <w:spacing w:after="0" w:line="169" w:lineRule="exact"/>
        <w:rPr>
          <w:rFonts w:ascii="Arial" w:cs="Arial" w:eastAsia="Arial" w:hAnsi="Arial"/>
          <w:sz w:val="18"/>
          <w:szCs w:val="18"/>
          <w:color w:val="auto"/>
        </w:rPr>
      </w:pPr>
    </w:p>
    <w:p>
      <w:pPr>
        <w:ind w:left="660" w:right="200" w:hanging="328"/>
        <w:spacing w:after="0" w:line="262"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Networks and Broadcast Television Adjusted EBITDA Increased 11.7% and 5.5%, Respectively, Driven by Increases in Affiliate and Retransmission Revenue</w:t>
      </w:r>
    </w:p>
    <w:p>
      <w:pPr>
        <w:spacing w:after="0" w:line="16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Remains Ranked #1 Among Adults 18-49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27, 2017… Comcast Corporation (NASDAQ: CMCSA) today reported results for the quarter ended June 30, 2017.</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Brian L. Roberts, Chairman and Chief Executive Officer of Comcast Corporation, said, “We delivered terrific results during the second quarter, highlighted by 10.0% growth in Adjusted EBITDA, which continued our strong progress in 2017. Thanks to broad-based momentum across our businesses, our first half Adjusted EBITDA growth is the fastest in six years. NBCUniversal continued to deliver outstanding performance, with 17.3% revenue growth and 22.6% Adjusted EBITDA growth. Driving these tremendous results were the box office success of </w:t>
      </w:r>
      <w:r>
        <w:rPr>
          <w:rFonts w:ascii="Arial" w:cs="Arial" w:eastAsia="Arial" w:hAnsi="Arial"/>
          <w:sz w:val="18"/>
          <w:szCs w:val="18"/>
          <w:i w:val="1"/>
          <w:iCs w:val="1"/>
          <w:color w:val="auto"/>
        </w:rPr>
        <w:t>Fate of the</w:t>
      </w:r>
      <w:r>
        <w:rPr>
          <w:rFonts w:ascii="Arial" w:cs="Arial" w:eastAsia="Arial" w:hAnsi="Arial"/>
          <w:sz w:val="18"/>
          <w:szCs w:val="18"/>
          <w:color w:val="auto"/>
        </w:rPr>
        <w:t xml:space="preserve"> </w:t>
      </w:r>
      <w:r>
        <w:rPr>
          <w:rFonts w:ascii="Arial" w:cs="Arial" w:eastAsia="Arial" w:hAnsi="Arial"/>
          <w:sz w:val="18"/>
          <w:szCs w:val="18"/>
          <w:i w:val="1"/>
          <w:iCs w:val="1"/>
          <w:color w:val="auto"/>
        </w:rPr>
        <w:t>Furious</w:t>
      </w:r>
      <w:r>
        <w:rPr>
          <w:rFonts w:ascii="Arial" w:cs="Arial" w:eastAsia="Arial" w:hAnsi="Arial"/>
          <w:sz w:val="18"/>
          <w:szCs w:val="18"/>
          <w:color w:val="auto"/>
        </w:rPr>
        <w:t>, continued increases in affiliate and retransmission revenues at our TV businesses, and impressive growth at our Theme Parks. At</w:t>
      </w:r>
      <w:r>
        <w:rPr>
          <w:rFonts w:ascii="Arial" w:cs="Arial" w:eastAsia="Arial" w:hAnsi="Arial"/>
          <w:sz w:val="18"/>
          <w:szCs w:val="18"/>
          <w:i w:val="1"/>
          <w:iCs w:val="1"/>
          <w:color w:val="auto"/>
        </w:rPr>
        <w:t xml:space="preserve"> </w:t>
      </w:r>
      <w:r>
        <w:rPr>
          <w:rFonts w:ascii="Arial" w:cs="Arial" w:eastAsia="Arial" w:hAnsi="Arial"/>
          <w:sz w:val="18"/>
          <w:szCs w:val="18"/>
          <w:color w:val="auto"/>
        </w:rPr>
        <w:t>Cable Communications, we generated strong Adjusted EBITDA growth and added 114,000 net new customer relationships, demonstrating our disciplined approach to driving profitability and customer metrics. We launched our fantastic new xFi experience for in-home broadband during the quarter, the latest example of our culture of innovation and continued focus on developing differentiated products and services for our customers. Our teams continue to execute incredibly well and I am excited about the opportunities ahead for Comcast 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Borders>
              <w:top w:val="single" w:sz="8" w:color="0050B9"/>
            </w:tcBorders>
          </w:tcPr>
          <w:p>
            <w:pPr>
              <w:spacing w:after="0"/>
              <w:rPr>
                <w:sz w:val="18"/>
                <w:szCs w:val="18"/>
                <w:color w:val="auto"/>
              </w:rPr>
            </w:pPr>
          </w:p>
        </w:tc>
        <w:tc>
          <w:tcPr>
            <w:tcW w:w="1840" w:type="dxa"/>
            <w:vAlign w:val="bottom"/>
            <w:tcBorders>
              <w:top w:val="single" w:sz="8" w:color="0050B9"/>
            </w:tcBorders>
          </w:tcPr>
          <w:p>
            <w:pPr>
              <w:spacing w:after="0"/>
              <w:rPr>
                <w:sz w:val="18"/>
                <w:szCs w:val="18"/>
                <w:color w:val="auto"/>
              </w:rPr>
            </w:pPr>
          </w:p>
        </w:tc>
        <w:tc>
          <w:tcPr>
            <w:tcW w:w="1300" w:type="dxa"/>
            <w:vAlign w:val="bottom"/>
            <w:tcBorders>
              <w:top w:val="single" w:sz="8" w:color="0050B9"/>
            </w:tcBorders>
          </w:tcPr>
          <w:p>
            <w:pPr>
              <w:jc w:val="right"/>
              <w:ind w:right="408"/>
              <w:spacing w:after="0"/>
              <w:rPr>
                <w:sz w:val="20"/>
                <w:szCs w:val="20"/>
                <w:color w:val="auto"/>
              </w:rPr>
            </w:pPr>
            <w:r>
              <w:rPr>
                <w:rFonts w:ascii="Arial" w:cs="Arial" w:eastAsia="Arial" w:hAnsi="Arial"/>
                <w:sz w:val="14"/>
                <w:szCs w:val="14"/>
                <w:color w:val="auto"/>
              </w:rPr>
              <w:t>2nd Quarter</w:t>
            </w:r>
          </w:p>
        </w:tc>
        <w:tc>
          <w:tcPr>
            <w:tcW w:w="1400" w:type="dxa"/>
            <w:vAlign w:val="bottom"/>
            <w:tcBorders>
              <w:top w:val="single" w:sz="8" w:color="0050B9"/>
            </w:tcBorders>
          </w:tcPr>
          <w:p>
            <w:pPr>
              <w:spacing w:after="0"/>
              <w:rPr>
                <w:sz w:val="18"/>
                <w:szCs w:val="18"/>
                <w:color w:val="auto"/>
              </w:rPr>
            </w:pPr>
          </w:p>
        </w:tc>
        <w:tc>
          <w:tcPr>
            <w:tcW w:w="1160" w:type="dxa"/>
            <w:vAlign w:val="bottom"/>
            <w:tcBorders>
              <w:top w:val="single" w:sz="8" w:color="0050B9"/>
            </w:tcBorders>
          </w:tcPr>
          <w:p>
            <w:pPr>
              <w:spacing w:after="0"/>
              <w:rPr>
                <w:sz w:val="18"/>
                <w:szCs w:val="18"/>
                <w:color w:val="auto"/>
              </w:rPr>
            </w:pPr>
          </w:p>
        </w:tc>
        <w:tc>
          <w:tcPr>
            <w:tcW w:w="1280" w:type="dxa"/>
            <w:vAlign w:val="bottom"/>
            <w:tcBorders>
              <w:top w:val="single" w:sz="8" w:color="0050B9"/>
            </w:tcBorders>
          </w:tcPr>
          <w:p>
            <w:pPr>
              <w:jc w:val="right"/>
              <w:ind w:right="348"/>
              <w:spacing w:after="0"/>
              <w:rPr>
                <w:sz w:val="20"/>
                <w:szCs w:val="20"/>
                <w:color w:val="auto"/>
              </w:rPr>
            </w:pPr>
            <w:r>
              <w:rPr>
                <w:rFonts w:ascii="Arial" w:cs="Arial" w:eastAsia="Arial" w:hAnsi="Arial"/>
                <w:sz w:val="14"/>
                <w:szCs w:val="14"/>
                <w:color w:val="auto"/>
              </w:rPr>
              <w:t>Year to Date</w:t>
            </w:r>
          </w:p>
        </w:tc>
        <w:tc>
          <w:tcPr>
            <w:tcW w:w="820" w:type="dxa"/>
            <w:vAlign w:val="bottom"/>
            <w:tcBorders>
              <w:top w:val="single" w:sz="8" w:color="0050B9"/>
            </w:tcBorders>
          </w:tcPr>
          <w:p>
            <w:pPr>
              <w:spacing w:after="0"/>
              <w:rPr>
                <w:sz w:val="18"/>
                <w:szCs w:val="18"/>
                <w:color w:val="auto"/>
              </w:rPr>
            </w:pPr>
          </w:p>
        </w:tc>
      </w:tr>
      <w:tr>
        <w:trPr>
          <w:trHeight w:val="208"/>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2016</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76"/>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$19,269</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$21,165</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9.8%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$38,059</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$41,628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r>
      <w:tr>
        <w:trPr>
          <w:trHeight w:val="16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Comcast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$2,028</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$2,513</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23.9%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$4,162</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$5,079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r>
      <w:tr>
        <w:trPr>
          <w:trHeight w:val="169"/>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Adjusted EBITDA</w:t>
            </w:r>
            <w:r>
              <w:rPr>
                <w:rFonts w:ascii="Arial" w:cs="Arial" w:eastAsia="Arial" w:hAnsi="Arial"/>
                <w:sz w:val="14"/>
                <w:szCs w:val="14"/>
                <w:color w:val="auto"/>
                <w:vertAlign w:val="superscript"/>
              </w:rPr>
              <w:t>1</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$6,455</w:t>
            </w:r>
          </w:p>
        </w:tc>
        <w:tc>
          <w:tcPr>
            <w:tcW w:w="13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$7,099</w:t>
            </w:r>
          </w:p>
        </w:tc>
        <w:tc>
          <w:tcPr>
            <w:tcW w:w="14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10.0%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$12,822</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$14,131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73"/>
        </w:trPr>
        <w:tc>
          <w:tcPr>
            <w:tcW w:w="362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$0.41</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$0.52</w:t>
            </w:r>
          </w:p>
        </w:tc>
        <w:tc>
          <w:tcPr>
            <w:tcW w:w="1400" w:type="dxa"/>
            <w:vAlign w:val="bottom"/>
          </w:tcPr>
          <w:p>
            <w:pPr>
              <w:jc w:val="right"/>
              <w:ind w:right="508"/>
              <w:spacing w:after="0"/>
              <w:rPr>
                <w:sz w:val="20"/>
                <w:szCs w:val="20"/>
                <w:color w:val="auto"/>
              </w:rPr>
            </w:pPr>
            <w:r>
              <w:rPr>
                <w:rFonts w:ascii="Arial" w:cs="Arial" w:eastAsia="Arial" w:hAnsi="Arial"/>
                <w:sz w:val="14"/>
                <w:szCs w:val="14"/>
                <w:color w:val="auto"/>
              </w:rPr>
              <w:t>26.8%</w:t>
            </w:r>
          </w:p>
        </w:tc>
        <w:tc>
          <w:tcPr>
            <w:tcW w:w="1160" w:type="dxa"/>
            <w:vAlign w:val="bottom"/>
          </w:tcPr>
          <w:p>
            <w:pPr>
              <w:jc w:val="right"/>
              <w:spacing w:after="0"/>
              <w:rPr>
                <w:sz w:val="20"/>
                <w:szCs w:val="20"/>
                <w:color w:val="auto"/>
              </w:rPr>
            </w:pPr>
            <w:r>
              <w:rPr>
                <w:rFonts w:ascii="Arial" w:cs="Arial" w:eastAsia="Arial" w:hAnsi="Arial"/>
                <w:sz w:val="14"/>
                <w:szCs w:val="14"/>
                <w:color w:val="auto"/>
              </w:rPr>
              <w:t>$0.85</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$1.05</w:t>
            </w:r>
          </w:p>
        </w:tc>
        <w:tc>
          <w:tcPr>
            <w:tcW w:w="82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6"/>
        </w:trPr>
        <w:tc>
          <w:tcPr>
            <w:tcW w:w="3620" w:type="dxa"/>
            <w:vAlign w:val="bottom"/>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i w:val="1"/>
                <w:iCs w:val="1"/>
                <w:color w:val="auto"/>
              </w:rPr>
              <w:t>$0.83</w:t>
            </w:r>
          </w:p>
        </w:tc>
        <w:tc>
          <w:tcPr>
            <w:tcW w:w="1280" w:type="dxa"/>
            <w:vAlign w:val="bottom"/>
          </w:tcPr>
          <w:p>
            <w:pPr>
              <w:jc w:val="right"/>
              <w:ind w:right="248"/>
              <w:spacing w:after="0"/>
              <w:rPr>
                <w:sz w:val="20"/>
                <w:szCs w:val="20"/>
                <w:color w:val="auto"/>
              </w:rPr>
            </w:pPr>
            <w:r>
              <w:rPr>
                <w:rFonts w:ascii="Arial" w:cs="Arial" w:eastAsia="Arial" w:hAnsi="Arial"/>
                <w:sz w:val="14"/>
                <w:szCs w:val="14"/>
                <w:i w:val="1"/>
                <w:iCs w:val="1"/>
                <w:color w:val="auto"/>
              </w:rPr>
              <w:t>$1.05</w:t>
            </w:r>
          </w:p>
        </w:tc>
        <w:tc>
          <w:tcPr>
            <w:tcW w:w="820" w:type="dxa"/>
            <w:vAlign w:val="bottom"/>
          </w:tcPr>
          <w:p>
            <w:pPr>
              <w:jc w:val="right"/>
              <w:spacing w:after="0"/>
              <w:rPr>
                <w:sz w:val="20"/>
                <w:szCs w:val="20"/>
                <w:color w:val="auto"/>
              </w:rPr>
            </w:pPr>
            <w:r>
              <w:rPr>
                <w:rFonts w:ascii="Arial" w:cs="Arial" w:eastAsia="Arial" w:hAnsi="Arial"/>
                <w:sz w:val="14"/>
                <w:szCs w:val="14"/>
                <w:i w:val="1"/>
                <w:iCs w:val="1"/>
                <w:color w:val="auto"/>
              </w:rPr>
              <w:t>26.5%</w:t>
            </w:r>
          </w:p>
        </w:tc>
      </w:tr>
    </w:tbl>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second quarter of 2017 increased 9.8% to $21.2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23.9% to $2.5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10.0% to $7.1 billion.</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six months ended June 30, 2017, consolidated revenue increased 9.4% to $41.6 billion compared to 2016. Consolidated net income attributable to Comcast increased 22.0% to $5.1 billion. Consolidated Adjusted EBITDA increased 10.2% to $14.1 billion.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2017 was $0.52, a 26.8% increase compared to the second quarter of 2016.</w:t>
      </w:r>
    </w:p>
    <w:p>
      <w:pPr>
        <w:sectPr>
          <w:pgSz w:w="11900" w:h="16879" w:orient="portrait"/>
          <w:cols w:equalWidth="0" w:num="1">
            <w:col w:w="11420"/>
          </w:cols>
          <w:pgMar w:left="240" w:top="118" w:right="239" w:bottom="0" w:gutter="0" w:footer="0" w:header="0"/>
        </w:sectPr>
      </w:pPr>
    </w:p>
    <w:bookmarkStart w:id="3" w:name="page4"/>
    <w:bookmarkEnd w:id="3"/>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2017, EPS was $1.05, a 23.5% increase compared to the prior year. On an adjusted basis, EPS increased 26.5% (see Table 5).</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2.5% to $ 2.3 billion in the second quarter of 2017.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 to $2.0 billion in the second quarter of 2017, reflecting a higher level of investment in scalable infrastructure to increase network capacity and increased investment in line extensions, partially offset by a decrease in spending on customer premise equipment. Cable capital expenditures represented 14.9% of Cable revenue in the second quarter of 2017 compared to 15.1% in last year’s second quarter. NBCUniversal’s capital expenditures of $338 million decreased 6.1%, reflecting continued investment at Theme Parks more than offset by the timing of real estate and infrastructure spending.</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2017, capital expenditures increased 6.0% to $4.4 billion compared to 2016. Cable Communications’ capital expenditures increased 8.1% to $3.7 billion and represented 14.4% of Cable revenue compared to 14.0% in 2016. NBCUniversal’s capital expenditures of $623 million decreased 4.8% for the first six months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$5.2 billion in the second quarter of 2017.</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$2.2 billion (see Table 4).</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2017, net cash provided by operating activities was $10.8 billion. Free cash flow was $5.3 billion (see Table 4).</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2017, Comcast paid dividends totaling $747 million and repurchased 35.2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$1.4 billion. In the first six months of 2017, Comcast has repurchased 55.6 million of its common shares for $2.1 billion. As of June 30, 2017, Comcast had $9.9 billion available under its share repurchase authorization.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tcBorders>
              <w:top w:val="single" w:sz="8" w:color="C9C9C9"/>
            </w:tcBorders>
          </w:tcPr>
          <w:p>
            <w:pPr>
              <w:spacing w:after="0"/>
              <w:rPr>
                <w:sz w:val="18"/>
                <w:szCs w:val="18"/>
                <w:color w:val="auto"/>
              </w:rPr>
            </w:pPr>
          </w:p>
        </w:tc>
        <w:tc>
          <w:tcPr>
            <w:tcW w:w="1820" w:type="dxa"/>
            <w:vAlign w:val="bottom"/>
            <w:tcBorders>
              <w:top w:val="single" w:sz="8" w:color="C9C9C9"/>
            </w:tcBorders>
          </w:tcPr>
          <w:p>
            <w:pPr>
              <w:spacing w:after="0"/>
              <w:rPr>
                <w:sz w:val="18"/>
                <w:szCs w:val="18"/>
                <w:color w:val="auto"/>
              </w:rPr>
            </w:pPr>
          </w:p>
        </w:tc>
        <w:tc>
          <w:tcPr>
            <w:tcW w:w="1120" w:type="dxa"/>
            <w:vAlign w:val="bottom"/>
            <w:tcBorders>
              <w:top w:val="single" w:sz="8" w:color="C9C9C9"/>
            </w:tcBorders>
          </w:tcPr>
          <w:p>
            <w:pPr>
              <w:jc w:val="right"/>
              <w:ind w:right="268"/>
              <w:spacing w:after="0"/>
              <w:rPr>
                <w:sz w:val="20"/>
                <w:szCs w:val="20"/>
                <w:color w:val="auto"/>
              </w:rPr>
            </w:pPr>
            <w:r>
              <w:rPr>
                <w:rFonts w:ascii="Arial" w:cs="Arial" w:eastAsia="Arial" w:hAnsi="Arial"/>
                <w:sz w:val="14"/>
                <w:szCs w:val="14"/>
                <w:color w:val="auto"/>
              </w:rPr>
              <w:t>2nd Quarter</w:t>
            </w:r>
          </w:p>
        </w:tc>
        <w:tc>
          <w:tcPr>
            <w:tcW w:w="1060" w:type="dxa"/>
            <w:vAlign w:val="bottom"/>
            <w:tcBorders>
              <w:top w:val="single" w:sz="8" w:color="C9C9C9"/>
            </w:tcBorders>
          </w:tcPr>
          <w:p>
            <w:pPr>
              <w:spacing w:after="0"/>
              <w:rPr>
                <w:sz w:val="18"/>
                <w:szCs w:val="18"/>
                <w:color w:val="auto"/>
              </w:rPr>
            </w:pPr>
          </w:p>
        </w:tc>
        <w:tc>
          <w:tcPr>
            <w:tcW w:w="1120" w:type="dxa"/>
            <w:vAlign w:val="bottom"/>
            <w:tcBorders>
              <w:top w:val="single" w:sz="8" w:color="C9C9C9"/>
            </w:tcBorders>
          </w:tcPr>
          <w:p>
            <w:pPr>
              <w:spacing w:after="0"/>
              <w:rPr>
                <w:sz w:val="18"/>
                <w:szCs w:val="18"/>
                <w:color w:val="auto"/>
              </w:rPr>
            </w:pPr>
          </w:p>
        </w:tc>
        <w:tc>
          <w:tcPr>
            <w:tcW w:w="1260" w:type="dxa"/>
            <w:vAlign w:val="bottom"/>
            <w:tcBorders>
              <w:top w:val="single" w:sz="8" w:color="C9C9C9"/>
            </w:tcBorders>
          </w:tcPr>
          <w:p>
            <w:pPr>
              <w:jc w:val="right"/>
              <w:ind w:right="308"/>
              <w:spacing w:after="0"/>
              <w:rPr>
                <w:sz w:val="20"/>
                <w:szCs w:val="20"/>
                <w:color w:val="auto"/>
              </w:rPr>
            </w:pPr>
            <w:r>
              <w:rPr>
                <w:rFonts w:ascii="Arial" w:cs="Arial" w:eastAsia="Arial" w:hAnsi="Arial"/>
                <w:sz w:val="14"/>
                <w:szCs w:val="14"/>
                <w:color w:val="auto"/>
              </w:rPr>
              <w:t>Year to Date</w:t>
            </w:r>
          </w:p>
        </w:tc>
        <w:tc>
          <w:tcPr>
            <w:tcW w:w="820" w:type="dxa"/>
            <w:vAlign w:val="bottom"/>
            <w:tcBorders>
              <w:top w:val="single" w:sz="8" w:color="C9C9C9"/>
            </w:tcBorders>
          </w:tcPr>
          <w:p>
            <w:pPr>
              <w:spacing w:after="0"/>
              <w:rPr>
                <w:sz w:val="18"/>
                <w:szCs w:val="18"/>
                <w:color w:val="auto"/>
              </w:rPr>
            </w:pPr>
          </w:p>
        </w:tc>
      </w:tr>
      <w:tr>
        <w:trPr>
          <w:trHeight w:val="181"/>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14"/>
                <w:szCs w:val="14"/>
                <w:color w:val="auto"/>
                <w:vertAlign w:val="superscript"/>
              </w:rPr>
              <w:t>4</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2017</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Growth</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xml:space="preserve">2016 </w:t>
            </w:r>
            <w:r>
              <w:rPr>
                <w:rFonts w:ascii="Arial" w:cs="Arial" w:eastAsia="Arial" w:hAnsi="Arial"/>
                <w:sz w:val="14"/>
                <w:szCs w:val="14"/>
                <w:color w:val="auto"/>
                <w:vertAlign w:val="superscript"/>
              </w:rPr>
              <w:t>4</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03"/>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$5,581</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$5,797</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3.9%</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$11,119</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$11,571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3,369</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3,679</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9.2%</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6,644</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7,285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893</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856</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(4.1%)</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1,789</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1,719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1,360</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1,531</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12.6%</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2,671</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3,021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586</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574</w:t>
            </w: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(2.1%)</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1,132</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1,086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03"/>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655</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685</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5.0%</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1,293</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1,352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r>
      <w:tr>
        <w:trPr>
          <w:trHeight w:val="218"/>
        </w:trPr>
        <w:tc>
          <w:tcPr>
            <w:tcW w:w="422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1820" w:type="dxa"/>
            <w:vAlign w:val="bottom"/>
          </w:tcPr>
          <w:p>
            <w:pPr>
              <w:jc w:val="right"/>
              <w:ind w:right="128"/>
              <w:spacing w:after="0"/>
              <w:rPr>
                <w:sz w:val="20"/>
                <w:szCs w:val="20"/>
                <w:color w:val="auto"/>
              </w:rPr>
            </w:pPr>
            <w:r>
              <w:rPr>
                <w:rFonts w:ascii="Arial" w:cs="Arial" w:eastAsia="Arial" w:hAnsi="Arial"/>
                <w:sz w:val="14"/>
                <w:szCs w:val="14"/>
                <w:b w:val="1"/>
                <w:bCs w:val="1"/>
                <w:color w:val="auto"/>
              </w:rPr>
              <w:t>$12,444</w:t>
            </w: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$13,122</w:t>
            </w:r>
          </w:p>
        </w:tc>
        <w:tc>
          <w:tcPr>
            <w:tcW w:w="1060" w:type="dxa"/>
            <w:vAlign w:val="bottom"/>
          </w:tcPr>
          <w:p>
            <w:pPr>
              <w:jc w:val="right"/>
              <w:ind w:right="348"/>
              <w:spacing w:after="0"/>
              <w:rPr>
                <w:sz w:val="20"/>
                <w:szCs w:val="20"/>
                <w:color w:val="auto"/>
              </w:rPr>
            </w:pPr>
            <w:r>
              <w:rPr>
                <w:rFonts w:ascii="Arial" w:cs="Arial" w:eastAsia="Arial" w:hAnsi="Arial"/>
                <w:sz w:val="14"/>
                <w:szCs w:val="14"/>
                <w:b w:val="1"/>
                <w:bCs w:val="1"/>
                <w:color w:val="auto"/>
              </w:rPr>
              <w:t>5.5%</w:t>
            </w:r>
          </w:p>
        </w:tc>
        <w:tc>
          <w:tcPr>
            <w:tcW w:w="1120" w:type="dxa"/>
            <w:vAlign w:val="bottom"/>
          </w:tcPr>
          <w:p>
            <w:pPr>
              <w:jc w:val="right"/>
              <w:ind w:right="168"/>
              <w:spacing w:after="0"/>
              <w:rPr>
                <w:sz w:val="20"/>
                <w:szCs w:val="20"/>
                <w:color w:val="auto"/>
              </w:rPr>
            </w:pPr>
            <w:r>
              <w:rPr>
                <w:rFonts w:ascii="Arial" w:cs="Arial" w:eastAsia="Arial" w:hAnsi="Arial"/>
                <w:sz w:val="14"/>
                <w:szCs w:val="14"/>
                <w:b w:val="1"/>
                <w:bCs w:val="1"/>
                <w:color w:val="auto"/>
              </w:rPr>
              <w:t>$24,648</w:t>
            </w:r>
          </w:p>
        </w:tc>
        <w:tc>
          <w:tcPr>
            <w:tcW w:w="1260" w:type="dxa"/>
            <w:vAlign w:val="bottom"/>
          </w:tcPr>
          <w:p>
            <w:pPr>
              <w:jc w:val="right"/>
              <w:ind w:right="408"/>
              <w:spacing w:after="0"/>
              <w:rPr>
                <w:sz w:val="20"/>
                <w:szCs w:val="20"/>
                <w:color w:val="auto"/>
              </w:rPr>
            </w:pPr>
            <w:r>
              <w:rPr>
                <w:rFonts w:ascii="Arial" w:cs="Arial" w:eastAsia="Arial" w:hAnsi="Arial"/>
                <w:sz w:val="14"/>
                <w:szCs w:val="14"/>
                <w:b w:val="1"/>
                <w:bCs w:val="1"/>
                <w:color w:val="auto"/>
              </w:rPr>
              <w:t>$26,034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195"/>
        </w:trPr>
        <w:tc>
          <w:tcPr>
            <w:tcW w:w="4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Adjusted EBITDA</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$5,048</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$5,320</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5.4%</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$9,937</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$10,518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r>
      <w:tr>
        <w:trPr>
          <w:trHeight w:val="211"/>
        </w:trPr>
        <w:tc>
          <w:tcPr>
            <w:tcW w:w="4220" w:type="dxa"/>
            <w:vAlign w:val="bottom"/>
          </w:tcPr>
          <w:p>
            <w:pPr>
              <w:ind w:left="40"/>
              <w:spacing w:after="0"/>
              <w:rPr>
                <w:sz w:val="20"/>
                <w:szCs w:val="20"/>
                <w:color w:val="auto"/>
              </w:rPr>
            </w:pPr>
            <w:r>
              <w:rPr>
                <w:rFonts w:ascii="Arial" w:cs="Arial" w:eastAsia="Arial" w:hAnsi="Arial"/>
                <w:sz w:val="14"/>
                <w:szCs w:val="14"/>
                <w:i w:val="1"/>
                <w:iCs w:val="1"/>
                <w:color w:val="auto"/>
              </w:rPr>
              <w:t>Adjusted EBITDA Margin</w:t>
            </w:r>
          </w:p>
        </w:tc>
        <w:tc>
          <w:tcPr>
            <w:tcW w:w="1820" w:type="dxa"/>
            <w:vAlign w:val="bottom"/>
          </w:tcPr>
          <w:p>
            <w:pPr>
              <w:jc w:val="right"/>
              <w:spacing w:after="0"/>
              <w:rPr>
                <w:sz w:val="20"/>
                <w:szCs w:val="20"/>
                <w:color w:val="auto"/>
              </w:rPr>
            </w:pPr>
            <w:r>
              <w:rPr>
                <w:rFonts w:ascii="Arial" w:cs="Arial" w:eastAsia="Arial" w:hAnsi="Arial"/>
                <w:sz w:val="14"/>
                <w:szCs w:val="14"/>
                <w:i w:val="1"/>
                <w:iCs w:val="1"/>
                <w:color w:val="auto"/>
              </w:rPr>
              <w:t>40.6%</w:t>
            </w:r>
          </w:p>
        </w:tc>
        <w:tc>
          <w:tcPr>
            <w:tcW w:w="1120" w:type="dxa"/>
            <w:vAlign w:val="bottom"/>
          </w:tcPr>
          <w:p>
            <w:pPr>
              <w:jc w:val="right"/>
              <w:ind w:right="148"/>
              <w:spacing w:after="0"/>
              <w:rPr>
                <w:sz w:val="20"/>
                <w:szCs w:val="20"/>
                <w:color w:val="auto"/>
              </w:rPr>
            </w:pPr>
            <w:r>
              <w:rPr>
                <w:rFonts w:ascii="Arial" w:cs="Arial" w:eastAsia="Arial" w:hAnsi="Arial"/>
                <w:sz w:val="14"/>
                <w:szCs w:val="14"/>
                <w:i w:val="1"/>
                <w:iCs w:val="1"/>
                <w:color w:val="auto"/>
              </w:rPr>
              <w:t>40.5%</w:t>
            </w:r>
          </w:p>
        </w:tc>
        <w:tc>
          <w:tcPr>
            <w:tcW w:w="106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i w:val="1"/>
                <w:iCs w:val="1"/>
                <w:color w:val="auto"/>
              </w:rPr>
              <w:t>40.3%</w:t>
            </w:r>
          </w:p>
        </w:tc>
        <w:tc>
          <w:tcPr>
            <w:tcW w:w="1260" w:type="dxa"/>
            <w:vAlign w:val="bottom"/>
          </w:tcPr>
          <w:p>
            <w:pPr>
              <w:jc w:val="right"/>
              <w:ind w:right="248"/>
              <w:spacing w:after="0"/>
              <w:rPr>
                <w:sz w:val="20"/>
                <w:szCs w:val="20"/>
                <w:color w:val="auto"/>
              </w:rPr>
            </w:pPr>
            <w:r>
              <w:rPr>
                <w:rFonts w:ascii="Arial" w:cs="Arial" w:eastAsia="Arial" w:hAnsi="Arial"/>
                <w:sz w:val="14"/>
                <w:szCs w:val="14"/>
                <w:i w:val="1"/>
                <w:iCs w:val="1"/>
                <w:color w:val="auto"/>
              </w:rPr>
              <w:t>40.4%</w:t>
            </w:r>
          </w:p>
        </w:tc>
        <w:tc>
          <w:tcPr>
            <w:tcW w:w="820" w:type="dxa"/>
            <w:vAlign w:val="bottom"/>
          </w:tcPr>
          <w:p>
            <w:pPr>
              <w:spacing w:after="0"/>
              <w:rPr>
                <w:sz w:val="18"/>
                <w:szCs w:val="18"/>
                <w:color w:val="auto"/>
              </w:rPr>
            </w:pPr>
          </w:p>
        </w:tc>
      </w:tr>
      <w:tr>
        <w:trPr>
          <w:trHeight w:val="195"/>
        </w:trPr>
        <w:tc>
          <w:tcPr>
            <w:tcW w:w="4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03"/>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$1,881</w:t>
            </w:r>
          </w:p>
        </w:tc>
        <w:tc>
          <w:tcPr>
            <w:tcW w:w="11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$1,956</w:t>
            </w: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4.0%</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$3,457</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$3,737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r>
      <w:tr>
        <w:trPr>
          <w:trHeight w:val="196"/>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15.1%</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14.9%</w:t>
            </w:r>
          </w:p>
        </w:tc>
        <w:tc>
          <w:tcPr>
            <w:tcW w:w="10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14.0%</w:t>
            </w: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14.4%</w:t>
            </w:r>
          </w:p>
        </w:tc>
        <w:tc>
          <w:tcPr>
            <w:tcW w:w="8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5.5% to $13.1 billion in the second quarter of 2017,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9.2%, driven by an increase in the number of residential high-speed Internet customers and rate adjustments. Video revenue increased 3.9%, reflecting rate adjustments and an increase in the number of customers subscribing to additional services. Business services revenue increased 12.6%, primarily due to increases in the number of customers receiving our small and medium-sized business services offerings. Advertising revenue decreased 2.1%, reflecting a decrease in political advertising revenue and softness in core linear advertising across several categories, partially offset by growth in interactive advertising. Other revenue increased 5.0%, primarily due to an increase in security and automation revenue and higher franchise and regulatory fees.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2017, Cable revenue increased 5.6% to $26.0 billion compared to 2016, driven by growth in high-speed Internet, video and business services.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114,000 to 29.0 million in the second quarter of 2017.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77,000 and business customer relationships increased by 37,000. At the end of the second quarter, penetration of our double, triple and quad product residential customers was 70.5%. Total video customer net losses were 34,000, total high-speed Internet customer net additions were 175,000, total voice customer net losses were 22,000 and total security and automation customer net additions were 71,000.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4040" w:type="dxa"/>
            <w:vAlign w:val="bottom"/>
            <w:gridSpan w:val="2"/>
          </w:tcPr>
          <w:p>
            <w:pPr>
              <w:jc w:val="right"/>
              <w:ind w:right="1008"/>
              <w:spacing w:after="0"/>
              <w:rPr>
                <w:sz w:val="20"/>
                <w:szCs w:val="20"/>
                <w:color w:val="auto"/>
              </w:rPr>
            </w:pPr>
            <w:r>
              <w:rPr>
                <w:rFonts w:ascii="Arial" w:cs="Arial" w:eastAsia="Arial" w:hAnsi="Arial"/>
                <w:sz w:val="14"/>
                <w:szCs w:val="14"/>
                <w:color w:val="auto"/>
              </w:rPr>
              <w:t>Customers</w:t>
            </w:r>
          </w:p>
        </w:tc>
        <w:tc>
          <w:tcPr>
            <w:tcW w:w="2040" w:type="dxa"/>
            <w:vAlign w:val="bottom"/>
            <w:gridSpan w:val="3"/>
          </w:tcPr>
          <w:p>
            <w:pPr>
              <w:jc w:val="right"/>
              <w:ind w:right="340"/>
              <w:spacing w:after="0"/>
              <w:rPr>
                <w:sz w:val="20"/>
                <w:szCs w:val="20"/>
                <w:color w:val="auto"/>
              </w:rPr>
            </w:pPr>
            <w:r>
              <w:rPr>
                <w:rFonts w:ascii="Arial" w:cs="Arial" w:eastAsia="Arial" w:hAnsi="Arial"/>
                <w:sz w:val="14"/>
                <w:szCs w:val="14"/>
                <w:color w:val="auto"/>
              </w:rPr>
              <w:t>Net Additions</w:t>
            </w:r>
          </w:p>
        </w:tc>
      </w:tr>
      <w:tr>
        <w:trPr>
          <w:trHeight w:val="208"/>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2Q16</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2Q17</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2Q16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2Q17</w:t>
            </w:r>
          </w:p>
        </w:tc>
        <w:tc>
          <w:tcPr>
            <w:tcW w:w="20" w:type="dxa"/>
            <w:vAlign w:val="bottom"/>
          </w:tcPr>
          <w:p>
            <w:pPr>
              <w:spacing w:after="0"/>
              <w:rPr>
                <w:sz w:val="18"/>
                <w:szCs w:val="18"/>
                <w:color w:val="auto"/>
              </w:rPr>
            </w:pPr>
          </w:p>
        </w:tc>
      </w:tr>
      <w:tr>
        <w:trPr>
          <w:trHeight w:val="162"/>
        </w:trPr>
        <w:tc>
          <w:tcPr>
            <w:tcW w:w="5360" w:type="dxa"/>
            <w:vAlign w:val="bottom"/>
          </w:tcPr>
          <w:p>
            <w:pPr>
              <w:ind w:left="160"/>
              <w:spacing w:after="0"/>
              <w:rPr>
                <w:sz w:val="20"/>
                <w:szCs w:val="20"/>
                <w:color w:val="auto"/>
              </w:rPr>
            </w:pPr>
            <w:r>
              <w:rPr>
                <w:rFonts w:ascii="Arial" w:cs="Arial" w:eastAsia="Arial" w:hAnsi="Arial"/>
                <w:sz w:val="14"/>
                <w:szCs w:val="14"/>
                <w:color w:val="auto"/>
              </w:rPr>
              <w:t>Residential Video Customers</w:t>
            </w:r>
          </w:p>
        </w:tc>
        <w:tc>
          <w:tcPr>
            <w:tcW w:w="2660" w:type="dxa"/>
            <w:vAlign w:val="bottom"/>
          </w:tcPr>
          <w:p>
            <w:pPr>
              <w:jc w:val="right"/>
              <w:ind w:right="168"/>
              <w:spacing w:after="0"/>
              <w:rPr>
                <w:sz w:val="20"/>
                <w:szCs w:val="20"/>
                <w:color w:val="auto"/>
              </w:rPr>
            </w:pPr>
            <w:r>
              <w:rPr>
                <w:rFonts w:ascii="Arial" w:cs="Arial" w:eastAsia="Arial" w:hAnsi="Arial"/>
                <w:sz w:val="14"/>
                <w:szCs w:val="14"/>
                <w:color w:val="auto"/>
              </w:rPr>
              <w:t>21,401</w:t>
            </w:r>
          </w:p>
        </w:tc>
        <w:tc>
          <w:tcPr>
            <w:tcW w:w="1380" w:type="dxa"/>
            <w:vAlign w:val="bottom"/>
          </w:tcPr>
          <w:p>
            <w:pPr>
              <w:jc w:val="right"/>
              <w:ind w:right="628"/>
              <w:spacing w:after="0"/>
              <w:rPr>
                <w:sz w:val="20"/>
                <w:szCs w:val="20"/>
                <w:color w:val="auto"/>
              </w:rPr>
            </w:pPr>
            <w:r>
              <w:rPr>
                <w:rFonts w:ascii="Arial" w:cs="Arial" w:eastAsia="Arial" w:hAnsi="Arial"/>
                <w:sz w:val="14"/>
                <w:szCs w:val="14"/>
                <w:color w:val="auto"/>
              </w:rPr>
              <w:t>21,475</w:t>
            </w:r>
          </w:p>
        </w:tc>
        <w:tc>
          <w:tcPr>
            <w:tcW w:w="1360" w:type="dxa"/>
            <w:vAlign w:val="bottom"/>
          </w:tcPr>
          <w:p>
            <w:pPr>
              <w:jc w:val="right"/>
              <w:ind w:right="168"/>
              <w:spacing w:after="0"/>
              <w:rPr>
                <w:sz w:val="20"/>
                <w:szCs w:val="20"/>
                <w:color w:val="auto"/>
              </w:rPr>
            </w:pPr>
            <w:r>
              <w:rPr>
                <w:rFonts w:ascii="Arial" w:cs="Arial" w:eastAsia="Arial" w:hAnsi="Arial"/>
                <w:sz w:val="14"/>
                <w:szCs w:val="14"/>
                <w:color w:val="auto"/>
              </w:rPr>
              <w:t>(21)</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(45)</w:t>
            </w:r>
          </w:p>
        </w:tc>
      </w:tr>
      <w:tr>
        <w:trPr>
          <w:trHeight w:val="163"/>
        </w:trPr>
        <w:tc>
          <w:tcPr>
            <w:tcW w:w="53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Business Services Video Customers</w:t>
            </w:r>
          </w:p>
        </w:tc>
        <w:tc>
          <w:tcPr>
            <w:tcW w:w="26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994</w:t>
            </w:r>
          </w:p>
        </w:tc>
        <w:tc>
          <w:tcPr>
            <w:tcW w:w="13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1,040</w:t>
            </w:r>
          </w:p>
        </w:tc>
        <w:tc>
          <w:tcPr>
            <w:tcW w:w="13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4"/>
                <w:szCs w:val="14"/>
                <w:color w:val="auto"/>
              </w:rPr>
            </w:pPr>
          </w:p>
        </w:tc>
      </w:tr>
      <w:tr>
        <w:trPr>
          <w:trHeight w:val="16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22,396</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22,516</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w:t>
            </w:r>
          </w:p>
        </w:tc>
        <w:tc>
          <w:tcPr>
            <w:tcW w:w="20" w:type="dxa"/>
            <w:vAlign w:val="bottom"/>
          </w:tcPr>
          <w:p>
            <w:pPr>
              <w:spacing w:after="0"/>
              <w:rPr>
                <w:sz w:val="14"/>
                <w:szCs w:val="14"/>
                <w:color w:val="auto"/>
              </w:rPr>
            </w:pPr>
          </w:p>
        </w:tc>
      </w:tr>
      <w:tr>
        <w:trPr>
          <w:trHeight w:val="156"/>
        </w:trPr>
        <w:tc>
          <w:tcPr>
            <w:tcW w:w="53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Residential High-Speed Internet Customers</w:t>
            </w:r>
          </w:p>
        </w:tc>
        <w:tc>
          <w:tcPr>
            <w:tcW w:w="2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22,189</w:t>
            </w:r>
          </w:p>
        </w:tc>
        <w:tc>
          <w:tcPr>
            <w:tcW w:w="138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23,364</w:t>
            </w:r>
          </w:p>
        </w:tc>
        <w:tc>
          <w:tcPr>
            <w:tcW w:w="13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176</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3"/>
                <w:szCs w:val="13"/>
                <w:color w:val="auto"/>
              </w:rPr>
            </w:pPr>
          </w:p>
        </w:tc>
      </w:tr>
      <w:tr>
        <w:trPr>
          <w:trHeight w:val="163"/>
        </w:trPr>
        <w:tc>
          <w:tcPr>
            <w:tcW w:w="53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Business Services High-Speed Internet Customers</w:t>
            </w:r>
          </w:p>
        </w:tc>
        <w:tc>
          <w:tcPr>
            <w:tcW w:w="2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1,797</w:t>
            </w:r>
          </w:p>
        </w:tc>
        <w:tc>
          <w:tcPr>
            <w:tcW w:w="138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1,942</w:t>
            </w:r>
          </w:p>
        </w:tc>
        <w:tc>
          <w:tcPr>
            <w:tcW w:w="13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43</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20" w:type="dxa"/>
            <w:vAlign w:val="bottom"/>
          </w:tcPr>
          <w:p>
            <w:pPr>
              <w:spacing w:after="0"/>
              <w:rPr>
                <w:sz w:val="14"/>
                <w:szCs w:val="14"/>
                <w:color w:val="auto"/>
              </w:rPr>
            </w:pPr>
          </w:p>
        </w:tc>
      </w:tr>
      <w:tr>
        <w:trPr>
          <w:trHeight w:val="16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23,987</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25,306</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220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20" w:type="dxa"/>
            <w:vAlign w:val="bottom"/>
          </w:tcPr>
          <w:p>
            <w:pPr>
              <w:spacing w:after="0"/>
              <w:rPr>
                <w:sz w:val="14"/>
                <w:szCs w:val="14"/>
                <w:color w:val="auto"/>
              </w:rPr>
            </w:pPr>
          </w:p>
        </w:tc>
      </w:tr>
      <w:tr>
        <w:trPr>
          <w:trHeight w:val="156"/>
        </w:trPr>
        <w:tc>
          <w:tcPr>
            <w:tcW w:w="5360" w:type="dxa"/>
            <w:vAlign w:val="bottom"/>
          </w:tcPr>
          <w:p>
            <w:pPr>
              <w:ind w:left="160"/>
              <w:spacing w:after="0" w:line="155" w:lineRule="exact"/>
              <w:rPr>
                <w:sz w:val="20"/>
                <w:szCs w:val="20"/>
                <w:color w:val="auto"/>
              </w:rPr>
            </w:pPr>
            <w:r>
              <w:rPr>
                <w:rFonts w:ascii="Arial" w:cs="Arial" w:eastAsia="Arial" w:hAnsi="Arial"/>
                <w:sz w:val="14"/>
                <w:szCs w:val="14"/>
                <w:color w:val="auto"/>
              </w:rPr>
              <w:t>Residential Voice Customers</w:t>
            </w:r>
          </w:p>
        </w:tc>
        <w:tc>
          <w:tcPr>
            <w:tcW w:w="266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10,551</w:t>
            </w:r>
          </w:p>
        </w:tc>
        <w:tc>
          <w:tcPr>
            <w:tcW w:w="1380" w:type="dxa"/>
            <w:vAlign w:val="bottom"/>
          </w:tcPr>
          <w:p>
            <w:pPr>
              <w:jc w:val="right"/>
              <w:ind w:right="628"/>
              <w:spacing w:after="0" w:line="155" w:lineRule="exact"/>
              <w:rPr>
                <w:sz w:val="20"/>
                <w:szCs w:val="20"/>
                <w:color w:val="auto"/>
              </w:rPr>
            </w:pPr>
            <w:r>
              <w:rPr>
                <w:rFonts w:ascii="Arial" w:cs="Arial" w:eastAsia="Arial" w:hAnsi="Arial"/>
                <w:sz w:val="14"/>
                <w:szCs w:val="14"/>
                <w:color w:val="auto"/>
              </w:rPr>
              <w:t>10,470</w:t>
            </w:r>
          </w:p>
        </w:tc>
        <w:tc>
          <w:tcPr>
            <w:tcW w:w="136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35</w:t>
            </w:r>
          </w:p>
        </w:tc>
        <w:tc>
          <w:tcPr>
            <w:tcW w:w="6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(50)</w:t>
            </w:r>
          </w:p>
        </w:tc>
      </w:tr>
      <w:tr>
        <w:trPr>
          <w:trHeight w:val="163"/>
        </w:trPr>
        <w:tc>
          <w:tcPr>
            <w:tcW w:w="53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Business Services Voice Customers</w:t>
            </w:r>
          </w:p>
        </w:tc>
        <w:tc>
          <w:tcPr>
            <w:tcW w:w="26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1,090</w:t>
            </w:r>
          </w:p>
        </w:tc>
        <w:tc>
          <w:tcPr>
            <w:tcW w:w="1380" w:type="dxa"/>
            <w:vAlign w:val="bottom"/>
            <w:tcBorders>
              <w:top w:val="single" w:sz="8" w:color="auto"/>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1,189</w:t>
            </w:r>
          </w:p>
        </w:tc>
        <w:tc>
          <w:tcPr>
            <w:tcW w:w="136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29</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r>
      <w:tr>
        <w:trPr>
          <w:trHeight w:val="169"/>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11,641</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11,659</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20" w:type="dxa"/>
            <w:vAlign w:val="bottom"/>
          </w:tcPr>
          <w:p>
            <w:pPr>
              <w:spacing w:after="0"/>
              <w:rPr>
                <w:sz w:val="14"/>
                <w:szCs w:val="14"/>
                <w:color w:val="auto"/>
              </w:rPr>
            </w:pPr>
          </w:p>
        </w:tc>
      </w:tr>
      <w:tr>
        <w:trPr>
          <w:trHeight w:val="169"/>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737</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1,028</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70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w:t>
            </w:r>
          </w:p>
        </w:tc>
        <w:tc>
          <w:tcPr>
            <w:tcW w:w="20" w:type="dxa"/>
            <w:vAlign w:val="bottom"/>
          </w:tcPr>
          <w:p>
            <w:pPr>
              <w:spacing w:after="0"/>
              <w:rPr>
                <w:sz w:val="14"/>
                <w:szCs w:val="14"/>
                <w:color w:val="auto"/>
              </w:rPr>
            </w:pPr>
          </w:p>
        </w:tc>
      </w:tr>
      <w:tr>
        <w:trPr>
          <w:trHeight w:val="169"/>
        </w:trPr>
        <w:tc>
          <w:tcPr>
            <w:tcW w:w="53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Residential Customer Relationships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26,138</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26,874</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20" w:type="dxa"/>
            <w:vAlign w:val="bottom"/>
          </w:tcPr>
          <w:p>
            <w:pPr>
              <w:spacing w:after="0"/>
              <w:rPr>
                <w:sz w:val="14"/>
                <w:szCs w:val="14"/>
                <w:color w:val="auto"/>
              </w:rPr>
            </w:pPr>
          </w:p>
        </w:tc>
      </w:tr>
      <w:tr>
        <w:trPr>
          <w:trHeight w:val="163"/>
        </w:trPr>
        <w:tc>
          <w:tcPr>
            <w:tcW w:w="536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Business Services Customer Relationships</w:t>
            </w:r>
          </w:p>
        </w:tc>
        <w:tc>
          <w:tcPr>
            <w:tcW w:w="26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1,964</w:t>
            </w:r>
          </w:p>
        </w:tc>
        <w:tc>
          <w:tcPr>
            <w:tcW w:w="1380" w:type="dxa"/>
            <w:vAlign w:val="bottom"/>
            <w:tcBorders>
              <w:bottom w:val="single" w:sz="8" w:color="auto"/>
            </w:tcBorders>
          </w:tcPr>
          <w:p>
            <w:pPr>
              <w:jc w:val="right"/>
              <w:ind w:right="628"/>
              <w:spacing w:after="0" w:line="155" w:lineRule="exact"/>
              <w:rPr>
                <w:sz w:val="20"/>
                <w:szCs w:val="20"/>
                <w:color w:val="auto"/>
              </w:rPr>
            </w:pPr>
            <w:r>
              <w:rPr>
                <w:rFonts w:ascii="Arial" w:cs="Arial" w:eastAsia="Arial" w:hAnsi="Arial"/>
                <w:sz w:val="14"/>
                <w:szCs w:val="14"/>
                <w:color w:val="auto"/>
              </w:rPr>
              <w:t>2,115</w:t>
            </w:r>
          </w:p>
        </w:tc>
        <w:tc>
          <w:tcPr>
            <w:tcW w:w="13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43</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r>
      <w:tr>
        <w:trPr>
          <w:trHeight w:val="169"/>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28,101</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28,989</w:t>
            </w:r>
          </w:p>
        </w:tc>
        <w:tc>
          <w:tcPr>
            <w:tcW w:w="13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20" w:type="dxa"/>
            <w:vAlign w:val="bottom"/>
          </w:tcPr>
          <w:p>
            <w:pPr>
              <w:spacing w:after="0"/>
              <w:rPr>
                <w:sz w:val="14"/>
                <w:szCs w:val="14"/>
                <w:color w:val="auto"/>
              </w:rPr>
            </w:pPr>
          </w:p>
        </w:tc>
      </w:tr>
      <w:tr>
        <w:trPr>
          <w:trHeight w:val="169"/>
        </w:trPr>
        <w:tc>
          <w:tcPr>
            <w:tcW w:w="53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Residential Customers</w:t>
            </w:r>
          </w:p>
        </w:tc>
        <w:tc>
          <w:tcPr>
            <w:tcW w:w="2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7,671</w:t>
            </w: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7,931</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r>
    </w:tbl>
    <w:p>
      <w:pPr>
        <w:sectPr>
          <w:pgSz w:w="11900" w:h="16900" w:orient="portrait"/>
          <w:cols w:equalWidth="0" w:num="1">
            <w:col w:w="11420"/>
          </w:cols>
          <w:pgMar w:left="240" w:top="3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Double Product Residential Customers</w:t>
            </w:r>
          </w:p>
        </w:tc>
        <w:tc>
          <w:tcPr>
            <w:tcW w:w="36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8,585</w:t>
            </w:r>
          </w:p>
        </w:tc>
        <w:tc>
          <w:tcPr>
            <w:tcW w:w="144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8,945</w:t>
            </w:r>
          </w:p>
        </w:tc>
        <w:tc>
          <w:tcPr>
            <w:tcW w:w="13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13</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4"/>
                <w:szCs w:val="14"/>
                <w:color w:val="auto"/>
              </w:rPr>
            </w:pPr>
          </w:p>
        </w:tc>
      </w:tr>
      <w:tr>
        <w:trPr>
          <w:trHeight w:val="171"/>
        </w:trPr>
        <w:tc>
          <w:tcPr>
            <w:tcW w:w="4380" w:type="dxa"/>
            <w:vAlign w:val="bottom"/>
          </w:tcPr>
          <w:p>
            <w:pPr>
              <w:ind w:left="40"/>
              <w:spacing w:after="0"/>
              <w:rPr>
                <w:sz w:val="20"/>
                <w:szCs w:val="20"/>
                <w:color w:val="auto"/>
              </w:rPr>
            </w:pPr>
            <w:r>
              <w:rPr>
                <w:rFonts w:ascii="Arial" w:cs="Arial" w:eastAsia="Arial" w:hAnsi="Arial"/>
                <w:sz w:val="14"/>
                <w:szCs w:val="14"/>
                <w:color w:val="auto"/>
              </w:rPr>
              <w:t>Triple and Quad Product Residential Customers</w:t>
            </w:r>
          </w:p>
        </w:tc>
        <w:tc>
          <w:tcPr>
            <w:tcW w:w="3680" w:type="dxa"/>
            <w:vAlign w:val="bottom"/>
          </w:tcPr>
          <w:p>
            <w:pPr>
              <w:jc w:val="right"/>
              <w:ind w:right="208"/>
              <w:spacing w:after="0"/>
              <w:rPr>
                <w:sz w:val="20"/>
                <w:szCs w:val="20"/>
                <w:color w:val="auto"/>
              </w:rPr>
            </w:pPr>
            <w:r>
              <w:rPr>
                <w:rFonts w:ascii="Arial" w:cs="Arial" w:eastAsia="Arial" w:hAnsi="Arial"/>
                <w:sz w:val="14"/>
                <w:szCs w:val="14"/>
                <w:color w:val="auto"/>
              </w:rPr>
              <w:t>9,882</w:t>
            </w:r>
          </w:p>
        </w:tc>
        <w:tc>
          <w:tcPr>
            <w:tcW w:w="1440" w:type="dxa"/>
            <w:vAlign w:val="bottom"/>
          </w:tcPr>
          <w:p>
            <w:pPr>
              <w:jc w:val="right"/>
              <w:ind w:right="728"/>
              <w:spacing w:after="0"/>
              <w:rPr>
                <w:sz w:val="20"/>
                <w:szCs w:val="20"/>
                <w:color w:val="auto"/>
              </w:rPr>
            </w:pPr>
            <w:r>
              <w:rPr>
                <w:rFonts w:ascii="Arial" w:cs="Arial" w:eastAsia="Arial" w:hAnsi="Arial"/>
                <w:sz w:val="14"/>
                <w:szCs w:val="14"/>
                <w:color w:val="auto"/>
              </w:rPr>
              <w:t>9,998</w:t>
            </w:r>
          </w:p>
        </w:tc>
        <w:tc>
          <w:tcPr>
            <w:tcW w:w="1340" w:type="dxa"/>
            <w:vAlign w:val="bottom"/>
          </w:tcPr>
          <w:p>
            <w:pPr>
              <w:jc w:val="right"/>
              <w:ind w:right="308"/>
              <w:spacing w:after="0"/>
              <w:rPr>
                <w:sz w:val="20"/>
                <w:szCs w:val="20"/>
                <w:color w:val="auto"/>
              </w:rPr>
            </w:pPr>
            <w:r>
              <w:rPr>
                <w:rFonts w:ascii="Arial" w:cs="Arial" w:eastAsia="Arial" w:hAnsi="Arial"/>
                <w:sz w:val="14"/>
                <w:szCs w:val="14"/>
                <w:color w:val="auto"/>
              </w:rPr>
              <w:t>70</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365"/>
        </w:trPr>
        <w:tc>
          <w:tcPr>
            <w:tcW w:w="4380" w:type="dxa"/>
            <w:vAlign w:val="bottom"/>
          </w:tcPr>
          <w:p>
            <w:pPr>
              <w:spacing w:after="0"/>
              <w:rPr>
                <w:sz w:val="24"/>
                <w:szCs w:val="24"/>
                <w:color w:val="auto"/>
              </w:rPr>
            </w:pPr>
          </w:p>
        </w:tc>
        <w:tc>
          <w:tcPr>
            <w:tcW w:w="3680" w:type="dxa"/>
            <w:vAlign w:val="bottom"/>
          </w:tcPr>
          <w:p>
            <w:pPr>
              <w:jc w:val="right"/>
              <w:ind w:right="2228"/>
              <w:spacing w:after="0"/>
              <w:rPr>
                <w:sz w:val="20"/>
                <w:szCs w:val="20"/>
                <w:color w:val="auto"/>
              </w:rPr>
            </w:pPr>
            <w:r>
              <w:rPr>
                <w:rFonts w:ascii="Arial" w:cs="Arial" w:eastAsia="Arial" w:hAnsi="Arial"/>
                <w:sz w:val="14"/>
                <w:szCs w:val="14"/>
                <w:color w:val="auto"/>
              </w:rPr>
              <w:t>3</w:t>
            </w: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438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5.4% to $5.3 billion in the second quarter of 2017,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5.5% increase in operating expenses. The higher expenses were primarily due to a 12.0% increase in video programming costs, reflecting the timing of contract renewals, as well as higher retransmission consent fees and sports programming costs. Non-programming expenses increased 1.4%, reflecting increases in technical and product support expenses and advertising, marketing and promotion costs, and a decrease in customer service expenses. Technical and product support expenses increased 1.8% related to the development, delivery and support of our X1 platform, cloud DVR technology and wireless gateways, and the continued growth in business services and security and automation services. Advertising, marketing and promotion costs increased 2.1%, primarily due to an increase in spending associated with attracting new customers. Customer service expenses decreased 1.1%, reflecting reduced call volumes. This quarter’s Adjusted EBITDA margin was 40.5% compared to 40.6% in the second quarter of 2016.</w:t>
      </w:r>
    </w:p>
    <w:p>
      <w:pPr>
        <w:spacing w:after="0" w:line="19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six months ended June 30, 2017, Cable Adjusted EBITDA increased 5.8% to $10.5 billion compared to 2016, driven by higher revenue, partially offset by a 5.5% increase in operating expenses. The higher expenses were primarily due to an 11.8% increase in video programming costs and a 1.4% increase in non-programming expenses. Year-to-date Adjusted EBITDA margin was 40.4% compared to 40.3% in 2016.</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color w:val="auto"/>
              </w:rPr>
              <w:t>2nd Quarter</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Arial" w:cs="Arial" w:eastAsia="Arial" w:hAnsi="Arial"/>
                <w:sz w:val="14"/>
                <w:szCs w:val="14"/>
                <w:color w:val="auto"/>
              </w:rPr>
              <w:t>Year to Date</w:t>
            </w:r>
          </w:p>
        </w:tc>
        <w:tc>
          <w:tcPr>
            <w:tcW w:w="900" w:type="dxa"/>
            <w:vAlign w:val="bottom"/>
          </w:tcPr>
          <w:p>
            <w:pPr>
              <w:spacing w:after="0"/>
              <w:rPr>
                <w:sz w:val="14"/>
                <w:szCs w:val="14"/>
                <w:color w:val="auto"/>
              </w:rPr>
            </w:pPr>
          </w:p>
        </w:tc>
      </w:tr>
      <w:tr>
        <w:trPr>
          <w:trHeight w:val="20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2017</w:t>
            </w: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Growth</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2016</w:t>
            </w: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16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$2,566</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$2,696</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5.1%</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$5,019</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$5,337</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2,128</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2,241</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5.3%</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4,212</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4,449</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1,351</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2,155</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59.6%</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2,734</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4,136</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1,136</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1,314</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15.6%</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2,162</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2,432</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(78)</w:t>
            </w:r>
          </w:p>
        </w:tc>
        <w:tc>
          <w:tcPr>
            <w:tcW w:w="15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(75)</w:t>
            </w:r>
          </w:p>
        </w:tc>
        <w:tc>
          <w:tcPr>
            <w:tcW w:w="12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(163)</w:t>
            </w:r>
          </w:p>
        </w:tc>
        <w:tc>
          <w:tcPr>
            <w:tcW w:w="14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(155)</w:t>
            </w: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r>
      <w:tr>
        <w:trPr>
          <w:trHeight w:val="18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1740" w:type="dxa"/>
            <w:vAlign w:val="bottom"/>
          </w:tcPr>
          <w:p>
            <w:pPr>
              <w:jc w:val="right"/>
              <w:ind w:right="88"/>
              <w:spacing w:after="0"/>
              <w:rPr>
                <w:sz w:val="20"/>
                <w:szCs w:val="20"/>
                <w:color w:val="auto"/>
              </w:rPr>
            </w:pPr>
            <w:r>
              <w:rPr>
                <w:rFonts w:ascii="Arial" w:cs="Arial" w:eastAsia="Arial" w:hAnsi="Arial"/>
                <w:sz w:val="14"/>
                <w:szCs w:val="14"/>
                <w:b w:val="1"/>
                <w:bCs w:val="1"/>
                <w:color w:val="auto"/>
              </w:rPr>
              <w:t>$7,103</w:t>
            </w: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$8,331</w:t>
            </w:r>
          </w:p>
        </w:tc>
        <w:tc>
          <w:tcPr>
            <w:tcW w:w="1220" w:type="dxa"/>
            <w:vAlign w:val="bottom"/>
          </w:tcPr>
          <w:p>
            <w:pPr>
              <w:jc w:val="right"/>
              <w:ind w:right="268"/>
              <w:spacing w:after="0"/>
              <w:rPr>
                <w:sz w:val="20"/>
                <w:szCs w:val="20"/>
                <w:color w:val="auto"/>
              </w:rPr>
            </w:pPr>
            <w:r>
              <w:rPr>
                <w:rFonts w:ascii="Arial" w:cs="Arial" w:eastAsia="Arial" w:hAnsi="Arial"/>
                <w:sz w:val="14"/>
                <w:szCs w:val="14"/>
                <w:b w:val="1"/>
                <w:bCs w:val="1"/>
                <w:color w:val="auto"/>
              </w:rPr>
              <w:t>17.3%</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$13,964</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$16,199</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r>
        <w:trPr>
          <w:trHeight w:val="195"/>
        </w:trPr>
        <w:tc>
          <w:tcPr>
            <w:tcW w:w="3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6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Cable Networks</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$944</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$1,055</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11.7%</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$1,900</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$2,171</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Broadcast Television</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394</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416</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5.5%</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678</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738</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Filmed Entertainment</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56</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285</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407.4%</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223</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653</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192.7%</w:t>
            </w:r>
          </w:p>
        </w:tc>
      </w:tr>
      <w:tr>
        <w:trPr>
          <w:trHeight w:val="156"/>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Theme Parks</w:t>
            </w:r>
          </w:p>
        </w:tc>
        <w:tc>
          <w:tcPr>
            <w:tcW w:w="1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469</w:t>
            </w:r>
          </w:p>
        </w:tc>
        <w:tc>
          <w:tcPr>
            <w:tcW w:w="15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color w:val="auto"/>
              </w:rPr>
              <w:t>551</w:t>
            </w:r>
          </w:p>
        </w:tc>
        <w:tc>
          <w:tcPr>
            <w:tcW w:w="12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17.3%</w:t>
            </w:r>
          </w:p>
        </w:tc>
        <w:tc>
          <w:tcPr>
            <w:tcW w:w="10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844</w:t>
            </w:r>
          </w:p>
        </w:tc>
        <w:tc>
          <w:tcPr>
            <w:tcW w:w="14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948</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w:t>
            </w:r>
          </w:p>
        </w:tc>
      </w:tr>
      <w:tr>
        <w:trPr>
          <w:trHeight w:val="163"/>
        </w:trPr>
        <w:tc>
          <w:tcPr>
            <w:tcW w:w="35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Headquarters, other and eliminations</w:t>
            </w:r>
          </w:p>
        </w:tc>
        <w:tc>
          <w:tcPr>
            <w:tcW w:w="1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(174)</w:t>
            </w:r>
          </w:p>
        </w:tc>
        <w:tc>
          <w:tcPr>
            <w:tcW w:w="15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(236)</w:t>
            </w:r>
          </w:p>
        </w:tc>
        <w:tc>
          <w:tcPr>
            <w:tcW w:w="12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rPr>
              <w:t>NM</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(334)</w:t>
            </w:r>
          </w:p>
        </w:tc>
        <w:tc>
          <w:tcPr>
            <w:tcW w:w="14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(422)</w:t>
            </w: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NM</w:t>
            </w:r>
          </w:p>
        </w:tc>
      </w:tr>
      <w:tr>
        <w:trPr>
          <w:trHeight w:val="190"/>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1740" w:type="dxa"/>
            <w:vAlign w:val="bottom"/>
          </w:tcPr>
          <w:p>
            <w:pPr>
              <w:jc w:val="right"/>
              <w:ind w:right="88"/>
              <w:spacing w:after="0"/>
              <w:rPr>
                <w:sz w:val="20"/>
                <w:szCs w:val="20"/>
                <w:color w:val="auto"/>
              </w:rPr>
            </w:pPr>
            <w:r>
              <w:rPr>
                <w:rFonts w:ascii="Arial" w:cs="Arial" w:eastAsia="Arial" w:hAnsi="Arial"/>
                <w:sz w:val="14"/>
                <w:szCs w:val="14"/>
                <w:b w:val="1"/>
                <w:bCs w:val="1"/>
                <w:color w:val="auto"/>
              </w:rPr>
              <w:t>$1,689</w:t>
            </w: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$2,071</w:t>
            </w:r>
          </w:p>
        </w:tc>
        <w:tc>
          <w:tcPr>
            <w:tcW w:w="1220" w:type="dxa"/>
            <w:vAlign w:val="bottom"/>
          </w:tcPr>
          <w:p>
            <w:pPr>
              <w:jc w:val="right"/>
              <w:ind w:right="268"/>
              <w:spacing w:after="0"/>
              <w:rPr>
                <w:sz w:val="20"/>
                <w:szCs w:val="20"/>
                <w:color w:val="auto"/>
              </w:rPr>
            </w:pPr>
            <w:r>
              <w:rPr>
                <w:rFonts w:ascii="Arial" w:cs="Arial" w:eastAsia="Arial" w:hAnsi="Arial"/>
                <w:sz w:val="14"/>
                <w:szCs w:val="14"/>
                <w:b w:val="1"/>
                <w:bCs w:val="1"/>
                <w:color w:val="auto"/>
              </w:rPr>
              <w:t>22.6%</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$3,311</w:t>
            </w:r>
          </w:p>
        </w:tc>
        <w:tc>
          <w:tcPr>
            <w:tcW w:w="1480" w:type="dxa"/>
            <w:vAlign w:val="bottom"/>
          </w:tcPr>
          <w:p>
            <w:pPr>
              <w:jc w:val="right"/>
              <w:ind w:right="328"/>
              <w:spacing w:after="0"/>
              <w:rPr>
                <w:sz w:val="20"/>
                <w:szCs w:val="20"/>
                <w:color w:val="auto"/>
              </w:rPr>
            </w:pPr>
            <w:r>
              <w:rPr>
                <w:rFonts w:ascii="Arial" w:cs="Arial" w:eastAsia="Arial" w:hAnsi="Arial"/>
                <w:sz w:val="14"/>
                <w:szCs w:val="14"/>
                <w:b w:val="1"/>
                <w:bCs w:val="1"/>
                <w:color w:val="auto"/>
              </w:rPr>
              <w:t>$4,088</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23.5%</w:t>
            </w: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NM=comparison not meaningful.</w:t>
      </w:r>
    </w:p>
    <w:p>
      <w:pPr>
        <w:spacing w:after="0" w:line="230"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17.3% to $8.3 billion in the second quarter of 2017.</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22.6% to $2.1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increases at Filmed Entertainment, Theme Parks, Cable Networks and Broadcast Television.</w:t>
      </w:r>
    </w:p>
    <w:p>
      <w:pPr>
        <w:spacing w:after="0" w:line="16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For the six months ended June 30, 2017, NBCUniversal revenue increased 16.0% to $16.2 billion compared to 2016 and Adjusted EBITDA increased 23.5% to $4.1 billion, reflecting increases at Filmed Entertainment, Cable Networks, Theme Parks, and Broadcast Television.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Cable Networks revenue increased 5.1% to $2.7 billion in the second quarter of 2017, reflecting higher distribution and content licensing and other revenue, partially offset by lower advertising revenue. Distribution revenue increased 8.1%, driven by contractual rate increases and contract renewals, partially offset by a decline in subscribers at our cable networks. Content licensing and other revenue increased 10.5%, reflecting the timing of content provided under licensing agreements. Advertising revenue decreased 0.9%, due to audience ratings declines, mostly offset by higher rates. Adjusted EBITDA increased 11.7% to $1.1 billion in the second quarter of 2017, reflecting higher revenue, partially offset by a modest increase in operating expenses.</w:t>
      </w:r>
    </w:p>
    <w:p>
      <w:pPr>
        <w:spacing w:after="0" w:line="19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For the six months ended June 30, 2017, revenue from the Cable Networks segment increased 6.3% to $5.3 billion compared to 2016, reflecting higher distribution and content licensing and other revenue, partially offset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by a decline in advertising revenue. Adjusted EBITDA increased 14.2% to $2.2 billion compared to 2016, reflecting higher revenue, partially offset by a modest increase in operating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Broadcast Television revenue increased 5.3% to $2.2 billion in the second quarter of 2017, reflecting higher distribution and other and content licensing revenue, partially offset by a decline in advertising revenue. Distribution and other revenue increased 36.1%, due to higher retransmission consent fees. Content licensing revenue increased 2.1%, reflecting the timing of content provided under licensing agreements. Advertising revenue decreased 1.2%, due to audience ratings declines, partially offset by higher rates. Adjusted EBITDA increased 5.5% to $416 million in the second quarter of 2017, reflecting higher revenue, partially offset by increases in programming and production costs and advertising, marketing and promotion expenses.</w:t>
      </w:r>
    </w:p>
    <w:p>
      <w:pPr>
        <w:spacing w:after="0" w:line="19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For the six months ended June 30, 2017, revenue from the Broadcast Television segment increased 5.6% to $4.4 billion compared to 2016, reflecting higher distribution and other and content licensing revenue. Adjusted EBITDA increased 8.8% to $738 million compared to 2016, reflecting higher revenue, partially offset by an increase in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 xml:space="preserve">Filmed Entertainment revenue increased 59.6% to $2.2 billion in the second quarter of 2017, primarily reflecting higher theatrical revenue, as well as increased home entertainment, content licensing and other revenue. Theatrical revenue increased by $540 million to $837 million, reflecting the strong performance of </w:t>
      </w:r>
      <w:r>
        <w:rPr>
          <w:rFonts w:ascii="Arial" w:cs="Arial" w:eastAsia="Arial" w:hAnsi="Arial"/>
          <w:sz w:val="18"/>
          <w:szCs w:val="18"/>
          <w:i w:val="1"/>
          <w:iCs w:val="1"/>
          <w:color w:val="auto"/>
        </w:rPr>
        <w:t>The Fate of the Furious</w:t>
      </w:r>
      <w:r>
        <w:rPr>
          <w:rFonts w:ascii="Arial" w:cs="Arial" w:eastAsia="Arial" w:hAnsi="Arial"/>
          <w:sz w:val="18"/>
          <w:szCs w:val="18"/>
          <w:color w:val="auto"/>
        </w:rPr>
        <w:t xml:space="preserve"> in this year’s second quarter. Home Entertainment revenue increased 42.6%,</w:t>
      </w:r>
    </w:p>
    <w:p>
      <w:pPr>
        <w:sectPr>
          <w:pgSz w:w="11900" w:h="16838" w:orient="portrait"/>
          <w:cols w:equalWidth="0" w:num="1">
            <w:col w:w="11460"/>
          </w:cols>
          <w:pgMar w:left="240" w:top="120" w:right="199" w:bottom="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8"/>
          <w:szCs w:val="18"/>
          <w:color w:val="auto"/>
        </w:rPr>
        <w:t xml:space="preserve">driven by strong sales of recent titles including </w:t>
      </w:r>
      <w:r>
        <w:rPr>
          <w:rFonts w:ascii="Arial" w:cs="Arial" w:eastAsia="Arial" w:hAnsi="Arial"/>
          <w:sz w:val="18"/>
          <w:szCs w:val="18"/>
          <w:i w:val="1"/>
          <w:iCs w:val="1"/>
          <w:color w:val="auto"/>
        </w:rPr>
        <w:t>Fifty Shades Darker</w:t>
      </w:r>
      <w:r>
        <w:rPr>
          <w:rFonts w:ascii="Arial" w:cs="Arial" w:eastAsia="Arial" w:hAnsi="Arial"/>
          <w:sz w:val="18"/>
          <w:szCs w:val="18"/>
          <w:color w:val="auto"/>
        </w:rPr>
        <w:t xml:space="preserve"> and </w:t>
      </w:r>
      <w:r>
        <w:rPr>
          <w:rFonts w:ascii="Arial" w:cs="Arial" w:eastAsia="Arial" w:hAnsi="Arial"/>
          <w:sz w:val="18"/>
          <w:szCs w:val="18"/>
          <w:i w:val="1"/>
          <w:iCs w:val="1"/>
          <w:color w:val="auto"/>
        </w:rPr>
        <w:t>Sing.</w:t>
      </w:r>
      <w:r>
        <w:rPr>
          <w:rFonts w:ascii="Arial" w:cs="Arial" w:eastAsia="Arial" w:hAnsi="Arial"/>
          <w:sz w:val="18"/>
          <w:szCs w:val="18"/>
          <w:color w:val="auto"/>
        </w:rPr>
        <w:t xml:space="preserve"> Content licensing and other revenue increased 14.1% and 37.1%, respectively, primarily due to the inclusion of DreamWorks in the current year period. Adjusted EBITDA increased by $229 million to $285 million in the second quarter of 2017, reflecting higher revenue, partially offset by higher programming and production costs.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2017, revenue from the Filmed Entertainment segment increased 51.3% to $4.1 billion compared to 2016, primarily reflecting higher theatrical revenue, as well as increases in content licensing, other and home entertainment revenue. Adjusted EBITDA increased $430 million to $653 million compared to 2016, reflecting higher revenue, partially offset by higher programming and production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Theme Parks revenue increased 15.6% to $1.3 billion in the second quarter of 2017 reflecting higher attendance and per capita spending. Revenue growth also benefitted from the timing of spring break vacations,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Hollywood, and the openings of </w:t>
      </w:r>
      <w:r>
        <w:rPr>
          <w:rFonts w:ascii="Arial" w:cs="Arial" w:eastAsia="Arial" w:hAnsi="Arial"/>
          <w:sz w:val="18"/>
          <w:szCs w:val="18"/>
          <w:i w:val="1"/>
          <w:iCs w:val="1"/>
          <w:color w:val="auto"/>
        </w:rPr>
        <w:t>Minion Park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Japan and </w:t>
      </w:r>
      <w:r>
        <w:rPr>
          <w:rFonts w:ascii="Arial" w:cs="Arial" w:eastAsia="Arial" w:hAnsi="Arial"/>
          <w:sz w:val="18"/>
          <w:szCs w:val="18"/>
          <w:i w:val="1"/>
          <w:iCs w:val="1"/>
          <w:color w:val="auto"/>
        </w:rPr>
        <w:t>Volcano Bay</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Orlando. Adjusted EBITDA increased 17.3% to $551 million in the second quarter of 2017, reflecting higher revenue, partially offset by an increase in operating expenses, including costs to support new attractions.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six months ended June 30, 2017, revenue from the Theme Parks segment increased 12.5% to $2.4 billion compared to 2016, reflecting higher attendance and per capita spending. Adjusted EBITDA increased 12.3% to $948 million compared to 2016, reflecting higher revenue, partially offset by an increase in operating expenses, including costs to support new attractions.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June 30, 2017, NBCUniversal Headquarters, Other and Eliminations Adjusted EBITDA loss was $236 million compared to a loss of $174 million in the second quarter of 2016.</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six months ended June 30, 2017, NBCUniversal Headquarters, Other and Eliminations Adjusted EBITDA loss was $422 million compared to a loss of $334 million in 2016.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Comcast Spectacor and our new wireless initiative, Xfinity Mobile, as well as eliminations among Comcast’s businesses. For the quarter ended June 30, 2017, Corporate, Other and Eliminations revenue was ($288) million compared to ($278) million in the second quarter of 2016. The Adjusted EBITDA loss was $292 million compared to a loss of $282 million in the second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2017, Corporate, Other and Eliminations revenue was ($605) million compared to ($553) million in 2016.</w:t>
      </w:r>
    </w:p>
    <w:p>
      <w:pPr>
        <w:spacing w:after="0"/>
        <w:rPr>
          <w:sz w:val="20"/>
          <w:szCs w:val="20"/>
          <w:color w:val="auto"/>
        </w:rPr>
      </w:pPr>
      <w:r>
        <w:rPr>
          <w:rFonts w:ascii="Arial" w:cs="Arial" w:eastAsia="Arial" w:hAnsi="Arial"/>
          <w:sz w:val="18"/>
          <w:szCs w:val="18"/>
          <w:color w:val="auto"/>
        </w:rPr>
        <w:t>The Adjusted EBITDA loss was $475 million compared to a loss of $426 million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180" w:hanging="167"/>
        <w:spacing w:after="0" w:line="239" w:lineRule="auto"/>
        <w:rPr>
          <w:sz w:val="20"/>
          <w:szCs w:val="20"/>
          <w:color w:val="auto"/>
        </w:rPr>
      </w:pPr>
      <w:r>
        <w:rPr>
          <w:rFonts w:ascii="Arial" w:cs="Arial" w:eastAsia="Arial" w:hAnsi="Arial"/>
          <w:sz w:val="18"/>
          <w:szCs w:val="18"/>
          <w:color w:val="auto"/>
        </w:rPr>
        <w:t>1 We define Adjusted EBITDA (formerly Operating Cash Flow)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See Table 4 for reconciliation of non-GAAP financial measures.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All earnings per share amounts are presented on a diluted basis and reflect the two-for-one stock split on February 17, 2017.</w:t>
      </w:r>
    </w:p>
    <w:p>
      <w:pPr>
        <w:spacing w:after="0" w:line="198" w:lineRule="exact"/>
        <w:rPr>
          <w:sz w:val="20"/>
          <w:szCs w:val="20"/>
          <w:color w:val="auto"/>
        </w:rPr>
      </w:pPr>
    </w:p>
    <w:p>
      <w:pPr>
        <w:jc w:val="both"/>
        <w:ind w:left="180" w:hanging="161"/>
        <w:spacing w:after="0" w:line="238" w:lineRule="auto"/>
        <w:rPr>
          <w:sz w:val="20"/>
          <w:szCs w:val="20"/>
          <w:color w:val="auto"/>
        </w:rPr>
      </w:pPr>
      <w:r>
        <w:rPr>
          <w:rFonts w:ascii="Arial" w:cs="Arial" w:eastAsia="Arial" w:hAnsi="Arial"/>
          <w:sz w:val="18"/>
          <w:szCs w:val="18"/>
          <w:color w:val="auto"/>
        </w:rPr>
        <w:t>3 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The definition of Free Cash Flow excludes any impact from Economic Stimulus packages. These amounts have been excluded from Free Cash Flow to provide an appropriate comparison. See Table 4 for reconciliation of non-GAAP financial measures.</w:t>
      </w:r>
    </w:p>
    <w:p>
      <w:pPr>
        <w:spacing w:after="0" w:line="189" w:lineRule="exact"/>
        <w:rPr>
          <w:sz w:val="20"/>
          <w:szCs w:val="20"/>
          <w:color w:val="auto"/>
        </w:rPr>
      </w:pPr>
    </w:p>
    <w:p>
      <w:pPr>
        <w:jc w:val="both"/>
        <w:ind w:left="180" w:hanging="161"/>
        <w:spacing w:after="0" w:line="246" w:lineRule="auto"/>
        <w:rPr>
          <w:sz w:val="20"/>
          <w:szCs w:val="20"/>
          <w:color w:val="auto"/>
        </w:rPr>
      </w:pPr>
      <w:r>
        <w:rPr>
          <w:rFonts w:ascii="Arial" w:cs="Arial" w:eastAsia="Arial" w:hAnsi="Arial"/>
          <w:sz w:val="18"/>
          <w:szCs w:val="18"/>
          <w:color w:val="auto"/>
        </w:rPr>
        <w:t>4 To be consistent with our current management reporting presentation, certain 2016 operating results were reclassified within the Cable Communications segment.</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27, 2017 at 7:30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39307493. A replay of the call will be available starting at 12:00 p.m. ET on July 27, 2017, on the Investor Relations website or by telephone. To access the telephone replay, which will be available until Thursday, August 3, 2017 at midnight ET, please dial (855) 859-2056 and enter the conference ID number 39307493.</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520" w:type="dxa"/>
            <w:vAlign w:val="bottom"/>
          </w:tcPr>
          <w:p>
            <w:pPr>
              <w:jc w:val="right"/>
              <w:ind w:right="2152"/>
              <w:spacing w:after="0"/>
              <w:rPr>
                <w:sz w:val="20"/>
                <w:szCs w:val="20"/>
                <w:color w:val="auto"/>
              </w:rPr>
            </w:pPr>
            <w:r>
              <w:rPr>
                <w:rFonts w:ascii="Arial" w:cs="Arial" w:eastAsia="Arial" w:hAnsi="Arial"/>
                <w:sz w:val="16"/>
                <w:szCs w:val="16"/>
                <w:color w:val="auto"/>
              </w:rPr>
              <w:t>###</w:t>
            </w:r>
          </w:p>
        </w:tc>
        <w:tc>
          <w:tcPr>
            <w:tcW w:w="1540" w:type="dxa"/>
            <w:vAlign w:val="bottom"/>
          </w:tcPr>
          <w:p>
            <w:pPr>
              <w:spacing w:after="0"/>
              <w:rPr>
                <w:sz w:val="16"/>
                <w:szCs w:val="16"/>
                <w:color w:val="auto"/>
              </w:rPr>
            </w:pPr>
          </w:p>
        </w:tc>
      </w:tr>
      <w:tr>
        <w:trPr>
          <w:trHeight w:val="397"/>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20" w:type="dxa"/>
            <w:vAlign w:val="bottom"/>
          </w:tcPr>
          <w:p>
            <w:pPr>
              <w:spacing w:after="0"/>
              <w:rPr>
                <w:sz w:val="24"/>
                <w:szCs w:val="24"/>
                <w:color w:val="auto"/>
              </w:rPr>
            </w:pPr>
          </w:p>
        </w:tc>
        <w:tc>
          <w:tcPr>
            <w:tcW w:w="3520" w:type="dxa"/>
            <w:vAlign w:val="bottom"/>
          </w:tcPr>
          <w:p>
            <w:pPr>
              <w:ind w:left="1860"/>
              <w:spacing w:after="0"/>
              <w:rPr>
                <w:sz w:val="20"/>
                <w:szCs w:val="20"/>
                <w:color w:val="auto"/>
              </w:rPr>
            </w:pPr>
            <w:r>
              <w:rPr>
                <w:rFonts w:ascii="Arial" w:cs="Arial" w:eastAsia="Arial" w:hAnsi="Arial"/>
                <w:sz w:val="18"/>
                <w:szCs w:val="18"/>
                <w:b w:val="1"/>
                <w:bCs w:val="1"/>
                <w:color w:val="auto"/>
              </w:rPr>
              <w:t>Press Contacts:</w:t>
            </w:r>
          </w:p>
        </w:tc>
        <w:tc>
          <w:tcPr>
            <w:tcW w:w="1540" w:type="dxa"/>
            <w:vAlign w:val="bottom"/>
          </w:tcPr>
          <w:p>
            <w:pPr>
              <w:spacing w:after="0"/>
              <w:rPr>
                <w:sz w:val="24"/>
                <w:szCs w:val="24"/>
                <w:color w:val="auto"/>
              </w:rPr>
            </w:pPr>
          </w:p>
        </w:tc>
      </w:tr>
      <w:tr>
        <w:trPr>
          <w:trHeight w:val="203"/>
        </w:trPr>
        <w:tc>
          <w:tcPr>
            <w:tcW w:w="194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20" w:type="dxa"/>
            <w:vAlign w:val="bottom"/>
          </w:tcPr>
          <w:p>
            <w:pPr>
              <w:jc w:val="right"/>
              <w:ind w:right="930"/>
              <w:spacing w:after="0" w:line="202" w:lineRule="exact"/>
              <w:rPr>
                <w:sz w:val="20"/>
                <w:szCs w:val="20"/>
                <w:color w:val="auto"/>
              </w:rPr>
            </w:pPr>
            <w:r>
              <w:rPr>
                <w:rFonts w:ascii="Arial" w:cs="Arial" w:eastAsia="Arial" w:hAnsi="Arial"/>
                <w:sz w:val="18"/>
                <w:szCs w:val="18"/>
                <w:color w:val="auto"/>
              </w:rPr>
              <w:t>(215) 286-7972</w:t>
            </w:r>
          </w:p>
        </w:tc>
        <w:tc>
          <w:tcPr>
            <w:tcW w:w="3520" w:type="dxa"/>
            <w:vAlign w:val="bottom"/>
          </w:tcPr>
          <w:p>
            <w:pPr>
              <w:ind w:left="1860"/>
              <w:spacing w:after="0" w:line="202" w:lineRule="exact"/>
              <w:rPr>
                <w:sz w:val="20"/>
                <w:szCs w:val="20"/>
                <w:color w:val="auto"/>
              </w:rPr>
            </w:pPr>
            <w:r>
              <w:rPr>
                <w:rFonts w:ascii="Arial" w:cs="Arial" w:eastAsia="Arial" w:hAnsi="Arial"/>
                <w:sz w:val="18"/>
                <w:szCs w:val="18"/>
                <w:color w:val="auto"/>
              </w:rPr>
              <w:t>D’Arcy Rudnay</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1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2620" w:type="dxa"/>
            <w:vAlign w:val="bottom"/>
          </w:tcPr>
          <w:p>
            <w:pPr>
              <w:jc w:val="right"/>
              <w:ind w:right="930"/>
              <w:spacing w:after="0"/>
              <w:rPr>
                <w:sz w:val="20"/>
                <w:szCs w:val="20"/>
                <w:color w:val="auto"/>
              </w:rPr>
            </w:pPr>
            <w:r>
              <w:rPr>
                <w:rFonts w:ascii="Arial" w:cs="Arial" w:eastAsia="Arial" w:hAnsi="Arial"/>
                <w:sz w:val="18"/>
                <w:szCs w:val="18"/>
                <w:color w:val="auto"/>
              </w:rPr>
              <w:t>(215) 286-4794</w:t>
            </w:r>
          </w:p>
        </w:tc>
        <w:tc>
          <w:tcPr>
            <w:tcW w:w="3520" w:type="dxa"/>
            <w:vAlign w:val="bottom"/>
          </w:tcPr>
          <w:p>
            <w:pPr>
              <w:ind w:left="1860"/>
              <w:spacing w:after="0"/>
              <w:rPr>
                <w:sz w:val="20"/>
                <w:szCs w:val="20"/>
                <w:color w:val="auto"/>
              </w:rPr>
            </w:pPr>
            <w:r>
              <w:rPr>
                <w:rFonts w:ascii="Arial" w:cs="Arial" w:eastAsia="Arial" w:hAnsi="Arial"/>
                <w:sz w:val="18"/>
                <w:szCs w:val="18"/>
                <w:color w:val="auto"/>
              </w:rPr>
              <w:t>John Demming</w:t>
            </w:r>
          </w:p>
        </w:tc>
        <w:tc>
          <w:tcPr>
            <w:tcW w:w="1540" w:type="dxa"/>
            <w:vAlign w:val="bottom"/>
          </w:tcPr>
          <w:p>
            <w:pPr>
              <w:jc w:val="right"/>
              <w:spacing w:after="0"/>
              <w:rPr>
                <w:sz w:val="20"/>
                <w:szCs w:val="20"/>
                <w:color w:val="auto"/>
              </w:rPr>
            </w:pPr>
            <w:r>
              <w:rPr>
                <w:rFonts w:ascii="Arial" w:cs="Arial" w:eastAsia="Arial" w:hAnsi="Arial"/>
                <w:sz w:val="18"/>
                <w:szCs w:val="18"/>
                <w:color w:val="auto"/>
              </w:rPr>
              <w:t>(215) 286-8011</w:t>
            </w:r>
          </w:p>
        </w:tc>
      </w:tr>
    </w:tbl>
    <w:p>
      <w:pPr>
        <w:sectPr>
          <w:pgSz w:w="11900" w:h="16838" w:orient="portrait"/>
          <w:cols w:equalWidth="0" w:num="1">
            <w:col w:w="11420"/>
          </w:cols>
          <w:pgMar w:left="240" w:top="120"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443865</wp:posOffset>
            </wp:positionV>
            <wp:extent cx="960755"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28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59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17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174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3"/>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6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$19,269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$21,165</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$38,059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$41,628</w:t>
            </w:r>
          </w:p>
        </w:tc>
        <w:tc>
          <w:tcPr>
            <w:tcW w:w="0" w:type="dxa"/>
            <w:vAlign w:val="bottom"/>
          </w:tcPr>
          <w:p>
            <w:pPr>
              <w:spacing w:after="0"/>
              <w:rPr>
                <w:sz w:val="1"/>
                <w:szCs w:val="1"/>
                <w:color w:val="auto"/>
              </w:rPr>
            </w:pPr>
          </w:p>
        </w:tc>
      </w:tr>
      <w:tr>
        <w:trPr>
          <w:trHeight w:val="359"/>
        </w:trPr>
        <w:tc>
          <w:tcPr>
            <w:tcW w:w="59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5,492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6,341</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10,923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12,415</w:t>
            </w: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Other operating and administrative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6,060</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11,887</w:t>
            </w: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1,559</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3,195</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12,814</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14,066</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25,237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27,497</w:t>
            </w: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7,099</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14,131</w:t>
            </w:r>
          </w:p>
        </w:tc>
        <w:tc>
          <w:tcPr>
            <w:tcW w:w="0" w:type="dxa"/>
            <w:vAlign w:val="bottom"/>
          </w:tcPr>
          <w:p>
            <w:pPr>
              <w:spacing w:after="0"/>
              <w:rPr>
                <w:sz w:val="1"/>
                <w:szCs w:val="1"/>
                <w:color w:val="auto"/>
              </w:rPr>
            </w:pPr>
          </w:p>
        </w:tc>
      </w:tr>
      <w:tr>
        <w:trPr>
          <w:trHeight w:val="382"/>
        </w:trPr>
        <w:tc>
          <w:tcPr>
            <w:tcW w:w="596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1,970</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3,885</w:t>
            </w: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196"/>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2,389</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2,541</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5,043</w:t>
            </w:r>
          </w:p>
        </w:tc>
        <w:tc>
          <w:tcPr>
            <w:tcW w:w="0" w:type="dxa"/>
            <w:vAlign w:val="bottom"/>
          </w:tcPr>
          <w:p>
            <w:pPr>
              <w:spacing w:after="0"/>
              <w:rPr>
                <w:sz w:val="1"/>
                <w:szCs w:val="1"/>
                <w:color w:val="auto"/>
              </w:rPr>
            </w:pPr>
          </w:p>
        </w:tc>
      </w:tr>
      <w:tr>
        <w:trPr>
          <w:trHeight w:val="232"/>
        </w:trPr>
        <w:tc>
          <w:tcPr>
            <w:tcW w:w="5960" w:type="dxa"/>
            <w:vAlign w:val="bottom"/>
            <w:vMerge w:val="continue"/>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4,066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4,558</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9,088</w:t>
            </w:r>
          </w:p>
        </w:tc>
        <w:tc>
          <w:tcPr>
            <w:tcW w:w="0" w:type="dxa"/>
            <w:vAlign w:val="bottom"/>
          </w:tcPr>
          <w:p>
            <w:pPr>
              <w:spacing w:after="0"/>
              <w:rPr>
                <w:sz w:val="1"/>
                <w:szCs w:val="1"/>
                <w:color w:val="auto"/>
              </w:rPr>
            </w:pPr>
          </w:p>
        </w:tc>
      </w:tr>
      <w:tr>
        <w:trPr>
          <w:trHeight w:val="381"/>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(758)</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(1,513)</w:t>
            </w:r>
          </w:p>
        </w:tc>
        <w:tc>
          <w:tcPr>
            <w:tcW w:w="0" w:type="dxa"/>
            <w:vAlign w:val="bottom"/>
          </w:tcPr>
          <w:p>
            <w:pPr>
              <w:spacing w:after="0"/>
              <w:rPr>
                <w:sz w:val="1"/>
                <w:szCs w:val="1"/>
                <w:color w:val="auto"/>
              </w:rPr>
            </w:pPr>
          </w:p>
        </w:tc>
      </w:tr>
      <w:tr>
        <w:trPr>
          <w:trHeight w:val="194"/>
        </w:trPr>
        <w:tc>
          <w:tcPr>
            <w:tcW w:w="5960" w:type="dxa"/>
            <w:vAlign w:val="bottom"/>
          </w:tcPr>
          <w:p>
            <w:pPr>
              <w:ind w:left="180"/>
              <w:spacing w:after="0" w:line="195" w:lineRule="exact"/>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(732)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(1,435)</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Equity in net income (losses) of investees, net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25"/>
        </w:trPr>
        <w:tc>
          <w:tcPr>
            <w:tcW w:w="59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(659)</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(1,284)</w:t>
            </w: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3,899</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7,804</w:t>
            </w:r>
          </w:p>
        </w:tc>
        <w:tc>
          <w:tcPr>
            <w:tcW w:w="0" w:type="dxa"/>
            <w:vAlign w:val="bottom"/>
          </w:tcPr>
          <w:p>
            <w:pPr>
              <w:spacing w:after="0"/>
              <w:rPr>
                <w:sz w:val="1"/>
                <w:szCs w:val="1"/>
                <w:color w:val="auto"/>
              </w:rPr>
            </w:pPr>
          </w:p>
        </w:tc>
      </w:tr>
      <w:tr>
        <w:trPr>
          <w:trHeight w:val="392"/>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3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(2,622)</w:t>
            </w: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2,080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2,535</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5,182</w:t>
            </w:r>
          </w:p>
        </w:tc>
        <w:tc>
          <w:tcPr>
            <w:tcW w:w="0" w:type="dxa"/>
            <w:vAlign w:val="bottom"/>
          </w:tcPr>
          <w:p>
            <w:pPr>
              <w:spacing w:after="0"/>
              <w:rPr>
                <w:sz w:val="1"/>
                <w:szCs w:val="1"/>
                <w:color w:val="auto"/>
              </w:rPr>
            </w:pPr>
          </w:p>
        </w:tc>
      </w:tr>
      <w:tr>
        <w:trPr>
          <w:trHeight w:val="391"/>
        </w:trPr>
        <w:tc>
          <w:tcPr>
            <w:tcW w:w="59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7"/>
        </w:trPr>
        <w:tc>
          <w:tcPr>
            <w:tcW w:w="5960" w:type="dxa"/>
            <w:vAlign w:val="bottom"/>
          </w:tcPr>
          <w:p>
            <w:pPr>
              <w:ind w:left="360"/>
              <w:spacing w:after="0"/>
              <w:rPr>
                <w:sz w:val="20"/>
                <w:szCs w:val="20"/>
                <w:color w:val="auto"/>
              </w:rPr>
            </w:pPr>
            <w:r>
              <w:rPr>
                <w:rFonts w:ascii="Arial" w:cs="Arial" w:eastAsia="Arial" w:hAnsi="Arial"/>
                <w:sz w:val="18"/>
                <w:szCs w:val="18"/>
                <w:color w:val="auto"/>
              </w:rPr>
              <w:t>redeemable subsidiary preferred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$2,028</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$2,513</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$5,079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59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$0.52</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2"/>
        </w:trPr>
        <w:tc>
          <w:tcPr>
            <w:tcW w:w="59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$0.1375</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$0.1575</w:t>
            </w:r>
          </w:p>
        </w:tc>
        <w:tc>
          <w:tcPr>
            <w:tcW w:w="3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$0.275</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$0.315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4,891</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4,809</w:t>
            </w:r>
          </w:p>
        </w:tc>
        <w:tc>
          <w:tcPr>
            <w:tcW w:w="3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4,820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7" w:name="page8"/>
    <w:bookmarkEnd w:id="7"/>
    <w:p>
      <w:pPr>
        <w:ind w:left="80"/>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t>TABLE 2</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20"/>
                <w:szCs w:val="20"/>
                <w:color w:val="auto"/>
              </w:rPr>
            </w:pPr>
            <w:r>
              <w:rPr>
                <w:rFonts w:ascii="Arial" w:cs="Arial" w:eastAsia="Arial" w:hAnsi="Arial"/>
                <w:sz w:val="18"/>
                <w:szCs w:val="18"/>
                <w:color w:val="auto"/>
              </w:rPr>
              <w:t>(in millions)</w:t>
            </w:r>
          </w:p>
        </w:tc>
        <w:tc>
          <w:tcPr>
            <w:tcW w:w="178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520" w:type="dxa"/>
            <w:vAlign w:val="bottom"/>
          </w:tcPr>
          <w:p>
            <w:pPr>
              <w:jc w:val="right"/>
              <w:ind w:right="335"/>
              <w:spacing w:after="0"/>
              <w:rPr>
                <w:sz w:val="20"/>
                <w:szCs w:val="20"/>
                <w:color w:val="auto"/>
              </w:rPr>
            </w:pPr>
            <w:r>
              <w:rPr>
                <w:rFonts w:ascii="Arial" w:cs="Arial" w:eastAsia="Arial" w:hAnsi="Arial"/>
                <w:sz w:val="17"/>
                <w:szCs w:val="17"/>
                <w:b w:val="1"/>
                <w:bCs w:val="1"/>
                <w:color w:val="auto"/>
              </w:rPr>
              <w:t>June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812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1"/>
                <w:szCs w:val="21"/>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1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$2,693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140"/>
              <w:spacing w:after="0" w:line="204" w:lineRule="exact"/>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$3,301</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500" w:type="dxa"/>
            <w:vAlign w:val="bottom"/>
          </w:tcPr>
          <w:p>
            <w:pPr>
              <w:jc w:val="right"/>
              <w:spacing w:after="0"/>
              <w:rPr>
                <w:sz w:val="20"/>
                <w:szCs w:val="20"/>
                <w:color w:val="auto"/>
              </w:rPr>
            </w:pPr>
            <w:r>
              <w:rPr>
                <w:rFonts w:ascii="Arial" w:cs="Arial" w:eastAsia="Arial" w:hAnsi="Arial"/>
                <w:sz w:val="18"/>
                <w:szCs w:val="18"/>
                <w:color w:val="auto"/>
              </w:rPr>
              <w:t>7,955</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7,849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2,657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16,361</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14,832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1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6,595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spacing w:after="0"/>
              <w:rPr>
                <w:sz w:val="20"/>
                <w:szCs w:val="20"/>
                <w:color w:val="auto"/>
              </w:rPr>
            </w:pPr>
            <w:r>
              <w:rPr>
                <w:rFonts w:ascii="Arial" w:cs="Arial" w:eastAsia="Arial" w:hAnsi="Arial"/>
                <w:sz w:val="18"/>
                <w:szCs w:val="18"/>
                <w:color w:val="auto"/>
              </w:rPr>
              <w:t>5,247</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6,521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00" w:type="dxa"/>
            <w:vAlign w:val="bottom"/>
          </w:tcPr>
          <w:p>
            <w:pPr>
              <w:jc w:val="right"/>
              <w:spacing w:after="0"/>
              <w:rPr>
                <w:sz w:val="20"/>
                <w:szCs w:val="20"/>
                <w:color w:val="auto"/>
              </w:rPr>
            </w:pPr>
            <w:r>
              <w:rPr>
                <w:rFonts w:ascii="Arial" w:cs="Arial" w:eastAsia="Arial" w:hAnsi="Arial"/>
                <w:sz w:val="18"/>
                <w:szCs w:val="18"/>
                <w:color w:val="auto"/>
              </w:rPr>
              <w:t>36,253</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37,171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Franchise rights</w:t>
            </w:r>
          </w:p>
        </w:tc>
        <w:tc>
          <w:tcPr>
            <w:tcW w:w="150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59,364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tcPr>
          <w:p>
            <w:pPr>
              <w:jc w:val="right"/>
              <w:spacing w:after="0"/>
              <w:rPr>
                <w:sz w:val="20"/>
                <w:szCs w:val="20"/>
                <w:color w:val="auto"/>
              </w:rPr>
            </w:pPr>
            <w:r>
              <w:rPr>
                <w:rFonts w:ascii="Arial" w:cs="Arial" w:eastAsia="Arial" w:hAnsi="Arial"/>
                <w:sz w:val="18"/>
                <w:szCs w:val="18"/>
                <w:color w:val="auto"/>
              </w:rPr>
              <w:t>35,980</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36,742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500" w:type="dxa"/>
            <w:vAlign w:val="bottom"/>
          </w:tcPr>
          <w:p>
            <w:pPr>
              <w:jc w:val="right"/>
              <w:spacing w:after="0"/>
              <w:rPr>
                <w:sz w:val="20"/>
                <w:szCs w:val="20"/>
                <w:color w:val="auto"/>
              </w:rPr>
            </w:pPr>
            <w:r>
              <w:rPr>
                <w:rFonts w:ascii="Arial" w:cs="Arial" w:eastAsia="Arial" w:hAnsi="Arial"/>
                <w:sz w:val="18"/>
                <w:szCs w:val="18"/>
                <w:color w:val="auto"/>
              </w:rPr>
              <w:t>17,274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18,907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2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$183,031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12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8"/>
        </w:trPr>
        <w:tc>
          <w:tcPr>
            <w:tcW w:w="8120" w:type="dxa"/>
            <w:vAlign w:val="bottom"/>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$6,730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140"/>
              <w:spacing w:after="0" w:line="204" w:lineRule="exact"/>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$6,915</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500" w:type="dxa"/>
            <w:vAlign w:val="bottom"/>
          </w:tcPr>
          <w:p>
            <w:pPr>
              <w:jc w:val="right"/>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6,282</w:t>
            </w:r>
          </w:p>
        </w:tc>
        <w:tc>
          <w:tcPr>
            <w:tcW w:w="280" w:type="dxa"/>
            <w:vAlign w:val="bottom"/>
          </w:tcPr>
          <w:p>
            <w:pPr>
              <w:spacing w:after="0"/>
              <w:rPr>
                <w:sz w:val="18"/>
                <w:szCs w:val="18"/>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81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jc w:val="right"/>
              <w:spacing w:after="0"/>
              <w:rPr>
                <w:sz w:val="20"/>
                <w:szCs w:val="20"/>
                <w:color w:val="auto"/>
              </w:rPr>
            </w:pPr>
            <w:r>
              <w:rPr>
                <w:rFonts w:ascii="Arial" w:cs="Arial" w:eastAsia="Arial" w:hAnsi="Arial"/>
                <w:sz w:val="18"/>
                <w:szCs w:val="18"/>
                <w:color w:val="auto"/>
              </w:rPr>
              <w:t>55,566</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57,210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34,854</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35,409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10,925</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10,837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Pr>
          <w:p>
            <w:pPr>
              <w:spacing w:after="0"/>
              <w:rPr>
                <w:sz w:val="24"/>
                <w:szCs w:val="24"/>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b w:val="1"/>
                <w:bCs w:val="1"/>
                <w:color w:val="auto"/>
              </w:rPr>
              <w:t>1,451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20" w:type="dxa"/>
            <w:vAlign w:val="bottom"/>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55,005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120" w:type="dxa"/>
            <w:vAlign w:val="bottom"/>
          </w:tcPr>
          <w:p>
            <w:pPr>
              <w:ind w:left="140"/>
              <w:spacing w:after="0" w:line="204" w:lineRule="exact"/>
              <w:rPr>
                <w:sz w:val="20"/>
                <w:szCs w:val="20"/>
                <w:color w:val="auto"/>
              </w:rPr>
            </w:pPr>
            <w:r>
              <w:rPr>
                <w:rFonts w:ascii="Arial" w:cs="Arial" w:eastAsia="Arial" w:hAnsi="Arial"/>
                <w:sz w:val="18"/>
                <w:szCs w:val="18"/>
                <w:color w:val="auto"/>
              </w:rPr>
              <w:t>Comcast Corporation shareholders’ equity</w:t>
            </w: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53,943</w:t>
            </w:r>
          </w:p>
        </w:tc>
        <w:tc>
          <w:tcPr>
            <w:tcW w:w="28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2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260"/>
              <w:spacing w:after="0"/>
              <w:rPr>
                <w:sz w:val="20"/>
                <w:szCs w:val="20"/>
                <w:color w:val="auto"/>
              </w:rPr>
            </w:pPr>
            <w:r>
              <w:rPr>
                <w:rFonts w:ascii="Arial" w:cs="Arial" w:eastAsia="Arial" w:hAnsi="Arial"/>
                <w:sz w:val="18"/>
                <w:szCs w:val="18"/>
                <w:color w:val="auto"/>
              </w:rPr>
              <w:t>Total equity</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280" w:type="dxa"/>
            <w:vAlign w:val="bottom"/>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55,848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12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$180,500</w:t>
            </w:r>
          </w:p>
        </w:tc>
        <w:tc>
          <w:tcPr>
            <w:tcW w:w="280" w:type="dxa"/>
            <w:vAlign w:val="bottom"/>
          </w:tcPr>
          <w:p>
            <w:pPr>
              <w:spacing w:after="0"/>
              <w:rPr>
                <w:sz w:val="24"/>
                <w:szCs w:val="24"/>
                <w:color w:val="auto"/>
              </w:rPr>
            </w:pP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$183,031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2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2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349250</wp:posOffset>
            </wp:positionV>
            <wp:extent cx="96075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0755" cy="3943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20"/>
                <w:szCs w:val="20"/>
                <w:color w:val="auto"/>
              </w:rPr>
            </w:pPr>
            <w:r>
              <w:rPr>
                <w:rFonts w:ascii="Arial" w:cs="Arial" w:eastAsia="Arial" w:hAnsi="Arial"/>
                <w:sz w:val="18"/>
                <w:szCs w:val="18"/>
                <w:color w:val="auto"/>
              </w:rPr>
              <w:t>(in millions)</w:t>
            </w:r>
          </w:p>
        </w:tc>
        <w:tc>
          <w:tcPr>
            <w:tcW w:w="3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5"/>
        </w:trPr>
        <w:tc>
          <w:tcPr>
            <w:tcW w:w="8380" w:type="dxa"/>
            <w:vAlign w:val="bottom"/>
          </w:tcPr>
          <w:p>
            <w:pPr>
              <w:spacing w:after="0"/>
              <w:rPr>
                <w:sz w:val="19"/>
                <w:szCs w:val="19"/>
                <w:color w:val="auto"/>
              </w:rPr>
            </w:pPr>
          </w:p>
        </w:tc>
        <w:tc>
          <w:tcPr>
            <w:tcW w:w="202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9"/>
              </w:rPr>
              <w:t>June 30,</w:t>
            </w: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3"/>
        </w:trPr>
        <w:tc>
          <w:tcPr>
            <w:tcW w:w="83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38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$5,182</w:t>
            </w: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$4,304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5,043</w:t>
            </w:r>
          </w:p>
        </w:tc>
        <w:tc>
          <w:tcPr>
            <w:tcW w:w="0" w:type="dxa"/>
            <w:vAlign w:val="bottom"/>
          </w:tcPr>
          <w:p>
            <w:pPr>
              <w:spacing w:after="0"/>
              <w:rPr>
                <w:sz w:val="1"/>
                <w:szCs w:val="1"/>
                <w:color w:val="auto"/>
              </w:rPr>
            </w:pPr>
          </w:p>
        </w:tc>
      </w:tr>
      <w:tr>
        <w:trPr>
          <w:trHeight w:val="194"/>
        </w:trPr>
        <w:tc>
          <w:tcPr>
            <w:tcW w:w="8380" w:type="dxa"/>
            <w:vAlign w:val="bottom"/>
          </w:tcPr>
          <w:p>
            <w:pPr>
              <w:ind w:left="260"/>
              <w:spacing w:after="0" w:line="195"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4,667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391</w:t>
            </w:r>
          </w:p>
        </w:tc>
        <w:tc>
          <w:tcPr>
            <w:tcW w:w="0" w:type="dxa"/>
            <w:vAlign w:val="bottom"/>
          </w:tcPr>
          <w:p>
            <w:pPr>
              <w:spacing w:after="0"/>
              <w:rPr>
                <w:sz w:val="1"/>
                <w:szCs w:val="1"/>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39"/>
        </w:trPr>
        <w:tc>
          <w:tcPr>
            <w:tcW w:w="8380" w:type="dxa"/>
            <w:vAlign w:val="bottom"/>
          </w:tcPr>
          <w:p>
            <w:pPr>
              <w:ind w:left="260"/>
              <w:spacing w:after="0"/>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bl>
    <w:p>
      <w:pPr>
        <w:sectPr>
          <w:pgSz w:w="11900" w:h="16838" w:orient="portrait"/>
          <w:cols w:equalWidth="0" w:num="1">
            <w:col w:w="11460"/>
          </w:cols>
          <w:pgMar w:left="240" w:top="636" w:right="199" w:bottom="0" w:gutter="0" w:footer="0" w:header="0"/>
        </w:sectPr>
      </w:pPr>
    </w:p>
    <w:bookmarkStart w:id="8" w:name="page9"/>
    <w:bookmarkEnd w:id="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ind w:left="260"/>
              <w:spacing w:after="0"/>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470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380" w:type="dxa"/>
            <w:vAlign w:val="bottom"/>
          </w:tcPr>
          <w:p>
            <w:pPr>
              <w:ind w:left="260"/>
              <w:spacing w:after="0" w:line="195"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172</w:t>
            </w:r>
          </w:p>
        </w:tc>
        <w:tc>
          <w:tcPr>
            <w:tcW w:w="2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26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26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9,794</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380" w:type="dxa"/>
            <w:vAlign w:val="bottom"/>
          </w:tcPr>
          <w:p>
            <w:pPr>
              <w:ind w:left="140"/>
              <w:spacing w:after="0" w:line="195"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(4,156)</w:t>
            </w:r>
          </w:p>
        </w:tc>
        <w:tc>
          <w:tcPr>
            <w:tcW w:w="2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Acquisitions, net of cash acquired</w:t>
            </w:r>
          </w:p>
        </w:tc>
        <w:tc>
          <w:tcPr>
            <w:tcW w:w="138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Proceeds from sales of investments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3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380" w:type="dxa"/>
            <w:vAlign w:val="bottom"/>
          </w:tcPr>
          <w:p>
            <w:pPr>
              <w:ind w:left="140"/>
              <w:spacing w:after="0" w:line="195"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205</w:t>
            </w:r>
          </w:p>
        </w:tc>
        <w:tc>
          <w:tcPr>
            <w:tcW w:w="2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4,753</w:t>
            </w: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8,963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rPr>
                <w:sz w:val="20"/>
                <w:szCs w:val="20"/>
                <w:color w:val="auto"/>
              </w:rPr>
            </w:pPr>
            <w:r>
              <w:rPr>
                <w:rFonts w:ascii="Arial" w:cs="Arial" w:eastAsia="Arial" w:hAnsi="Arial"/>
                <w:sz w:val="18"/>
                <w:szCs w:val="18"/>
                <w:color w:val="auto"/>
              </w:rPr>
              <w:t>(2,551)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1380" w:type="dxa"/>
            <w:vAlign w:val="bottom"/>
          </w:tcPr>
          <w:p>
            <w:pPr>
              <w:jc w:val="right"/>
              <w:spacing w:after="0"/>
              <w:rPr>
                <w:sz w:val="20"/>
                <w:szCs w:val="20"/>
                <w:color w:val="auto"/>
              </w:rPr>
            </w:pPr>
            <w:r>
              <w:rPr>
                <w:rFonts w:ascii="Arial" w:cs="Arial" w:eastAsia="Arial" w:hAnsi="Arial"/>
                <w:sz w:val="18"/>
                <w:szCs w:val="18"/>
                <w:color w:val="auto"/>
              </w:rPr>
              <w:t>(2,636)</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rPr>
                <w:sz w:val="20"/>
                <w:szCs w:val="20"/>
                <w:color w:val="auto"/>
              </w:rPr>
            </w:pPr>
            <w:r>
              <w:rPr>
                <w:rFonts w:ascii="Arial" w:cs="Arial" w:eastAsia="Arial" w:hAnsi="Arial"/>
                <w:sz w:val="18"/>
                <w:szCs w:val="18"/>
                <w:color w:val="auto"/>
              </w:rPr>
              <w:t>(1,281)</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Purchase of Universal Studios Japan noncontrolling interests</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80" w:type="dxa"/>
            <w:vAlign w:val="bottom"/>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2,370</w:t>
            </w:r>
          </w:p>
        </w:tc>
        <w:tc>
          <w:tcPr>
            <w:tcW w:w="2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8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$4,665</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Reconciliation from Net Income Attributable to Comcast Corporation to Adjusted EBITDA (Unaudited)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36"/>
        </w:trPr>
        <w:tc>
          <w:tcPr>
            <w:tcW w:w="6980" w:type="dxa"/>
            <w:vAlign w:val="bottom"/>
          </w:tcPr>
          <w:p>
            <w:pPr>
              <w:spacing w:after="0"/>
              <w:rPr>
                <w:sz w:val="3"/>
                <w:szCs w:val="3"/>
                <w:color w:val="auto"/>
              </w:rPr>
            </w:pPr>
          </w:p>
        </w:tc>
        <w:tc>
          <w:tcPr>
            <w:tcW w:w="20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line="20" w:lineRule="exact"/>
              <w:rPr>
                <w:sz w:val="1"/>
                <w:szCs w:val="1"/>
                <w:color w:val="auto"/>
              </w:rPr>
            </w:pPr>
          </w:p>
        </w:tc>
      </w:tr>
      <w:tr>
        <w:trPr>
          <w:trHeight w:val="113"/>
        </w:trPr>
        <w:tc>
          <w:tcPr>
            <w:tcW w:w="69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980" w:type="dxa"/>
            <w:vAlign w:val="bottom"/>
          </w:tcPr>
          <w:p>
            <w:pPr>
              <w:spacing w:after="0"/>
              <w:rPr>
                <w:sz w:val="13"/>
                <w:szCs w:val="13"/>
                <w:color w:val="auto"/>
              </w:rPr>
            </w:pPr>
          </w:p>
        </w:tc>
        <w:tc>
          <w:tcPr>
            <w:tcW w:w="1300" w:type="dxa"/>
            <w:vAlign w:val="bottom"/>
            <w:gridSpan w:val="3"/>
          </w:tcPr>
          <w:p>
            <w:pPr>
              <w:jc w:val="center"/>
              <w:ind w:left="618"/>
              <w:spacing w:after="0"/>
              <w:rPr>
                <w:sz w:val="20"/>
                <w:szCs w:val="20"/>
                <w:color w:val="auto"/>
              </w:rPr>
            </w:pPr>
            <w:r>
              <w:rPr>
                <w:rFonts w:ascii="Arial" w:cs="Arial" w:eastAsia="Arial" w:hAnsi="Arial"/>
                <w:sz w:val="13"/>
                <w:szCs w:val="13"/>
                <w:b w:val="1"/>
                <w:bCs w:val="1"/>
                <w:color w:val="auto"/>
                <w:w w:val="96"/>
              </w:rPr>
              <w:t>June 30,</w:t>
            </w:r>
          </w:p>
        </w:tc>
        <w:tc>
          <w:tcPr>
            <w:tcW w:w="66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left="578"/>
              <w:spacing w:after="0"/>
              <w:rPr>
                <w:sz w:val="20"/>
                <w:szCs w:val="20"/>
                <w:color w:val="auto"/>
              </w:rPr>
            </w:pPr>
            <w:r>
              <w:rPr>
                <w:rFonts w:ascii="Arial" w:cs="Arial" w:eastAsia="Arial" w:hAnsi="Arial"/>
                <w:sz w:val="13"/>
                <w:szCs w:val="13"/>
                <w:b w:val="1"/>
                <w:bCs w:val="1"/>
                <w:color w:val="auto"/>
                <w:w w:val="99"/>
              </w:rPr>
              <w:t>June 30,</w:t>
            </w:r>
          </w:p>
        </w:tc>
        <w:tc>
          <w:tcPr>
            <w:tcW w:w="64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Arial" w:cs="Arial" w:eastAsia="Arial" w:hAnsi="Arial"/>
                <w:sz w:val="13"/>
                <w:szCs w:val="13"/>
                <w:color w:val="auto"/>
              </w:rPr>
              <w:t>(in millions)</w:t>
            </w:r>
          </w:p>
        </w:tc>
        <w:tc>
          <w:tcPr>
            <w:tcW w:w="920" w:type="dxa"/>
            <w:vAlign w:val="bottom"/>
          </w:tcPr>
          <w:p>
            <w:pPr>
              <w:jc w:val="right"/>
              <w:ind w:right="258"/>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38"/>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Net income attributable to Comcast Corporation</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980" w:type="dxa"/>
            <w:vAlign w:val="bottom"/>
            <w:vMerge w:val="continue"/>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2"/>
                <w:szCs w:val="12"/>
                <w:color w:val="auto"/>
              </w:rPr>
              <w:t>$2,028</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$2,513</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color w:val="auto"/>
              </w:rPr>
              <w:t>$4,162</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$5,079</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Net income (loss) attributable to noncontrolling interests and redeemable subsidiary preferred stock</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22</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142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103</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Income tax expense</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1,278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1,364</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2,589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2,622</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2"/>
                <w:szCs w:val="12"/>
                <w:color w:val="auto"/>
              </w:rPr>
              <w:t>Other (income) expense items, net</w:t>
            </w:r>
            <w:r>
              <w:rPr>
                <w:rFonts w:ascii="Arial" w:cs="Arial" w:eastAsia="Arial" w:hAnsi="Arial"/>
                <w:sz w:val="15"/>
                <w:szCs w:val="15"/>
                <w:color w:val="auto"/>
                <w:vertAlign w:val="superscript"/>
              </w:rPr>
              <w:t>(1)</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708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659</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1,262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1,284</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Depreciation and amortization</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2,389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2,541</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4,667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5,043</w:t>
            </w: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Adjusted EBITDA</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980" w:type="dxa"/>
            <w:vAlign w:val="bottom"/>
            <w:vMerge w:val="continue"/>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$6,455</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$7,099</w:t>
            </w:r>
          </w:p>
        </w:tc>
        <w:tc>
          <w:tcPr>
            <w:tcW w:w="12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$12,822</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$14,131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36"/>
        </w:trPr>
        <w:tc>
          <w:tcPr>
            <w:tcW w:w="6980" w:type="dxa"/>
            <w:vAlign w:val="bottom"/>
          </w:tcPr>
          <w:p>
            <w:pPr>
              <w:spacing w:after="0"/>
              <w:rPr>
                <w:sz w:val="3"/>
                <w:szCs w:val="3"/>
                <w:color w:val="auto"/>
              </w:rPr>
            </w:pPr>
          </w:p>
        </w:tc>
        <w:tc>
          <w:tcPr>
            <w:tcW w:w="20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line="20" w:lineRule="exact"/>
              <w:rPr>
                <w:sz w:val="1"/>
                <w:szCs w:val="1"/>
                <w:color w:val="auto"/>
              </w:rPr>
            </w:pPr>
          </w:p>
        </w:tc>
      </w:tr>
      <w:tr>
        <w:trPr>
          <w:trHeight w:val="113"/>
        </w:trPr>
        <w:tc>
          <w:tcPr>
            <w:tcW w:w="69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980" w:type="dxa"/>
            <w:vAlign w:val="bottom"/>
          </w:tcPr>
          <w:p>
            <w:pPr>
              <w:spacing w:after="0"/>
              <w:rPr>
                <w:sz w:val="13"/>
                <w:szCs w:val="13"/>
                <w:color w:val="auto"/>
              </w:rPr>
            </w:pPr>
          </w:p>
        </w:tc>
        <w:tc>
          <w:tcPr>
            <w:tcW w:w="1300" w:type="dxa"/>
            <w:vAlign w:val="bottom"/>
            <w:gridSpan w:val="3"/>
          </w:tcPr>
          <w:p>
            <w:pPr>
              <w:jc w:val="center"/>
              <w:ind w:left="617"/>
              <w:spacing w:after="0"/>
              <w:rPr>
                <w:sz w:val="20"/>
                <w:szCs w:val="20"/>
                <w:color w:val="auto"/>
              </w:rPr>
            </w:pPr>
            <w:r>
              <w:rPr>
                <w:rFonts w:ascii="Arial" w:cs="Arial" w:eastAsia="Arial" w:hAnsi="Arial"/>
                <w:sz w:val="13"/>
                <w:szCs w:val="13"/>
                <w:b w:val="1"/>
                <w:bCs w:val="1"/>
                <w:color w:val="auto"/>
                <w:w w:val="96"/>
              </w:rPr>
              <w:t>June 30,</w:t>
            </w:r>
          </w:p>
        </w:tc>
        <w:tc>
          <w:tcPr>
            <w:tcW w:w="6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99"/>
              </w:rPr>
              <w:t>June 30,</w:t>
            </w:r>
          </w:p>
        </w:tc>
        <w:tc>
          <w:tcPr>
            <w:tcW w:w="6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Arial" w:cs="Arial" w:eastAsia="Arial" w:hAnsi="Arial"/>
                <w:sz w:val="13"/>
                <w:szCs w:val="13"/>
                <w:color w:val="auto"/>
              </w:rPr>
              <w:t>(in millions)</w:t>
            </w:r>
          </w:p>
        </w:tc>
        <w:tc>
          <w:tcPr>
            <w:tcW w:w="920" w:type="dxa"/>
            <w:vAlign w:val="bottom"/>
          </w:tcPr>
          <w:p>
            <w:pPr>
              <w:jc w:val="right"/>
              <w:ind w:right="257"/>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37"/>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Net cash provided by operating activities</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980" w:type="dxa"/>
            <w:vAlign w:val="bottom"/>
            <w:vMerge w:val="continue"/>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2"/>
                <w:szCs w:val="12"/>
                <w:color w:val="auto"/>
              </w:rPr>
              <w:t>$4,395</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$5,158</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color w:val="auto"/>
              </w:rPr>
              <w:t>$9,794</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$10,814</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Capital expenditures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(2,271)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(2,327)</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(4,156)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(4,405)</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Cash paid for capitalized software and other intangible assets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(420)</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(737)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(836)</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Principal payments on capital leases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(17)</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interests and dividends for redeemable subsidiary preferred stock</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(65)</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(137)</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2"/>
                <w:szCs w:val="12"/>
                <w:color w:val="auto"/>
              </w:rPr>
              <w:t>Nonoperating items</w:t>
            </w:r>
            <w:r>
              <w:rPr>
                <w:rFonts w:ascii="Arial" w:cs="Arial" w:eastAsia="Arial" w:hAnsi="Arial"/>
                <w:sz w:val="15"/>
                <w:szCs w:val="15"/>
                <w:color w:val="auto"/>
                <w:vertAlign w:val="superscript"/>
              </w:rPr>
              <w:t>(2)</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30</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51"/>
        </w:trPr>
        <w:tc>
          <w:tcPr>
            <w:tcW w:w="6980" w:type="dxa"/>
            <w:vAlign w:val="bottom"/>
          </w:tcPr>
          <w:p>
            <w:pPr>
              <w:spacing w:after="0" w:line="152"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16"/>
                <w:szCs w:val="16"/>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3"/>
        </w:trPr>
        <w:tc>
          <w:tcPr>
            <w:tcW w:w="6980" w:type="dxa"/>
            <w:vAlign w:val="bottom"/>
          </w:tcPr>
          <w:p>
            <w:pPr>
              <w:spacing w:after="0" w:line="113" w:lineRule="exact"/>
              <w:rPr>
                <w:sz w:val="20"/>
                <w:szCs w:val="20"/>
                <w:color w:val="auto"/>
              </w:rPr>
            </w:pPr>
            <w:r>
              <w:rPr>
                <w:rFonts w:ascii="Arial" w:cs="Arial" w:eastAsia="Arial" w:hAnsi="Arial"/>
                <w:sz w:val="13"/>
                <w:szCs w:val="13"/>
                <w:color w:val="auto"/>
              </w:rPr>
              <w:t>Free cash flow (including Economic Stimulus Packages)</w:t>
            </w:r>
          </w:p>
        </w:tc>
        <w:tc>
          <w:tcPr>
            <w:tcW w:w="9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color w:val="auto"/>
              </w:rPr>
              <w:t>1,527</w:t>
            </w: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2,370</w:t>
            </w:r>
          </w:p>
        </w:tc>
        <w:tc>
          <w:tcPr>
            <w:tcW w:w="12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color w:val="auto"/>
              </w:rPr>
              <w:t>4,332</w:t>
            </w: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3"/>
                <w:szCs w:val="13"/>
                <w:b w:val="1"/>
                <w:bCs w:val="1"/>
                <w:color w:val="auto"/>
              </w:rPr>
              <w:t>5,449</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2"/>
                <w:szCs w:val="12"/>
                <w:color w:val="auto"/>
              </w:rPr>
              <w:t>Economic Stimulus Packages</w:t>
            </w:r>
            <w:r>
              <w:rPr>
                <w:rFonts w:ascii="Arial" w:cs="Arial" w:eastAsia="Arial" w:hAnsi="Arial"/>
                <w:sz w:val="15"/>
                <w:szCs w:val="15"/>
                <w:color w:val="auto"/>
                <w:vertAlign w:val="superscript"/>
              </w:rPr>
              <w:t>(2)</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(151)</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(151)</w:t>
            </w: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Total free cash flow</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980" w:type="dxa"/>
            <w:vAlign w:val="bottom"/>
            <w:vMerge w:val="continue"/>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$1,420</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$2,219</w:t>
            </w:r>
          </w:p>
        </w:tc>
        <w:tc>
          <w:tcPr>
            <w:tcW w:w="120" w:type="dxa"/>
            <w:vAlign w:val="bottom"/>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$4,225</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$5,298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C9C9C9"/>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36"/>
        </w:trPr>
        <w:tc>
          <w:tcPr>
            <w:tcW w:w="6980" w:type="dxa"/>
            <w:vAlign w:val="bottom"/>
          </w:tcPr>
          <w:p>
            <w:pPr>
              <w:spacing w:after="0"/>
              <w:rPr>
                <w:sz w:val="3"/>
                <w:szCs w:val="3"/>
                <w:color w:val="auto"/>
              </w:rPr>
            </w:pPr>
          </w:p>
        </w:tc>
        <w:tc>
          <w:tcPr>
            <w:tcW w:w="2080" w:type="dxa"/>
            <w:vAlign w:val="bottom"/>
            <w:gridSpan w:val="5"/>
            <w:vMerge w:val="restart"/>
          </w:tcPr>
          <w:p>
            <w:pPr>
              <w:jc w:val="center"/>
              <w:ind w:right="100"/>
              <w:spacing w:after="0"/>
              <w:rPr>
                <w:sz w:val="20"/>
                <w:szCs w:val="20"/>
                <w:color w:val="auto"/>
              </w:rPr>
            </w:pPr>
            <w:r>
              <w:rPr>
                <w:rFonts w:ascii="Arial" w:cs="Arial" w:eastAsia="Arial" w:hAnsi="Arial"/>
                <w:sz w:val="13"/>
                <w:szCs w:val="13"/>
                <w:b w:val="1"/>
                <w:bCs w:val="1"/>
                <w:color w:val="auto"/>
                <w:w w:val="97"/>
              </w:rPr>
              <w:t>Three Months Ended</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9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line="20" w:lineRule="exact"/>
              <w:rPr>
                <w:sz w:val="1"/>
                <w:szCs w:val="1"/>
                <w:color w:val="auto"/>
              </w:rPr>
            </w:pPr>
          </w:p>
        </w:tc>
      </w:tr>
      <w:tr>
        <w:trPr>
          <w:trHeight w:val="113"/>
        </w:trPr>
        <w:tc>
          <w:tcPr>
            <w:tcW w:w="698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6980" w:type="dxa"/>
            <w:vAlign w:val="bottom"/>
          </w:tcPr>
          <w:p>
            <w:pPr>
              <w:spacing w:after="0"/>
              <w:rPr>
                <w:sz w:val="13"/>
                <w:szCs w:val="13"/>
                <w:color w:val="auto"/>
              </w:rPr>
            </w:pPr>
          </w:p>
        </w:tc>
        <w:tc>
          <w:tcPr>
            <w:tcW w:w="1300" w:type="dxa"/>
            <w:vAlign w:val="bottom"/>
            <w:gridSpan w:val="3"/>
          </w:tcPr>
          <w:p>
            <w:pPr>
              <w:jc w:val="center"/>
              <w:ind w:left="617"/>
              <w:spacing w:after="0"/>
              <w:rPr>
                <w:sz w:val="20"/>
                <w:szCs w:val="20"/>
                <w:color w:val="auto"/>
              </w:rPr>
            </w:pPr>
            <w:r>
              <w:rPr>
                <w:rFonts w:ascii="Arial" w:cs="Arial" w:eastAsia="Arial" w:hAnsi="Arial"/>
                <w:sz w:val="13"/>
                <w:szCs w:val="13"/>
                <w:b w:val="1"/>
                <w:bCs w:val="1"/>
                <w:color w:val="auto"/>
                <w:w w:val="96"/>
              </w:rPr>
              <w:t>June 30,</w:t>
            </w:r>
          </w:p>
        </w:tc>
        <w:tc>
          <w:tcPr>
            <w:tcW w:w="6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left="577"/>
              <w:spacing w:after="0"/>
              <w:rPr>
                <w:sz w:val="20"/>
                <w:szCs w:val="20"/>
                <w:color w:val="auto"/>
              </w:rPr>
            </w:pPr>
            <w:r>
              <w:rPr>
                <w:rFonts w:ascii="Arial" w:cs="Arial" w:eastAsia="Arial" w:hAnsi="Arial"/>
                <w:sz w:val="13"/>
                <w:szCs w:val="13"/>
                <w:b w:val="1"/>
                <w:bCs w:val="1"/>
                <w:color w:val="auto"/>
                <w:w w:val="99"/>
              </w:rPr>
              <w:t>June 30,</w:t>
            </w:r>
          </w:p>
        </w:tc>
        <w:tc>
          <w:tcPr>
            <w:tcW w:w="6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19"/>
        </w:trPr>
        <w:tc>
          <w:tcPr>
            <w:tcW w:w="6980" w:type="dxa"/>
            <w:vAlign w:val="bottom"/>
          </w:tcPr>
          <w:p>
            <w:pPr>
              <w:spacing w:after="0" w:line="119" w:lineRule="exact"/>
              <w:rPr>
                <w:sz w:val="20"/>
                <w:szCs w:val="20"/>
                <w:color w:val="auto"/>
              </w:rPr>
            </w:pPr>
            <w:r>
              <w:rPr>
                <w:rFonts w:ascii="Arial" w:cs="Arial" w:eastAsia="Arial" w:hAnsi="Arial"/>
                <w:sz w:val="13"/>
                <w:szCs w:val="13"/>
                <w:color w:val="auto"/>
              </w:rPr>
              <w:t>(in millions)</w:t>
            </w:r>
          </w:p>
        </w:tc>
        <w:tc>
          <w:tcPr>
            <w:tcW w:w="920" w:type="dxa"/>
            <w:vAlign w:val="bottom"/>
          </w:tcPr>
          <w:p>
            <w:pPr>
              <w:jc w:val="right"/>
              <w:ind w:right="257"/>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237"/>
              <w:spacing w:after="0" w:line="119" w:lineRule="exact"/>
              <w:rPr>
                <w:sz w:val="20"/>
                <w:szCs w:val="20"/>
                <w:color w:val="auto"/>
              </w:rPr>
            </w:pPr>
            <w:r>
              <w:rPr>
                <w:rFonts w:ascii="Arial" w:cs="Arial" w:eastAsia="Arial" w:hAnsi="Arial"/>
                <w:sz w:val="13"/>
                <w:szCs w:val="13"/>
                <w:color w:val="auto"/>
              </w:rPr>
              <w:t>2016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Adjusted EBITDA</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980" w:type="dxa"/>
            <w:vAlign w:val="bottom"/>
            <w:vMerge w:val="continue"/>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2"/>
                <w:szCs w:val="12"/>
                <w:color w:val="auto"/>
              </w:rPr>
              <w:t>$6,455</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$7,099</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2"/>
                <w:szCs w:val="12"/>
                <w:color w:val="auto"/>
              </w:rPr>
              <w:t>$12,822</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$14,131</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Capital expenditures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(2,271)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(2,327)</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(4,156)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(4,405)</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Cash paid for capitalized software and other intangible assets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(359)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(420)</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(737)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(836)</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Cash interest expense</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(512)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(477)</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(1,235)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(1,372)</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2"/>
                <w:szCs w:val="12"/>
                <w:color w:val="auto"/>
              </w:rPr>
              <w:t>Cash taxes on operating items (including Economic Stimulus Packages)</w:t>
            </w:r>
            <w:r>
              <w:rPr>
                <w:rFonts w:ascii="Arial" w:cs="Arial" w:eastAsia="Arial" w:hAnsi="Arial"/>
                <w:sz w:val="15"/>
                <w:szCs w:val="15"/>
                <w:color w:val="auto"/>
                <w:vertAlign w:val="superscript"/>
              </w:rPr>
              <w:t>(3,4)</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(1,556)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(2,047)</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(1,701)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(2,179)</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2"/>
                <w:szCs w:val="12"/>
                <w:color w:val="auto"/>
              </w:rPr>
              <w:t>Changes in operating assets and liabilities</w:t>
            </w:r>
            <w:r>
              <w:rPr>
                <w:rFonts w:ascii="Arial" w:cs="Arial" w:eastAsia="Arial" w:hAnsi="Arial"/>
                <w:sz w:val="15"/>
                <w:szCs w:val="15"/>
                <w:color w:val="auto"/>
                <w:vertAlign w:val="superscript"/>
              </w:rPr>
              <w:t>(4)</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337</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(558)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(243)</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Noncash share-based compensation</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178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218</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391</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interests and dividends for redeemable subsidiary preferred stock</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(65)</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(137)</w:t>
            </w:r>
          </w:p>
        </w:tc>
        <w:tc>
          <w:tcPr>
            <w:tcW w:w="0" w:type="dxa"/>
            <w:vAlign w:val="bottom"/>
          </w:tcPr>
          <w:p>
            <w:pPr>
              <w:spacing w:after="0"/>
              <w:rPr>
                <w:sz w:val="1"/>
                <w:szCs w:val="1"/>
                <w:color w:val="auto"/>
              </w:rPr>
            </w:pPr>
          </w:p>
        </w:tc>
      </w:tr>
      <w:tr>
        <w:trPr>
          <w:trHeight w:val="135"/>
        </w:trPr>
        <w:tc>
          <w:tcPr>
            <w:tcW w:w="698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52</w:t>
            </w:r>
          </w:p>
        </w:tc>
        <w:tc>
          <w:tcPr>
            <w:tcW w:w="1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99</w:t>
            </w:r>
          </w:p>
        </w:tc>
        <w:tc>
          <w:tcPr>
            <w:tcW w:w="0" w:type="dxa"/>
            <w:vAlign w:val="bottom"/>
          </w:tcPr>
          <w:p>
            <w:pPr>
              <w:spacing w:after="0"/>
              <w:rPr>
                <w:sz w:val="1"/>
                <w:szCs w:val="1"/>
                <w:color w:val="auto"/>
              </w:rPr>
            </w:pPr>
          </w:p>
        </w:tc>
      </w:tr>
      <w:tr>
        <w:trPr>
          <w:trHeight w:val="151"/>
        </w:trPr>
        <w:tc>
          <w:tcPr>
            <w:tcW w:w="6980" w:type="dxa"/>
            <w:vAlign w:val="bottom"/>
          </w:tcPr>
          <w:p>
            <w:pPr>
              <w:spacing w:after="0" w:line="152" w:lineRule="exact"/>
              <w:rPr>
                <w:sz w:val="20"/>
                <w:szCs w:val="20"/>
                <w:color w:val="auto"/>
              </w:rPr>
            </w:pPr>
            <w:r>
              <w:rPr>
                <w:rFonts w:ascii="Arial" w:cs="Arial" w:eastAsia="Arial" w:hAnsi="Arial"/>
                <w:sz w:val="13"/>
                <w:szCs w:val="13"/>
                <w:color w:val="auto"/>
              </w:rPr>
              <w:t>Impact of share-based compensation accounting change</w:t>
            </w:r>
            <w:r>
              <w:rPr>
                <w:rFonts w:ascii="Arial" w:cs="Arial" w:eastAsia="Arial" w:hAnsi="Arial"/>
                <w:sz w:val="16"/>
                <w:szCs w:val="16"/>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6980" w:type="dxa"/>
            <w:vAlign w:val="bottom"/>
          </w:tcPr>
          <w:p>
            <w:pPr>
              <w:spacing w:after="0" w:line="132" w:lineRule="exact"/>
              <w:rPr>
                <w:sz w:val="20"/>
                <w:szCs w:val="20"/>
                <w:color w:val="auto"/>
              </w:rPr>
            </w:pPr>
            <w:r>
              <w:rPr>
                <w:rFonts w:ascii="Arial" w:cs="Arial" w:eastAsia="Arial" w:hAnsi="Arial"/>
                <w:sz w:val="13"/>
                <w:szCs w:val="13"/>
                <w:color w:val="auto"/>
              </w:rPr>
              <w:t>Free cash flow (including Economic Stimulus Packages)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1,527</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2,370</w:t>
            </w:r>
          </w:p>
        </w:tc>
        <w:tc>
          <w:tcPr>
            <w:tcW w:w="12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4,332</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5,449</w:t>
            </w:r>
          </w:p>
        </w:tc>
        <w:tc>
          <w:tcPr>
            <w:tcW w:w="0" w:type="dxa"/>
            <w:vAlign w:val="bottom"/>
          </w:tcPr>
          <w:p>
            <w:pPr>
              <w:spacing w:after="0"/>
              <w:rPr>
                <w:sz w:val="1"/>
                <w:szCs w:val="1"/>
                <w:color w:val="auto"/>
              </w:rPr>
            </w:pPr>
          </w:p>
        </w:tc>
      </w:tr>
      <w:tr>
        <w:trPr>
          <w:trHeight w:val="51"/>
        </w:trPr>
        <w:tc>
          <w:tcPr>
            <w:tcW w:w="6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18" w:right="199" w:bottom="0" w:gutter="0" w:footer="0" w:header="0"/>
        </w:sectPr>
      </w:pPr>
    </w:p>
    <w:bookmarkStart w:id="9" w:name="page10"/>
    <w:bookmarkEnd w:id="9"/>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6980" w:type="dxa"/>
            <w:vAlign w:val="bottom"/>
          </w:tcPr>
          <w:p>
            <w:pPr>
              <w:spacing w:after="0"/>
              <w:rPr>
                <w:sz w:val="20"/>
                <w:szCs w:val="20"/>
                <w:color w:val="auto"/>
              </w:rPr>
            </w:pPr>
            <w:r>
              <w:rPr>
                <w:rFonts w:ascii="Arial" w:cs="Arial" w:eastAsia="Arial" w:hAnsi="Arial"/>
                <w:sz w:val="13"/>
                <w:szCs w:val="13"/>
                <w:color w:val="auto"/>
              </w:rPr>
              <w:t>Economic Stimulus Packages</w:t>
            </w:r>
            <w:r>
              <w:rPr>
                <w:rFonts w:ascii="Arial" w:cs="Arial" w:eastAsia="Arial" w:hAnsi="Arial"/>
                <w:sz w:val="16"/>
                <w:szCs w:val="16"/>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(151)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(151)</w:t>
            </w:r>
          </w:p>
        </w:tc>
        <w:tc>
          <w:tcPr>
            <w:tcW w:w="0" w:type="dxa"/>
            <w:vAlign w:val="bottom"/>
          </w:tcPr>
          <w:p>
            <w:pPr>
              <w:spacing w:after="0"/>
              <w:rPr>
                <w:sz w:val="1"/>
                <w:szCs w:val="1"/>
                <w:color w:val="auto"/>
              </w:rPr>
            </w:pPr>
          </w:p>
        </w:tc>
      </w:tr>
      <w:tr>
        <w:trPr>
          <w:trHeight w:val="22"/>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Total free cash flow</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980" w:type="dxa"/>
            <w:vAlign w:val="bottom"/>
            <w:vMerge w:val="continue"/>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$1,420</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$2,219</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$4,225</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$5,298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20" w:hanging="182"/>
        <w:spacing w:after="0"/>
        <w:tabs>
          <w:tab w:leader="none" w:pos="320" w:val="left"/>
        </w:tabs>
        <w:numPr>
          <w:ilvl w:val="0"/>
          <w:numId w:val="5"/>
        </w:numPr>
        <w:rPr>
          <w:rFonts w:ascii="Arial" w:cs="Arial" w:eastAsia="Arial" w:hAnsi="Arial"/>
          <w:sz w:val="11"/>
          <w:szCs w:val="11"/>
          <w:color w:val="auto"/>
        </w:rPr>
      </w:pPr>
      <w:r>
        <w:rPr>
          <w:rFonts w:ascii="Arial" w:cs="Arial" w:eastAsia="Arial" w:hAnsi="Arial"/>
          <w:sz w:val="11"/>
          <w:szCs w:val="11"/>
          <w:color w:val="auto"/>
        </w:rPr>
        <w:t>Other (income) expense items, net include interest expense, investment income (loss), equity in net income (losses) of investees, and other income (expense), net (as stated in our Statement of Income).</w:t>
      </w:r>
    </w:p>
    <w:p>
      <w:pPr>
        <w:spacing w:after="0" w:line="62" w:lineRule="exact"/>
        <w:rPr>
          <w:rFonts w:ascii="Arial" w:cs="Arial" w:eastAsia="Arial" w:hAnsi="Arial"/>
          <w:sz w:val="11"/>
          <w:szCs w:val="11"/>
          <w:color w:val="auto"/>
        </w:rPr>
      </w:pPr>
    </w:p>
    <w:p>
      <w:pPr>
        <w:ind w:left="340" w:hanging="202"/>
        <w:spacing w:after="0" w:line="238" w:lineRule="auto"/>
        <w:tabs>
          <w:tab w:leader="none" w:pos="337" w:val="left"/>
        </w:tabs>
        <w:numPr>
          <w:ilvl w:val="0"/>
          <w:numId w:val="5"/>
        </w:numPr>
        <w:rPr>
          <w:rFonts w:ascii="Arial" w:cs="Arial" w:eastAsia="Arial" w:hAnsi="Arial"/>
          <w:sz w:val="11"/>
          <w:szCs w:val="11"/>
          <w:color w:val="auto"/>
        </w:rPr>
      </w:pPr>
      <w:r>
        <w:rPr>
          <w:rFonts w:ascii="Arial" w:cs="Arial" w:eastAsia="Arial" w:hAnsi="Arial"/>
          <w:sz w:val="11"/>
          <w:szCs w:val="11"/>
          <w:color w:val="auto"/>
        </w:rPr>
        <w:t>Nonoperating items include adjustments for any payments and receipts related to certain nonoperating items, net of estimated tax effects (such as income taxes on investment sales and payments related to income tax and litigation contingencies of acquired companies). Our definition of free cash flow specifically excludes any impact from the Economic Stimulus Packages and these amounts are presented separately.</w:t>
      </w:r>
    </w:p>
    <w:p>
      <w:pPr>
        <w:spacing w:after="0" w:line="59" w:lineRule="exact"/>
        <w:rPr>
          <w:rFonts w:ascii="Arial" w:cs="Arial" w:eastAsia="Arial" w:hAnsi="Arial"/>
          <w:sz w:val="11"/>
          <w:szCs w:val="11"/>
          <w:color w:val="auto"/>
        </w:rPr>
      </w:pPr>
    </w:p>
    <w:p>
      <w:pPr>
        <w:ind w:left="340" w:right="20" w:hanging="202"/>
        <w:spacing w:after="0" w:line="238" w:lineRule="auto"/>
        <w:tabs>
          <w:tab w:leader="none" w:pos="378" w:val="left"/>
        </w:tabs>
        <w:numPr>
          <w:ilvl w:val="0"/>
          <w:numId w:val="5"/>
        </w:numPr>
        <w:rPr>
          <w:rFonts w:ascii="Arial" w:cs="Arial" w:eastAsia="Arial" w:hAnsi="Arial"/>
          <w:sz w:val="11"/>
          <w:szCs w:val="11"/>
          <w:color w:val="auto"/>
        </w:rPr>
      </w:pPr>
      <w:r>
        <w:rPr>
          <w:rFonts w:ascii="Arial" w:cs="Arial" w:eastAsia="Arial" w:hAnsi="Arial"/>
          <w:sz w:val="11"/>
          <w:szCs w:val="11"/>
          <w:color w:val="auto"/>
        </w:rPr>
        <w:t>Cash taxes on operating items (including Economic Stimulus Packages) has been adjusted to exclude the impact of nonoperating items, such as for cash taxes paid related to certain investing and financing transactions. Our definition of free cash flow specifically excludes any impact from the Economic Stimulus Packages and these amounts are presented separately.</w:t>
      </w:r>
    </w:p>
    <w:p>
      <w:pPr>
        <w:sectPr>
          <w:pgSz w:w="11900" w:h="16838" w:orient="portrait"/>
          <w:cols w:equalWidth="0" w:num="1">
            <w:col w:w="11420"/>
          </w:cols>
          <w:pgMar w:left="240" w:top="69"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Payments of income taxes</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11"/>
          <w:szCs w:val="11"/>
          <w:color w:val="auto"/>
        </w:rPr>
        <w:t>Nonoperating items</w:t>
      </w:r>
    </w:p>
    <w:p>
      <w:pPr>
        <w:ind w:left="340"/>
        <w:spacing w:after="0"/>
        <w:rPr>
          <w:sz w:val="20"/>
          <w:szCs w:val="20"/>
          <w:color w:val="auto"/>
        </w:rPr>
      </w:pPr>
      <w:r>
        <w:rPr>
          <w:rFonts w:ascii="Arial" w:cs="Arial" w:eastAsia="Arial" w:hAnsi="Arial"/>
          <w:sz w:val="10"/>
          <w:szCs w:val="10"/>
          <w:color w:val="auto"/>
        </w:rPr>
        <w:t>Cash taxes on operating items (including Economic Stimulus Packages)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1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1"/>
                <w:szCs w:val="11"/>
                <w:color w:val="auto"/>
                <w:w w:val="99"/>
              </w:rPr>
              <w:t>Three Months Ended</w:t>
            </w:r>
          </w:p>
        </w:tc>
        <w:tc>
          <w:tcPr>
            <w:tcW w:w="80" w:type="dxa"/>
            <w:vAlign w:val="bottom"/>
          </w:tcPr>
          <w:p>
            <w:pPr>
              <w:spacing w:after="0"/>
              <w:rPr>
                <w:sz w:val="10"/>
                <w:szCs w:val="10"/>
                <w:color w:val="auto"/>
              </w:rPr>
            </w:pPr>
          </w:p>
        </w:tc>
        <w:tc>
          <w:tcPr>
            <w:tcW w:w="1920" w:type="dxa"/>
            <w:vAlign w:val="bottom"/>
            <w:gridSpan w:val="4"/>
          </w:tcPr>
          <w:p>
            <w:pPr>
              <w:jc w:val="center"/>
              <w:spacing w:after="0"/>
              <w:rPr>
                <w:sz w:val="20"/>
                <w:szCs w:val="20"/>
                <w:color w:val="auto"/>
              </w:rPr>
            </w:pPr>
            <w:r>
              <w:rPr>
                <w:rFonts w:ascii="Arial" w:cs="Arial" w:eastAsia="Arial" w:hAnsi="Arial"/>
                <w:sz w:val="11"/>
                <w:szCs w:val="11"/>
                <w:color w:val="auto"/>
                <w:w w:val="98"/>
              </w:rPr>
              <w:t>Six Months Ended</w:t>
            </w:r>
          </w:p>
        </w:tc>
      </w:tr>
      <w:tr>
        <w:trPr>
          <w:trHeight w:val="122"/>
        </w:trPr>
        <w:tc>
          <w:tcPr>
            <w:tcW w:w="1300" w:type="dxa"/>
            <w:vAlign w:val="bottom"/>
            <w:gridSpan w:val="3"/>
          </w:tcPr>
          <w:p>
            <w:pPr>
              <w:jc w:val="center"/>
              <w:ind w:left="626"/>
              <w:spacing w:after="0" w:line="122" w:lineRule="exact"/>
              <w:rPr>
                <w:sz w:val="20"/>
                <w:szCs w:val="20"/>
                <w:color w:val="auto"/>
              </w:rPr>
            </w:pPr>
            <w:r>
              <w:rPr>
                <w:rFonts w:ascii="Arial" w:cs="Arial" w:eastAsia="Arial" w:hAnsi="Arial"/>
                <w:sz w:val="11"/>
                <w:szCs w:val="11"/>
                <w:color w:val="auto"/>
                <w:w w:val="99"/>
              </w:rPr>
              <w:t>June 30,</w:t>
            </w: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center"/>
              <w:ind w:left="606"/>
              <w:spacing w:after="0" w:line="122" w:lineRule="exact"/>
              <w:rPr>
                <w:sz w:val="20"/>
                <w:szCs w:val="20"/>
                <w:color w:val="auto"/>
              </w:rPr>
            </w:pPr>
            <w:r>
              <w:rPr>
                <w:rFonts w:ascii="Arial" w:cs="Arial" w:eastAsia="Arial" w:hAnsi="Arial"/>
                <w:sz w:val="11"/>
                <w:szCs w:val="11"/>
                <w:color w:val="auto"/>
                <w:w w:val="94"/>
              </w:rPr>
              <w:t>June 30,</w:t>
            </w:r>
          </w:p>
        </w:tc>
        <w:tc>
          <w:tcPr>
            <w:tcW w:w="660" w:type="dxa"/>
            <w:vAlign w:val="bottom"/>
          </w:tcPr>
          <w:p>
            <w:pPr>
              <w:spacing w:after="0"/>
              <w:rPr>
                <w:sz w:val="10"/>
                <w:szCs w:val="10"/>
                <w:color w:val="auto"/>
              </w:rPr>
            </w:pPr>
          </w:p>
        </w:tc>
      </w:tr>
      <w:tr>
        <w:trPr>
          <w:trHeight w:val="125"/>
        </w:trPr>
        <w:tc>
          <w:tcPr>
            <w:tcW w:w="920" w:type="dxa"/>
            <w:vAlign w:val="bottom"/>
            <w:tcBorders>
              <w:bottom w:val="single" w:sz="8" w:color="auto"/>
            </w:tcBorders>
          </w:tcPr>
          <w:p>
            <w:pPr>
              <w:jc w:val="right"/>
              <w:ind w:right="286"/>
              <w:spacing w:after="0" w:line="125" w:lineRule="exact"/>
              <w:rPr>
                <w:sz w:val="20"/>
                <w:szCs w:val="20"/>
                <w:color w:val="auto"/>
              </w:rPr>
            </w:pPr>
            <w:r>
              <w:rPr>
                <w:rFonts w:ascii="Arial" w:cs="Arial" w:eastAsia="Arial" w:hAnsi="Arial"/>
                <w:sz w:val="11"/>
                <w:szCs w:val="11"/>
                <w:color w:val="auto"/>
              </w:rPr>
              <w:t>2016</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6"/>
              <w:spacing w:after="0" w:line="125" w:lineRule="exact"/>
              <w:rPr>
                <w:sz w:val="20"/>
                <w:szCs w:val="20"/>
                <w:color w:val="auto"/>
              </w:rPr>
            </w:pPr>
            <w:r>
              <w:rPr>
                <w:rFonts w:ascii="Arial" w:cs="Arial" w:eastAsia="Arial" w:hAnsi="Arial"/>
                <w:sz w:val="11"/>
                <w:szCs w:val="11"/>
                <w:color w:val="auto"/>
              </w:rPr>
              <w:t>2017</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ind w:right="266"/>
              <w:spacing w:after="0" w:line="125" w:lineRule="exact"/>
              <w:rPr>
                <w:sz w:val="20"/>
                <w:szCs w:val="20"/>
                <w:color w:val="auto"/>
              </w:rPr>
            </w:pPr>
            <w:r>
              <w:rPr>
                <w:rFonts w:ascii="Arial" w:cs="Arial" w:eastAsia="Arial" w:hAnsi="Arial"/>
                <w:sz w:val="11"/>
                <w:szCs w:val="11"/>
                <w:color w:val="auto"/>
              </w:rPr>
              <w:t>2016</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6"/>
              <w:spacing w:after="0" w:line="125" w:lineRule="exact"/>
              <w:rPr>
                <w:sz w:val="20"/>
                <w:szCs w:val="20"/>
                <w:color w:val="auto"/>
              </w:rPr>
            </w:pPr>
            <w:r>
              <w:rPr>
                <w:rFonts w:ascii="Arial" w:cs="Arial" w:eastAsia="Arial" w:hAnsi="Arial"/>
                <w:sz w:val="11"/>
                <w:szCs w:val="11"/>
                <w:color w:val="auto"/>
              </w:rPr>
              <w:t>2017</w:t>
            </w:r>
          </w:p>
        </w:tc>
      </w:tr>
      <w:tr>
        <w:trPr>
          <w:trHeight w:val="112"/>
        </w:trPr>
        <w:tc>
          <w:tcPr>
            <w:tcW w:w="920" w:type="dxa"/>
            <w:vAlign w:val="bottom"/>
          </w:tcPr>
          <w:p>
            <w:pPr>
              <w:jc w:val="right"/>
              <w:spacing w:after="0" w:line="112" w:lineRule="exact"/>
              <w:rPr>
                <w:sz w:val="20"/>
                <w:szCs w:val="20"/>
                <w:color w:val="auto"/>
              </w:rPr>
            </w:pPr>
            <w:r>
              <w:rPr>
                <w:rFonts w:ascii="Arial" w:cs="Arial" w:eastAsia="Arial" w:hAnsi="Arial"/>
                <w:sz w:val="11"/>
                <w:szCs w:val="11"/>
                <w:color w:val="auto"/>
              </w:rPr>
              <w:t>($1,495)</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($2,077)</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Arial" w:cs="Arial" w:eastAsia="Arial" w:hAnsi="Arial"/>
                <w:sz w:val="11"/>
                <w:szCs w:val="11"/>
                <w:color w:val="auto"/>
              </w:rPr>
              <w:t>($1,685)</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($2,209)</w:t>
            </w:r>
          </w:p>
        </w:tc>
      </w:tr>
      <w:tr>
        <w:trPr>
          <w:trHeight w:val="125"/>
        </w:trPr>
        <w:tc>
          <w:tcPr>
            <w:tcW w:w="9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(61)</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30</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(16)</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6"/>
              <w:spacing w:after="0" w:line="125" w:lineRule="exact"/>
              <w:rPr>
                <w:sz w:val="20"/>
                <w:szCs w:val="20"/>
                <w:color w:val="auto"/>
              </w:rPr>
            </w:pPr>
            <w:r>
              <w:rPr>
                <w:rFonts w:ascii="Arial" w:cs="Arial" w:eastAsia="Arial" w:hAnsi="Arial"/>
                <w:sz w:val="11"/>
                <w:szCs w:val="11"/>
                <w:color w:val="auto"/>
              </w:rPr>
              <w:t>30</w:t>
            </w:r>
          </w:p>
        </w:tc>
      </w:tr>
      <w:tr>
        <w:trPr>
          <w:trHeight w:val="115"/>
        </w:trPr>
        <w:tc>
          <w:tcPr>
            <w:tcW w:w="9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($1,556)</w:t>
            </w: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($2,047)</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($1,701)</w:t>
            </w: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($2,179)</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ectPr>
          <w:pgSz w:w="11900" w:h="16838" w:orient="portrait"/>
          <w:cols w:equalWidth="0" w:num="2">
            <w:col w:w="6600" w:space="720"/>
            <w:col w:w="4100"/>
          </w:cols>
          <w:pgMar w:left="240" w:top="69" w:right="239" w:bottom="1440" w:gutter="0" w:footer="0" w:header="0"/>
          <w:type w:val="continuous"/>
        </w:sectPr>
      </w:pPr>
    </w:p>
    <w:p>
      <w:pPr>
        <w:jc w:val="both"/>
        <w:ind w:left="340" w:hanging="202"/>
        <w:spacing w:after="0" w:line="233" w:lineRule="auto"/>
        <w:tabs>
          <w:tab w:leader="none" w:pos="337"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1Q17, we adopted new accounting guidance related to share-based compensation. The guidance requires excess tax benefits under share-based compensation arrangements to be classified as an operating activity rather than a financing activity as they were under prior guidance. In addition, the new guidance requires when an employer withholds shares upon exercise of options or the vesting of restricted stock for the purpose of meeting withholding tax requirements, that the cash paid for withholding taxes be classified as a financing activity, which we present in Repurchases of Common Stock Under Repurchase Program and Employee Plans. We previously recorded cash paid for withholding taxes as an operating activity in changes in operating assets and liabilities. These changes will prospectively affect our calculation of Free Cash Flow. While we have retrospectively adopted these changes in our Statement of Cash Flows and the components of Free Cash Flow, we have not adjusted Total Free Cash Flow for periods prior to January 1, 2017. The table below summarizes the impact to the components of Free Cash Flow for the share-based compensation accounting change.</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26"/>
        </w:trPr>
        <w:tc>
          <w:tcPr>
            <w:tcW w:w="5820" w:type="dxa"/>
            <w:vAlign w:val="bottom"/>
          </w:tcPr>
          <w:p>
            <w:pPr>
              <w:spacing w:after="0"/>
              <w:rPr>
                <w:sz w:val="10"/>
                <w:szCs w:val="10"/>
                <w:color w:val="auto"/>
              </w:rPr>
            </w:pPr>
          </w:p>
        </w:tc>
        <w:tc>
          <w:tcPr>
            <w:tcW w:w="3260" w:type="dxa"/>
            <w:vAlign w:val="bottom"/>
            <w:tcBorders>
              <w:right w:val="single" w:sz="8" w:color="auto"/>
            </w:tcBorders>
            <w:gridSpan w:val="3"/>
          </w:tcPr>
          <w:p>
            <w:pPr>
              <w:jc w:val="center"/>
              <w:ind w:left="1626"/>
              <w:spacing w:after="0"/>
              <w:rPr>
                <w:sz w:val="20"/>
                <w:szCs w:val="20"/>
                <w:color w:val="auto"/>
              </w:rPr>
            </w:pPr>
            <w:r>
              <w:rPr>
                <w:rFonts w:ascii="Arial" w:cs="Arial" w:eastAsia="Arial" w:hAnsi="Arial"/>
                <w:sz w:val="11"/>
                <w:szCs w:val="11"/>
                <w:color w:val="auto"/>
                <w:w w:val="99"/>
              </w:rPr>
              <w:t>Three Months Ended</w:t>
            </w:r>
          </w:p>
        </w:tc>
        <w:tc>
          <w:tcPr>
            <w:tcW w:w="1160" w:type="dxa"/>
            <w:vAlign w:val="bottom"/>
            <w:gridSpan w:val="3"/>
          </w:tcPr>
          <w:p>
            <w:pPr>
              <w:jc w:val="center"/>
              <w:ind w:left="226"/>
              <w:spacing w:after="0"/>
              <w:rPr>
                <w:sz w:val="20"/>
                <w:szCs w:val="20"/>
                <w:color w:val="auto"/>
              </w:rPr>
            </w:pPr>
            <w:r>
              <w:rPr>
                <w:rFonts w:ascii="Arial" w:cs="Arial" w:eastAsia="Arial" w:hAnsi="Arial"/>
                <w:sz w:val="11"/>
                <w:szCs w:val="11"/>
                <w:color w:val="auto"/>
                <w:w w:val="98"/>
              </w:rPr>
              <w:t>Six Months Ended</w:t>
            </w:r>
          </w:p>
        </w:tc>
      </w:tr>
      <w:tr>
        <w:trPr>
          <w:trHeight w:val="122"/>
        </w:trPr>
        <w:tc>
          <w:tcPr>
            <w:tcW w:w="58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180" w:type="dxa"/>
            <w:vAlign w:val="bottom"/>
            <w:tcBorders>
              <w:right w:val="single" w:sz="8" w:color="auto"/>
            </w:tcBorders>
            <w:gridSpan w:val="2"/>
          </w:tcPr>
          <w:p>
            <w:pPr>
              <w:jc w:val="center"/>
              <w:ind w:right="400"/>
              <w:spacing w:after="0" w:line="122" w:lineRule="exact"/>
              <w:rPr>
                <w:sz w:val="20"/>
                <w:szCs w:val="20"/>
                <w:color w:val="auto"/>
              </w:rPr>
            </w:pPr>
            <w:r>
              <w:rPr>
                <w:rFonts w:ascii="Arial" w:cs="Arial" w:eastAsia="Arial" w:hAnsi="Arial"/>
                <w:sz w:val="11"/>
                <w:szCs w:val="11"/>
                <w:color w:val="auto"/>
                <w:w w:val="99"/>
              </w:rPr>
              <w:t>June 30,</w:t>
            </w:r>
          </w:p>
        </w:tc>
        <w:tc>
          <w:tcPr>
            <w:tcW w:w="36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color w:val="auto"/>
                <w:w w:val="99"/>
              </w:rPr>
              <w:t>June 30,</w:t>
            </w:r>
          </w:p>
        </w:tc>
      </w:tr>
      <w:tr>
        <w:trPr>
          <w:trHeight w:val="125"/>
        </w:trPr>
        <w:tc>
          <w:tcPr>
            <w:tcW w:w="5820" w:type="dxa"/>
            <w:vAlign w:val="bottom"/>
          </w:tcPr>
          <w:p>
            <w:pPr>
              <w:spacing w:after="0"/>
              <w:rPr>
                <w:sz w:val="10"/>
                <w:szCs w:val="10"/>
                <w:color w:val="auto"/>
              </w:rPr>
            </w:pPr>
          </w:p>
        </w:tc>
        <w:tc>
          <w:tcPr>
            <w:tcW w:w="2860" w:type="dxa"/>
            <w:vAlign w:val="bottom"/>
            <w:gridSpan w:val="2"/>
          </w:tcPr>
          <w:p>
            <w:pPr>
              <w:jc w:val="center"/>
              <w:ind w:left="2046"/>
              <w:spacing w:after="0" w:line="125" w:lineRule="exact"/>
              <w:rPr>
                <w:sz w:val="20"/>
                <w:szCs w:val="20"/>
                <w:color w:val="auto"/>
              </w:rPr>
            </w:pPr>
            <w:r>
              <w:rPr>
                <w:rFonts w:ascii="Arial" w:cs="Arial" w:eastAsia="Arial" w:hAnsi="Arial"/>
                <w:sz w:val="11"/>
                <w:szCs w:val="11"/>
                <w:color w:val="auto"/>
                <w:w w:val="97"/>
              </w:rPr>
              <w:t>2016</w:t>
            </w:r>
          </w:p>
        </w:tc>
        <w:tc>
          <w:tcPr>
            <w:tcW w:w="400" w:type="dxa"/>
            <w:vAlign w:val="bottom"/>
            <w:tcBorders>
              <w:right w:val="single" w:sz="8" w:color="auto"/>
            </w:tcBorders>
          </w:tcPr>
          <w:p>
            <w:pPr>
              <w:spacing w:after="0"/>
              <w:rPr>
                <w:sz w:val="10"/>
                <w:szCs w:val="10"/>
                <w:color w:val="auto"/>
              </w:rPr>
            </w:pPr>
          </w:p>
        </w:tc>
        <w:tc>
          <w:tcPr>
            <w:tcW w:w="1100" w:type="dxa"/>
            <w:vAlign w:val="bottom"/>
            <w:gridSpan w:val="2"/>
          </w:tcPr>
          <w:p>
            <w:pPr>
              <w:jc w:val="center"/>
              <w:ind w:left="326"/>
              <w:spacing w:after="0" w:line="125" w:lineRule="exact"/>
              <w:rPr>
                <w:sz w:val="20"/>
                <w:szCs w:val="20"/>
                <w:color w:val="auto"/>
              </w:rPr>
            </w:pPr>
            <w:r>
              <w:rPr>
                <w:rFonts w:ascii="Arial" w:cs="Arial" w:eastAsia="Arial" w:hAnsi="Arial"/>
                <w:sz w:val="11"/>
                <w:szCs w:val="11"/>
                <w:color w:val="auto"/>
                <w:w w:val="97"/>
              </w:rPr>
              <w:t>2016</w:t>
            </w:r>
          </w:p>
        </w:tc>
        <w:tc>
          <w:tcPr>
            <w:tcW w:w="60" w:type="dxa"/>
            <w:vAlign w:val="bottom"/>
          </w:tcPr>
          <w:p>
            <w:pPr>
              <w:spacing w:after="0"/>
              <w:rPr>
                <w:sz w:val="10"/>
                <w:szCs w:val="10"/>
                <w:color w:val="auto"/>
              </w:rPr>
            </w:pPr>
          </w:p>
        </w:tc>
      </w:tr>
      <w:tr>
        <w:trPr>
          <w:trHeight w:val="112"/>
        </w:trPr>
        <w:tc>
          <w:tcPr>
            <w:tcW w:w="5820" w:type="dxa"/>
            <w:vAlign w:val="bottom"/>
          </w:tcPr>
          <w:p>
            <w:pPr>
              <w:ind w:left="400"/>
              <w:spacing w:after="0" w:line="112" w:lineRule="exact"/>
              <w:rPr>
                <w:sz w:val="20"/>
                <w:szCs w:val="20"/>
                <w:color w:val="auto"/>
              </w:rPr>
            </w:pPr>
            <w:r>
              <w:rPr>
                <w:rFonts w:ascii="Arial" w:cs="Arial" w:eastAsia="Arial" w:hAnsi="Arial"/>
                <w:sz w:val="11"/>
                <w:szCs w:val="11"/>
                <w:color w:val="auto"/>
              </w:rPr>
              <w:t>Cash taxes on operating items (including Economic Stimulus Packages)</w:t>
            </w:r>
          </w:p>
        </w:tc>
        <w:tc>
          <w:tcPr>
            <w:tcW w:w="2080" w:type="dxa"/>
            <w:vAlign w:val="bottom"/>
          </w:tcPr>
          <w:p>
            <w:pPr>
              <w:spacing w:after="0"/>
              <w:rPr>
                <w:sz w:val="9"/>
                <w:szCs w:val="9"/>
                <w:color w:val="auto"/>
              </w:rPr>
            </w:pPr>
          </w:p>
        </w:tc>
        <w:tc>
          <w:tcPr>
            <w:tcW w:w="7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$49</w:t>
            </w:r>
          </w:p>
        </w:tc>
        <w:tc>
          <w:tcPr>
            <w:tcW w:w="40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1"/>
                <w:szCs w:val="11"/>
                <w:color w:val="auto"/>
              </w:rPr>
              <w:t>$160</w:t>
            </w:r>
          </w:p>
        </w:tc>
        <w:tc>
          <w:tcPr>
            <w:tcW w:w="60" w:type="dxa"/>
            <w:vAlign w:val="bottom"/>
          </w:tcPr>
          <w:p>
            <w:pPr>
              <w:spacing w:after="0"/>
              <w:rPr>
                <w:sz w:val="9"/>
                <w:szCs w:val="9"/>
                <w:color w:val="auto"/>
              </w:rPr>
            </w:pPr>
          </w:p>
        </w:tc>
      </w:tr>
      <w:tr>
        <w:trPr>
          <w:trHeight w:val="125"/>
        </w:trPr>
        <w:tc>
          <w:tcPr>
            <w:tcW w:w="5820" w:type="dxa"/>
            <w:vAlign w:val="bottom"/>
          </w:tcPr>
          <w:p>
            <w:pPr>
              <w:ind w:left="400"/>
              <w:spacing w:after="0" w:line="125" w:lineRule="exact"/>
              <w:rPr>
                <w:sz w:val="20"/>
                <w:szCs w:val="20"/>
                <w:color w:val="auto"/>
              </w:rPr>
            </w:pPr>
            <w:r>
              <w:rPr>
                <w:rFonts w:ascii="Arial" w:cs="Arial" w:eastAsia="Arial" w:hAnsi="Arial"/>
                <w:sz w:val="11"/>
                <w:szCs w:val="11"/>
                <w:color w:val="auto"/>
              </w:rPr>
              <w:t>Changes in operating assets and liabilities</w:t>
            </w:r>
          </w:p>
        </w:tc>
        <w:tc>
          <w:tcPr>
            <w:tcW w:w="2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73</w:t>
            </w:r>
          </w:p>
        </w:tc>
        <w:tc>
          <w:tcPr>
            <w:tcW w:w="400" w:type="dxa"/>
            <w:vAlign w:val="bottom"/>
            <w:tcBorders>
              <w:right w:val="single" w:sz="8" w:color="auto"/>
            </w:tcBorders>
          </w:tcPr>
          <w:p>
            <w:pPr>
              <w:spacing w:after="0"/>
              <w:rPr>
                <w:sz w:val="10"/>
                <w:szCs w:val="10"/>
                <w:color w:val="auto"/>
              </w:rPr>
            </w:pPr>
          </w:p>
        </w:tc>
        <w:tc>
          <w:tcPr>
            <w:tcW w:w="11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251</w:t>
            </w:r>
          </w:p>
        </w:tc>
        <w:tc>
          <w:tcPr>
            <w:tcW w:w="60" w:type="dxa"/>
            <w:vAlign w:val="bottom"/>
          </w:tcPr>
          <w:p>
            <w:pPr>
              <w:spacing w:after="0"/>
              <w:rPr>
                <w:sz w:val="10"/>
                <w:szCs w:val="10"/>
                <w:color w:val="auto"/>
              </w:rPr>
            </w:pPr>
          </w:p>
        </w:tc>
      </w:tr>
      <w:tr>
        <w:trPr>
          <w:trHeight w:val="115"/>
        </w:trPr>
        <w:tc>
          <w:tcPr>
            <w:tcW w:w="5820" w:type="dxa"/>
            <w:vAlign w:val="bottom"/>
          </w:tcPr>
          <w:p>
            <w:pPr>
              <w:spacing w:after="0" w:line="115" w:lineRule="exact"/>
              <w:rPr>
                <w:sz w:val="20"/>
                <w:szCs w:val="20"/>
                <w:color w:val="auto"/>
              </w:rPr>
            </w:pPr>
            <w:r>
              <w:rPr>
                <w:rFonts w:ascii="Arial" w:cs="Arial" w:eastAsia="Arial" w:hAnsi="Arial"/>
                <w:sz w:val="11"/>
                <w:szCs w:val="11"/>
                <w:color w:val="auto"/>
              </w:rPr>
              <w:t>Impact of share-based compensation accounting change</w:t>
            </w:r>
          </w:p>
        </w:tc>
        <w:tc>
          <w:tcPr>
            <w:tcW w:w="208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$122</w:t>
            </w:r>
          </w:p>
        </w:tc>
        <w:tc>
          <w:tcPr>
            <w:tcW w:w="40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$411</w:t>
            </w:r>
          </w:p>
        </w:tc>
        <w:tc>
          <w:tcPr>
            <w:tcW w:w="60" w:type="dxa"/>
            <w:vAlign w:val="bottom"/>
          </w:tcPr>
          <w:p>
            <w:pPr>
              <w:spacing w:after="0"/>
              <w:rPr>
                <w:sz w:val="10"/>
                <w:szCs w:val="10"/>
                <w:color w:val="auto"/>
              </w:rPr>
            </w:pPr>
          </w:p>
        </w:tc>
      </w:tr>
      <w:tr>
        <w:trPr>
          <w:trHeight w:val="20"/>
        </w:trPr>
        <w:tc>
          <w:tcPr>
            <w:tcW w:w="5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2" w:lineRule="exact"/>
        <w:rPr>
          <w:sz w:val="20"/>
          <w:szCs w:val="20"/>
          <w:color w:val="auto"/>
        </w:rPr>
      </w:pPr>
    </w:p>
    <w:p>
      <w:pPr>
        <w:ind w:left="80"/>
        <w:spacing w:after="0"/>
        <w:rPr>
          <w:sz w:val="20"/>
          <w:szCs w:val="20"/>
          <w:color w:val="auto"/>
        </w:rPr>
      </w:pPr>
      <w:r>
        <w:rPr>
          <w:rFonts w:ascii="Arial" w:cs="Arial" w:eastAsia="Arial" w:hAnsi="Arial"/>
          <w:sz w:val="11"/>
          <w:szCs w:val="11"/>
          <w:u w:val="single" w:color="auto"/>
          <w:color w:val="auto"/>
        </w:rPr>
        <w:t>Note:</w:t>
      </w:r>
      <w:r>
        <w:rPr>
          <w:rFonts w:ascii="Arial" w:cs="Arial" w:eastAsia="Arial" w:hAnsi="Arial"/>
          <w:sz w:val="11"/>
          <w:szCs w:val="11"/>
          <w:color w:val="auto"/>
        </w:rPr>
        <w:t xml:space="preserve"> Minor differences may exist due to rounding.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C9C9C9"/>
        </w:rPr>
        <w:t>TABLE 5</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C9C9C9"/>
        </w:rPr>
        <w:t>Reconciliation of EPS Excluding Adjustments (Unaudited)</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7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gridSpan w:val="3"/>
          </w:tcPr>
          <w:p>
            <w:pPr>
              <w:jc w:val="right"/>
              <w:ind w:right="719"/>
              <w:spacing w:after="0" w:line="157"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gridSpan w:val="3"/>
          </w:tcPr>
          <w:p>
            <w:pPr>
              <w:jc w:val="right"/>
              <w:ind w:right="719"/>
              <w:spacing w:after="0" w:line="157" w:lineRule="exact"/>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460" w:type="dxa"/>
            <w:vAlign w:val="bottom"/>
            <w:vMerge w:val="restart"/>
          </w:tcPr>
          <w:p>
            <w:pPr>
              <w:spacing w:after="0"/>
              <w:rPr>
                <w:sz w:val="20"/>
                <w:szCs w:val="20"/>
                <w:color w:val="auto"/>
              </w:rPr>
            </w:pPr>
            <w:r>
              <w:rPr>
                <w:rFonts w:ascii="Arial" w:cs="Arial" w:eastAsia="Arial" w:hAnsi="Arial"/>
                <w:sz w:val="16"/>
                <w:szCs w:val="16"/>
                <w:color w:val="auto"/>
              </w:rPr>
              <w:t>(in millions, except per share data)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1000" w:type="dxa"/>
            <w:vAlign w:val="bottom"/>
            <w:vMerge w:val="restart"/>
          </w:tcPr>
          <w:p>
            <w:pPr>
              <w:jc w:val="right"/>
              <w:ind w:right="540"/>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tcPr>
          <w:p>
            <w:pPr>
              <w:ind w:left="40"/>
              <w:spacing w:after="0"/>
              <w:rPr>
                <w:sz w:val="20"/>
                <w:szCs w:val="20"/>
                <w:color w:val="auto"/>
              </w:rPr>
            </w:pPr>
            <w:r>
              <w:rPr>
                <w:rFonts w:ascii="Arial" w:cs="Arial" w:eastAsia="Arial" w:hAnsi="Arial"/>
                <w:sz w:val="16"/>
                <w:szCs w:val="16"/>
                <w:color w:val="auto"/>
              </w:rPr>
              <w:t>EPS</w:t>
            </w:r>
          </w:p>
        </w:tc>
        <w:tc>
          <w:tcPr>
            <w:tcW w:w="100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5"/>
                <w:szCs w:val="15"/>
                <w:color w:val="auto"/>
              </w:rPr>
            </w:pPr>
          </w:p>
        </w:tc>
        <w:tc>
          <w:tcPr>
            <w:tcW w:w="1000" w:type="dxa"/>
            <w:vAlign w:val="bottom"/>
            <w:vMerge w:val="restart"/>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ind w:left="60"/>
              <w:spacing w:after="0"/>
              <w:rPr>
                <w:sz w:val="20"/>
                <w:szCs w:val="20"/>
                <w:color w:val="auto"/>
              </w:rPr>
            </w:pPr>
            <w:r>
              <w:rPr>
                <w:rFonts w:ascii="Arial" w:cs="Arial" w:eastAsia="Arial" w:hAnsi="Arial"/>
                <w:sz w:val="16"/>
                <w:szCs w:val="16"/>
                <w:color w:val="auto"/>
              </w:rPr>
              <w:t>EPS</w:t>
            </w:r>
          </w:p>
        </w:tc>
        <w:tc>
          <w:tcPr>
            <w:tcW w:w="102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182"/>
        </w:trPr>
        <w:tc>
          <w:tcPr>
            <w:tcW w:w="4460" w:type="dxa"/>
            <w:vAlign w:val="bottom"/>
            <w:vMerge w:val="restart"/>
          </w:tcPr>
          <w:p>
            <w:pPr>
              <w:spacing w:after="0"/>
              <w:rPr>
                <w:sz w:val="20"/>
                <w:szCs w:val="20"/>
                <w:color w:val="auto"/>
              </w:rPr>
            </w:pPr>
            <w:r>
              <w:rPr>
                <w:rFonts w:ascii="Arial" w:cs="Arial" w:eastAsia="Arial" w:hAnsi="Arial"/>
                <w:sz w:val="16"/>
                <w:szCs w:val="16"/>
                <w:color w:val="auto"/>
              </w:rPr>
              <w:t>Net income attributable to Comcast Corporation</w:t>
            </w:r>
          </w:p>
        </w:tc>
        <w:tc>
          <w:tcPr>
            <w:tcW w:w="10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6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60" w:type="dxa"/>
            <w:vAlign w:val="bottom"/>
            <w:vMerge w:val="continue"/>
          </w:tcPr>
          <w:p>
            <w:pPr>
              <w:spacing w:after="0"/>
              <w:rPr>
                <w:sz w:val="14"/>
                <w:szCs w:val="14"/>
                <w:color w:val="auto"/>
              </w:rPr>
            </w:pPr>
          </w:p>
        </w:tc>
        <w:tc>
          <w:tcPr>
            <w:tcW w:w="10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color w:val="auto"/>
              </w:rPr>
              <w:t>$2,028</w:t>
            </w:r>
          </w:p>
        </w:tc>
        <w:tc>
          <w:tcPr>
            <w:tcW w:w="5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$0.41</w:t>
            </w:r>
          </w:p>
        </w:tc>
        <w:tc>
          <w:tcPr>
            <w:tcW w:w="160" w:type="dxa"/>
            <w:vAlign w:val="bottom"/>
          </w:tcPr>
          <w:p>
            <w:pPr>
              <w:spacing w:after="0"/>
              <w:rPr>
                <w:sz w:val="14"/>
                <w:szCs w:val="14"/>
                <w:color w:val="auto"/>
              </w:rPr>
            </w:pPr>
          </w:p>
        </w:tc>
        <w:tc>
          <w:tcPr>
            <w:tcW w:w="1000" w:type="dxa"/>
            <w:vAlign w:val="bottom"/>
            <w:tcBorders>
              <w:top w:val="single" w:sz="8" w:color="auto"/>
            </w:tcBorders>
          </w:tcPr>
          <w:p>
            <w:pPr>
              <w:jc w:val="right"/>
              <w:ind w:right="259"/>
              <w:spacing w:after="0" w:line="168" w:lineRule="exact"/>
              <w:rPr>
                <w:sz w:val="20"/>
                <w:szCs w:val="20"/>
                <w:color w:val="auto"/>
              </w:rPr>
            </w:pPr>
            <w:r>
              <w:rPr>
                <w:rFonts w:ascii="Arial" w:cs="Arial" w:eastAsia="Arial" w:hAnsi="Arial"/>
                <w:sz w:val="16"/>
                <w:szCs w:val="16"/>
                <w:b w:val="1"/>
                <w:bCs w:val="1"/>
                <w:color w:val="auto"/>
              </w:rPr>
              <w:t>$2,513</w:t>
            </w:r>
          </w:p>
        </w:tc>
        <w:tc>
          <w:tcPr>
            <w:tcW w:w="540" w:type="dxa"/>
            <w:vAlign w:val="bottom"/>
            <w:tcBorders>
              <w:top w:val="single" w:sz="8" w:color="auto"/>
            </w:tcBorders>
          </w:tcPr>
          <w:p>
            <w:pPr>
              <w:ind w:left="80"/>
              <w:spacing w:after="0" w:line="168" w:lineRule="exact"/>
              <w:rPr>
                <w:sz w:val="20"/>
                <w:szCs w:val="20"/>
                <w:color w:val="auto"/>
              </w:rPr>
            </w:pPr>
            <w:r>
              <w:rPr>
                <w:rFonts w:ascii="Arial" w:cs="Arial" w:eastAsia="Arial" w:hAnsi="Arial"/>
                <w:sz w:val="16"/>
                <w:szCs w:val="16"/>
                <w:b w:val="1"/>
                <w:bCs w:val="1"/>
                <w:color w:val="auto"/>
              </w:rPr>
              <w:t>$0.52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jc w:val="right"/>
              <w:ind w:right="219"/>
              <w:spacing w:after="0" w:line="168" w:lineRule="exact"/>
              <w:rPr>
                <w:sz w:val="20"/>
                <w:szCs w:val="20"/>
                <w:color w:val="auto"/>
              </w:rPr>
            </w:pPr>
            <w:r>
              <w:rPr>
                <w:rFonts w:ascii="Arial" w:cs="Arial" w:eastAsia="Arial" w:hAnsi="Arial"/>
                <w:sz w:val="16"/>
                <w:szCs w:val="16"/>
                <w:color w:val="auto"/>
              </w:rPr>
              <w:t>$4,162</w:t>
            </w:r>
          </w:p>
        </w:tc>
        <w:tc>
          <w:tcPr>
            <w:tcW w:w="5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$0.85</w:t>
            </w:r>
          </w:p>
        </w:tc>
        <w:tc>
          <w:tcPr>
            <w:tcW w:w="160" w:type="dxa"/>
            <w:vAlign w:val="bottom"/>
          </w:tcPr>
          <w:p>
            <w:pPr>
              <w:spacing w:after="0"/>
              <w:rPr>
                <w:sz w:val="14"/>
                <w:szCs w:val="14"/>
                <w:color w:val="auto"/>
              </w:rPr>
            </w:pPr>
          </w:p>
        </w:tc>
        <w:tc>
          <w:tcPr>
            <w:tcW w:w="1020" w:type="dxa"/>
            <w:vAlign w:val="bottom"/>
            <w:tcBorders>
              <w:top w:val="single" w:sz="8" w:color="auto"/>
            </w:tcBorders>
          </w:tcPr>
          <w:p>
            <w:pPr>
              <w:jc w:val="right"/>
              <w:ind w:right="279"/>
              <w:spacing w:after="0" w:line="168" w:lineRule="exact"/>
              <w:rPr>
                <w:sz w:val="20"/>
                <w:szCs w:val="20"/>
                <w:color w:val="auto"/>
              </w:rPr>
            </w:pPr>
            <w:r>
              <w:rPr>
                <w:rFonts w:ascii="Arial" w:cs="Arial" w:eastAsia="Arial" w:hAnsi="Arial"/>
                <w:sz w:val="16"/>
                <w:szCs w:val="16"/>
                <w:b w:val="1"/>
                <w:bCs w:val="1"/>
                <w:color w:val="auto"/>
              </w:rPr>
              <w:t>$5,079</w:t>
            </w:r>
          </w:p>
        </w:tc>
        <w:tc>
          <w:tcPr>
            <w:tcW w:w="580" w:type="dxa"/>
            <w:vAlign w:val="bottom"/>
            <w:tcBorders>
              <w:top w:val="single" w:sz="8" w:color="auto"/>
            </w:tcBorders>
          </w:tcPr>
          <w:p>
            <w:pPr>
              <w:ind w:left="120"/>
              <w:spacing w:after="0" w:line="168" w:lineRule="exact"/>
              <w:rPr>
                <w:sz w:val="20"/>
                <w:szCs w:val="20"/>
                <w:color w:val="auto"/>
              </w:rPr>
            </w:pPr>
            <w:r>
              <w:rPr>
                <w:rFonts w:ascii="Arial" w:cs="Arial" w:eastAsia="Arial" w:hAnsi="Arial"/>
                <w:sz w:val="16"/>
                <w:szCs w:val="16"/>
                <w:b w:val="1"/>
                <w:bCs w:val="1"/>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6"/>
                <w:szCs w:val="16"/>
                <w:i w:val="1"/>
                <w:iCs w:val="1"/>
                <w:color w:val="auto"/>
              </w:rPr>
              <w:t>Growth %</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i w:val="1"/>
                <w:iCs w:val="1"/>
                <w:color w:val="auto"/>
              </w:rPr>
              <w:t>23.9%</w:t>
            </w:r>
          </w:p>
        </w:tc>
        <w:tc>
          <w:tcPr>
            <w:tcW w:w="6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i w:val="1"/>
                <w:iCs w:val="1"/>
                <w:color w:val="auto"/>
              </w:rPr>
              <w:t>26.8%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i w:val="1"/>
                <w:iCs w:val="1"/>
                <w:color w:val="auto"/>
              </w:rPr>
              <w:t>22.0%</w:t>
            </w:r>
          </w:p>
        </w:tc>
        <w:tc>
          <w:tcPr>
            <w:tcW w:w="600" w:type="dxa"/>
            <w:vAlign w:val="bottom"/>
            <w:gridSpan w:val="2"/>
          </w:tcPr>
          <w:p>
            <w:pPr>
              <w:ind w:left="120"/>
              <w:spacing w:after="0"/>
              <w:rPr>
                <w:sz w:val="20"/>
                <w:szCs w:val="20"/>
                <w:color w:val="auto"/>
              </w:rPr>
            </w:pPr>
            <w:r>
              <w:rPr>
                <w:rFonts w:ascii="Arial" w:cs="Arial" w:eastAsia="Arial" w:hAnsi="Arial"/>
                <w:sz w:val="16"/>
                <w:szCs w:val="16"/>
                <w:i w:val="1"/>
                <w:iCs w:val="1"/>
                <w:color w:val="auto"/>
              </w:rPr>
              <w:t>23.5%</w:t>
            </w:r>
          </w:p>
        </w:tc>
        <w:tc>
          <w:tcPr>
            <w:tcW w:w="0" w:type="dxa"/>
            <w:vAlign w:val="bottom"/>
          </w:tcPr>
          <w:p>
            <w:pPr>
              <w:spacing w:after="0"/>
              <w:rPr>
                <w:sz w:val="1"/>
                <w:szCs w:val="1"/>
                <w:color w:val="auto"/>
              </w:rPr>
            </w:pPr>
          </w:p>
        </w:tc>
      </w:tr>
      <w:tr>
        <w:trPr>
          <w:trHeight w:val="398"/>
        </w:trPr>
        <w:tc>
          <w:tcPr>
            <w:tcW w:w="4460" w:type="dxa"/>
            <w:vAlign w:val="bottom"/>
          </w:tcPr>
          <w:p>
            <w:pPr>
              <w:spacing w:after="0"/>
              <w:rPr>
                <w:sz w:val="20"/>
                <w:szCs w:val="20"/>
                <w:color w:val="auto"/>
              </w:rPr>
            </w:pPr>
            <w:r>
              <w:rPr>
                <w:rFonts w:ascii="Arial" w:cs="Arial" w:eastAsia="Arial" w:hAnsi="Arial"/>
                <w:sz w:val="16"/>
                <w:szCs w:val="16"/>
                <w:color w:val="auto"/>
              </w:rPr>
              <w:t>Gain on sale of investment</w:t>
            </w:r>
            <w:r>
              <w:rPr>
                <w:rFonts w:ascii="Arial" w:cs="Arial" w:eastAsia="Arial" w:hAnsi="Arial"/>
                <w:sz w:val="21"/>
                <w:szCs w:val="21"/>
                <w:color w:val="auto"/>
                <w:vertAlign w:val="superscript"/>
              </w:rPr>
              <w:t>(1)</w:t>
            </w:r>
          </w:p>
        </w:tc>
        <w:tc>
          <w:tcPr>
            <w:tcW w:w="10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right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color w:val="auto"/>
              </w:rPr>
              <w:t>(67)</w:t>
            </w:r>
          </w:p>
        </w:tc>
        <w:tc>
          <w:tcPr>
            <w:tcW w:w="560" w:type="dxa"/>
            <w:vAlign w:val="bottom"/>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24"/>
                <w:szCs w:val="24"/>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ind w:left="3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1"/>
        </w:trPr>
        <w:tc>
          <w:tcPr>
            <w:tcW w:w="4460" w:type="dxa"/>
            <w:vAlign w:val="bottom"/>
          </w:tcPr>
          <w:p>
            <w:pPr>
              <w:spacing w:after="0" w:line="171" w:lineRule="exact"/>
              <w:rPr>
                <w:sz w:val="20"/>
                <w:szCs w:val="20"/>
                <w:color w:val="auto"/>
              </w:rPr>
            </w:pPr>
            <w:r>
              <w:rPr>
                <w:rFonts w:ascii="Arial" w:cs="Arial" w:eastAsia="Arial" w:hAnsi="Arial"/>
                <w:sz w:val="16"/>
                <w:szCs w:val="16"/>
                <w:color w:val="auto"/>
              </w:rPr>
              <w:t>Net income attributable to Comcast Corporation (excluding</w:t>
            </w:r>
          </w:p>
        </w:tc>
        <w:tc>
          <w:tcPr>
            <w:tcW w:w="1000" w:type="dxa"/>
            <w:vAlign w:val="bottom"/>
            <w:tcBorders>
              <w:top w:val="single" w:sz="8" w:color="auto"/>
            </w:tcBorders>
            <w:vMerge w:val="restart"/>
          </w:tcPr>
          <w:p>
            <w:pPr>
              <w:jc w:val="right"/>
              <w:ind w:right="240"/>
              <w:spacing w:after="0"/>
              <w:rPr>
                <w:sz w:val="20"/>
                <w:szCs w:val="20"/>
                <w:color w:val="auto"/>
              </w:rPr>
            </w:pPr>
            <w:r>
              <w:rPr>
                <w:rFonts w:ascii="Arial" w:cs="Arial" w:eastAsia="Arial" w:hAnsi="Arial"/>
                <w:sz w:val="16"/>
                <w:szCs w:val="16"/>
                <w:color w:val="auto"/>
              </w:rPr>
              <w:t>$2,028</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$0.41</w:t>
            </w:r>
          </w:p>
        </w:tc>
        <w:tc>
          <w:tcPr>
            <w:tcW w:w="160" w:type="dxa"/>
            <w:vAlign w:val="bottom"/>
          </w:tcPr>
          <w:p>
            <w:pPr>
              <w:spacing w:after="0"/>
              <w:rPr>
                <w:sz w:val="14"/>
                <w:szCs w:val="14"/>
                <w:color w:val="auto"/>
              </w:rPr>
            </w:pPr>
          </w:p>
        </w:tc>
        <w:tc>
          <w:tcPr>
            <w:tcW w:w="1000" w:type="dxa"/>
            <w:vAlign w:val="bottom"/>
            <w:tcBorders>
              <w:top w:val="single" w:sz="8" w:color="auto"/>
            </w:tcBorders>
            <w:vMerge w:val="restart"/>
          </w:tcPr>
          <w:p>
            <w:pPr>
              <w:jc w:val="right"/>
              <w:ind w:right="259"/>
              <w:spacing w:after="0"/>
              <w:rPr>
                <w:sz w:val="20"/>
                <w:szCs w:val="20"/>
                <w:color w:val="auto"/>
              </w:rPr>
            </w:pPr>
            <w:r>
              <w:rPr>
                <w:rFonts w:ascii="Arial" w:cs="Arial" w:eastAsia="Arial" w:hAnsi="Arial"/>
                <w:sz w:val="16"/>
                <w:szCs w:val="16"/>
                <w:b w:val="1"/>
                <w:bCs w:val="1"/>
                <w:color w:val="auto"/>
              </w:rPr>
              <w:t>$2,513</w:t>
            </w:r>
          </w:p>
        </w:tc>
        <w:tc>
          <w:tcPr>
            <w:tcW w:w="540" w:type="dxa"/>
            <w:vAlign w:val="bottom"/>
            <w:tcBorders>
              <w:top w:val="single" w:sz="8" w:color="auto"/>
            </w:tcBorders>
            <w:vMerge w:val="restart"/>
          </w:tcPr>
          <w:p>
            <w:pPr>
              <w:ind w:left="80"/>
              <w:spacing w:after="0"/>
              <w:rPr>
                <w:sz w:val="20"/>
                <w:szCs w:val="20"/>
                <w:color w:val="auto"/>
              </w:rPr>
            </w:pPr>
            <w:r>
              <w:rPr>
                <w:rFonts w:ascii="Arial" w:cs="Arial" w:eastAsia="Arial" w:hAnsi="Arial"/>
                <w:sz w:val="16"/>
                <w:szCs w:val="16"/>
                <w:b w:val="1"/>
                <w:bCs w:val="1"/>
                <w:color w:val="auto"/>
              </w:rPr>
              <w:t>$0.52</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vMerge w:val="restart"/>
          </w:tcPr>
          <w:p>
            <w:pPr>
              <w:jc w:val="right"/>
              <w:ind w:right="219"/>
              <w:spacing w:after="0"/>
              <w:rPr>
                <w:sz w:val="20"/>
                <w:szCs w:val="20"/>
                <w:color w:val="auto"/>
              </w:rPr>
            </w:pPr>
            <w:r>
              <w:rPr>
                <w:rFonts w:ascii="Arial" w:cs="Arial" w:eastAsia="Arial" w:hAnsi="Arial"/>
                <w:sz w:val="16"/>
                <w:szCs w:val="16"/>
                <w:color w:val="auto"/>
              </w:rPr>
              <w:t>$4,095</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$0.83</w:t>
            </w:r>
          </w:p>
        </w:tc>
        <w:tc>
          <w:tcPr>
            <w:tcW w:w="160" w:type="dxa"/>
            <w:vAlign w:val="bottom"/>
          </w:tcPr>
          <w:p>
            <w:pPr>
              <w:spacing w:after="0"/>
              <w:rPr>
                <w:sz w:val="14"/>
                <w:szCs w:val="14"/>
                <w:color w:val="auto"/>
              </w:rPr>
            </w:pPr>
          </w:p>
        </w:tc>
        <w:tc>
          <w:tcPr>
            <w:tcW w:w="102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$5,079</w:t>
            </w:r>
          </w:p>
        </w:tc>
        <w:tc>
          <w:tcPr>
            <w:tcW w:w="58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60" w:type="dxa"/>
            <w:vAlign w:val="bottom"/>
          </w:tcPr>
          <w:p>
            <w:pPr>
              <w:spacing w:after="0" w:line="174" w:lineRule="exact"/>
              <w:rPr>
                <w:sz w:val="20"/>
                <w:szCs w:val="20"/>
                <w:color w:val="auto"/>
              </w:rPr>
            </w:pPr>
            <w:r>
              <w:rPr>
                <w:rFonts w:ascii="Arial" w:cs="Arial" w:eastAsia="Arial" w:hAnsi="Arial"/>
                <w:sz w:val="16"/>
                <w:szCs w:val="16"/>
                <w:color w:val="auto"/>
              </w:rPr>
              <w:t>adjustments)</w:t>
            </w:r>
          </w:p>
        </w:tc>
        <w:tc>
          <w:tcPr>
            <w:tcW w:w="10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6"/>
                <w:szCs w:val="16"/>
                <w:i w:val="1"/>
                <w:iCs w:val="1"/>
                <w:color w:val="auto"/>
              </w:rPr>
              <w:t>Growth %</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i w:val="1"/>
                <w:iCs w:val="1"/>
                <w:color w:val="auto"/>
              </w:rPr>
              <w:t>23.9%</w:t>
            </w:r>
          </w:p>
        </w:tc>
        <w:tc>
          <w:tcPr>
            <w:tcW w:w="540" w:type="dxa"/>
            <w:vAlign w:val="bottom"/>
          </w:tcPr>
          <w:p>
            <w:pPr>
              <w:ind w:left="80"/>
              <w:spacing w:after="0"/>
              <w:rPr>
                <w:sz w:val="20"/>
                <w:szCs w:val="20"/>
                <w:color w:val="auto"/>
              </w:rPr>
            </w:pPr>
            <w:r>
              <w:rPr>
                <w:rFonts w:ascii="Arial" w:cs="Arial" w:eastAsia="Arial" w:hAnsi="Arial"/>
                <w:sz w:val="16"/>
                <w:szCs w:val="16"/>
                <w:i w:val="1"/>
                <w:iCs w:val="1"/>
                <w:color w:val="auto"/>
                <w:w w:val="96"/>
              </w:rPr>
              <w:t>26.8%</w:t>
            </w: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i w:val="1"/>
                <w:iCs w:val="1"/>
                <w:color w:val="auto"/>
              </w:rPr>
              <w:t>24.0%</w:t>
            </w:r>
          </w:p>
        </w:tc>
        <w:tc>
          <w:tcPr>
            <w:tcW w:w="580" w:type="dxa"/>
            <w:vAlign w:val="bottom"/>
          </w:tcPr>
          <w:p>
            <w:pPr>
              <w:ind w:left="120"/>
              <w:spacing w:after="0"/>
              <w:rPr>
                <w:sz w:val="20"/>
                <w:szCs w:val="20"/>
                <w:color w:val="auto"/>
              </w:rPr>
            </w:pPr>
            <w:r>
              <w:rPr>
                <w:rFonts w:ascii="Arial" w:cs="Arial" w:eastAsia="Arial" w:hAnsi="Arial"/>
                <w:sz w:val="16"/>
                <w:szCs w:val="16"/>
                <w:i w:val="1"/>
                <w:iCs w:val="1"/>
                <w:color w:val="auto"/>
                <w:w w:val="96"/>
              </w:rPr>
              <w:t>26.5%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left="260" w:hanging="252"/>
        <w:spacing w:after="0" w:line="258" w:lineRule="auto"/>
        <w:tabs>
          <w:tab w:leader="none" w:pos="333" w:val="left"/>
        </w:tabs>
        <w:numPr>
          <w:ilvl w:val="0"/>
          <w:numId w:val="7"/>
        </w:numPr>
        <w:rPr>
          <w:rFonts w:ascii="Arial" w:cs="Arial" w:eastAsia="Arial" w:hAnsi="Arial"/>
          <w:sz w:val="14"/>
          <w:szCs w:val="14"/>
          <w:color w:val="auto"/>
        </w:rPr>
      </w:pPr>
      <w:r>
        <w:rPr>
          <w:rFonts w:ascii="Arial" w:cs="Arial" w:eastAsia="Arial" w:hAnsi="Arial"/>
          <w:sz w:val="14"/>
          <w:szCs w:val="14"/>
          <w:color w:val="auto"/>
        </w:rPr>
        <w:t>2016 year to date net income attributable to Comcast Corporation includes $108 million of other income, $67 million net of tax, resulting from a gain on the sale of our investment in The Weather Channel’s product and technology business.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69" w:right="2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3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(formerly Operating Cash Flow)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Consolidated Statement of Income).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use Adjusted EBITDA as the measure of profit or loss for our segments, and we reconcile it to income before income taxes in the business segment footnote to our quarterly and annual consolidated financial statements. We believe our measure of Adjusted EBITDA for our segments is not a “non-GAAP financial measure” as contemplated by Regulation G adopted by the Securities and Exchange Commission. Consolidated Adjusted EBITDA is a non-GAAP financial measure.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certain circumstances, we also present “adjusted” data, to exclude the impact of certain events and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Non-GAAP financial measures should not be considered as substitutes for operating income (loss), net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Exhibit 99.1 to this Current Report on Form 8-K, we provide reconciliations of Adjusted EBITDA and Free Cash Flow in Table 4 and pro forma and “adjusted” data, when applicable, in additional Tables to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2019-12-06T18:05:48Z</dcterms:created>
  <dcterms:modified xsi:type="dcterms:W3CDTF">2019-12-06T18:05:48Z</dcterms:modified>
</cp:coreProperties>
</file>