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60960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44"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4000" w:right="3400" w:hanging="3087"/>
        <w:spacing w:after="0" w:line="262" w:lineRule="auto"/>
        <w:tabs>
          <w:tab w:leader="none" w:pos="135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1360" w:hanging="447"/>
        <w:spacing w:after="0"/>
        <w:tabs>
          <w:tab w:leader="none" w:pos="1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 w:lineRule="exact"/>
        <w:rPr>
          <w:sz w:val="24"/>
          <w:szCs w:val="24"/>
          <w:color w:val="auto"/>
        </w:rPr>
      </w:pPr>
    </w:p>
    <w:p>
      <w:pPr>
        <w:ind w:left="3600"/>
        <w:spacing w:after="0"/>
        <w:tabs>
          <w:tab w:leader="none" w:pos="6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9525</wp:posOffset>
            </wp:positionV>
            <wp:extent cx="1440815"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 State of Incorporation; Address and</w:t>
      </w:r>
    </w:p>
    <w:p>
      <w:pPr>
        <w:ind w:left="680"/>
        <w:spacing w:after="0"/>
        <w:tabs>
          <w:tab w:leader="none" w:pos="5100" w:val="left"/>
          <w:tab w:leader="none" w:pos="8860" w:val="left"/>
        </w:tabs>
        <w:rPr>
          <w:sz w:val="20"/>
          <w:szCs w:val="20"/>
          <w:color w:val="auto"/>
        </w:rPr>
      </w:pPr>
      <w:r>
        <w:rPr>
          <w:rFonts w:ascii="Arial" w:cs="Arial" w:eastAsia="Arial" w:hAnsi="Arial"/>
          <w:sz w:val="14"/>
          <w:szCs w:val="14"/>
          <w:b w:val="1"/>
          <w:bCs w:val="1"/>
          <w:color w:val="auto"/>
        </w:rPr>
        <w:t>Commission File Number</w:t>
      </w:r>
      <w:r>
        <w:rPr>
          <w:sz w:val="20"/>
          <w:szCs w:val="20"/>
          <w:color w:val="auto"/>
        </w:rPr>
        <w:tab/>
      </w:r>
      <w:r>
        <w:rPr>
          <w:rFonts w:ascii="Arial" w:cs="Arial" w:eastAsia="Arial" w:hAnsi="Arial"/>
          <w:sz w:val="14"/>
          <w:szCs w:val="14"/>
          <w:b w:val="1"/>
          <w:bCs w:val="1"/>
          <w:color w:val="auto"/>
        </w:rPr>
        <w:t>Telephone Number</w:t>
      </w:r>
      <w:r>
        <w:rPr>
          <w:sz w:val="20"/>
          <w:szCs w:val="20"/>
          <w:color w:val="auto"/>
        </w:rPr>
        <w:tab/>
      </w:r>
      <w:r>
        <w:rPr>
          <w:rFonts w:ascii="Arial" w:cs="Arial" w:eastAsia="Arial" w:hAnsi="Arial"/>
          <w:sz w:val="12"/>
          <w:szCs w:val="12"/>
          <w:b w:val="1"/>
          <w:bCs w:val="1"/>
          <w:color w:val="auto"/>
        </w:rPr>
        <w:t>I.R.S. Employer Identification No.</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8"/>
        </w:trPr>
        <w:tc>
          <w:tcPr>
            <w:tcW w:w="3080" w:type="dxa"/>
            <w:vAlign w:val="bottom"/>
            <w:shd w:val="clear" w:color="auto" w:fill="000000"/>
          </w:tcPr>
          <w:p>
            <w:pPr>
              <w:spacing w:after="0" w:line="20" w:lineRule="exact"/>
              <w:rPr>
                <w:sz w:val="1"/>
                <w:szCs w:val="1"/>
                <w:color w:val="auto"/>
              </w:rPr>
            </w:pPr>
          </w:p>
        </w:tc>
        <w:tc>
          <w:tcPr>
            <w:tcW w:w="5260" w:type="dxa"/>
            <w:vAlign w:val="bottom"/>
            <w:shd w:val="clear" w:color="auto" w:fill="000000"/>
          </w:tcPr>
          <w:p>
            <w:pPr>
              <w:jc w:val="center"/>
              <w:spacing w:after="0"/>
              <w:rPr>
                <w:sz w:val="20"/>
                <w:szCs w:val="20"/>
                <w:color w:val="auto"/>
              </w:rPr>
            </w:pPr>
            <w:r>
              <w:rPr>
                <w:rFonts w:ascii="Arial" w:cs="Arial" w:eastAsia="Arial" w:hAnsi="Arial"/>
                <w:sz w:val="1"/>
                <w:szCs w:val="1"/>
                <w:b w:val="1"/>
                <w:bCs w:val="1"/>
                <w:color w:val="auto"/>
              </w:rPr>
              <w:t>COMCAST CORPORATION</w:t>
            </w: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tcPr>
          <w:p>
            <w:pPr>
              <w:jc w:val="right"/>
              <w:ind w:right="1192"/>
              <w:spacing w:after="0"/>
              <w:rPr>
                <w:sz w:val="20"/>
                <w:szCs w:val="20"/>
                <w:color w:val="auto"/>
              </w:rPr>
            </w:pPr>
            <w:r>
              <w:rPr>
                <w:rFonts w:ascii="Arial" w:cs="Arial" w:eastAsia="Arial" w:hAnsi="Arial"/>
                <w:sz w:val="14"/>
                <w:szCs w:val="14"/>
                <w:color w:val="auto"/>
              </w:rPr>
              <w:t>001-32871</w:t>
            </w:r>
          </w:p>
        </w:tc>
        <w:tc>
          <w:tcPr>
            <w:tcW w:w="5260" w:type="dxa"/>
            <w:vAlign w:val="bottom"/>
          </w:tcPr>
          <w:p>
            <w:pPr>
              <w:spacing w:after="0"/>
              <w:rPr>
                <w:sz w:val="14"/>
                <w:szCs w:val="14"/>
                <w:color w:val="auto"/>
              </w:rPr>
            </w:pPr>
          </w:p>
        </w:tc>
        <w:tc>
          <w:tcPr>
            <w:tcW w:w="3080" w:type="dxa"/>
            <w:vAlign w:val="bottom"/>
          </w:tcPr>
          <w:p>
            <w:pPr>
              <w:jc w:val="right"/>
              <w:ind w:right="1052"/>
              <w:spacing w:after="0"/>
              <w:rPr>
                <w:sz w:val="20"/>
                <w:szCs w:val="20"/>
                <w:color w:val="auto"/>
              </w:rPr>
            </w:pPr>
            <w:r>
              <w:rPr>
                <w:rFonts w:ascii="Arial" w:cs="Arial" w:eastAsia="Arial" w:hAnsi="Arial"/>
                <w:sz w:val="14"/>
                <w:szCs w:val="14"/>
                <w:color w:val="auto"/>
              </w:rPr>
              <w:t>27-0000798</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4"/>
                <w:szCs w:val="14"/>
                <w:color w:val="auto"/>
                <w:w w:val="94"/>
              </w:rPr>
              <w:t>PENNSYLVANIA</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5260" w:type="dxa"/>
            <w:vAlign w:val="bottom"/>
          </w:tcPr>
          <w:p>
            <w:pPr>
              <w:jc w:val="center"/>
              <w:spacing w:after="0" w:line="149" w:lineRule="exact"/>
              <w:rPr>
                <w:sz w:val="20"/>
                <w:szCs w:val="20"/>
                <w:color w:val="auto"/>
              </w:rPr>
            </w:pPr>
            <w:r>
              <w:rPr>
                <w:rFonts w:ascii="Arial" w:cs="Arial" w:eastAsia="Arial" w:hAnsi="Arial"/>
                <w:sz w:val="14"/>
                <w:szCs w:val="14"/>
                <w:color w:val="auto"/>
                <w:w w:val="95"/>
              </w:rPr>
              <w:t>One Comcast Center</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5260" w:type="dxa"/>
            <w:vAlign w:val="bottom"/>
          </w:tcPr>
          <w:p>
            <w:pPr>
              <w:jc w:val="center"/>
              <w:spacing w:after="0" w:line="149" w:lineRule="exact"/>
              <w:rPr>
                <w:sz w:val="20"/>
                <w:szCs w:val="20"/>
                <w:color w:val="auto"/>
              </w:rPr>
            </w:pPr>
            <w:r>
              <w:rPr>
                <w:rFonts w:ascii="Arial" w:cs="Arial" w:eastAsia="Arial" w:hAnsi="Arial"/>
                <w:sz w:val="14"/>
                <w:szCs w:val="14"/>
                <w:color w:val="auto"/>
                <w:w w:val="95"/>
              </w:rPr>
              <w:t>Philadelphia, PA 19103-2838</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80" w:type="dxa"/>
            <w:vAlign w:val="bottom"/>
          </w:tcPr>
          <w:p>
            <w:pPr>
              <w:spacing w:after="0"/>
              <w:rPr>
                <w:sz w:val="11"/>
                <w:szCs w:val="11"/>
                <w:color w:val="auto"/>
              </w:rPr>
            </w:pPr>
          </w:p>
        </w:tc>
        <w:tc>
          <w:tcPr>
            <w:tcW w:w="5260" w:type="dxa"/>
            <w:vAlign w:val="bottom"/>
          </w:tcPr>
          <w:p>
            <w:pPr>
              <w:jc w:val="center"/>
              <w:spacing w:after="0" w:line="131" w:lineRule="exact"/>
              <w:rPr>
                <w:sz w:val="20"/>
                <w:szCs w:val="20"/>
                <w:color w:val="auto"/>
              </w:rPr>
            </w:pPr>
            <w:r>
              <w:rPr>
                <w:rFonts w:ascii="Arial" w:cs="Arial" w:eastAsia="Arial" w:hAnsi="Arial"/>
                <w:sz w:val="14"/>
                <w:szCs w:val="14"/>
                <w:color w:val="auto"/>
                <w:w w:val="96"/>
              </w:rPr>
              <w:t>(215) 286-1700</w:t>
            </w:r>
          </w:p>
        </w:tc>
        <w:tc>
          <w:tcPr>
            <w:tcW w:w="3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80" w:type="dxa"/>
            <w:vAlign w:val="bottom"/>
            <w:vMerge w:val="restart"/>
          </w:tcPr>
          <w:p>
            <w:pPr>
              <w:jc w:val="right"/>
              <w:ind w:right="1192"/>
              <w:spacing w:after="0"/>
              <w:rPr>
                <w:sz w:val="20"/>
                <w:szCs w:val="20"/>
                <w:color w:val="auto"/>
              </w:rPr>
            </w:pPr>
            <w:r>
              <w:rPr>
                <w:rFonts w:ascii="Arial" w:cs="Arial" w:eastAsia="Arial" w:hAnsi="Arial"/>
                <w:sz w:val="14"/>
                <w:szCs w:val="14"/>
                <w:color w:val="auto"/>
              </w:rPr>
              <w:t>001-36438</w:t>
            </w:r>
          </w:p>
        </w:tc>
        <w:tc>
          <w:tcPr>
            <w:tcW w:w="5260" w:type="dxa"/>
            <w:vAlign w:val="bottom"/>
          </w:tcPr>
          <w:p>
            <w:pPr>
              <w:jc w:val="center"/>
              <w:spacing w:after="0" w:line="154" w:lineRule="exact"/>
              <w:rPr>
                <w:sz w:val="20"/>
                <w:szCs w:val="20"/>
                <w:color w:val="auto"/>
              </w:rPr>
            </w:pPr>
            <w:r>
              <w:rPr>
                <w:rFonts w:ascii="Arial" w:cs="Arial" w:eastAsia="Arial" w:hAnsi="Arial"/>
                <w:sz w:val="17"/>
                <w:szCs w:val="17"/>
                <w:b w:val="1"/>
                <w:bCs w:val="1"/>
                <w:color w:val="auto"/>
              </w:rPr>
              <w:t>NBCUniversal Media, LLC</w:t>
            </w:r>
          </w:p>
        </w:tc>
        <w:tc>
          <w:tcPr>
            <w:tcW w:w="3080" w:type="dxa"/>
            <w:vAlign w:val="bottom"/>
            <w:vMerge w:val="restart"/>
          </w:tcPr>
          <w:p>
            <w:pPr>
              <w:jc w:val="right"/>
              <w:ind w:right="1052"/>
              <w:spacing w:after="0"/>
              <w:rPr>
                <w:sz w:val="20"/>
                <w:szCs w:val="20"/>
                <w:color w:val="auto"/>
              </w:rPr>
            </w:pPr>
            <w:r>
              <w:rPr>
                <w:rFonts w:ascii="Arial" w:cs="Arial" w:eastAsia="Arial" w:hAnsi="Arial"/>
                <w:sz w:val="14"/>
                <w:szCs w:val="14"/>
                <w:color w:val="auto"/>
              </w:rPr>
              <w:t>14-1682529</w:t>
            </w:r>
          </w:p>
        </w:tc>
        <w:tc>
          <w:tcPr>
            <w:tcW w:w="0" w:type="dxa"/>
            <w:vAlign w:val="bottom"/>
          </w:tcPr>
          <w:p>
            <w:pPr>
              <w:spacing w:after="0"/>
              <w:rPr>
                <w:sz w:val="1"/>
                <w:szCs w:val="1"/>
                <w:color w:val="auto"/>
              </w:rPr>
            </w:pPr>
          </w:p>
        </w:tc>
      </w:tr>
      <w:tr>
        <w:trPr>
          <w:trHeight w:val="40"/>
        </w:trPr>
        <w:tc>
          <w:tcPr>
            <w:tcW w:w="3080" w:type="dxa"/>
            <w:vAlign w:val="bottom"/>
            <w:vMerge w:val="continue"/>
          </w:tcPr>
          <w:p>
            <w:pPr>
              <w:spacing w:after="0"/>
              <w:rPr>
                <w:sz w:val="3"/>
                <w:szCs w:val="3"/>
                <w:color w:val="auto"/>
              </w:rPr>
            </w:pPr>
          </w:p>
        </w:tc>
        <w:tc>
          <w:tcPr>
            <w:tcW w:w="5260" w:type="dxa"/>
            <w:vAlign w:val="bottom"/>
          </w:tcPr>
          <w:p>
            <w:pPr>
              <w:spacing w:after="0"/>
              <w:rPr>
                <w:sz w:val="3"/>
                <w:szCs w:val="3"/>
                <w:color w:val="auto"/>
              </w:rPr>
            </w:pPr>
          </w:p>
        </w:tc>
        <w:tc>
          <w:tcPr>
            <w:tcW w:w="3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4"/>
                <w:szCs w:val="14"/>
                <w:color w:val="auto"/>
                <w:w w:val="94"/>
              </w:rPr>
              <w:t>DELAWARE</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5260" w:type="dxa"/>
            <w:vAlign w:val="bottom"/>
          </w:tcPr>
          <w:p>
            <w:pPr>
              <w:jc w:val="center"/>
              <w:spacing w:after="0" w:line="149" w:lineRule="exact"/>
              <w:rPr>
                <w:sz w:val="20"/>
                <w:szCs w:val="20"/>
                <w:color w:val="auto"/>
              </w:rPr>
            </w:pPr>
            <w:r>
              <w:rPr>
                <w:rFonts w:ascii="Arial" w:cs="Arial" w:eastAsia="Arial" w:hAnsi="Arial"/>
                <w:sz w:val="14"/>
                <w:szCs w:val="14"/>
                <w:color w:val="auto"/>
                <w:w w:val="96"/>
              </w:rPr>
              <w:t>30 Rockefeller Plaza</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5260" w:type="dxa"/>
            <w:vAlign w:val="bottom"/>
          </w:tcPr>
          <w:p>
            <w:pPr>
              <w:jc w:val="center"/>
              <w:spacing w:after="0" w:line="149" w:lineRule="exact"/>
              <w:rPr>
                <w:sz w:val="20"/>
                <w:szCs w:val="20"/>
                <w:color w:val="auto"/>
              </w:rPr>
            </w:pPr>
            <w:r>
              <w:rPr>
                <w:rFonts w:ascii="Arial" w:cs="Arial" w:eastAsia="Arial" w:hAnsi="Arial"/>
                <w:sz w:val="14"/>
                <w:szCs w:val="14"/>
                <w:color w:val="auto"/>
                <w:w w:val="94"/>
              </w:rPr>
              <w:t>New York, NY 10112-0015</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5260" w:type="dxa"/>
            <w:vAlign w:val="bottom"/>
          </w:tcPr>
          <w:p>
            <w:pPr>
              <w:jc w:val="center"/>
              <w:spacing w:after="0"/>
              <w:rPr>
                <w:sz w:val="20"/>
                <w:szCs w:val="20"/>
                <w:color w:val="auto"/>
              </w:rPr>
            </w:pPr>
            <w:r>
              <w:rPr>
                <w:rFonts w:ascii="Arial" w:cs="Arial" w:eastAsia="Arial" w:hAnsi="Arial"/>
                <w:sz w:val="14"/>
                <w:szCs w:val="14"/>
                <w:color w:val="auto"/>
                <w:w w:val="96"/>
              </w:rPr>
              <w:t>(212) 664-4444</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69215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Comcast Corporation –</w:t>
            </w:r>
          </w:p>
        </w:tc>
        <w:tc>
          <w:tcPr>
            <w:tcW w:w="5440" w:type="dxa"/>
            <w:vAlign w:val="bottom"/>
          </w:tcPr>
          <w:p>
            <w:pPr>
              <w:spacing w:after="0"/>
              <w:rPr>
                <w:sz w:val="14"/>
                <w:szCs w:val="14"/>
                <w:color w:val="auto"/>
              </w:rPr>
            </w:pPr>
          </w:p>
        </w:tc>
      </w:tr>
      <w:tr>
        <w:trPr>
          <w:trHeight w:val="163"/>
        </w:trPr>
        <w:tc>
          <w:tcPr>
            <w:tcW w:w="59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5"/>
              </w:rPr>
              <w:t>Title of Each Class</w:t>
            </w:r>
          </w:p>
        </w:tc>
        <w:tc>
          <w:tcPr>
            <w:tcW w:w="544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96"/>
              </w:rPr>
              <w:t>Name of Each Exchange on Which Registered</w:t>
            </w:r>
          </w:p>
        </w:tc>
      </w:tr>
      <w:tr>
        <w:trPr>
          <w:trHeight w:val="141"/>
        </w:trPr>
        <w:tc>
          <w:tcPr>
            <w:tcW w:w="5980" w:type="dxa"/>
            <w:vAlign w:val="bottom"/>
          </w:tcPr>
          <w:p>
            <w:pPr>
              <w:jc w:val="center"/>
              <w:ind w:right="72"/>
              <w:spacing w:after="0" w:line="141" w:lineRule="exact"/>
              <w:rPr>
                <w:sz w:val="20"/>
                <w:szCs w:val="20"/>
                <w:color w:val="auto"/>
              </w:rPr>
            </w:pPr>
            <w:r>
              <w:rPr>
                <w:rFonts w:ascii="Arial" w:cs="Arial" w:eastAsia="Arial" w:hAnsi="Arial"/>
                <w:sz w:val="14"/>
                <w:szCs w:val="14"/>
                <w:color w:val="auto"/>
                <w:w w:val="96"/>
              </w:rPr>
              <w:t>Class A Common Stock, $0.01 par value</w:t>
            </w:r>
          </w:p>
        </w:tc>
        <w:tc>
          <w:tcPr>
            <w:tcW w:w="5440" w:type="dxa"/>
            <w:vAlign w:val="bottom"/>
          </w:tcPr>
          <w:p>
            <w:pPr>
              <w:jc w:val="center"/>
              <w:spacing w:after="0" w:line="141"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59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6"/>
              </w:rPr>
              <w:t>2.0% Exchangeable Subordinated Debentures due 2029</w:t>
            </w:r>
          </w:p>
        </w:tc>
        <w:tc>
          <w:tcPr>
            <w:tcW w:w="54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59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5"/>
              </w:rPr>
              <w:t>5.00% Notes due 2061</w:t>
            </w:r>
          </w:p>
        </w:tc>
        <w:tc>
          <w:tcPr>
            <w:tcW w:w="54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59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5"/>
              </w:rPr>
              <w:t>5.50% Notes due 2029</w:t>
            </w:r>
          </w:p>
        </w:tc>
        <w:tc>
          <w:tcPr>
            <w:tcW w:w="54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62"/>
        </w:trPr>
        <w:tc>
          <w:tcPr>
            <w:tcW w:w="5980" w:type="dxa"/>
            <w:vAlign w:val="bottom"/>
          </w:tcPr>
          <w:p>
            <w:pPr>
              <w:jc w:val="center"/>
              <w:ind w:right="72"/>
              <w:spacing w:after="0"/>
              <w:rPr>
                <w:sz w:val="20"/>
                <w:szCs w:val="20"/>
                <w:color w:val="auto"/>
              </w:rPr>
            </w:pPr>
            <w:r>
              <w:rPr>
                <w:rFonts w:ascii="Arial" w:cs="Arial" w:eastAsia="Arial" w:hAnsi="Arial"/>
                <w:sz w:val="14"/>
                <w:szCs w:val="14"/>
                <w:color w:val="auto"/>
                <w:w w:val="96"/>
              </w:rPr>
              <w:t>9.455% Guaranteed Notes due 2022</w:t>
            </w:r>
          </w:p>
        </w:tc>
        <w:tc>
          <w:tcPr>
            <w:tcW w:w="5440" w:type="dxa"/>
            <w:vAlign w:val="bottom"/>
          </w:tcPr>
          <w:p>
            <w:pPr>
              <w:jc w:val="center"/>
              <w:ind w:left="12"/>
              <w:spacing w:after="0"/>
              <w:rPr>
                <w:sz w:val="20"/>
                <w:szCs w:val="20"/>
                <w:color w:val="auto"/>
              </w:rPr>
            </w:pPr>
            <w:r>
              <w:rPr>
                <w:rFonts w:ascii="Arial" w:cs="Arial" w:eastAsia="Arial" w:hAnsi="Arial"/>
                <w:sz w:val="14"/>
                <w:szCs w:val="14"/>
                <w:color w:val="auto"/>
                <w:w w:val="96"/>
              </w:rPr>
              <w:t>New York Stock Exchange</w:t>
            </w:r>
          </w:p>
        </w:tc>
      </w:tr>
      <w:tr>
        <w:trPr>
          <w:trHeight w:val="189"/>
        </w:trPr>
        <w:tc>
          <w:tcPr>
            <w:tcW w:w="5980" w:type="dxa"/>
            <w:vAlign w:val="bottom"/>
          </w:tcPr>
          <w:p>
            <w:pPr>
              <w:spacing w:after="0"/>
              <w:rPr>
                <w:sz w:val="20"/>
                <w:szCs w:val="20"/>
                <w:color w:val="auto"/>
              </w:rPr>
            </w:pPr>
            <w:r>
              <w:rPr>
                <w:rFonts w:ascii="Arial" w:cs="Arial" w:eastAsia="Arial" w:hAnsi="Arial"/>
                <w:sz w:val="14"/>
                <w:szCs w:val="14"/>
                <w:color w:val="auto"/>
              </w:rPr>
              <w:t>NBCUniversal Media, LLC – NONE</w:t>
            </w:r>
          </w:p>
        </w:tc>
        <w:tc>
          <w:tcPr>
            <w:tcW w:w="5440" w:type="dxa"/>
            <w:vAlign w:val="bottom"/>
          </w:tcPr>
          <w:p>
            <w:pPr>
              <w:spacing w:after="0"/>
              <w:rPr>
                <w:sz w:val="16"/>
                <w:szCs w:val="16"/>
                <w:color w:val="auto"/>
              </w:rPr>
            </w:pPr>
          </w:p>
        </w:tc>
      </w:tr>
    </w:tbl>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Comcast Corporation – 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NBCUniversal Media, LLC –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52705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ind w:left="3200"/>
        <w:spacing w:after="0" w:line="161" w:lineRule="exact"/>
        <w:tabs>
          <w:tab w:leader="none" w:pos="702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2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ectPr>
          <w:pgSz w:w="11900" w:h="16838" w:orient="portrait"/>
          <w:cols w:equalWidth="0" w:num="1">
            <w:col w:w="11420"/>
          </w:cols>
          <w:pgMar w:left="240" w:top="230" w:right="239" w:bottom="1440" w:gutter="0" w:footer="0" w:header="0"/>
        </w:sectPr>
      </w:pPr>
    </w:p>
    <w:p>
      <w:pPr>
        <w:spacing w:after="0" w:line="1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25" w:lineRule="exact"/>
        <w:rPr>
          <w:sz w:val="24"/>
          <w:szCs w:val="24"/>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2"/>
          <w:szCs w:val="12"/>
          <w:color w:val="auto"/>
        </w:rPr>
        <w:t>Yes</w:t>
      </w:r>
    </w:p>
    <w:p>
      <w:pPr>
        <w:jc w:val="right"/>
        <w:spacing w:after="0"/>
        <w:tabs>
          <w:tab w:leader="none" w:pos="20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ind w:left="440" w:hanging="440"/>
        <w:spacing w:after="0" w:line="161" w:lineRule="exact"/>
        <w:tabs>
          <w:tab w:leader="none" w:pos="4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 w:lineRule="exact"/>
        <w:rPr>
          <w:rFonts w:ascii="MS PGothic" w:cs="MS PGothic" w:eastAsia="MS PGothic" w:hAnsi="MS PGothic"/>
          <w:sz w:val="14"/>
          <w:szCs w:val="14"/>
          <w:color w:val="auto"/>
        </w:rPr>
      </w:pPr>
    </w:p>
    <w:p>
      <w:pPr>
        <w:ind w:left="440" w:hanging="440"/>
        <w:spacing w:after="0" w:line="161" w:lineRule="exact"/>
        <w:tabs>
          <w:tab w:leader="none" w:pos="4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sectPr>
          <w:pgSz w:w="11900" w:h="16838" w:orient="portrait"/>
          <w:cols w:equalWidth="0" w:num="2">
            <w:col w:w="7260" w:space="80"/>
            <w:col w:w="4080"/>
          </w:cols>
          <w:pgMar w:left="240" w:top="230" w:right="239" w:bottom="1440" w:gutter="0" w:footer="0" w:header="0"/>
          <w:type w:val="continuous"/>
        </w:sect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00"/>
        <w:spacing w:after="0" w:line="160" w:lineRule="exact"/>
        <w:tabs>
          <w:tab w:leader="none" w:pos="702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2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ind w:left="3200"/>
        <w:spacing w:after="0" w:line="160" w:lineRule="exact"/>
        <w:tabs>
          <w:tab w:leader="none" w:pos="702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2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w:t>
      </w:r>
    </w:p>
    <w:p>
      <w:pPr>
        <w:ind w:left="3200"/>
        <w:spacing w:after="0" w:line="149" w:lineRule="exact"/>
        <w:tabs>
          <w:tab w:leader="none" w:pos="808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MS PGothic" w:cs="MS PGothic" w:eastAsia="MS PGothic" w:hAnsi="MS PGothic"/>
          <w:sz w:val="12"/>
          <w:szCs w:val="12"/>
          <w:color w:val="auto"/>
        </w:rPr>
        <w:t>☐</w:t>
      </w:r>
    </w:p>
    <w:p>
      <w:pPr>
        <w:spacing w:after="0" w:line="14" w:lineRule="exact"/>
        <w:rPr>
          <w:sz w:val="24"/>
          <w:szCs w:val="24"/>
          <w:color w:val="auto"/>
        </w:rPr>
      </w:pPr>
    </w:p>
    <w:p>
      <w:pPr>
        <w:ind w:left="3200"/>
        <w:spacing w:after="0"/>
        <w:tabs>
          <w:tab w:leader="none" w:pos="798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2"/>
          <w:szCs w:val="12"/>
          <w:color w:val="auto"/>
        </w:rPr>
        <w:t>N/A</w:t>
      </w:r>
    </w:p>
    <w:p>
      <w:pPr>
        <w:spacing w:after="0" w:line="15"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36"/>
        </w:trPr>
        <w:tc>
          <w:tcPr>
            <w:tcW w:w="2060" w:type="dxa"/>
            <w:vAlign w:val="bottom"/>
          </w:tcPr>
          <w:p>
            <w:pPr>
              <w:spacing w:after="0" w:line="137" w:lineRule="exact"/>
              <w:rPr>
                <w:sz w:val="20"/>
                <w:szCs w:val="20"/>
                <w:color w:val="auto"/>
              </w:rPr>
            </w:pPr>
            <w:r>
              <w:rPr>
                <w:rFonts w:ascii="Arial" w:cs="Arial" w:eastAsia="Arial" w:hAnsi="Arial"/>
                <w:sz w:val="14"/>
                <w:szCs w:val="14"/>
                <w:color w:val="auto"/>
              </w:rPr>
              <w:t>Comcast Corporation</w:t>
            </w:r>
          </w:p>
        </w:tc>
        <w:tc>
          <w:tcPr>
            <w:tcW w:w="1840" w:type="dxa"/>
            <w:vAlign w:val="bottom"/>
          </w:tcPr>
          <w:p>
            <w:pPr>
              <w:ind w:left="480"/>
              <w:spacing w:after="0" w:line="137" w:lineRule="exact"/>
              <w:rPr>
                <w:sz w:val="20"/>
                <w:szCs w:val="20"/>
                <w:color w:val="auto"/>
              </w:rPr>
            </w:pPr>
            <w:r>
              <w:rPr>
                <w:rFonts w:ascii="Arial" w:cs="Arial" w:eastAsia="Arial" w:hAnsi="Arial"/>
                <w:sz w:val="14"/>
                <w:szCs w:val="14"/>
                <w:color w:val="auto"/>
                <w:w w:val="96"/>
              </w:rPr>
              <w:t>Large accelerated filer</w:t>
            </w:r>
          </w:p>
        </w:tc>
        <w:tc>
          <w:tcPr>
            <w:tcW w:w="960" w:type="dxa"/>
            <w:vAlign w:val="bottom"/>
          </w:tcPr>
          <w:p>
            <w:pPr>
              <w:jc w:val="center"/>
              <w:ind w:right="692"/>
              <w:spacing w:after="0" w:line="136" w:lineRule="exact"/>
              <w:rPr>
                <w:sz w:val="20"/>
                <w:szCs w:val="20"/>
                <w:color w:val="auto"/>
              </w:rPr>
            </w:pPr>
            <w:r>
              <w:rPr>
                <w:rFonts w:ascii="MS PGothic" w:cs="MS PGothic" w:eastAsia="MS PGothic" w:hAnsi="MS PGothic"/>
                <w:sz w:val="14"/>
                <w:szCs w:val="14"/>
                <w:color w:val="auto"/>
                <w:w w:val="85"/>
              </w:rPr>
              <w:t>☒</w:t>
            </w:r>
          </w:p>
        </w:tc>
        <w:tc>
          <w:tcPr>
            <w:tcW w:w="1100" w:type="dxa"/>
            <w:vAlign w:val="bottom"/>
          </w:tcPr>
          <w:p>
            <w:pPr>
              <w:ind w:left="100"/>
              <w:spacing w:after="0" w:line="137" w:lineRule="exact"/>
              <w:rPr>
                <w:sz w:val="20"/>
                <w:szCs w:val="20"/>
                <w:color w:val="auto"/>
              </w:rPr>
            </w:pPr>
            <w:r>
              <w:rPr>
                <w:rFonts w:ascii="Arial" w:cs="Arial" w:eastAsia="Arial" w:hAnsi="Arial"/>
                <w:sz w:val="14"/>
                <w:szCs w:val="14"/>
                <w:color w:val="auto"/>
                <w:w w:val="97"/>
              </w:rPr>
              <w:t>Accelerated filer</w:t>
            </w:r>
          </w:p>
        </w:tc>
        <w:tc>
          <w:tcPr>
            <w:tcW w:w="480" w:type="dxa"/>
            <w:vAlign w:val="bottom"/>
          </w:tcPr>
          <w:p>
            <w:pPr>
              <w:jc w:val="right"/>
              <w:ind w:right="252"/>
              <w:spacing w:after="0" w:line="136" w:lineRule="exact"/>
              <w:rPr>
                <w:sz w:val="20"/>
                <w:szCs w:val="20"/>
                <w:color w:val="auto"/>
              </w:rPr>
            </w:pPr>
            <w:r>
              <w:rPr>
                <w:rFonts w:ascii="MS PGothic" w:cs="MS PGothic" w:eastAsia="MS PGothic" w:hAnsi="MS PGothic"/>
                <w:sz w:val="14"/>
                <w:szCs w:val="14"/>
                <w:color w:val="auto"/>
                <w:w w:val="99"/>
              </w:rPr>
              <w:t>☐</w:t>
            </w:r>
          </w:p>
        </w:tc>
        <w:tc>
          <w:tcPr>
            <w:tcW w:w="2180" w:type="dxa"/>
            <w:vAlign w:val="bottom"/>
            <w:gridSpan w:val="4"/>
          </w:tcPr>
          <w:p>
            <w:pPr>
              <w:ind w:left="320"/>
              <w:spacing w:after="0" w:line="137"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060" w:type="dxa"/>
            <w:vAlign w:val="bottom"/>
          </w:tcPr>
          <w:p>
            <w:pPr>
              <w:ind w:left="400"/>
              <w:spacing w:after="0" w:line="137" w:lineRule="exact"/>
              <w:rPr>
                <w:sz w:val="20"/>
                <w:szCs w:val="20"/>
                <w:color w:val="auto"/>
              </w:rPr>
            </w:pPr>
            <w:r>
              <w:rPr>
                <w:rFonts w:ascii="Arial" w:cs="Arial" w:eastAsia="Arial" w:hAnsi="Arial"/>
                <w:sz w:val="14"/>
                <w:szCs w:val="14"/>
                <w:color w:val="auto"/>
                <w:w w:val="98"/>
              </w:rPr>
              <w:t>Smaller reporting company</w:t>
            </w:r>
          </w:p>
        </w:tc>
        <w:tc>
          <w:tcPr>
            <w:tcW w:w="160" w:type="dxa"/>
            <w:vAlign w:val="bottom"/>
          </w:tcPr>
          <w:p>
            <w:pPr>
              <w:ind w:left="40"/>
              <w:spacing w:after="0" w:line="136"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02"/>
        </w:trPr>
        <w:tc>
          <w:tcPr>
            <w:tcW w:w="206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840" w:type="dxa"/>
            <w:vAlign w:val="bottom"/>
          </w:tcPr>
          <w:p>
            <w:pPr>
              <w:ind w:left="480"/>
              <w:spacing w:after="0"/>
              <w:rPr>
                <w:sz w:val="20"/>
                <w:szCs w:val="20"/>
                <w:color w:val="auto"/>
              </w:rPr>
            </w:pPr>
            <w:r>
              <w:rPr>
                <w:rFonts w:ascii="Arial" w:cs="Arial" w:eastAsia="Arial" w:hAnsi="Arial"/>
                <w:sz w:val="14"/>
                <w:szCs w:val="14"/>
                <w:color w:val="auto"/>
                <w:w w:val="96"/>
              </w:rPr>
              <w:t>Large accelerated filer</w:t>
            </w:r>
          </w:p>
        </w:tc>
        <w:tc>
          <w:tcPr>
            <w:tcW w:w="960" w:type="dxa"/>
            <w:vAlign w:val="bottom"/>
          </w:tcPr>
          <w:p>
            <w:pPr>
              <w:jc w:val="center"/>
              <w:ind w:right="692"/>
              <w:spacing w:after="0" w:line="141" w:lineRule="exact"/>
              <w:rPr>
                <w:sz w:val="20"/>
                <w:szCs w:val="20"/>
                <w:color w:val="auto"/>
              </w:rPr>
            </w:pPr>
            <w:r>
              <w:rPr>
                <w:rFonts w:ascii="MS PGothic" w:cs="MS PGothic" w:eastAsia="MS PGothic" w:hAnsi="MS PGothic"/>
                <w:sz w:val="14"/>
                <w:szCs w:val="14"/>
                <w:color w:val="auto"/>
                <w:w w:val="85"/>
              </w:rPr>
              <w:t>☐</w:t>
            </w:r>
          </w:p>
        </w:tc>
        <w:tc>
          <w:tcPr>
            <w:tcW w:w="1100" w:type="dxa"/>
            <w:vAlign w:val="bottom"/>
          </w:tcPr>
          <w:p>
            <w:pPr>
              <w:ind w:left="100"/>
              <w:spacing w:after="0"/>
              <w:rPr>
                <w:sz w:val="20"/>
                <w:szCs w:val="20"/>
                <w:color w:val="auto"/>
              </w:rPr>
            </w:pPr>
            <w:r>
              <w:rPr>
                <w:rFonts w:ascii="Arial" w:cs="Arial" w:eastAsia="Arial" w:hAnsi="Arial"/>
                <w:sz w:val="14"/>
                <w:szCs w:val="14"/>
                <w:color w:val="auto"/>
                <w:w w:val="97"/>
              </w:rPr>
              <w:t>Accelerated filer</w:t>
            </w:r>
          </w:p>
        </w:tc>
        <w:tc>
          <w:tcPr>
            <w:tcW w:w="480" w:type="dxa"/>
            <w:vAlign w:val="bottom"/>
          </w:tcPr>
          <w:p>
            <w:pPr>
              <w:jc w:val="right"/>
              <w:ind w:right="252"/>
              <w:spacing w:after="0" w:line="141" w:lineRule="exact"/>
              <w:rPr>
                <w:sz w:val="20"/>
                <w:szCs w:val="20"/>
                <w:color w:val="auto"/>
              </w:rPr>
            </w:pPr>
            <w:r>
              <w:rPr>
                <w:rFonts w:ascii="MS PGothic" w:cs="MS PGothic" w:eastAsia="MS PGothic" w:hAnsi="MS PGothic"/>
                <w:sz w:val="14"/>
                <w:szCs w:val="14"/>
                <w:color w:val="auto"/>
                <w:w w:val="99"/>
              </w:rPr>
              <w:t>☐</w:t>
            </w:r>
          </w:p>
        </w:tc>
        <w:tc>
          <w:tcPr>
            <w:tcW w:w="2180" w:type="dxa"/>
            <w:vAlign w:val="bottom"/>
            <w:gridSpan w:val="4"/>
          </w:tcPr>
          <w:p>
            <w:pPr>
              <w:ind w:left="3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060" w:type="dxa"/>
            <w:vAlign w:val="bottom"/>
          </w:tcPr>
          <w:p>
            <w:pPr>
              <w:ind w:left="400"/>
              <w:spacing w:after="0"/>
              <w:rPr>
                <w:sz w:val="20"/>
                <w:szCs w:val="20"/>
                <w:color w:val="auto"/>
              </w:rPr>
            </w:pPr>
            <w:r>
              <w:rPr>
                <w:rFonts w:ascii="Arial" w:cs="Arial" w:eastAsia="Arial" w:hAnsi="Arial"/>
                <w:sz w:val="14"/>
                <w:szCs w:val="14"/>
                <w:color w:val="auto"/>
                <w:w w:val="98"/>
              </w:rPr>
              <w:t>Smaller reporting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2"/>
        </w:trPr>
        <w:tc>
          <w:tcPr>
            <w:tcW w:w="6440" w:type="dxa"/>
            <w:vAlign w:val="bottom"/>
            <w:gridSpan w:val="5"/>
          </w:tcPr>
          <w:p>
            <w:pPr>
              <w:jc w:val="right"/>
              <w:ind w:right="252"/>
              <w:spacing w:after="0"/>
              <w:rPr>
                <w:sz w:val="20"/>
                <w:szCs w:val="20"/>
                <w:color w:val="auto"/>
              </w:rPr>
            </w:pPr>
            <w:r>
              <w:rPr>
                <w:rFonts w:ascii="Arial" w:cs="Arial" w:eastAsia="Arial" w:hAnsi="Arial"/>
                <w:sz w:val="14"/>
                <w:szCs w:val="14"/>
                <w:color w:val="auto"/>
                <w:w w:val="96"/>
              </w:rPr>
              <w:t>Indicate by check mark whether the registrant is a shell company (as defined in Rule 12b-2 of the Act).</w:t>
            </w:r>
          </w:p>
        </w:tc>
        <w:tc>
          <w:tcPr>
            <w:tcW w:w="860" w:type="dxa"/>
            <w:vAlign w:val="bottom"/>
          </w:tcPr>
          <w:p>
            <w:pPr>
              <w:spacing w:after="0"/>
              <w:rPr>
                <w:sz w:val="14"/>
                <w:szCs w:val="14"/>
                <w:color w:val="auto"/>
              </w:rPr>
            </w:pPr>
          </w:p>
        </w:tc>
        <w:tc>
          <w:tcPr>
            <w:tcW w:w="32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spacing w:after="0"/>
              <w:rPr>
                <w:sz w:val="14"/>
                <w:szCs w:val="14"/>
                <w:color w:val="auto"/>
              </w:rPr>
            </w:pPr>
          </w:p>
        </w:tc>
        <w:tc>
          <w:tcPr>
            <w:tcW w:w="62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60" w:type="dxa"/>
            <w:vAlign w:val="bottom"/>
          </w:tcPr>
          <w:p>
            <w:pPr>
              <w:spacing w:after="0"/>
              <w:rPr>
                <w:sz w:val="11"/>
                <w:szCs w:val="11"/>
                <w:color w:val="auto"/>
              </w:rPr>
            </w:pPr>
          </w:p>
        </w:tc>
        <w:tc>
          <w:tcPr>
            <w:tcW w:w="2800" w:type="dxa"/>
            <w:vAlign w:val="bottom"/>
            <w:gridSpan w:val="2"/>
          </w:tcPr>
          <w:p>
            <w:pPr>
              <w:ind w:left="1140"/>
              <w:spacing w:after="0" w:line="136" w:lineRule="exact"/>
              <w:rPr>
                <w:sz w:val="20"/>
                <w:szCs w:val="20"/>
                <w:color w:val="auto"/>
              </w:rPr>
            </w:pPr>
            <w:r>
              <w:rPr>
                <w:rFonts w:ascii="Arial" w:cs="Arial" w:eastAsia="Arial" w:hAnsi="Arial"/>
                <w:sz w:val="14"/>
                <w:szCs w:val="14"/>
                <w:color w:val="auto"/>
              </w:rPr>
              <w:t>Comcast Corporation</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600"/>
              <w:spacing w:after="0" w:line="136" w:lineRule="exact"/>
              <w:rPr>
                <w:sz w:val="20"/>
                <w:szCs w:val="20"/>
                <w:color w:val="auto"/>
              </w:rPr>
            </w:pPr>
            <w:r>
              <w:rPr>
                <w:rFonts w:ascii="Arial" w:cs="Arial" w:eastAsia="Arial" w:hAnsi="Arial"/>
                <w:sz w:val="14"/>
                <w:szCs w:val="14"/>
                <w:color w:val="auto"/>
                <w:w w:val="99"/>
              </w:rPr>
              <w:t>Yes</w:t>
            </w:r>
          </w:p>
        </w:tc>
        <w:tc>
          <w:tcPr>
            <w:tcW w:w="320" w:type="dxa"/>
            <w:vAlign w:val="bottom"/>
            <w:vMerge w:val="continue"/>
          </w:tcPr>
          <w:p>
            <w:pPr>
              <w:spacing w:after="0"/>
              <w:rPr>
                <w:sz w:val="11"/>
                <w:szCs w:val="11"/>
                <w:color w:val="auto"/>
              </w:rPr>
            </w:pPr>
          </w:p>
        </w:tc>
        <w:tc>
          <w:tcPr>
            <w:tcW w:w="380" w:type="dxa"/>
            <w:vAlign w:val="bottom"/>
          </w:tcPr>
          <w:p>
            <w:pPr>
              <w:ind w:left="160"/>
              <w:spacing w:after="0" w:line="136" w:lineRule="exact"/>
              <w:rPr>
                <w:sz w:val="20"/>
                <w:szCs w:val="20"/>
                <w:color w:val="auto"/>
              </w:rPr>
            </w:pPr>
            <w:r>
              <w:rPr>
                <w:rFonts w:ascii="Arial" w:cs="Arial" w:eastAsia="Arial" w:hAnsi="Arial"/>
                <w:sz w:val="14"/>
                <w:szCs w:val="14"/>
                <w:color w:val="auto"/>
              </w:rPr>
              <w:t>No</w:t>
            </w:r>
          </w:p>
        </w:tc>
        <w:tc>
          <w:tcPr>
            <w:tcW w:w="62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60" w:type="dxa"/>
            <w:vAlign w:val="bottom"/>
          </w:tcPr>
          <w:p>
            <w:pPr>
              <w:spacing w:after="0"/>
              <w:rPr>
                <w:sz w:val="17"/>
                <w:szCs w:val="17"/>
                <w:color w:val="auto"/>
              </w:rPr>
            </w:pPr>
          </w:p>
        </w:tc>
        <w:tc>
          <w:tcPr>
            <w:tcW w:w="2800" w:type="dxa"/>
            <w:vAlign w:val="bottom"/>
            <w:gridSpan w:val="2"/>
          </w:tcPr>
          <w:p>
            <w:pPr>
              <w:jc w:val="center"/>
              <w:ind w:left="992"/>
              <w:spacing w:after="0"/>
              <w:rPr>
                <w:sz w:val="20"/>
                <w:szCs w:val="20"/>
                <w:color w:val="auto"/>
              </w:rPr>
            </w:pPr>
            <w:r>
              <w:rPr>
                <w:rFonts w:ascii="Arial" w:cs="Arial" w:eastAsia="Arial" w:hAnsi="Arial"/>
                <w:sz w:val="14"/>
                <w:szCs w:val="14"/>
                <w:color w:val="auto"/>
                <w:w w:val="96"/>
              </w:rPr>
              <w:t>NBCUniversal Media, LLC</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ind w:left="600"/>
              <w:spacing w:after="0"/>
              <w:rPr>
                <w:sz w:val="20"/>
                <w:szCs w:val="20"/>
                <w:color w:val="auto"/>
              </w:rPr>
            </w:pPr>
            <w:r>
              <w:rPr>
                <w:rFonts w:ascii="Arial" w:cs="Arial" w:eastAsia="Arial" w:hAnsi="Arial"/>
                <w:sz w:val="14"/>
                <w:szCs w:val="14"/>
                <w:color w:val="auto"/>
                <w:w w:val="99"/>
              </w:rPr>
              <w:t>Yes</w:t>
            </w:r>
          </w:p>
        </w:tc>
        <w:tc>
          <w:tcPr>
            <w:tcW w:w="3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160"/>
              <w:spacing w:after="0"/>
              <w:rPr>
                <w:sz w:val="20"/>
                <w:szCs w:val="20"/>
                <w:color w:val="auto"/>
              </w:rPr>
            </w:pPr>
            <w:r>
              <w:rPr>
                <w:rFonts w:ascii="Arial" w:cs="Arial" w:eastAsia="Arial" w:hAnsi="Arial"/>
                <w:sz w:val="14"/>
                <w:szCs w:val="14"/>
                <w:color w:val="auto"/>
              </w:rPr>
              <w:t>No</w:t>
            </w:r>
          </w:p>
        </w:tc>
        <w:tc>
          <w:tcPr>
            <w:tcW w:w="6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As of June 30, 2016, the aggregate market value of the Comcast Corporation common stock held by non-affiliates of the registrant was $155.940 billion.</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practicable date:</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As of December 31, 2016, there were 2,366,357,318 shares of Comcast Corporation Class A common stock and 9,444,375 shares of Class B common stock outstanding.</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1" w:lineRule="exact"/>
        <w:rPr>
          <w:sz w:val="24"/>
          <w:szCs w:val="24"/>
          <w:color w:val="auto"/>
        </w:rPr>
      </w:pPr>
    </w:p>
    <w:p>
      <w:pPr>
        <w:spacing w:after="0" w:line="243" w:lineRule="auto"/>
        <w:rPr>
          <w:sz w:val="20"/>
          <w:szCs w:val="20"/>
          <w:color w:val="auto"/>
        </w:rPr>
      </w:pPr>
      <w:r>
        <w:rPr>
          <w:rFonts w:ascii="Arial" w:cs="Arial" w:eastAsia="Arial" w:hAnsi="Arial"/>
          <w:sz w:val="14"/>
          <w:szCs w:val="14"/>
          <w:b w:val="1"/>
          <w:bCs w:val="1"/>
          <w:color w:val="auto"/>
        </w:rPr>
        <w:t>NBCUniversal Media, LLC meets the conditions set forth in General Instruction I(1)(a), (b) and (d)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59055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1" w:lineRule="exact"/>
        <w:rPr>
          <w:sz w:val="24"/>
          <w:szCs w:val="24"/>
          <w:color w:val="auto"/>
        </w:rPr>
      </w:pPr>
    </w:p>
    <w:p>
      <w:pPr>
        <w:ind w:right="1880"/>
        <w:spacing w:after="0" w:line="263" w:lineRule="auto"/>
        <w:rPr>
          <w:sz w:val="20"/>
          <w:szCs w:val="20"/>
          <w:color w:val="auto"/>
        </w:rPr>
      </w:pPr>
      <w:r>
        <w:rPr>
          <w:rFonts w:ascii="Arial" w:cs="Arial" w:eastAsia="Arial" w:hAnsi="Arial"/>
          <w:sz w:val="14"/>
          <w:szCs w:val="14"/>
          <w:color w:val="auto"/>
        </w:rPr>
        <w:t>Comcast Corporation – Part III – The registrant’s definitive Proxy Statement for its annual meeting of shareholders presently scheduled to be held in June 2017. NBCUniversal Media, LLC –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2016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color w:val="0C6DFF"/>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EE"/>
            </w:tcBorders>
          </w:tcPr>
          <w:p>
            <w:pPr>
              <w:spacing w:after="0" w:line="17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Business</w:t>
              </w:r>
            </w:hyperlink>
          </w:p>
        </w:tc>
        <w:tc>
          <w:tcPr>
            <w:tcW w:w="7940" w:type="dxa"/>
            <w:vAlign w:val="bottom"/>
            <w:gridSpan w:val="19"/>
          </w:tcPr>
          <w:p>
            <w:pPr>
              <w:spacing w:after="0"/>
              <w:rPr>
                <w:sz w:val="14"/>
                <w:szCs w:val="14"/>
                <w:color w:val="auto"/>
              </w:rPr>
            </w:pPr>
          </w:p>
        </w:tc>
        <w:tc>
          <w:tcPr>
            <w:tcW w:w="166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8660" w:type="dxa"/>
            <w:vAlign w:val="bottom"/>
            <w:gridSpan w:val="20"/>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Unresolved Staff Comments</w:t>
              </w:r>
            </w:hyperlink>
          </w:p>
        </w:tc>
        <w:tc>
          <w:tcPr>
            <w:tcW w:w="6460" w:type="dxa"/>
            <w:vAlign w:val="bottom"/>
            <w:gridSpan w:val="11"/>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8660" w:type="dxa"/>
            <w:vAlign w:val="bottom"/>
            <w:gridSpan w:val="20"/>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Legal Proceedings</w:t>
              </w:r>
            </w:hyperlink>
          </w:p>
        </w:tc>
        <w:tc>
          <w:tcPr>
            <w:tcW w:w="7200" w:type="dxa"/>
            <w:vAlign w:val="bottom"/>
            <w:gridSpan w:val="15"/>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8660" w:type="dxa"/>
            <w:vAlign w:val="bottom"/>
            <w:gridSpan w:val="2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5</w:t>
            </w:r>
          </w:p>
        </w:tc>
        <w:tc>
          <w:tcPr>
            <w:tcW w:w="8660" w:type="dxa"/>
            <w:vAlign w:val="bottom"/>
            <w:tcBorders>
              <w:bottom w:val="single" w:sz="8" w:color="0000EE"/>
            </w:tcBorders>
            <w:gridSpan w:val="20"/>
          </w:tcPr>
          <w:p>
            <w:pPr>
              <w:spacing w:after="0" w:line="17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Market for Registrant’s Common Equity, Related Stockholder Matters and Issuer Purchases of Equity Securities</w:t>
              </w:r>
            </w:hyperlink>
          </w:p>
        </w:tc>
        <w:tc>
          <w:tcPr>
            <w:tcW w:w="1660" w:type="dxa"/>
            <w:vAlign w:val="bottom"/>
          </w:tcPr>
          <w:p>
            <w:pPr>
              <w:jc w:val="right"/>
              <w:spacing w:after="0" w:line="172" w:lineRule="exact"/>
              <w:rPr>
                <w:sz w:val="20"/>
                <w:szCs w:val="20"/>
                <w:color w:val="auto"/>
              </w:rPr>
            </w:pPr>
            <w:r>
              <w:rPr>
                <w:rFonts w:ascii="Arial" w:cs="Arial" w:eastAsia="Arial" w:hAnsi="Arial"/>
                <w:sz w:val="18"/>
                <w:szCs w:val="18"/>
                <w:color w:val="auto"/>
              </w:rPr>
              <w:t>36</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Selected Financial Data</w:t>
              </w:r>
            </w:hyperlink>
          </w:p>
        </w:tc>
        <w:tc>
          <w:tcPr>
            <w:tcW w:w="6800" w:type="dxa"/>
            <w:vAlign w:val="bottom"/>
            <w:gridSpan w:val="14"/>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w:t>
            </w:r>
          </w:p>
        </w:tc>
        <w:tc>
          <w:tcPr>
            <w:tcW w:w="692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Management’s Discussion and Analysis of Financial Condition and Results of Operations</w:t>
              </w:r>
            </w:hyperlink>
          </w:p>
        </w:tc>
        <w:tc>
          <w:tcPr>
            <w:tcW w:w="1740" w:type="dxa"/>
            <w:vAlign w:val="bottom"/>
            <w:gridSpan w:val="3"/>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7A</w:t>
            </w:r>
          </w:p>
        </w:tc>
        <w:tc>
          <w:tcPr>
            <w:tcW w:w="8660" w:type="dxa"/>
            <w:vAlign w:val="bottom"/>
            <w:gridSpan w:val="20"/>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8</w:t>
            </w:r>
          </w:p>
        </w:tc>
        <w:tc>
          <w:tcPr>
            <w:tcW w:w="8660" w:type="dxa"/>
            <w:vAlign w:val="bottom"/>
            <w:gridSpan w:val="20"/>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Comcast Corporation Financial Statements and Supplementary Data</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w:t>
            </w:r>
          </w:p>
        </w:tc>
        <w:tc>
          <w:tcPr>
            <w:tcW w:w="8660" w:type="dxa"/>
            <w:vAlign w:val="bottom"/>
            <w:gridSpan w:val="20"/>
          </w:tcPr>
          <w:p>
            <w:pPr>
              <w:spacing w:after="0" w:line="182" w:lineRule="exact"/>
              <w:rPr>
                <w:rFonts w:ascii="Arial" w:cs="Arial" w:eastAsia="Arial" w:hAnsi="Arial"/>
                <w:sz w:val="18"/>
                <w:szCs w:val="18"/>
                <w:color w:val="0000EE"/>
              </w:rPr>
            </w:pPr>
            <w:hyperlink w:anchor="page124">
              <w:r>
                <w:rPr>
                  <w:rFonts w:ascii="Arial" w:cs="Arial" w:eastAsia="Arial" w:hAnsi="Arial"/>
                  <w:sz w:val="18"/>
                  <w:szCs w:val="18"/>
                  <w:color w:val="0000EE"/>
                </w:rPr>
                <w:t>Changes in and Disagreements with Accountants on Accounting and Financial Disclosure</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9A</w:t>
            </w:r>
          </w:p>
        </w:tc>
        <w:tc>
          <w:tcPr>
            <w:tcW w:w="69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24">
              <w:r>
                <w:rPr>
                  <w:rFonts w:ascii="Arial" w:cs="Arial" w:eastAsia="Arial" w:hAnsi="Arial"/>
                  <w:sz w:val="18"/>
                  <w:szCs w:val="18"/>
                  <w:color w:val="0000EE"/>
                </w:rPr>
                <w:t>Controls and Procedures</w:t>
              </w:r>
            </w:hyperlink>
          </w:p>
        </w:tc>
        <w:tc>
          <w:tcPr>
            <w:tcW w:w="1700" w:type="dxa"/>
            <w:vAlign w:val="bottom"/>
            <w:gridSpan w:val="2"/>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25">
              <w:r>
                <w:rPr>
                  <w:rFonts w:ascii="Arial" w:cs="Arial" w:eastAsia="Arial" w:hAnsi="Arial"/>
                  <w:sz w:val="18"/>
                  <w:szCs w:val="18"/>
                  <w:color w:val="0000EE"/>
                </w:rPr>
                <w:t>Other Information</w:t>
              </w:r>
            </w:hyperlink>
          </w:p>
        </w:tc>
        <w:tc>
          <w:tcPr>
            <w:tcW w:w="6720" w:type="dxa"/>
            <w:vAlign w:val="bottom"/>
            <w:gridSpan w:val="12"/>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122</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10</w:t>
            </w:r>
          </w:p>
        </w:tc>
        <w:tc>
          <w:tcPr>
            <w:tcW w:w="4400" w:type="dxa"/>
            <w:vAlign w:val="bottom"/>
            <w:tcBorders>
              <w:bottom w:val="single" w:sz="8" w:color="0000EE"/>
            </w:tcBorders>
            <w:gridSpan w:val="12"/>
          </w:tcPr>
          <w:p>
            <w:pPr>
              <w:spacing w:after="0" w:line="172" w:lineRule="exact"/>
              <w:rPr>
                <w:rFonts w:ascii="Arial" w:cs="Arial" w:eastAsia="Arial" w:hAnsi="Arial"/>
                <w:sz w:val="18"/>
                <w:szCs w:val="18"/>
                <w:color w:val="0000EE"/>
                <w:w w:val="97"/>
              </w:rPr>
            </w:pPr>
            <w:hyperlink w:anchor="page126">
              <w:r>
                <w:rPr>
                  <w:rFonts w:ascii="Arial" w:cs="Arial" w:eastAsia="Arial" w:hAnsi="Arial"/>
                  <w:sz w:val="18"/>
                  <w:szCs w:val="18"/>
                  <w:color w:val="0000EE"/>
                  <w:w w:val="97"/>
                </w:rPr>
                <w:t>Directors, Executive Officers and Corporate Governance</w:t>
              </w:r>
            </w:hyperlink>
          </w:p>
        </w:tc>
        <w:tc>
          <w:tcPr>
            <w:tcW w:w="4260" w:type="dxa"/>
            <w:vAlign w:val="bottom"/>
            <w:gridSpan w:val="8"/>
          </w:tcPr>
          <w:p>
            <w:pPr>
              <w:spacing w:after="0"/>
              <w:rPr>
                <w:sz w:val="14"/>
                <w:szCs w:val="14"/>
                <w:color w:val="auto"/>
              </w:rPr>
            </w:pPr>
          </w:p>
        </w:tc>
        <w:tc>
          <w:tcPr>
            <w:tcW w:w="1660" w:type="dxa"/>
            <w:vAlign w:val="bottom"/>
          </w:tcPr>
          <w:p>
            <w:pPr>
              <w:jc w:val="right"/>
              <w:spacing w:after="0" w:line="172" w:lineRule="exact"/>
              <w:rPr>
                <w:sz w:val="20"/>
                <w:szCs w:val="20"/>
                <w:color w:val="auto"/>
              </w:rPr>
            </w:pPr>
            <w:r>
              <w:rPr>
                <w:rFonts w:ascii="Arial" w:cs="Arial" w:eastAsia="Arial" w:hAnsi="Arial"/>
                <w:sz w:val="18"/>
                <w:szCs w:val="18"/>
                <w:color w:val="auto"/>
              </w:rPr>
              <w:t>123</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8660" w:type="dxa"/>
            <w:vAlign w:val="bottom"/>
            <w:gridSpan w:val="20"/>
          </w:tcPr>
          <w:p>
            <w:pPr>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Executive Compensation</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8660" w:type="dxa"/>
            <w:vAlign w:val="bottom"/>
            <w:gridSpan w:val="20"/>
          </w:tcPr>
          <w:p>
            <w:pPr>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Security Ownership of Certain Beneficial Owners and Management and Related Stockholder Matters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13</w:t>
            </w:r>
          </w:p>
        </w:tc>
        <w:tc>
          <w:tcPr>
            <w:tcW w:w="59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7"/>
              </w:rPr>
            </w:pPr>
            <w:hyperlink w:anchor="page128">
              <w:r>
                <w:rPr>
                  <w:rFonts w:ascii="Arial" w:cs="Arial" w:eastAsia="Arial" w:hAnsi="Arial"/>
                  <w:sz w:val="18"/>
                  <w:szCs w:val="18"/>
                  <w:color w:val="0000EE"/>
                  <w:w w:val="97"/>
                </w:rPr>
                <w:t>Certain Relationships and Related Transactions, and Director Independence</w:t>
              </w:r>
            </w:hyperlink>
          </w:p>
        </w:tc>
        <w:tc>
          <w:tcPr>
            <w:tcW w:w="1880" w:type="dxa"/>
            <w:vAlign w:val="bottom"/>
            <w:tcBorders>
              <w:top w:val="single" w:sz="8" w:color="0000EE"/>
            </w:tcBorders>
            <w:gridSpan w:val="3"/>
          </w:tcPr>
          <w:p>
            <w:pPr>
              <w:spacing w:after="0"/>
              <w:rPr>
                <w:sz w:val="15"/>
                <w:szCs w:val="15"/>
                <w:color w:val="auto"/>
              </w:rPr>
            </w:pPr>
          </w:p>
        </w:tc>
        <w:tc>
          <w:tcPr>
            <w:tcW w:w="840" w:type="dxa"/>
            <w:vAlign w:val="bottom"/>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14</w:t>
            </w:r>
          </w:p>
        </w:tc>
        <w:tc>
          <w:tcPr>
            <w:tcW w:w="8660" w:type="dxa"/>
            <w:vAlign w:val="bottom"/>
            <w:gridSpan w:val="20"/>
          </w:tcPr>
          <w:p>
            <w:pPr>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Principal Accountant Fees and Services</w:t>
              </w:r>
            </w:hyperlink>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15</w:t>
            </w:r>
          </w:p>
        </w:tc>
        <w:tc>
          <w:tcPr>
            <w:tcW w:w="8660" w:type="dxa"/>
            <w:vAlign w:val="bottom"/>
            <w:gridSpan w:val="20"/>
          </w:tcPr>
          <w:p>
            <w:pPr>
              <w:spacing w:after="0" w:line="172" w:lineRule="exact"/>
              <w:rPr>
                <w:rFonts w:ascii="Arial" w:cs="Arial" w:eastAsia="Arial" w:hAnsi="Arial"/>
                <w:sz w:val="18"/>
                <w:szCs w:val="18"/>
                <w:color w:val="0000EE"/>
              </w:rPr>
            </w:pPr>
            <w:hyperlink w:anchor="page129">
              <w:r>
                <w:rPr>
                  <w:rFonts w:ascii="Arial" w:cs="Arial" w:eastAsia="Arial" w:hAnsi="Arial"/>
                  <w:sz w:val="18"/>
                  <w:szCs w:val="18"/>
                  <w:color w:val="0000EE"/>
                </w:rPr>
                <w:t>Exhibits and Financial Statement Schedules</w:t>
              </w:r>
            </w:hyperlink>
          </w:p>
        </w:tc>
        <w:tc>
          <w:tcPr>
            <w:tcW w:w="1660" w:type="dxa"/>
            <w:vAlign w:val="bottom"/>
          </w:tcPr>
          <w:p>
            <w:pPr>
              <w:jc w:val="right"/>
              <w:spacing w:after="0" w:line="172" w:lineRule="exact"/>
              <w:rPr>
                <w:sz w:val="20"/>
                <w:szCs w:val="20"/>
                <w:color w:val="auto"/>
              </w:rPr>
            </w:pPr>
            <w:r>
              <w:rPr>
                <w:rFonts w:ascii="Arial" w:cs="Arial" w:eastAsia="Arial" w:hAnsi="Arial"/>
                <w:sz w:val="18"/>
                <w:szCs w:val="18"/>
                <w:color w:val="auto"/>
              </w:rPr>
              <w:t>126</w:t>
            </w:r>
          </w:p>
        </w:tc>
      </w:tr>
      <w:tr>
        <w:trPr>
          <w:trHeight w:val="183"/>
        </w:trPr>
        <w:tc>
          <w:tcPr>
            <w:tcW w:w="880" w:type="dxa"/>
            <w:vAlign w:val="bottom"/>
            <w:gridSpan w:val="2"/>
          </w:tcPr>
          <w:p>
            <w:pPr>
              <w:spacing w:after="0" w:line="182" w:lineRule="exact"/>
              <w:rPr>
                <w:rFonts w:ascii="Arial" w:cs="Arial" w:eastAsia="Arial" w:hAnsi="Arial"/>
                <w:sz w:val="18"/>
                <w:szCs w:val="18"/>
                <w:color w:val="0000EE"/>
                <w:w w:val="99"/>
              </w:rPr>
            </w:pPr>
            <w:hyperlink w:anchor="page138">
              <w:r>
                <w:rPr>
                  <w:rFonts w:ascii="Arial" w:cs="Arial" w:eastAsia="Arial" w:hAnsi="Arial"/>
                  <w:sz w:val="18"/>
                  <w:szCs w:val="18"/>
                  <w:color w:val="0000EE"/>
                  <w:w w:val="99"/>
                </w:rPr>
                <w:t>Signatures</w:t>
              </w:r>
            </w:hyperlink>
          </w:p>
        </w:tc>
        <w:tc>
          <w:tcPr>
            <w:tcW w:w="7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20"/>
        </w:trPr>
        <w:tc>
          <w:tcPr>
            <w:tcW w:w="840" w:type="dxa"/>
            <w:vAlign w:val="bottom"/>
            <w:shd w:val="clear" w:color="auto" w:fill="0000EE"/>
          </w:tcPr>
          <w:p>
            <w:pPr>
              <w:spacing w:after="0" w:line="20" w:lineRule="exact"/>
              <w:rPr>
                <w:sz w:val="1"/>
                <w:szCs w:val="1"/>
                <w:color w:val="auto"/>
              </w:rPr>
            </w:pPr>
          </w:p>
        </w:tc>
        <w:tc>
          <w:tcPr>
            <w:tcW w:w="4900" w:type="dxa"/>
            <w:vAlign w:val="bottom"/>
            <w:gridSpan w:val="15"/>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3"/>
        </w:trPr>
        <w:tc>
          <w:tcPr>
            <w:tcW w:w="57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140">
              <w:r>
                <w:rPr>
                  <w:rFonts w:ascii="Arial" w:cs="Arial" w:eastAsia="Arial" w:hAnsi="Arial"/>
                  <w:sz w:val="18"/>
                  <w:szCs w:val="18"/>
                  <w:color w:val="0000EE"/>
                  <w:w w:val="97"/>
                </w:rPr>
                <w:t>NBCUniversal Media, LLC Financial Statements and Supplementary Data</w:t>
              </w:r>
            </w:hyperlink>
          </w:p>
        </w:tc>
        <w:tc>
          <w:tcPr>
            <w:tcW w:w="3800" w:type="dxa"/>
            <w:vAlign w:val="bottom"/>
            <w:gridSpan w:val="6"/>
          </w:tcPr>
          <w:p>
            <w:pPr>
              <w:spacing w:after="0"/>
              <w:rPr>
                <w:sz w:val="15"/>
                <w:szCs w:val="15"/>
                <w:color w:val="auto"/>
              </w:rPr>
            </w:pP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137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Annual Report on Form 10-K is a combined report being filed separately by Comcast Corporation (“Comcast”) and NBCUniversal Media, LLC (“NBCUniversal”). Comcast owns all of the common equity interests in NBCUniversal, and NBCUniversal meets the conditions set forth in General Instruction I(1)(a), (b) and (d) of Form 10-K and is therefore filing its information within this Form 10-K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consolidated financial statements for each company, along with notes to the consolidated financial statements, are included in this report. Unless indicated otherwise, throughout this Annual Report on Form 10-K, we refer to Comcast and its consolidated subsidiaries, including NBCUniversal and its consolidated subsidiaries, as “we,” “us” and “our;” Comcast Cable Communications, LLC and its subsidiaries as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Comcast Holdings Corporation as “Comcast Holdings;” and NBCUniversal, LLC as “NBCUniversal Holdings.”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on Form 10-K is for the year ended December 31, 2016. This Annual Report on Form 10-K modifies and supersedes documents filed before it.</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 Business</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 In 2011, we acquired control of NBCUniversal from General Electric Company (the “NBCUniversal transaction”), and in 2013, we acquired General Electric Company’s remaining interest in NBCUniversal.</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92" w:lineRule="exact"/>
        <w:rPr>
          <w:sz w:val="20"/>
          <w:szCs w:val="20"/>
          <w:color w:val="auto"/>
        </w:rPr>
      </w:pPr>
    </w:p>
    <w:p>
      <w:pPr>
        <w:jc w:val="both"/>
        <w:ind w:left="1020" w:right="1240" w:hanging="215"/>
        <w:spacing w:after="0" w:line="24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w:t>
      </w:r>
      <w:r>
        <w:rPr>
          <w:rFonts w:ascii="Arial" w:cs="Arial" w:eastAsia="Arial" w:hAnsi="Arial"/>
          <w:sz w:val="18"/>
          <w:szCs w:val="18"/>
          <w:b w:val="1"/>
          <w:bCs w:val="1"/>
          <w:color w:val="auto"/>
        </w:rPr>
        <w:t xml:space="preserve"> </w:t>
      </w:r>
      <w:r>
        <w:rPr>
          <w:rFonts w:ascii="Arial" w:cs="Arial" w:eastAsia="Arial" w:hAnsi="Arial"/>
          <w:sz w:val="18"/>
          <w:szCs w:val="18"/>
          <w:color w:val="auto"/>
        </w:rPr>
        <w:t>of video, high-speed Internet and voice services (“cable services”) to residential customers under the XFINITY brand; we also provide these and other services to business customers and sell advertising.</w:t>
      </w:r>
    </w:p>
    <w:p>
      <w:pPr>
        <w:spacing w:after="0" w:line="85" w:lineRule="exact"/>
        <w:rPr>
          <w:rFonts w:ascii="Arial" w:cs="Arial" w:eastAsia="Arial" w:hAnsi="Arial"/>
          <w:sz w:val="18"/>
          <w:szCs w:val="18"/>
          <w:color w:val="auto"/>
        </w:rPr>
      </w:pPr>
    </w:p>
    <w:p>
      <w:pPr>
        <w:ind w:left="1020" w:right="1260" w:hanging="215"/>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cable networks, and our cable television studio production operations.</w:t>
      </w:r>
    </w:p>
    <w:p>
      <w:pPr>
        <w:spacing w:after="0" w:line="71" w:lineRule="exact"/>
        <w:rPr>
          <w:rFonts w:ascii="Arial" w:cs="Arial" w:eastAsia="Arial" w:hAnsi="Arial"/>
          <w:sz w:val="18"/>
          <w:szCs w:val="18"/>
          <w:color w:val="auto"/>
        </w:rPr>
      </w:pPr>
    </w:p>
    <w:p>
      <w:pPr>
        <w:ind w:left="1020" w:right="1240" w:hanging="215"/>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w:t>
      </w:r>
      <w:r>
        <w:rPr>
          <w:rFonts w:ascii="Arial" w:cs="Arial" w:eastAsia="Arial" w:hAnsi="Arial"/>
          <w:sz w:val="18"/>
          <w:szCs w:val="18"/>
          <w:b w:val="1"/>
          <w:bCs w:val="1"/>
          <w:color w:val="auto"/>
        </w:rPr>
        <w:t xml:space="preserve"> </w:t>
      </w:r>
      <w:r>
        <w:rPr>
          <w:rFonts w:ascii="Arial" w:cs="Arial" w:eastAsia="Arial" w:hAnsi="Arial"/>
          <w:sz w:val="18"/>
          <w:szCs w:val="18"/>
          <w:color w:val="auto"/>
        </w:rPr>
        <w:t>owned local broadcast television stations, and our broadcast television studio production operations.</w:t>
      </w:r>
    </w:p>
    <w:p>
      <w:pPr>
        <w:spacing w:after="0" w:line="71" w:lineRule="exact"/>
        <w:rPr>
          <w:rFonts w:ascii="Arial" w:cs="Arial" w:eastAsia="Arial" w:hAnsi="Arial"/>
          <w:sz w:val="18"/>
          <w:szCs w:val="18"/>
          <w:color w:val="auto"/>
        </w:rPr>
      </w:pPr>
    </w:p>
    <w:p>
      <w:pPr>
        <w:jc w:val="both"/>
        <w:ind w:left="1020" w:right="1260" w:hanging="215"/>
        <w:spacing w:after="0" w:line="24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distributes filmed entertainment worldwide, as well as DreamWorks Animation, which we acquired in August 2016; our films are also produced under the Illumination and Focus Features names.</w:t>
      </w:r>
    </w:p>
    <w:p>
      <w:pPr>
        <w:spacing w:after="0" w:line="85" w:lineRule="exact"/>
        <w:rPr>
          <w:rFonts w:ascii="Arial" w:cs="Arial" w:eastAsia="Arial" w:hAnsi="Arial"/>
          <w:sz w:val="18"/>
          <w:szCs w:val="18"/>
          <w:color w:val="auto"/>
        </w:rPr>
      </w:pPr>
    </w:p>
    <w:p>
      <w:pPr>
        <w:jc w:val="both"/>
        <w:ind w:left="1020" w:right="1240" w:hanging="215"/>
        <w:spacing w:after="0" w:line="24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51% interest in the Universal Studios theme park in Osaka, Japan (“Universal Studios Japan”), which we acquired in November 2015.</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other business interests consist primarily of Comcast Spectacor, which owns the Philadelphia Flyers and the Wells Fargo Center arena in Philadelphia, Pennsylvania and operates arena management-related businesses. We are also pursuing other business initiatives, such as a wireless phone service that we expect to launch in 2017 using our virtual network operator rights to provide the service over a third party’s wireless network.</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financial and other information about our reportable business segments, refer to Item 7: Management’s Discussion and Analysis of Financial Condition and Results of Operations, Note 17 to Comcast’s consolidated financial statements, and Note 16 to NBCUniversal’s consolidated financial statements included in this Annual Report on Form 10-K.</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Websites</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Comcast’s phone number is (215) 286-1700, and its principal executive offices are located at One Comcast Center, Philadelphia, PA 19103-2838. NBCUniversal’s phone number is (212) 664-4444, and its principal executive offices are located at 30 Rockefeller Plaza, New York, NY 10112-0015. Comcast and NBCUniversal’s</w:t>
      </w:r>
    </w:p>
    <w:p>
      <w:pPr>
        <w:spacing w:after="0" w:line="323"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Comcast’s website at www.comcastcorporation.com as soon as reasonably practicable after such reports are electronically filed with the SEC. The information posted on our websites is not incorporated into our SEC filings. The public may read and copy any materials filed with the SEC at the SEC’s Public Reference Room at 100 F Street, NE, Washington, DC 20549. The public may obtain information on the operation of the Public Reference Room by calling the SEC at 1-800-SEC-0330.</w:t>
      </w:r>
    </w:p>
    <w:p>
      <w:pPr>
        <w:spacing w:after="0" w:line="311"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customer and penetration data for our cable system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2015</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6120" w:type="dxa"/>
            <w:vAlign w:val="bottom"/>
          </w:tcPr>
          <w:p>
            <w:pPr>
              <w:spacing w:after="0" w:line="177" w:lineRule="exact"/>
              <w:rPr>
                <w:sz w:val="20"/>
                <w:szCs w:val="20"/>
                <w:color w:val="auto"/>
              </w:rPr>
            </w:pPr>
            <w:r>
              <w:rPr>
                <w:rFonts w:ascii="Arial" w:cs="Arial" w:eastAsia="Arial" w:hAnsi="Arial"/>
                <w:sz w:val="16"/>
                <w:szCs w:val="16"/>
                <w:color w:val="auto"/>
              </w:rPr>
              <w:t>Homes and businesses passed</w:t>
            </w:r>
            <w:r>
              <w:rPr>
                <w:rFonts w:ascii="Arial" w:cs="Arial" w:eastAsia="Arial" w:hAnsi="Arial"/>
                <w:sz w:val="20"/>
                <w:szCs w:val="20"/>
                <w:color w:val="auto"/>
                <w:vertAlign w:val="superscript"/>
              </w:rPr>
              <w:t>(a)</w:t>
            </w:r>
          </w:p>
        </w:tc>
        <w:tc>
          <w:tcPr>
            <w:tcW w:w="3900" w:type="dxa"/>
            <w:vAlign w:val="bottom"/>
          </w:tcPr>
          <w:p>
            <w:pPr>
              <w:jc w:val="right"/>
              <w:ind w:right="194"/>
              <w:spacing w:after="0" w:line="177" w:lineRule="exact"/>
              <w:rPr>
                <w:sz w:val="20"/>
                <w:szCs w:val="20"/>
                <w:color w:val="auto"/>
              </w:rPr>
            </w:pPr>
            <w:r>
              <w:rPr>
                <w:rFonts w:ascii="Arial" w:cs="Arial" w:eastAsia="Arial" w:hAnsi="Arial"/>
                <w:sz w:val="18"/>
                <w:szCs w:val="18"/>
                <w:b w:val="1"/>
                <w:bCs w:val="1"/>
                <w:color w:val="auto"/>
              </w:rPr>
              <w:t>56.4</w:t>
            </w:r>
          </w:p>
        </w:tc>
        <w:tc>
          <w:tcPr>
            <w:tcW w:w="720" w:type="dxa"/>
            <w:vAlign w:val="bottom"/>
          </w:tcPr>
          <w:p>
            <w:pPr>
              <w:jc w:val="right"/>
              <w:ind w:right="174"/>
              <w:spacing w:after="0" w:line="177" w:lineRule="exact"/>
              <w:rPr>
                <w:sz w:val="20"/>
                <w:szCs w:val="20"/>
                <w:color w:val="auto"/>
              </w:rPr>
            </w:pPr>
            <w:r>
              <w:rPr>
                <w:rFonts w:ascii="Arial" w:cs="Arial" w:eastAsia="Arial" w:hAnsi="Arial"/>
                <w:sz w:val="18"/>
                <w:szCs w:val="18"/>
                <w:color w:val="auto"/>
              </w:rPr>
              <w:t>55.7</w:t>
            </w:r>
          </w:p>
        </w:tc>
        <w:tc>
          <w:tcPr>
            <w:tcW w:w="680" w:type="dxa"/>
            <w:vAlign w:val="bottom"/>
          </w:tcPr>
          <w:p>
            <w:pPr>
              <w:jc w:val="right"/>
              <w:ind w:right="134"/>
              <w:spacing w:after="0" w:line="177"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color w:val="auto"/>
              </w:rPr>
              <w:t>Total customer relationships</w:t>
            </w:r>
            <w:r>
              <w:rPr>
                <w:rFonts w:ascii="Arial" w:cs="Arial" w:eastAsia="Arial" w:hAnsi="Arial"/>
                <w:sz w:val="22"/>
                <w:szCs w:val="22"/>
                <w:color w:val="auto"/>
                <w:vertAlign w:val="superscript"/>
              </w:rPr>
              <w:t>(b)</w:t>
            </w:r>
          </w:p>
        </w:tc>
        <w:tc>
          <w:tcPr>
            <w:tcW w:w="390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28.6</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27.7</w:t>
            </w: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3" w:lineRule="exact"/>
              <w:rPr>
                <w:sz w:val="20"/>
                <w:szCs w:val="20"/>
                <w:color w:val="auto"/>
              </w:rPr>
            </w:pPr>
            <w:r>
              <w:rPr>
                <w:rFonts w:ascii="Arial" w:cs="Arial" w:eastAsia="Arial" w:hAnsi="Arial"/>
                <w:sz w:val="18"/>
                <w:szCs w:val="18"/>
                <w:color w:val="auto"/>
              </w:rPr>
              <w:t>Single product customers</w:t>
            </w:r>
            <w:r>
              <w:rPr>
                <w:rFonts w:ascii="Arial" w:cs="Arial" w:eastAsia="Arial" w:hAnsi="Arial"/>
                <w:sz w:val="22"/>
                <w:szCs w:val="22"/>
                <w:color w:val="auto"/>
                <w:vertAlign w:val="superscript"/>
              </w:rPr>
              <w:t>(b)</w:t>
            </w:r>
          </w:p>
        </w:tc>
        <w:tc>
          <w:tcPr>
            <w:tcW w:w="390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8.5</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8.4</w:t>
            </w: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3" w:lineRule="exact"/>
              <w:rPr>
                <w:sz w:val="20"/>
                <w:szCs w:val="20"/>
                <w:color w:val="auto"/>
              </w:rPr>
            </w:pPr>
            <w:r>
              <w:rPr>
                <w:rFonts w:ascii="Arial" w:cs="Arial" w:eastAsia="Arial" w:hAnsi="Arial"/>
                <w:sz w:val="18"/>
                <w:szCs w:val="18"/>
                <w:color w:val="auto"/>
              </w:rPr>
              <w:t>Double product customers</w:t>
            </w:r>
            <w:r>
              <w:rPr>
                <w:rFonts w:ascii="Arial" w:cs="Arial" w:eastAsia="Arial" w:hAnsi="Arial"/>
                <w:sz w:val="22"/>
                <w:szCs w:val="22"/>
                <w:color w:val="auto"/>
                <w:vertAlign w:val="superscript"/>
              </w:rPr>
              <w:t>(b)</w:t>
            </w:r>
          </w:p>
        </w:tc>
        <w:tc>
          <w:tcPr>
            <w:tcW w:w="390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9.7</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9.2</w:t>
            </w:r>
          </w:p>
        </w:tc>
        <w:tc>
          <w:tcPr>
            <w:tcW w:w="68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line="225" w:lineRule="exact"/>
              <w:rPr>
                <w:sz w:val="20"/>
                <w:szCs w:val="20"/>
                <w:color w:val="auto"/>
              </w:rPr>
            </w:pPr>
            <w:r>
              <w:rPr>
                <w:rFonts w:ascii="Arial" w:cs="Arial" w:eastAsia="Arial" w:hAnsi="Arial"/>
                <w:sz w:val="18"/>
                <w:szCs w:val="18"/>
                <w:color w:val="auto"/>
              </w:rPr>
              <w:t>Triple product customers</w:t>
            </w:r>
            <w:r>
              <w:rPr>
                <w:rFonts w:ascii="Arial" w:cs="Arial" w:eastAsia="Arial" w:hAnsi="Arial"/>
                <w:sz w:val="22"/>
                <w:szCs w:val="22"/>
                <w:color w:val="auto"/>
                <w:vertAlign w:val="superscript"/>
              </w:rPr>
              <w:t>(b)</w:t>
            </w:r>
          </w:p>
        </w:tc>
        <w:tc>
          <w:tcPr>
            <w:tcW w:w="3900" w:type="dxa"/>
            <w:vAlign w:val="bottom"/>
          </w:tcPr>
          <w:p>
            <w:pPr>
              <w:jc w:val="right"/>
              <w:ind w:right="194"/>
              <w:spacing w:after="0"/>
              <w:rPr>
                <w:sz w:val="20"/>
                <w:szCs w:val="20"/>
                <w:color w:val="auto"/>
              </w:rPr>
            </w:pPr>
            <w:r>
              <w:rPr>
                <w:rFonts w:ascii="Arial" w:cs="Arial" w:eastAsia="Arial" w:hAnsi="Arial"/>
                <w:sz w:val="18"/>
                <w:szCs w:val="18"/>
                <w:b w:val="1"/>
                <w:bCs w:val="1"/>
                <w:color w:val="auto"/>
              </w:rPr>
              <w:t>10.3</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10.1</w:t>
            </w: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Video</w:t>
            </w:r>
          </w:p>
        </w:tc>
        <w:tc>
          <w:tcPr>
            <w:tcW w:w="390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22.5</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120" w:type="dxa"/>
            <w:vAlign w:val="bottom"/>
          </w:tcPr>
          <w:p>
            <w:pPr>
              <w:ind w:left="220"/>
              <w:spacing w:after="0" w:line="181" w:lineRule="exact"/>
              <w:rPr>
                <w:sz w:val="20"/>
                <w:szCs w:val="20"/>
                <w:color w:val="auto"/>
              </w:rPr>
            </w:pPr>
            <w:r>
              <w:rPr>
                <w:rFonts w:ascii="Arial" w:cs="Arial" w:eastAsia="Arial" w:hAnsi="Arial"/>
                <w:sz w:val="16"/>
                <w:szCs w:val="16"/>
                <w:color w:val="auto"/>
              </w:rPr>
              <w:t>Video customers</w:t>
            </w:r>
            <w:r>
              <w:rPr>
                <w:rFonts w:ascii="Arial" w:cs="Arial" w:eastAsia="Arial" w:hAnsi="Arial"/>
                <w:sz w:val="20"/>
                <w:szCs w:val="20"/>
                <w:color w:val="auto"/>
                <w:vertAlign w:val="superscript"/>
              </w:rPr>
              <w:t>(c)</w:t>
            </w:r>
          </w:p>
        </w:tc>
        <w:tc>
          <w:tcPr>
            <w:tcW w:w="390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22.3</w:t>
            </w:r>
          </w:p>
        </w:tc>
        <w:tc>
          <w:tcPr>
            <w:tcW w:w="68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line="225" w:lineRule="exact"/>
              <w:rPr>
                <w:sz w:val="20"/>
                <w:szCs w:val="20"/>
                <w:color w:val="auto"/>
              </w:rPr>
            </w:pPr>
            <w:r>
              <w:rPr>
                <w:rFonts w:ascii="Arial" w:cs="Arial" w:eastAsia="Arial" w:hAnsi="Arial"/>
                <w:sz w:val="18"/>
                <w:szCs w:val="18"/>
                <w:color w:val="auto"/>
              </w:rPr>
              <w:t>Video penetration</w:t>
            </w:r>
            <w:r>
              <w:rPr>
                <w:rFonts w:ascii="Arial" w:cs="Arial" w:eastAsia="Arial" w:hAnsi="Arial"/>
                <w:sz w:val="22"/>
                <w:szCs w:val="22"/>
                <w:color w:val="auto"/>
                <w:vertAlign w:val="superscript"/>
              </w:rPr>
              <w:t>(d)</w:t>
            </w:r>
          </w:p>
        </w:tc>
        <w:tc>
          <w:tcPr>
            <w:tcW w:w="3900" w:type="dxa"/>
            <w:vAlign w:val="bottom"/>
          </w:tcPr>
          <w:p>
            <w:pPr>
              <w:jc w:val="right"/>
              <w:ind w:right="34"/>
              <w:spacing w:after="0"/>
              <w:rPr>
                <w:sz w:val="20"/>
                <w:szCs w:val="20"/>
                <w:color w:val="auto"/>
              </w:rPr>
            </w:pPr>
            <w:r>
              <w:rPr>
                <w:rFonts w:ascii="Arial" w:cs="Arial" w:eastAsia="Arial" w:hAnsi="Arial"/>
                <w:sz w:val="18"/>
                <w:szCs w:val="18"/>
                <w:b w:val="1"/>
                <w:bCs w:val="1"/>
                <w:color w:val="auto"/>
              </w:rPr>
              <w:t>39.9%</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40.1%</w:t>
            </w: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390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24.7</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120" w:type="dxa"/>
            <w:vAlign w:val="bottom"/>
          </w:tcPr>
          <w:p>
            <w:pPr>
              <w:ind w:left="220"/>
              <w:spacing w:after="0" w:line="181" w:lineRule="exact"/>
              <w:rPr>
                <w:sz w:val="20"/>
                <w:szCs w:val="20"/>
                <w:color w:val="auto"/>
              </w:rPr>
            </w:pPr>
            <w:r>
              <w:rPr>
                <w:rFonts w:ascii="Arial" w:cs="Arial" w:eastAsia="Arial" w:hAnsi="Arial"/>
                <w:sz w:val="18"/>
                <w:szCs w:val="18"/>
                <w:color w:val="auto"/>
              </w:rPr>
              <w:t>High-speed Internet customers</w:t>
            </w:r>
          </w:p>
        </w:tc>
        <w:tc>
          <w:tcPr>
            <w:tcW w:w="390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23.3</w:t>
            </w:r>
          </w:p>
        </w:tc>
        <w:tc>
          <w:tcPr>
            <w:tcW w:w="68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line="225" w:lineRule="exact"/>
              <w:rPr>
                <w:sz w:val="20"/>
                <w:szCs w:val="20"/>
                <w:color w:val="auto"/>
              </w:rPr>
            </w:pPr>
            <w:r>
              <w:rPr>
                <w:rFonts w:ascii="Arial" w:cs="Arial" w:eastAsia="Arial" w:hAnsi="Arial"/>
                <w:sz w:val="18"/>
                <w:szCs w:val="18"/>
                <w:color w:val="auto"/>
              </w:rPr>
              <w:t>High-speed Internet penetration</w:t>
            </w:r>
            <w:r>
              <w:rPr>
                <w:rFonts w:ascii="Arial" w:cs="Arial" w:eastAsia="Arial" w:hAnsi="Arial"/>
                <w:sz w:val="22"/>
                <w:szCs w:val="22"/>
                <w:color w:val="auto"/>
                <w:vertAlign w:val="superscript"/>
              </w:rPr>
              <w:t>(d)</w:t>
            </w:r>
          </w:p>
        </w:tc>
        <w:tc>
          <w:tcPr>
            <w:tcW w:w="3900" w:type="dxa"/>
            <w:vAlign w:val="bottom"/>
          </w:tcPr>
          <w:p>
            <w:pPr>
              <w:jc w:val="right"/>
              <w:ind w:right="34"/>
              <w:spacing w:after="0"/>
              <w:rPr>
                <w:sz w:val="20"/>
                <w:szCs w:val="20"/>
                <w:color w:val="auto"/>
              </w:rPr>
            </w:pPr>
            <w:r>
              <w:rPr>
                <w:rFonts w:ascii="Arial" w:cs="Arial" w:eastAsia="Arial" w:hAnsi="Arial"/>
                <w:sz w:val="18"/>
                <w:szCs w:val="18"/>
                <w:b w:val="1"/>
                <w:bCs w:val="1"/>
                <w:color w:val="auto"/>
              </w:rPr>
              <w:t>43.8%</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41.9%</w:t>
            </w:r>
          </w:p>
        </w:tc>
        <w:tc>
          <w:tcPr>
            <w:tcW w:w="68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Voice</w:t>
            </w:r>
          </w:p>
        </w:tc>
        <w:tc>
          <w:tcPr>
            <w:tcW w:w="390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11.7</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120" w:type="dxa"/>
            <w:vAlign w:val="bottom"/>
          </w:tcPr>
          <w:p>
            <w:pPr>
              <w:ind w:left="220"/>
              <w:spacing w:after="0" w:line="181" w:lineRule="exact"/>
              <w:rPr>
                <w:sz w:val="20"/>
                <w:szCs w:val="20"/>
                <w:color w:val="auto"/>
              </w:rPr>
            </w:pPr>
            <w:r>
              <w:rPr>
                <w:rFonts w:ascii="Arial" w:cs="Arial" w:eastAsia="Arial" w:hAnsi="Arial"/>
                <w:sz w:val="18"/>
                <w:szCs w:val="18"/>
                <w:color w:val="auto"/>
              </w:rPr>
              <w:t>Voice customers</w:t>
            </w:r>
          </w:p>
        </w:tc>
        <w:tc>
          <w:tcPr>
            <w:tcW w:w="390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11.5</w:t>
            </w:r>
          </w:p>
        </w:tc>
        <w:tc>
          <w:tcPr>
            <w:tcW w:w="68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1"/>
        </w:trPr>
        <w:tc>
          <w:tcPr>
            <w:tcW w:w="6120" w:type="dxa"/>
            <w:vAlign w:val="bottom"/>
            <w:tcBorders>
              <w:bottom w:val="single" w:sz="8" w:color="auto"/>
            </w:tcBorders>
          </w:tcPr>
          <w:p>
            <w:pPr>
              <w:ind w:left="220"/>
              <w:spacing w:after="0" w:line="222" w:lineRule="exact"/>
              <w:rPr>
                <w:sz w:val="20"/>
                <w:szCs w:val="20"/>
                <w:color w:val="auto"/>
              </w:rPr>
            </w:pPr>
            <w:r>
              <w:rPr>
                <w:rFonts w:ascii="Arial" w:cs="Arial" w:eastAsia="Arial" w:hAnsi="Arial"/>
                <w:sz w:val="18"/>
                <w:szCs w:val="18"/>
                <w:color w:val="auto"/>
              </w:rPr>
              <w:t>Voice penetration</w:t>
            </w:r>
            <w:r>
              <w:rPr>
                <w:rFonts w:ascii="Arial" w:cs="Arial" w:eastAsia="Arial" w:hAnsi="Arial"/>
                <w:sz w:val="22"/>
                <w:szCs w:val="22"/>
                <w:color w:val="auto"/>
                <w:vertAlign w:val="superscript"/>
              </w:rPr>
              <w:t>(d)</w:t>
            </w:r>
          </w:p>
        </w:tc>
        <w:tc>
          <w:tcPr>
            <w:tcW w:w="3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20.7%</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Basis of Presentation: Customer metrics include our residential and business customers. All percentages are calculated based on actual amounts. Minor differences may exist due to rounding.</w:t>
      </w:r>
    </w:p>
    <w:p>
      <w:pPr>
        <w:spacing w:after="0" w:line="55" w:lineRule="exact"/>
        <w:rPr>
          <w:sz w:val="20"/>
          <w:szCs w:val="20"/>
          <w:color w:val="auto"/>
        </w:rPr>
      </w:pPr>
    </w:p>
    <w:p>
      <w:pPr>
        <w:ind w:left="300" w:hanging="292"/>
        <w:spacing w:after="0" w:line="23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Homes and businesses are considered passed if we can connect them to our distribution system without further extending the transmission lines. Homes and businesses passed is estimated based on the best available information.</w:t>
      </w:r>
    </w:p>
    <w:p>
      <w:pPr>
        <w:spacing w:after="0" w:line="54" w:lineRule="exact"/>
        <w:rPr>
          <w:rFonts w:ascii="Arial" w:cs="Arial" w:eastAsia="Arial" w:hAnsi="Arial"/>
          <w:sz w:val="14"/>
          <w:szCs w:val="14"/>
          <w:color w:val="auto"/>
        </w:rPr>
      </w:pPr>
    </w:p>
    <w:p>
      <w:pPr>
        <w:ind w:left="300" w:right="20" w:hanging="292"/>
        <w:spacing w:after="0" w:line="300"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 As of December 31, 2016, we had 26.5 million residential customer relationships.</w:t>
      </w:r>
    </w:p>
    <w:p>
      <w:pPr>
        <w:spacing w:after="0" w:line="19" w:lineRule="exact"/>
        <w:rPr>
          <w:rFonts w:ascii="Arial" w:cs="Arial" w:eastAsia="Arial" w:hAnsi="Arial"/>
          <w:sz w:val="12"/>
          <w:szCs w:val="12"/>
          <w:color w:val="auto"/>
        </w:rPr>
      </w:pPr>
    </w:p>
    <w:p>
      <w:pPr>
        <w:jc w:val="both"/>
        <w:ind w:left="280" w:hanging="272"/>
        <w:spacing w:after="0" w:line="226" w:lineRule="auto"/>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Generally, a home or business receiving video programming from our distribution system counts as one video customer. For multiple dwelling units (“MDUs”)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w:t>
      </w:r>
    </w:p>
    <w:p>
      <w:pPr>
        <w:spacing w:after="0" w:line="68" w:lineRule="exact"/>
        <w:rPr>
          <w:rFonts w:ascii="Arial" w:cs="Arial" w:eastAsia="Arial" w:hAnsi="Arial"/>
          <w:sz w:val="14"/>
          <w:szCs w:val="14"/>
          <w:color w:val="auto"/>
        </w:rPr>
      </w:pPr>
    </w:p>
    <w:p>
      <w:pPr>
        <w:ind w:left="300" w:hanging="29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and businesses passed.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offer our video, high-speed Internet and voice services individually and as bundled services over our cable distribution system to residential and business customers. Our bundled service offerings aim to meet the needs of the various segments of our customer base, ranging from high-speed Internet services packaged with video or streaming services that include a limited number of channels, to a triple product bundle, consisting of our video, high-speed Internet and voice services. We also offer our home security and automation services as a component of our bundled service offerings. Subscription rates and related charges vary according to the services and features customers receive and the type of equipment they use, and customers are typically billed in advance on a monthly basis. The majority of our residential cable services customers are not subject to minimum-term contracts for their services, while substantially all of our business customers are. Minimum-term contracts are typically 2 years in length for residential customers and typically range from 2 to 5 years for business services customers. Customers with minimum-term contracts may only discontinue service in accordance with the terms of their contracts, which typically include an early termination fee.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0C6DFF"/>
        </w:rPr>
        <w:t>The Areas We Serve</w:t>
      </w:r>
    </w:p>
    <w:p>
      <w:pPr>
        <w:jc w:val="both"/>
        <w:spacing w:after="0" w:line="238" w:lineRule="auto"/>
        <w:rPr>
          <w:sz w:val="20"/>
          <w:szCs w:val="20"/>
          <w:color w:val="auto"/>
        </w:rPr>
      </w:pPr>
      <w:r>
        <w:rPr>
          <w:rFonts w:ascii="Arial" w:cs="Arial" w:eastAsia="Arial" w:hAnsi="Arial"/>
          <w:sz w:val="18"/>
          <w:szCs w:val="18"/>
          <w:color w:val="auto"/>
        </w:rPr>
        <w:t>The map below highlights our footprint as of December 31, 2016 and the designated market areas (“DMAs”) in which we offer cable services that have 250,000 or more customer relationships. The locations that are bolded represent the DMAs in which we operate that were also included in the top 25 U.S. television DMAs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121285</wp:posOffset>
            </wp:positionV>
            <wp:extent cx="5076825" cy="2521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7682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0C6DFF"/>
        </w:rPr>
        <w:t>Video Services</w:t>
      </w:r>
    </w:p>
    <w:p>
      <w:pPr>
        <w:jc w:val="both"/>
        <w:spacing w:after="0" w:line="236" w:lineRule="auto"/>
        <w:rPr>
          <w:sz w:val="20"/>
          <w:szCs w:val="20"/>
          <w:color w:val="auto"/>
        </w:rPr>
      </w:pPr>
      <w:r>
        <w:rPr>
          <w:rFonts w:ascii="Arial" w:cs="Arial" w:eastAsia="Arial" w:hAnsi="Arial"/>
          <w:sz w:val="18"/>
          <w:szCs w:val="18"/>
          <w:color w:val="auto"/>
        </w:rPr>
        <w:t>We offer a broad variety of video services under the XFINITY brand that provide access to hundreds of channels depending on the customer’s level of service. Our levels of service typically range from a limited basic service with access to between 20 and 40 channels to a full service with access to more than 300 channels. Our video services generally include programming provided by national broadcast networks, local broadcast stations, and national and regional cable networks, as well as government and public access programming. We also offer packages that include extensive amounts of foreign-language programming and other specialty tiers of programming with sports, family and international themes. We tailor our video services for a particular geographic area according to applicable local and federal regulatory requirements, programming preferences and demographics.</w:t>
      </w:r>
    </w:p>
    <w:p>
      <w:pPr>
        <w:spacing w:after="0" w:line="325"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video customers may also subscribe to premium networks. Premium networks include networks such as HBO, Showtime, Starz and Cinemax that generally provide, without commercial interruption, movies, original programming, live and taped sporting events and concerts, and other features.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video services generally include access to our video on demand service (“On Demand”) and an interactive, on-screen program guide. Our On Demand service provides video customers with over 100,000 programming choices over the course of a month, including approximately 40,000 in high definition. A substantial portion of our On Demand content is available at no additional charge; other content, primarily movies and special-events programming, such as sporting events and concerts, can be rented or in some cases purchased to own digitally. We continue to increase the number of On Demand choices we offer.</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HD service provides customers with high-resolution picture quality, improved audio quality and a wide-screen format through an HD set-top box. Our HD service includes a broad selection of HD programming choices, including major broadcast networks, national cable networks, premium networks and regional sports networks. Our DVR service allows video customers to record and store programs and play them at whatever time is convenient. Our DVR service also provides the ability to pause and rewind live television. We refer to our HD and DVR services as “advanced services.”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actively deploying set-top boxes for our Internet Protocol (“IP”) and cloud-enabled video platform, referred to as our X1 platform. Our X1 platform provides customers with integrated search functionality, personalized recommendations and access to certain third-party Internet applications, such as Netflix. We also offer our cloud DVR technology in substantially all of our markets. Cloud DVR technology allows our video customers to record programming using cloud-based servers and also view those recordings on mobile devices via our mobile apps.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Through our mobile apps and online portal, we offer streaming services that allow our video customers to view certain live programming and On Demand content, browse program listings, and schedule and manage DVR recordings. Depending on the customer’s level of service, these services may require an additional monthly fee.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 Services</w:t>
      </w:r>
    </w:p>
    <w:p>
      <w:pPr>
        <w:jc w:val="both"/>
        <w:spacing w:after="0" w:line="236" w:lineRule="auto"/>
        <w:rPr>
          <w:sz w:val="20"/>
          <w:szCs w:val="20"/>
          <w:color w:val="auto"/>
        </w:rPr>
      </w:pPr>
      <w:r>
        <w:rPr>
          <w:rFonts w:ascii="Arial" w:cs="Arial" w:eastAsia="Arial" w:hAnsi="Arial"/>
          <w:sz w:val="18"/>
          <w:szCs w:val="18"/>
          <w:color w:val="auto"/>
        </w:rPr>
        <w:t>We offer high-speed Internet services with downstream speeds from a range of up to 10 Mbps to fiber-based speeds up to 2 Gbps. These services include access to our online portal and mobile apps, which provide email, an address book, calendars and online security features. We are actively deploying wireless gateways throughout our footprint, which combine a customer’s wireless router, cable modem and voice adapter, to improve the performance of multiple IP-enabled devices used at the same time within the home, provide faster Internet speeds and create an in-home Wi-Fi network. We are continuing to expand our network of residential, outdoor and business Wi-Fi hotspots to allow most of our high-speed Internet customers to access our high-speed Internet services inside and outside the home. As of December 31, 2016, there were approximately 15.8 million of these hotspots.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Voice Services</w:t>
      </w:r>
    </w:p>
    <w:p>
      <w:pPr>
        <w:jc w:val="both"/>
        <w:spacing w:after="0" w:line="237" w:lineRule="auto"/>
        <w:rPr>
          <w:sz w:val="20"/>
          <w:szCs w:val="20"/>
          <w:color w:val="auto"/>
        </w:rPr>
      </w:pPr>
      <w:r>
        <w:rPr>
          <w:rFonts w:ascii="Arial" w:cs="Arial" w:eastAsia="Arial" w:hAnsi="Arial"/>
          <w:sz w:val="18"/>
          <w:szCs w:val="18"/>
          <w:color w:val="auto"/>
        </w:rPr>
        <w:t>We offer voice services using an interconnected Voice over Internet Protocol (“VoIP”) technology. Our voice services provide either unlimited or usage-based local and domestic long-distance calling and include options for international calling plans, voicemail, voicemail transcriptions, text messaging, caller ID and call waiting. For customers with our high-speed Internet services, our voice services also include the ability to access and manage voicemail, text messaging and other account features through our online portal or mobile apps.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6" w:lineRule="auto"/>
        <w:rPr>
          <w:sz w:val="20"/>
          <w:szCs w:val="20"/>
          <w:color w:val="auto"/>
        </w:rPr>
      </w:pPr>
      <w:r>
        <w:rPr>
          <w:rFonts w:ascii="Arial" w:cs="Arial" w:eastAsia="Arial" w:hAnsi="Arial"/>
          <w:sz w:val="18"/>
          <w:szCs w:val="18"/>
          <w:color w:val="auto"/>
        </w:rPr>
        <w:t>We offer our cable services to small and medium-sized businesses and to large enterprises with multiple locations. Our large enterprise business services are designed for Fortune 1000 companies and other large enterprises with multiple locations both within and outside of our cable distribution footprint. We service these multiple locations through agreements with other cable companies to use their networks to provide coverage outside of our service areas. In addition to the features available to our residential cable services customers, our services for business customers include an interactive tool that allows customers to store, share, and collaborate on files online, hosted voice services that use cloud network servers, a business directory listing, and additional capacity for multiple phone lines.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offer Ethernet network services that connect multiple locations and provide higher downstream and upstream speed options to medium-sized businesses and large enterprises. We also provide cellular backhaul services to mobile network operators to help those customers manage network bandwidth.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we sell through our advertising business, Spotlight, to local, regional and national advertisers.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In addition, we generate revenue from the sale of advertising online and on our On Demand service.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offer home security and automation services that provide home monitoring services and the ability to manage other functions within the home, such as lighting and room temperature, through our online portal or our mobile apps.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distribution system uses a hybrid fiber-optic and coaxial cable network that we believe is sufficiently flexible and scalable to support our future technology requirements. This network provides the two-way transmissions that are essential to providing high-speed Internet services, interactive video services, such as On Demand, and voice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on technology initiatives, including:</w:t>
      </w:r>
    </w:p>
    <w:p>
      <w:pPr>
        <w:spacing w:after="0" w:line="117" w:lineRule="exact"/>
        <w:rPr>
          <w:sz w:val="20"/>
          <w:szCs w:val="20"/>
          <w:color w:val="auto"/>
        </w:rPr>
      </w:pPr>
    </w:p>
    <w:p>
      <w:pPr>
        <w:jc w:val="both"/>
        <w:ind w:left="1020" w:right="1240" w:hanging="215"/>
        <w:spacing w:after="0" w:line="23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deploying next-generation media and content delivery platforms, such as our X1 platform and related cloud DVR technology, that use IP technology and our own cloud network servers to deliver video and advanced search capabilities, including through a voice-activated remote control, and allow access to certain third-party Internet applications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wireless gateways to improve the performance of multiple IP-enabled devices used at the same time within the home, provide faster Internet speeds and create an in-home Wi-Fi network</w:t>
      </w:r>
    </w:p>
    <w:p>
      <w:pPr>
        <w:spacing w:after="0" w:line="114" w:lineRule="exact"/>
        <w:rPr>
          <w:rFonts w:ascii="Arial" w:cs="Arial" w:eastAsia="Arial" w:hAnsi="Arial"/>
          <w:sz w:val="18"/>
          <w:szCs w:val="18"/>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our network of residential, outdoor and business Wi-Fi hotspots</w:t>
      </w:r>
    </w:p>
    <w:p>
      <w:pPr>
        <w:spacing w:after="0" w:line="117"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multiple tools to recapture bandwidth and optimize our network to allow for faster Internet speeds and capacity, including using advanced video encoding and digital compression technologies and DOCSIS innovations, such as DOCSIS 3.1</w:t>
      </w:r>
    </w:p>
    <w:p>
      <w:pPr>
        <w:spacing w:after="0" w:line="323"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580" w:firstLine="797"/>
        <w:spacing w:after="0" w:line="328" w:lineRule="auto"/>
        <w:rPr>
          <w:sz w:val="20"/>
          <w:szCs w:val="20"/>
          <w:color w:val="auto"/>
        </w:rPr>
      </w:pPr>
      <w:r>
        <w:rPr>
          <w:rFonts w:ascii="Arial" w:cs="Arial" w:eastAsia="Arial" w:hAnsi="Arial"/>
          <w:sz w:val="18"/>
          <w:szCs w:val="18"/>
          <w:color w:val="auto"/>
        </w:rPr>
        <w:t xml:space="preserve">• developing and deploying various technology and software tools to improve the customer experience </w:t>
      </w:r>
      <w:r>
        <w:rPr>
          <w:rFonts w:ascii="Arial" w:cs="Arial" w:eastAsia="Arial" w:hAnsi="Arial"/>
          <w:sz w:val="18"/>
          <w:szCs w:val="18"/>
          <w:b w:val="1"/>
          <w:bCs w:val="1"/>
          <w:color w:val="auto"/>
        </w:rPr>
        <w:t>Sources of Supply</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offer our video services, we license a substantial portion of our programming from cable networks and broadcast networks, as well as from local broadcast television stations. We attempt to secure long-term programming distribution agreements with these programming providers. We seek to include in our distribution agreements the rights to offer such programming through multiple delivery platforms that may be used in a variety of locations, such as through On Demand, our online portal, our mobile apps, and our streaming services.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our high-speed Internet services, we license software products, such as email and security software, and content, such as news feeds for our online portal, from a variety of suppliers. Under our contracts with these suppliers, we generally pay on a fixed-fee basis, on a per subscriber basis in the case of software product licenses or on a video advertising revenue share basis in the case of content licenses.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For our voice services, we license software products such as voicemail and text messaging from a variety of suppliers under multiyear contracts.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fees we pay are generally based on the consumption of the related services.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purchase from a limited number of suppliers a significant number of set-top boxes and certain other customer premise equipment, network equipment and services to provide our cable services and our home security and automation services to residential and business customers.</w:t>
      </w:r>
    </w:p>
    <w:p>
      <w:pPr>
        <w:spacing w:after="0" w:line="155" w:lineRule="exact"/>
        <w:rPr>
          <w:sz w:val="20"/>
          <w:szCs w:val="20"/>
          <w:color w:val="auto"/>
        </w:rPr>
      </w:pPr>
    </w:p>
    <w:p>
      <w:pPr>
        <w:ind w:right="2040"/>
        <w:spacing w:after="0" w:line="328" w:lineRule="auto"/>
        <w:rPr>
          <w:sz w:val="20"/>
          <w:szCs w:val="20"/>
          <w:color w:val="auto"/>
        </w:rPr>
      </w:pPr>
      <w:r>
        <w:rPr>
          <w:rFonts w:ascii="Arial" w:cs="Arial" w:eastAsia="Arial" w:hAnsi="Arial"/>
          <w:sz w:val="18"/>
          <w:szCs w:val="18"/>
          <w:color w:val="auto"/>
        </w:rPr>
        <w:t xml:space="preserve">We use two primary vendors to provide customer billing for our cable services to our residential and business customers. </w:t>
      </w:r>
      <w:r>
        <w:rPr>
          <w:rFonts w:ascii="Arial" w:cs="Arial" w:eastAsia="Arial" w:hAnsi="Arial"/>
          <w:sz w:val="18"/>
          <w:szCs w:val="18"/>
          <w:b w:val="1"/>
          <w:bCs w:val="1"/>
          <w:color w:val="auto"/>
        </w:rPr>
        <w:t>Customer and Technical Services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 service call centers provide 24/7 call-answering capability, telemarketing and other services. Our technical services group performs various tasks, including installations, plant maintenance and upgrades to our cable distribution system.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offer our services directly to residential and business customers through customer service call centers, customer service centers, our website, door-to-door selling, telemarketing and retail outlets, as well as through advertising via direct mail, television and the Internet.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Cable Networks segment consists of a diversified portfolio of national cable networks that provide a variety of entertainment, news and information, and sports content, our regional sports and news networks, our international cable networks, and our cable television studio production operations. We also own related digital media properties, which primarily include brand-aligned websites.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our national cable networks and their advertising reach to U.S. households.</w:t>
      </w:r>
    </w:p>
    <w:p>
      <w:pPr>
        <w:spacing w:after="0" w:line="182"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Approximate U.S.</w:t>
      </w:r>
    </w:p>
    <w:p>
      <w:pPr>
        <w:ind w:left="5220"/>
        <w:spacing w:after="0" w:line="221" w:lineRule="auto"/>
        <w:rPr>
          <w:sz w:val="20"/>
          <w:szCs w:val="20"/>
          <w:color w:val="auto"/>
        </w:rPr>
      </w:pPr>
      <w:r>
        <w:rPr>
          <w:rFonts w:ascii="Arial" w:cs="Arial" w:eastAsia="Arial" w:hAnsi="Arial"/>
          <w:sz w:val="14"/>
          <w:szCs w:val="14"/>
          <w:color w:val="auto"/>
        </w:rPr>
        <w:t>Households as of</w:t>
      </w:r>
    </w:p>
    <w:p>
      <w:pPr>
        <w:ind w:left="5340"/>
        <w:spacing w:after="0" w:line="191" w:lineRule="auto"/>
        <w:rPr>
          <w:sz w:val="20"/>
          <w:szCs w:val="20"/>
          <w:color w:val="auto"/>
        </w:rPr>
      </w:pPr>
      <w:r>
        <w:rPr>
          <w:rFonts w:ascii="Arial" w:cs="Arial" w:eastAsia="Arial" w:hAnsi="Arial"/>
          <w:sz w:val="14"/>
          <w:szCs w:val="14"/>
          <w:color w:val="auto"/>
        </w:rPr>
        <w:t>December 31</w:t>
      </w:r>
    </w:p>
    <w:p>
      <w:pPr>
        <w:ind w:left="5340"/>
        <w:spacing w:after="0" w:line="182" w:lineRule="auto"/>
        <w:rPr>
          <w:sz w:val="20"/>
          <w:szCs w:val="20"/>
          <w:color w:val="auto"/>
        </w:rPr>
      </w:pPr>
      <w:r>
        <w:rPr>
          <w:rFonts w:ascii="Arial" w:cs="Arial" w:eastAsia="Arial" w:hAnsi="Arial"/>
          <w:sz w:val="13"/>
          <w:szCs w:val="13"/>
          <w:color w:val="auto"/>
        </w:rPr>
        <w:t>(in millions)</w:t>
      </w:r>
      <w:r>
        <w:rPr>
          <w:rFonts w:ascii="Arial" w:cs="Arial" w:eastAsia="Arial" w:hAnsi="Arial"/>
          <w:sz w:val="21"/>
          <w:szCs w:val="21"/>
          <w:color w:val="auto"/>
          <w:vertAlign w:val="superscript"/>
        </w:rPr>
        <w:t>(a)</w:t>
      </w:r>
    </w:p>
    <w:tbl>
      <w:tblPr>
        <w:tblLayout w:type="fixed"/>
        <w:tblInd w:w="0" w:type="dxa"/>
        <w:tblCellMar>
          <w:top w:w="0" w:type="dxa"/>
          <w:left w:w="0" w:type="dxa"/>
          <w:bottom w:w="0" w:type="dxa"/>
          <w:right w:w="0" w:type="dxa"/>
        </w:tblCellMar>
      </w:tblPr>
      <w:tr>
        <w:trPr>
          <w:trHeight w:val="142"/>
        </w:trPr>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Cable Network</w:t>
            </w:r>
          </w:p>
        </w:tc>
        <w:tc>
          <w:tcPr>
            <w:tcW w:w="7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2015</w:t>
            </w:r>
          </w:p>
        </w:tc>
        <w:tc>
          <w:tcPr>
            <w:tcW w:w="6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2014</w:t>
            </w:r>
          </w:p>
        </w:tc>
        <w:tc>
          <w:tcPr>
            <w:tcW w:w="468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color w:val="auto"/>
              </w:rPr>
              <w:t>Description of Programming</w:t>
            </w:r>
          </w:p>
        </w:tc>
      </w:tr>
      <w:tr>
        <w:trPr>
          <w:trHeight w:val="177"/>
        </w:trPr>
        <w:tc>
          <w:tcPr>
            <w:tcW w:w="4620" w:type="dxa"/>
            <w:vAlign w:val="bottom"/>
          </w:tcPr>
          <w:p>
            <w:pPr>
              <w:spacing w:after="0" w:line="177" w:lineRule="exact"/>
              <w:rPr>
                <w:sz w:val="20"/>
                <w:szCs w:val="20"/>
                <w:color w:val="auto"/>
              </w:rPr>
            </w:pPr>
            <w:r>
              <w:rPr>
                <w:rFonts w:ascii="Arial" w:cs="Arial" w:eastAsia="Arial" w:hAnsi="Arial"/>
                <w:sz w:val="18"/>
                <w:szCs w:val="18"/>
                <w:color w:val="auto"/>
              </w:rPr>
              <w:t>USA Network</w:t>
            </w:r>
          </w:p>
        </w:tc>
        <w:tc>
          <w:tcPr>
            <w:tcW w:w="760" w:type="dxa"/>
            <w:vAlign w:val="bottom"/>
          </w:tcPr>
          <w:p>
            <w:pPr>
              <w:jc w:val="right"/>
              <w:ind w:right="133"/>
              <w:spacing w:after="0" w:line="177" w:lineRule="exact"/>
              <w:rPr>
                <w:sz w:val="20"/>
                <w:szCs w:val="20"/>
                <w:color w:val="auto"/>
              </w:rPr>
            </w:pPr>
            <w:r>
              <w:rPr>
                <w:rFonts w:ascii="Arial" w:cs="Arial" w:eastAsia="Arial" w:hAnsi="Arial"/>
                <w:sz w:val="18"/>
                <w:szCs w:val="18"/>
                <w:b w:val="1"/>
                <w:bCs w:val="1"/>
                <w:color w:val="auto"/>
              </w:rPr>
              <w:t>92</w:t>
            </w:r>
          </w:p>
        </w:tc>
        <w:tc>
          <w:tcPr>
            <w:tcW w:w="740" w:type="dxa"/>
            <w:vAlign w:val="bottom"/>
          </w:tcPr>
          <w:p>
            <w:pPr>
              <w:jc w:val="right"/>
              <w:ind w:right="133"/>
              <w:spacing w:after="0" w:line="177" w:lineRule="exact"/>
              <w:rPr>
                <w:sz w:val="20"/>
                <w:szCs w:val="20"/>
                <w:color w:val="auto"/>
              </w:rPr>
            </w:pPr>
            <w:r>
              <w:rPr>
                <w:rFonts w:ascii="Arial" w:cs="Arial" w:eastAsia="Arial" w:hAnsi="Arial"/>
                <w:sz w:val="18"/>
                <w:szCs w:val="18"/>
                <w:color w:val="auto"/>
              </w:rPr>
              <w:t>94</w:t>
            </w:r>
          </w:p>
        </w:tc>
        <w:tc>
          <w:tcPr>
            <w:tcW w:w="6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96</w:t>
            </w:r>
          </w:p>
        </w:tc>
        <w:tc>
          <w:tcPr>
            <w:tcW w:w="4680" w:type="dxa"/>
            <w:vAlign w:val="bottom"/>
          </w:tcPr>
          <w:p>
            <w:pPr>
              <w:ind w:left="340"/>
              <w:spacing w:after="0" w:line="177" w:lineRule="exact"/>
              <w:rPr>
                <w:sz w:val="20"/>
                <w:szCs w:val="20"/>
                <w:color w:val="auto"/>
              </w:rPr>
            </w:pPr>
            <w:r>
              <w:rPr>
                <w:rFonts w:ascii="Arial" w:cs="Arial" w:eastAsia="Arial" w:hAnsi="Arial"/>
                <w:sz w:val="18"/>
                <w:szCs w:val="18"/>
                <w:color w:val="auto"/>
              </w:rPr>
              <w:t>General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MSNBC</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91</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News and information</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90</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94</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Entertainment and pop culture</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Syfy</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90</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Imagination-based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CNBC</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89</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91</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94</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Business and financial news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Bravo</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88</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90</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92</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Entertainment, culture and arts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NBC Sports Network</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83</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83</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81</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Sports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78</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77</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79</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Golf competition and golf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Oxygen</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76</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77</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78</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Women’s interests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Sprout</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59</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56</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Children’s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Esquire Network</w:t>
            </w:r>
            <w:r>
              <w:rPr>
                <w:rFonts w:ascii="Arial" w:cs="Arial" w:eastAsia="Arial" w:hAnsi="Arial"/>
                <w:sz w:val="11"/>
                <w:szCs w:val="11"/>
                <w:color w:val="auto"/>
              </w:rPr>
              <w:t>(b)</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58</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68</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70</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Men’s lifestyle and entertainment</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Chiller</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37</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38</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Horror and suspense</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CNBC World</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36</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36</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Global financial news</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Universal HD</w:t>
            </w:r>
          </w:p>
        </w:tc>
        <w:tc>
          <w:tcPr>
            <w:tcW w:w="76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30</w:t>
            </w:r>
          </w:p>
        </w:tc>
        <w:tc>
          <w:tcPr>
            <w:tcW w:w="74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29</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w:t>
            </w: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General entertainment HD programming</w:t>
            </w:r>
          </w:p>
        </w:tc>
      </w:tr>
      <w:tr>
        <w:trPr>
          <w:trHeight w:val="22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Cloo</w:t>
            </w:r>
            <w:r>
              <w:rPr>
                <w:rFonts w:ascii="Arial" w:cs="Arial" w:eastAsia="Arial" w:hAnsi="Arial"/>
                <w:sz w:val="11"/>
                <w:szCs w:val="11"/>
                <w:color w:val="auto"/>
              </w:rPr>
              <w:t>(b)</w:t>
            </w: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24</w:t>
            </w: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4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Crime, mystery and suspense</w:t>
            </w: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Household data is based on The Nielsen Company’s January reports, except for Universal HD, which is derived from information provided by multichannel video providers. Household data for 2016 is derived from information available during the period from November 28, 2016 through December 25, 2016.</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January 2017, we announced plans to convert the Esquire Network to an online-only format in 2017 and we ceased operations of the Cloo network.</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regional sports and news networks together serve more than 27 million households across the United States, including key markets such as Baltimore/Washington, Boston, Chicago, Philadelphia, Portland, Sacramento and San Francisco.</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market and distribute our cable network programming in the United States and internationally to traditional and virtual multichannel video providers, as well as to subscription video on demand services, such as those offered by Amazon, Hulu and Netflix. These distributors may provide our content on television, including via video on demand services, online and through mobile apps.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networks produce their own programs or acquire the rights to programming from third parties, including sports programming rights that are discussed below under the heading “Broadcast Television.” Our cable television studio production operations identify, develop and produce original content for our cable networks and third parties. We license this content to cable networks, broadcast networks and subscription video on demand services and it is sold on standard-definition DVDs and Blu-ray discs (together, “DVDs”) and through digital distribution services such as iTunes.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Broadcast Television segment operates the NBC and Telemundo broadcast networks, which together serve viewers and advertisers in all 50 states. Our Broadcast Television segment also includes our owned NBC and Telemundo local broadcast television stations, the NBC Universo national cable network, our broadcast television studio production operations, and related digital media properties.</w:t>
      </w:r>
    </w:p>
    <w:p>
      <w:pPr>
        <w:spacing w:after="0" w:line="323"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NBC Network</w:t>
      </w:r>
    </w:p>
    <w:p>
      <w:pPr>
        <w:jc w:val="both"/>
        <w:spacing w:after="0" w:line="273" w:lineRule="auto"/>
        <w:rPr>
          <w:sz w:val="20"/>
          <w:szCs w:val="20"/>
          <w:color w:val="auto"/>
        </w:rPr>
      </w:pPr>
      <w:r>
        <w:rPr>
          <w:rFonts w:ascii="Arial" w:cs="Arial" w:eastAsia="Arial" w:hAnsi="Arial"/>
          <w:sz w:val="16"/>
          <w:szCs w:val="16"/>
          <w:color w:val="auto"/>
        </w:rPr>
        <w:t>The NBC network distributes entertainment, news and sports programming that reaches viewers in virtually all U.S. television households through more than 200 affiliated stations across the United States, including our 10 owned NBC-affiliated local broadcast television stations. The NBC network’s programming library consists of rights of varying nature to more than 100,000 episodes of popular television content, including current and classic titles, unscripted programming, sports, news, long-form and short-form programming, and locally produced programming from around the world. In addition, the NBC network owns related digital media properties, which primarily include brand-aligned websites.</w:t>
      </w:r>
    </w:p>
    <w:p>
      <w:pPr>
        <w:spacing w:after="0" w:line="1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NBC network produces its own programs or acquires the rights to programming from third parties. NBCUniversal has various contractual commitments for the licensing of rights to multiyear programming, primarily sports programming. Our most significant sports programming commitments include the U.S. broadcast rights for the summer and winter Olympic Games through 2032 and agreements with the NFL to produce and broadcast a specified number of regular season and playoff games, including </w:t>
      </w:r>
      <w:r>
        <w:rPr>
          <w:rFonts w:ascii="Arial" w:cs="Arial" w:eastAsia="Arial" w:hAnsi="Arial"/>
          <w:sz w:val="18"/>
          <w:szCs w:val="18"/>
          <w:i w:val="1"/>
          <w:iCs w:val="1"/>
          <w:color w:val="auto"/>
        </w:rPr>
        <w:t>Thursday Night Football</w:t>
      </w:r>
      <w:r>
        <w:rPr>
          <w:rFonts w:ascii="Arial" w:cs="Arial" w:eastAsia="Arial" w:hAnsi="Arial"/>
          <w:sz w:val="18"/>
          <w:szCs w:val="18"/>
          <w:color w:val="auto"/>
        </w:rPr>
        <w:t xml:space="preserve"> through the 2017-18 season, </w:t>
      </w:r>
      <w:r>
        <w:rPr>
          <w:rFonts w:ascii="Arial" w:cs="Arial" w:eastAsia="Arial" w:hAnsi="Arial"/>
          <w:sz w:val="18"/>
          <w:szCs w:val="18"/>
          <w:i w:val="1"/>
          <w:iCs w:val="1"/>
          <w:color w:val="auto"/>
        </w:rPr>
        <w:t>Sunday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Night Football </w:t>
      </w:r>
      <w:r>
        <w:rPr>
          <w:rFonts w:ascii="Arial" w:cs="Arial" w:eastAsia="Arial" w:hAnsi="Arial"/>
          <w:sz w:val="18"/>
          <w:szCs w:val="18"/>
          <w:color w:val="auto"/>
        </w:rPr>
        <w:t>through the 2022-23 season and the 2018 and 2021 Super Bowl games. We also have U.S. broadcast rights to a specified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NHL games through the 2020-21 season, English Premier League soccer through the 2021-22 season, certain NASCAR events through 2024 and certain PGA TOUR and other golf events through 2030. NBCUniversal’s sports programming agreements also include the rights to distribute content on our national cable networks, including the NBC Sports Network and Golf Channel, on our regional sports networks, and online, including through our mobile apps.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broadcast television studio production operations develop and produce original content, including scripted and unscripted programming series and talk shows. This original content is licensed to broadcast networks, cable networks and local broadcast television stations owned by us and third parties, as well as to subscription video on demand services, and it is sold on DVDs and through digital distribution services both in the United States and internationally. We also produce first-run syndicated shows for local markets that are broadcast on local broadcast television stations in the United States on a market-by-market basis. We currently distribute some of our television programs after their initial broadcast, as well as older television programs from our library, to local broadcast television stations and cable networks in the off-network syndication market.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NBC Local Broadcast Television Stations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2016, we owned and operated 10 NBC-affiliated local broadcast television stations that collectively reached approximately 31 million U.S. television households, which represent approximately 27% of U.S. television households. In addition to broadcasting the NBC network’s national programming, our local broadcast television stations produce news, sports, public affairs and other programming that addresses local needs and acquire syndicated programming from other sources. The table below presents a summary of the NBC-affiliated local broadcast television stations that we owned and operated as of December 31, 2016.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4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83"/>
        </w:trPr>
        <w:tc>
          <w:tcPr>
            <w:tcW w:w="5120" w:type="dxa"/>
            <w:vAlign w:val="bottom"/>
            <w:tcBorders>
              <w:bottom w:val="single" w:sz="8" w:color="auto"/>
            </w:tcBorders>
          </w:tcPr>
          <w:p>
            <w:pPr>
              <w:spacing w:after="0" w:line="183" w:lineRule="exact"/>
              <w:rPr>
                <w:sz w:val="20"/>
                <w:szCs w:val="20"/>
                <w:color w:val="auto"/>
              </w:rPr>
            </w:pPr>
            <w:r>
              <w:rPr>
                <w:rFonts w:ascii="Arial" w:cs="Arial" w:eastAsia="Arial" w:hAnsi="Arial"/>
                <w:sz w:val="13"/>
                <w:szCs w:val="13"/>
                <w:color w:val="auto"/>
              </w:rPr>
              <w:t>DMA Served</w:t>
            </w:r>
            <w:r>
              <w:rPr>
                <w:rFonts w:ascii="Arial" w:cs="Arial" w:eastAsia="Arial" w:hAnsi="Arial"/>
                <w:sz w:val="21"/>
                <w:szCs w:val="21"/>
                <w:color w:val="auto"/>
                <w:vertAlign w:val="superscript"/>
              </w:rPr>
              <w:t>(a)(b)</w:t>
            </w:r>
          </w:p>
        </w:tc>
        <w:tc>
          <w:tcPr>
            <w:tcW w:w="2800" w:type="dxa"/>
            <w:vAlign w:val="bottom"/>
            <w:tcBorders>
              <w:bottom w:val="single" w:sz="8" w:color="auto"/>
            </w:tcBorders>
          </w:tcPr>
          <w:p>
            <w:pPr>
              <w:jc w:val="center"/>
              <w:ind w:left="1974"/>
              <w:spacing w:after="0"/>
              <w:rPr>
                <w:sz w:val="20"/>
                <w:szCs w:val="20"/>
                <w:color w:val="auto"/>
              </w:rPr>
            </w:pPr>
            <w:r>
              <w:rPr>
                <w:rFonts w:ascii="Arial" w:cs="Arial" w:eastAsia="Arial" w:hAnsi="Arial"/>
                <w:sz w:val="14"/>
                <w:szCs w:val="14"/>
                <w:color w:val="auto"/>
                <w:w w:val="96"/>
              </w:rPr>
              <w:t>Station</w:t>
            </w:r>
          </w:p>
        </w:tc>
        <w:tc>
          <w:tcPr>
            <w:tcW w:w="1660" w:type="dxa"/>
            <w:vAlign w:val="bottom"/>
            <w:tcBorders>
              <w:bottom w:val="single" w:sz="8" w:color="auto"/>
            </w:tcBorders>
          </w:tcPr>
          <w:p>
            <w:pPr>
              <w:jc w:val="right"/>
              <w:ind w:right="54"/>
              <w:spacing w:after="0" w:line="183" w:lineRule="exact"/>
              <w:rPr>
                <w:sz w:val="20"/>
                <w:szCs w:val="20"/>
                <w:color w:val="auto"/>
              </w:rPr>
            </w:pPr>
            <w:r>
              <w:rPr>
                <w:rFonts w:ascii="Arial" w:cs="Arial" w:eastAsia="Arial" w:hAnsi="Arial"/>
                <w:sz w:val="13"/>
                <w:szCs w:val="13"/>
                <w:color w:val="auto"/>
              </w:rPr>
              <w:t>General Market Rank</w:t>
            </w:r>
            <w:r>
              <w:rPr>
                <w:rFonts w:ascii="Arial" w:cs="Arial" w:eastAsia="Arial" w:hAnsi="Arial"/>
                <w:sz w:val="21"/>
                <w:szCs w:val="21"/>
                <w:color w:val="auto"/>
                <w:vertAlign w:val="superscript"/>
              </w:rPr>
              <w:t>(c)</w:t>
            </w:r>
          </w:p>
        </w:tc>
        <w:tc>
          <w:tcPr>
            <w:tcW w:w="1840" w:type="dxa"/>
            <w:vAlign w:val="bottom"/>
            <w:tcBorders>
              <w:bottom w:val="single" w:sz="8" w:color="auto"/>
            </w:tcBorders>
          </w:tcPr>
          <w:p>
            <w:pPr>
              <w:jc w:val="right"/>
              <w:ind w:right="136"/>
              <w:spacing w:after="0" w:line="183" w:lineRule="exact"/>
              <w:rPr>
                <w:sz w:val="20"/>
                <w:szCs w:val="20"/>
                <w:color w:val="auto"/>
              </w:rPr>
            </w:pPr>
            <w:r>
              <w:rPr>
                <w:rFonts w:ascii="Arial" w:cs="Arial" w:eastAsia="Arial" w:hAnsi="Arial"/>
                <w:sz w:val="13"/>
                <w:szCs w:val="13"/>
                <w:color w:val="auto"/>
              </w:rPr>
              <w:t>Television Households</w:t>
            </w:r>
            <w:r>
              <w:rPr>
                <w:rFonts w:ascii="Arial" w:cs="Arial" w:eastAsia="Arial" w:hAnsi="Arial"/>
                <w:sz w:val="21"/>
                <w:szCs w:val="21"/>
                <w:color w:val="auto"/>
                <w:vertAlign w:val="superscript"/>
              </w:rPr>
              <w:t>(d)</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color w:val="auto"/>
              </w:rPr>
              <w:t>New York, NY</w:t>
            </w:r>
          </w:p>
        </w:tc>
        <w:tc>
          <w:tcPr>
            <w:tcW w:w="2800" w:type="dxa"/>
            <w:vAlign w:val="bottom"/>
          </w:tcPr>
          <w:p>
            <w:pPr>
              <w:jc w:val="center"/>
              <w:ind w:left="1974"/>
              <w:spacing w:after="0" w:line="200" w:lineRule="exact"/>
              <w:rPr>
                <w:sz w:val="20"/>
                <w:szCs w:val="20"/>
                <w:color w:val="auto"/>
              </w:rPr>
            </w:pPr>
            <w:r>
              <w:rPr>
                <w:rFonts w:ascii="Arial" w:cs="Arial" w:eastAsia="Arial" w:hAnsi="Arial"/>
                <w:sz w:val="18"/>
                <w:szCs w:val="18"/>
                <w:color w:val="auto"/>
                <w:w w:val="98"/>
              </w:rPr>
              <w:t>WNBC</w:t>
            </w:r>
          </w:p>
        </w:tc>
        <w:tc>
          <w:tcPr>
            <w:tcW w:w="16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w:t>
            </w:r>
          </w:p>
        </w:tc>
        <w:tc>
          <w:tcPr>
            <w:tcW w:w="1840" w:type="dxa"/>
            <w:vAlign w:val="bottom"/>
          </w:tcPr>
          <w:p>
            <w:pPr>
              <w:jc w:val="right"/>
              <w:spacing w:after="0" w:line="200" w:lineRule="exact"/>
              <w:rPr>
                <w:sz w:val="20"/>
                <w:szCs w:val="20"/>
                <w:color w:val="auto"/>
              </w:rPr>
            </w:pPr>
            <w:r>
              <w:rPr>
                <w:rFonts w:ascii="Arial" w:cs="Arial" w:eastAsia="Arial" w:hAnsi="Arial"/>
                <w:sz w:val="18"/>
                <w:szCs w:val="18"/>
                <w:color w:val="auto"/>
              </w:rPr>
              <w:t>6%</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Los Angeles, CA</w:t>
            </w:r>
          </w:p>
        </w:tc>
        <w:tc>
          <w:tcPr>
            <w:tcW w:w="280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5"/>
              </w:rPr>
              <w:t>KNBC</w:t>
            </w: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80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6"/>
              </w:rPr>
              <w:t>WMAQ</w:t>
            </w: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2800" w:type="dxa"/>
            <w:vAlign w:val="bottom"/>
          </w:tcPr>
          <w:p>
            <w:pPr>
              <w:jc w:val="center"/>
              <w:ind w:left="1974"/>
              <w:spacing w:after="0" w:line="202" w:lineRule="exact"/>
              <w:rPr>
                <w:sz w:val="20"/>
                <w:szCs w:val="20"/>
                <w:color w:val="auto"/>
              </w:rPr>
            </w:pPr>
            <w:r>
              <w:rPr>
                <w:rFonts w:ascii="Arial" w:cs="Arial" w:eastAsia="Arial" w:hAnsi="Arial"/>
                <w:sz w:val="18"/>
                <w:szCs w:val="18"/>
                <w:color w:val="auto"/>
                <w:w w:val="98"/>
              </w:rPr>
              <w:t>WCAU</w:t>
            </w: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80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9"/>
              </w:rPr>
              <w:t>KXAS</w:t>
            </w: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800" w:type="dxa"/>
            <w:vAlign w:val="bottom"/>
          </w:tcPr>
          <w:p>
            <w:pPr>
              <w:jc w:val="center"/>
              <w:ind w:left="1974"/>
              <w:spacing w:after="0" w:line="202" w:lineRule="exact"/>
              <w:rPr>
                <w:sz w:val="20"/>
                <w:szCs w:val="20"/>
                <w:color w:val="auto"/>
              </w:rPr>
            </w:pPr>
            <w:r>
              <w:rPr>
                <w:rFonts w:ascii="Arial" w:cs="Arial" w:eastAsia="Arial" w:hAnsi="Arial"/>
                <w:sz w:val="18"/>
                <w:szCs w:val="18"/>
                <w:color w:val="auto"/>
                <w:w w:val="95"/>
              </w:rPr>
              <w:t>KNTV</w:t>
            </w: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Washington, D.C.</w:t>
            </w:r>
          </w:p>
        </w:tc>
        <w:tc>
          <w:tcPr>
            <w:tcW w:w="2800" w:type="dxa"/>
            <w:vAlign w:val="bottom"/>
          </w:tcPr>
          <w:p>
            <w:pPr>
              <w:jc w:val="center"/>
              <w:ind w:left="1974"/>
              <w:spacing w:after="0" w:line="202" w:lineRule="exact"/>
              <w:rPr>
                <w:sz w:val="20"/>
                <w:szCs w:val="20"/>
                <w:color w:val="auto"/>
              </w:rPr>
            </w:pPr>
            <w:r>
              <w:rPr>
                <w:rFonts w:ascii="Arial" w:cs="Arial" w:eastAsia="Arial" w:hAnsi="Arial"/>
                <w:sz w:val="18"/>
                <w:szCs w:val="18"/>
                <w:color w:val="auto"/>
                <w:w w:val="97"/>
              </w:rPr>
              <w:t>WRC</w:t>
            </w: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Miami-Ft. Lauderdale, FL</w:t>
            </w:r>
          </w:p>
        </w:tc>
        <w:tc>
          <w:tcPr>
            <w:tcW w:w="280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7"/>
              </w:rPr>
              <w:t>WTVJ</w:t>
            </w: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San Diego, CA</w:t>
            </w:r>
          </w:p>
        </w:tc>
        <w:tc>
          <w:tcPr>
            <w:tcW w:w="280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5"/>
              </w:rPr>
              <w:t>KNSD</w:t>
            </w:r>
          </w:p>
        </w:tc>
        <w:tc>
          <w:tcPr>
            <w:tcW w:w="1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5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Hartford, CT</w:t>
            </w:r>
          </w:p>
        </w:tc>
        <w:tc>
          <w:tcPr>
            <w:tcW w:w="2800" w:type="dxa"/>
            <w:vAlign w:val="bottom"/>
            <w:tcBorders>
              <w:bottom w:val="single" w:sz="8" w:color="auto"/>
            </w:tcBorders>
          </w:tcPr>
          <w:p>
            <w:pPr>
              <w:jc w:val="center"/>
              <w:ind w:left="1954"/>
              <w:spacing w:after="0" w:line="200" w:lineRule="exact"/>
              <w:rPr>
                <w:sz w:val="20"/>
                <w:szCs w:val="20"/>
                <w:color w:val="auto"/>
              </w:rPr>
            </w:pPr>
            <w:r>
              <w:rPr>
                <w:rFonts w:ascii="Arial" w:cs="Arial" w:eastAsia="Arial" w:hAnsi="Arial"/>
                <w:sz w:val="18"/>
                <w:szCs w:val="18"/>
                <w:color w:val="auto"/>
                <w:w w:val="97"/>
              </w:rPr>
              <w:t>WVIT</w:t>
            </w:r>
          </w:p>
        </w:tc>
        <w:tc>
          <w:tcPr>
            <w:tcW w:w="1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30</w:t>
            </w:r>
          </w:p>
        </w:tc>
        <w:tc>
          <w:tcPr>
            <w:tcW w:w="1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r>
    </w:tbl>
    <w:p>
      <w:pPr>
        <w:spacing w:after="0" w:line="67"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January 1, 2017, we launched a new owned and operated NBC-affiliated local broadcast television station in the Boston market that reaches approximately 2 million U.S. television households. Boston’s general market rank is No. 9, which represents approximately 2% of U.S. television households.</w:t>
      </w:r>
    </w:p>
    <w:p>
      <w:pPr>
        <w:spacing w:after="0" w:line="54" w:lineRule="exact"/>
        <w:rPr>
          <w:rFonts w:ascii="Arial" w:cs="Arial" w:eastAsia="Arial" w:hAnsi="Arial"/>
          <w:sz w:val="14"/>
          <w:szCs w:val="14"/>
          <w:color w:val="auto"/>
        </w:rPr>
      </w:pPr>
    </w:p>
    <w:p>
      <w:pPr>
        <w:ind w:left="280" w:hanging="272"/>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General market rank is based on the relative size of the DMA among the 210 generally recognized DMAs in the United States based on Nielsen estimates for the 2016-17 season.</w:t>
      </w:r>
    </w:p>
    <w:p>
      <w:pPr>
        <w:spacing w:after="0" w:line="55"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Nielsen estimates for the 2016-17 season. The percentage of U.S. television households does not reflect the calculation of national audience reach under the Federal Communications Commission’s (“FCC”) national television ownership cap limits. See “Legislation and Regulation — Broadcast Television — Ownership Limits — National Television Ownership.”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C6DFF"/>
        </w:rPr>
        <w:t>Telemundo</w:t>
      </w:r>
    </w:p>
    <w:p>
      <w:pPr>
        <w:jc w:val="both"/>
        <w:spacing w:after="0" w:line="238" w:lineRule="auto"/>
        <w:rPr>
          <w:sz w:val="20"/>
          <w:szCs w:val="20"/>
          <w:color w:val="auto"/>
        </w:rPr>
      </w:pPr>
      <w:r>
        <w:rPr>
          <w:rFonts w:ascii="Arial" w:cs="Arial" w:eastAsia="Arial" w:hAnsi="Arial"/>
          <w:sz w:val="18"/>
          <w:szCs w:val="18"/>
          <w:color w:val="auto"/>
        </w:rPr>
        <w:t>Telemundo is a leading Hispanic media company that produces, acquires and distributes Spanish-language content in the United States and internationally. Telemundo’s operations include the Telemundo network, its 17 owned local broadcast television stations and the NBC Universo national cable network.</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Telemundo network is a leading Spanish-language broadcast network featuring original telenovelas, movies, news, specials and sporting events. Telemundo develops original programming primarily through its production studio and also acquires the rights to programming from third parties. It holds the Spanish-language U.S. broadcast rights to FIFA World Cup soccer through 2026 and the Spanish-language U.S. broadcast rights for certain NFL games that the NBC network will broadcast through the 2022-23 season.</w:t>
      </w:r>
    </w:p>
    <w:p>
      <w:pPr>
        <w:spacing w:after="0" w:line="324"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Telemundo Local Broadcast Television Stations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Telemundo owned 17 local broadcast television stations, including 16 local broadcast television stations affiliated with the Telemundo network, which collectively reached approximately 59% of U.S. Hispanic television households as of December 31, 2016, and an independent television station in Puerto Rico. The table below presents a summary of these local broadcast television stations.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jc w:val="right"/>
              <w:ind w:right="135"/>
              <w:spacing w:after="0"/>
              <w:rPr>
                <w:sz w:val="20"/>
                <w:szCs w:val="20"/>
                <w:color w:val="auto"/>
              </w:rPr>
            </w:pPr>
            <w:r>
              <w:rPr>
                <w:rFonts w:ascii="Arial" w:cs="Arial" w:eastAsia="Arial" w:hAnsi="Arial"/>
                <w:sz w:val="14"/>
                <w:szCs w:val="14"/>
                <w:color w:val="auto"/>
              </w:rPr>
              <w:t>Percentage of U.S.</w:t>
            </w:r>
          </w:p>
        </w:tc>
      </w:tr>
      <w:tr>
        <w:trPr>
          <w:trHeight w:val="128"/>
        </w:trPr>
        <w:tc>
          <w:tcPr>
            <w:tcW w:w="52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00" w:type="dxa"/>
            <w:vAlign w:val="bottom"/>
          </w:tcPr>
          <w:p>
            <w:pPr>
              <w:jc w:val="right"/>
              <w:ind w:right="135"/>
              <w:spacing w:after="0" w:line="129" w:lineRule="exact"/>
              <w:rPr>
                <w:sz w:val="20"/>
                <w:szCs w:val="20"/>
                <w:color w:val="auto"/>
              </w:rPr>
            </w:pPr>
            <w:r>
              <w:rPr>
                <w:rFonts w:ascii="Arial" w:cs="Arial" w:eastAsia="Arial" w:hAnsi="Arial"/>
                <w:sz w:val="14"/>
                <w:szCs w:val="14"/>
                <w:color w:val="auto"/>
              </w:rPr>
              <w:t>Hispanic Television</w:t>
            </w:r>
          </w:p>
        </w:tc>
      </w:tr>
      <w:tr>
        <w:trPr>
          <w:trHeight w:val="183"/>
        </w:trPr>
        <w:tc>
          <w:tcPr>
            <w:tcW w:w="5240" w:type="dxa"/>
            <w:vAlign w:val="bottom"/>
            <w:tcBorders>
              <w:bottom w:val="single" w:sz="8" w:color="auto"/>
            </w:tcBorders>
          </w:tcPr>
          <w:p>
            <w:pPr>
              <w:spacing w:after="0" w:line="183" w:lineRule="exact"/>
              <w:rPr>
                <w:sz w:val="20"/>
                <w:szCs w:val="20"/>
                <w:color w:val="auto"/>
              </w:rPr>
            </w:pPr>
            <w:r>
              <w:rPr>
                <w:rFonts w:ascii="Arial" w:cs="Arial" w:eastAsia="Arial" w:hAnsi="Arial"/>
                <w:sz w:val="13"/>
                <w:szCs w:val="13"/>
                <w:color w:val="auto"/>
              </w:rPr>
              <w:t>DMA Served</w:t>
            </w:r>
            <w:r>
              <w:rPr>
                <w:rFonts w:ascii="Arial" w:cs="Arial" w:eastAsia="Arial" w:hAnsi="Arial"/>
                <w:sz w:val="21"/>
                <w:szCs w:val="21"/>
                <w:color w:val="auto"/>
                <w:vertAlign w:val="superscript"/>
              </w:rPr>
              <w:t>(a)</w:t>
            </w:r>
          </w:p>
        </w:tc>
        <w:tc>
          <w:tcPr>
            <w:tcW w:w="2980" w:type="dxa"/>
            <w:vAlign w:val="bottom"/>
            <w:tcBorders>
              <w:bottom w:val="single" w:sz="8" w:color="auto"/>
            </w:tcBorders>
          </w:tcPr>
          <w:p>
            <w:pPr>
              <w:jc w:val="center"/>
              <w:ind w:left="2113"/>
              <w:spacing w:after="0"/>
              <w:rPr>
                <w:sz w:val="20"/>
                <w:szCs w:val="20"/>
                <w:color w:val="auto"/>
              </w:rPr>
            </w:pPr>
            <w:r>
              <w:rPr>
                <w:rFonts w:ascii="Arial" w:cs="Arial" w:eastAsia="Arial" w:hAnsi="Arial"/>
                <w:sz w:val="14"/>
                <w:szCs w:val="14"/>
                <w:color w:val="auto"/>
                <w:w w:val="96"/>
              </w:rPr>
              <w:t>Station</w:t>
            </w:r>
          </w:p>
        </w:tc>
        <w:tc>
          <w:tcPr>
            <w:tcW w:w="1700" w:type="dxa"/>
            <w:vAlign w:val="bottom"/>
            <w:tcBorders>
              <w:bottom w:val="single" w:sz="8" w:color="auto"/>
            </w:tcBorders>
          </w:tcPr>
          <w:p>
            <w:pPr>
              <w:jc w:val="right"/>
              <w:ind w:right="53"/>
              <w:spacing w:after="0" w:line="183" w:lineRule="exact"/>
              <w:rPr>
                <w:sz w:val="20"/>
                <w:szCs w:val="20"/>
                <w:color w:val="auto"/>
              </w:rPr>
            </w:pPr>
            <w:r>
              <w:rPr>
                <w:rFonts w:ascii="Arial" w:cs="Arial" w:eastAsia="Arial" w:hAnsi="Arial"/>
                <w:sz w:val="13"/>
                <w:szCs w:val="13"/>
                <w:color w:val="auto"/>
              </w:rPr>
              <w:t>Hispanic Market Rank</w:t>
            </w:r>
            <w:r>
              <w:rPr>
                <w:rFonts w:ascii="Arial" w:cs="Arial" w:eastAsia="Arial" w:hAnsi="Arial"/>
                <w:sz w:val="21"/>
                <w:szCs w:val="21"/>
                <w:color w:val="auto"/>
                <w:vertAlign w:val="superscript"/>
              </w:rPr>
              <w:t>(b)</w:t>
            </w:r>
          </w:p>
        </w:tc>
        <w:tc>
          <w:tcPr>
            <w:tcW w:w="150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3"/>
                <w:szCs w:val="13"/>
                <w:color w:val="auto"/>
              </w:rPr>
              <w:t>Households</w:t>
            </w:r>
            <w:r>
              <w:rPr>
                <w:rFonts w:ascii="Arial" w:cs="Arial" w:eastAsia="Arial" w:hAnsi="Arial"/>
                <w:sz w:val="21"/>
                <w:szCs w:val="21"/>
                <w:color w:val="auto"/>
                <w:vertAlign w:val="superscript"/>
              </w:rPr>
              <w:t>(c)</w:t>
            </w:r>
          </w:p>
        </w:tc>
      </w:tr>
      <w:tr>
        <w:trPr>
          <w:trHeight w:val="199"/>
        </w:trPr>
        <w:tc>
          <w:tcPr>
            <w:tcW w:w="5240" w:type="dxa"/>
            <w:vAlign w:val="bottom"/>
          </w:tcPr>
          <w:p>
            <w:pPr>
              <w:spacing w:after="0" w:line="200" w:lineRule="exact"/>
              <w:rPr>
                <w:sz w:val="20"/>
                <w:szCs w:val="20"/>
                <w:color w:val="auto"/>
              </w:rPr>
            </w:pPr>
            <w:r>
              <w:rPr>
                <w:rFonts w:ascii="Arial" w:cs="Arial" w:eastAsia="Arial" w:hAnsi="Arial"/>
                <w:sz w:val="18"/>
                <w:szCs w:val="18"/>
                <w:color w:val="auto"/>
              </w:rPr>
              <w:t>Los Angeles, CA</w:t>
            </w:r>
          </w:p>
        </w:tc>
        <w:tc>
          <w:tcPr>
            <w:tcW w:w="2980" w:type="dxa"/>
            <w:vAlign w:val="bottom"/>
          </w:tcPr>
          <w:p>
            <w:pPr>
              <w:jc w:val="center"/>
              <w:ind w:left="2113"/>
              <w:spacing w:after="0" w:line="200" w:lineRule="exact"/>
              <w:rPr>
                <w:sz w:val="20"/>
                <w:szCs w:val="20"/>
                <w:color w:val="auto"/>
              </w:rPr>
            </w:pPr>
            <w:r>
              <w:rPr>
                <w:rFonts w:ascii="Arial" w:cs="Arial" w:eastAsia="Arial" w:hAnsi="Arial"/>
                <w:sz w:val="18"/>
                <w:szCs w:val="18"/>
                <w:color w:val="auto"/>
                <w:w w:val="95"/>
              </w:rPr>
              <w:t>KVEA</w:t>
            </w:r>
          </w:p>
        </w:tc>
        <w:tc>
          <w:tcPr>
            <w:tcW w:w="170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w:t>
            </w:r>
          </w:p>
        </w:tc>
        <w:tc>
          <w:tcPr>
            <w:tcW w:w="1500" w:type="dxa"/>
            <w:vAlign w:val="bottom"/>
          </w:tcPr>
          <w:p>
            <w:pPr>
              <w:jc w:val="right"/>
              <w:spacing w:after="0" w:line="200" w:lineRule="exact"/>
              <w:rPr>
                <w:sz w:val="20"/>
                <w:szCs w:val="20"/>
                <w:color w:val="auto"/>
              </w:rPr>
            </w:pPr>
            <w:r>
              <w:rPr>
                <w:rFonts w:ascii="Arial" w:cs="Arial" w:eastAsia="Arial" w:hAnsi="Arial"/>
                <w:sz w:val="18"/>
                <w:szCs w:val="18"/>
                <w:color w:val="auto"/>
              </w:rPr>
              <w:t>13%</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New York, NY</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6"/>
              </w:rPr>
              <w:t>WNJU</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Miami, FL</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9"/>
              </w:rPr>
              <w:t>WSCV</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Houston, TX</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7"/>
              </w:rPr>
              <w:t>KTMD</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7"/>
              </w:rPr>
              <w:t>KXTX</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9"/>
              </w:rPr>
              <w:t>WSNS</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San Antonio, TX</w:t>
            </w:r>
          </w:p>
        </w:tc>
        <w:tc>
          <w:tcPr>
            <w:tcW w:w="2980" w:type="dxa"/>
            <w:vAlign w:val="bottom"/>
          </w:tcPr>
          <w:p>
            <w:pPr>
              <w:jc w:val="center"/>
              <w:ind w:left="2093"/>
              <w:spacing w:after="0" w:line="202" w:lineRule="exact"/>
              <w:rPr>
                <w:sz w:val="20"/>
                <w:szCs w:val="20"/>
                <w:color w:val="auto"/>
              </w:rPr>
            </w:pPr>
            <w:r>
              <w:rPr>
                <w:rFonts w:ascii="Arial" w:cs="Arial" w:eastAsia="Arial" w:hAnsi="Arial"/>
                <w:sz w:val="18"/>
                <w:szCs w:val="18"/>
                <w:color w:val="auto"/>
                <w:w w:val="97"/>
              </w:rPr>
              <w:t>KVDA</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7"/>
              </w:rPr>
              <w:t>KSTS</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Phoenix, AZ</w:t>
            </w:r>
          </w:p>
        </w:tc>
        <w:tc>
          <w:tcPr>
            <w:tcW w:w="2980" w:type="dxa"/>
            <w:vAlign w:val="bottom"/>
          </w:tcPr>
          <w:p>
            <w:pPr>
              <w:jc w:val="center"/>
              <w:ind w:left="2093"/>
              <w:spacing w:after="0" w:line="202" w:lineRule="exact"/>
              <w:rPr>
                <w:sz w:val="20"/>
                <w:szCs w:val="20"/>
                <w:color w:val="auto"/>
              </w:rPr>
            </w:pPr>
            <w:r>
              <w:rPr>
                <w:rFonts w:ascii="Arial" w:cs="Arial" w:eastAsia="Arial" w:hAnsi="Arial"/>
                <w:sz w:val="18"/>
                <w:szCs w:val="18"/>
                <w:color w:val="auto"/>
                <w:w w:val="95"/>
              </w:rPr>
              <w:t>KTAZ</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Harlingen-Brownsville-McAllen, TX</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5"/>
              </w:rPr>
              <w:t>KTLM</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10</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Fresno, CA</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6"/>
              </w:rPr>
              <w:t>KNSO</w:t>
            </w:r>
            <w:r>
              <w:rPr>
                <w:rFonts w:ascii="Arial" w:cs="Arial" w:eastAsia="Arial" w:hAnsi="Arial"/>
                <w:sz w:val="11"/>
                <w:szCs w:val="11"/>
                <w:color w:val="auto"/>
                <w:w w:val="96"/>
              </w:rPr>
              <w:t>(d)</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7"/>
              </w:rPr>
              <w:t>WWSI</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Denver, CO</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9"/>
              </w:rPr>
              <w:t>KDEN</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Boston, MA</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8"/>
              </w:rPr>
              <w:t>WNEU</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Las Vegas, NV</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7"/>
              </w:rPr>
              <w:t>KBLR</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24</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Tucson, AZ</w:t>
            </w:r>
          </w:p>
        </w:tc>
        <w:tc>
          <w:tcPr>
            <w:tcW w:w="2980" w:type="dxa"/>
            <w:vAlign w:val="bottom"/>
          </w:tcPr>
          <w:p>
            <w:pPr>
              <w:jc w:val="center"/>
              <w:ind w:left="2113"/>
              <w:spacing w:after="0" w:line="202" w:lineRule="exact"/>
              <w:rPr>
                <w:sz w:val="20"/>
                <w:szCs w:val="20"/>
                <w:color w:val="auto"/>
              </w:rPr>
            </w:pPr>
            <w:r>
              <w:rPr>
                <w:rFonts w:ascii="Arial" w:cs="Arial" w:eastAsia="Arial" w:hAnsi="Arial"/>
                <w:sz w:val="18"/>
                <w:szCs w:val="18"/>
                <w:color w:val="auto"/>
                <w:w w:val="97"/>
              </w:rPr>
              <w:t>KHRR</w:t>
            </w:r>
          </w:p>
        </w:tc>
        <w:tc>
          <w:tcPr>
            <w:tcW w:w="17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26</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52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Puerto Rico</w:t>
            </w:r>
          </w:p>
        </w:tc>
        <w:tc>
          <w:tcPr>
            <w:tcW w:w="2980" w:type="dxa"/>
            <w:vAlign w:val="bottom"/>
            <w:tcBorders>
              <w:bottom w:val="single" w:sz="8" w:color="auto"/>
            </w:tcBorders>
          </w:tcPr>
          <w:p>
            <w:pPr>
              <w:jc w:val="center"/>
              <w:ind w:left="2113"/>
              <w:spacing w:after="0" w:line="200" w:lineRule="exact"/>
              <w:rPr>
                <w:sz w:val="20"/>
                <w:szCs w:val="20"/>
                <w:color w:val="auto"/>
              </w:rPr>
            </w:pPr>
            <w:r>
              <w:rPr>
                <w:rFonts w:ascii="Arial" w:cs="Arial" w:eastAsia="Arial" w:hAnsi="Arial"/>
                <w:sz w:val="18"/>
                <w:szCs w:val="18"/>
                <w:color w:val="auto"/>
                <w:w w:val="98"/>
              </w:rPr>
              <w:t>WKAQ</w:t>
            </w:r>
          </w:p>
        </w:tc>
        <w:tc>
          <w:tcPr>
            <w:tcW w:w="170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N/A</w:t>
            </w:r>
          </w:p>
        </w:tc>
        <w:tc>
          <w:tcPr>
            <w:tcW w:w="150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N/A</w:t>
            </w:r>
          </w:p>
        </w:tc>
      </w:tr>
    </w:tbl>
    <w:p>
      <w:pPr>
        <w:spacing w:after="0" w:line="67"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Hispanic market rank is based on the relative size of the DMA among approximately 15.1 million U.S. Hispanic households based on Nielsen estimates for the 2016-17 season.</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Nielsen estimates for the 2016-17 season. The percentage of U.S. Hispanic television households does not reflect the calculation of national audience reach under the FCC’s national television ownership cap limits. See “Legislation and Regulation — Broadcast Television — Ownership Limits — National Television Ownership.”</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Operated by a third party that provides certain non-network programming and operations services under a time brokerage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produce films both on our own and jointly with other studios or production companies, as well as with other entities. Our films are produced primarily under the Universal Pictures, Illumination and Focus Features names, and in August 2016, we acquired DreamWorks Animation. Our films are marketed and distributed worldwide primarily through our own marketing and distribution operations. We also acquire distribution rights to films produced by others, which may be limited to particular geographic regions, specific forms of media or certain periods of time. Our content includes theatrical films, direct-to-video movies and our film library, which is comprised of more than 5,000 movies in a variety of genres.</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into,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majority of our produced and acquired films are initially distributed for exhibition in movie theaters. After their release in movie theaters, we sell and license our films through various methods. We distribute our films globally by selling them on DVDs to retail stores, rental kiosks and subscription by mail services and by selling them through digital distribution services and video on demand services provided by multichannel video providers, including our Cable Communications segment. We also license our films, including selections from our film library, to cable, broadcast and premium networks, to subscription video on demand services, and to video on demand and pay-per-view services. The number of films that we license through subscription video on demand services is increasing as consumers continue to seek additional ways to view our content.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and our 51% interest in Universal Studios Japan, which we acquired in November 2015. Universal Orlando includes two theme parks, Universal Studios Florida and Universal’s Islands of Adventure, as well as Universal CityWalk Orlando, a dining, retail and entertainment complex. Universal Orlando also features on-site themed hotels in which we own a noncontrolling interest. Our Universal theme park in Hollywood, California consists primarily of Universal Studios Hollywood, as well as Universal CityWalk Hollywood. We continue to expand our theme park business internationally, such as through our plans to develop a Universal Studios theme park in Beijing, China along with a consortium of Chinese state-owned companies. In addition, we license the right to use the Universal Studios brand name and other intellectual property, and also provide other services, to third parties that own and operate the Universal Studios Singapore theme park on Sentosa Island, Singapore. We also owned a water park, Wet ‘n Wild in Orlando, Florida, which closed on December 31, 2016, and are developing a new water park, Volcano Bay, in Orlando, Florida, that we plan to open in mid-2017.</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licenses the right to use a substantial amount of intellectual property from third parties for its themed elements in rides, attractions and merchandising.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products and services, to consumers. Technological changes are further intensifying and complicating the competitive landscape for all of our businesses by challenging existing business models and affecting consumer behavior.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Competition for our cable services consists primarily of direct broadcast satellite (“DBS”) providers, which have a national footprint and compete in all of our service areas, and phone companies with fiber-based networks, which overlap approximately 60% of our service areas and are continuing to expand the areas they serve. Many of these competitors offer features, pricing and packaging for these services, individually and in bundles, comparable to what we offer, and some of these traditional competitors also offer smaller online-only video packages. In 2015, AT&amp;T, one of our largest phone company competitors, acquired DIRECTV, the nation’s largest DBS provider, which created an even larger competitor to our cable services and has enabled it to enhance its bundled offerings with video, high-speed Internet, and wireline and wireless phone services. AT&amp;T also announced in 2016 a proposed merger with Time Warner Inc., a media and entertainment company, which competes with our NBCUniversal businesses.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Current and future wireless Internet services, such as 3G, 4G and 5G wireless broadband services and Wi-Fi networks, may compete with our high-speed Internet services, and our voice services are facing increased competition as customers replace wireline phones with wireless phones and Internet-based phone services such as Skype.</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also continue to be new companies, some with significant financial resources, that offer or are seeking to offer services that potentially may compete with some or all of our cable services. For example, Google has launched high-speed Internet and video services in a limited number of areas in which we operate and other companies continue to emerge that provide Internet streaming and downloading of video programming, some of which charge a nominal or no fee.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Video Services</w:t>
      </w:r>
    </w:p>
    <w:p>
      <w:pPr>
        <w:spacing w:after="0"/>
        <w:rPr>
          <w:sz w:val="20"/>
          <w:szCs w:val="20"/>
          <w:color w:val="auto"/>
        </w:rPr>
      </w:pPr>
      <w:r>
        <w:rPr>
          <w:rFonts w:ascii="Arial" w:cs="Arial" w:eastAsia="Arial" w:hAnsi="Arial"/>
          <w:sz w:val="18"/>
          <w:szCs w:val="18"/>
          <w:color w:val="auto"/>
        </w:rPr>
        <w:t>We compete with a number of different sources that provide news, sports, information and entertainment programming to consumers, including:</w:t>
      </w:r>
    </w:p>
    <w:p>
      <w:pPr>
        <w:spacing w:after="0" w:line="117" w:lineRule="exact"/>
        <w:rPr>
          <w:sz w:val="20"/>
          <w:szCs w:val="20"/>
          <w:color w:val="auto"/>
        </w:rPr>
      </w:pPr>
    </w:p>
    <w:p>
      <w:pPr>
        <w:ind w:left="1020" w:right="124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DBS providers, including AT&amp;T’s DIRECTV and DISH Network, that transmit satellite signals to substantially all U.S. households to provide video programming and other information similar to our video services</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phone companies, including AT&amp;T and Verizon, that have built and continue to build fiber-based networks that provide cable services similar to ours, which overlap a substantial portion of our service areas, and that in some cases offer bundled offerings that include wireless phone services</w:t>
      </w:r>
    </w:p>
    <w:p>
      <w:pPr>
        <w:spacing w:after="0" w:line="113" w:lineRule="exact"/>
        <w:rPr>
          <w:rFonts w:ascii="Arial" w:cs="Arial" w:eastAsia="Arial" w:hAnsi="Arial"/>
          <w:sz w:val="18"/>
          <w:szCs w:val="18"/>
          <w:color w:val="auto"/>
        </w:rPr>
      </w:pPr>
    </w:p>
    <w:p>
      <w:pPr>
        <w:jc w:val="both"/>
        <w:ind w:left="1020" w:right="1240" w:hanging="215"/>
        <w:spacing w:after="0" w:line="23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online video distributors that offer online services and devices that enable Internet streaming and downloading of movies, television shows and other video programming, including linear and video on demand programming, and generally involve the offering of smaller packages of programming networks at prices lower than our traditional video service package offerings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satellite master antenna television systems that offer to their subscribers both improved reception of local broadcast television stations and much of the programming offered by our cable systems and generally serve MDUs, office complexes and residential developments</w:t>
      </w:r>
    </w:p>
    <w:p>
      <w:pPr>
        <w:spacing w:after="0" w:line="11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such as local broadcast television stations, that provide multiple channels of free over-the-air programming, as well as video rental services and home entertainment and gaming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 Services</w:t>
      </w:r>
    </w:p>
    <w:p>
      <w:pPr>
        <w:spacing w:after="0"/>
        <w:rPr>
          <w:sz w:val="20"/>
          <w:szCs w:val="20"/>
          <w:color w:val="auto"/>
        </w:rPr>
      </w:pPr>
      <w:r>
        <w:rPr>
          <w:rFonts w:ascii="Arial" w:cs="Arial" w:eastAsia="Arial" w:hAnsi="Arial"/>
          <w:sz w:val="18"/>
          <w:szCs w:val="18"/>
          <w:color w:val="auto"/>
        </w:rPr>
        <w:t>We compete with a number of companies offering Internet services, including:</w:t>
      </w:r>
    </w:p>
    <w:p>
      <w:pPr>
        <w:spacing w:after="0" w:line="117" w:lineRule="exact"/>
        <w:rPr>
          <w:sz w:val="20"/>
          <w:szCs w:val="20"/>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wireline phone companies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Internet service providers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satellite broadband providers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municipal broadband networks</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Some phone companies, such as AT&amp;T, CenturyLink, Frontier and Verizon, have built and are continuing to build fiber-based network infrastructure farther into their networks, which allows them to provide data trans-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mission speeds that exceed those that can be provided with traditional digital subscriber line (“DSL”) technology, and are now offering these higher-speed services in many of our service areas. Certain companies that offer DSL service have increased data transmission speeds, lowered prices or created bundled services to compete with our high-speed Internet services.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Google has launched a fiber-to-the-home network that provides high-speed Internet services in a limited number of areas in which we operate, and certain municipalities in our service areas are also building fiber-based networks.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Various wireless companies are offering Internet services using a variety of network types, including 3G and 4G, and in the future 5G, wireless broadband services and Wi-Fi networks. These networks work with devices such as smartphones, laptops, tablets and mobile wireless routers, as well as wireless data cards. A growing number of commercial venues, such as retail malls, restaurants and airports, also offer Wi-Fi service. Numerous local governments are also considering or actively pursuing publicly subsidized Wi-Fi and other Internet access networks. The availability of these wireless offerings could negatively impact the demand for our high-speed Internet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Voice Services</w:t>
      </w:r>
    </w:p>
    <w:p>
      <w:pPr>
        <w:jc w:val="both"/>
        <w:spacing w:after="0" w:line="273" w:lineRule="auto"/>
        <w:rPr>
          <w:sz w:val="20"/>
          <w:szCs w:val="20"/>
          <w:color w:val="auto"/>
        </w:rPr>
      </w:pPr>
      <w:r>
        <w:rPr>
          <w:rFonts w:ascii="Arial" w:cs="Arial" w:eastAsia="Arial" w:hAnsi="Arial"/>
          <w:sz w:val="16"/>
          <w:szCs w:val="16"/>
          <w:color w:val="auto"/>
        </w:rPr>
        <w:t>Our voice services compete with wireline and wireless phone companies, including incumbent local exchange carriers (“ILECs”) and competitive local exchange carriers (“CLECs”), and other Internet-based and VoIP service providers. Certain phone companies, such as the ILECs AT&amp;T and Verizon, have substantial capital and other resources, longstanding customer relationships, and extensive existing facilities and network rights-of-way. A few CLECs also have existing local networks and significant financial resources. In addition, we are increasingly competing with other phone service providers as customers replace traditional wireline phone services with wireless and Internet-based phone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8" w:lineRule="auto"/>
        <w:rPr>
          <w:sz w:val="20"/>
          <w:szCs w:val="20"/>
          <w:color w:val="auto"/>
        </w:rPr>
      </w:pPr>
      <w:r>
        <w:rPr>
          <w:rFonts w:ascii="Arial" w:cs="Arial" w:eastAsia="Arial" w:hAnsi="Arial"/>
          <w:sz w:val="18"/>
          <w:szCs w:val="18"/>
          <w:color w:val="auto"/>
        </w:rPr>
        <w:t>Our business services primarily compete with a variety of phone companies, including ILECs and CLECs. These companies either operate their own network infrastructure or rely on reselling all or part of another carrier’s network. We also compete with satellite operators who offer video services to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w:t>
      </w:r>
    </w:p>
    <w:p>
      <w:pPr>
        <w:jc w:val="both"/>
        <w:spacing w:after="0" w:line="237" w:lineRule="auto"/>
        <w:rPr>
          <w:sz w:val="20"/>
          <w:szCs w:val="20"/>
          <w:color w:val="auto"/>
        </w:rPr>
      </w:pPr>
      <w:r>
        <w:rPr>
          <w:rFonts w:ascii="Arial" w:cs="Arial" w:eastAsia="Arial" w:hAnsi="Arial"/>
          <w:sz w:val="18"/>
          <w:szCs w:val="18"/>
          <w:color w:val="auto"/>
        </w:rPr>
        <w:t>Our cable networks, broadcast networks and owned local broadcast television stations compete for viewers’ attention and audience share with all forms of programming provided to viewers, including cable, broadcast and premium networks; subscription video on demand services; local broadcast television stations; home entertainment products; pay-per-view and video on demand services; online activities, such as social networking and viewing user-generated content; gaming products; and other forms of entertainment, news and information.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broadcast networks and owned local broadcast television stations compete for the acquisition of programming and for on-air and creative talent with other cable and broadcast networks, local television stations and subscription video on demand services. The market for programming is very competitive, particularly for sports programming, where the cost for such programming is significant.</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compete with other cable networks and programming providers for carriage of their programming by multichannel video providers and subscription video on demand services. Our broadcast networks compete with the other broadcast networks in markets across the United States to secure affiliations with independently owned television stations, which are necessary to ensure the effective distribution of broadcast network programming to a nationwide audience.</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television and broadcast television studio production operations compete with other production companies and creators of content for the acquisition of story properties, for creative, performing and technical personnel, and for distribution of, and consumer interest in, their content.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w:t>
      </w:r>
    </w:p>
    <w:p>
      <w:pPr>
        <w:jc w:val="both"/>
        <w:spacing w:after="0" w:line="236" w:lineRule="auto"/>
        <w:rPr>
          <w:sz w:val="20"/>
          <w:szCs w:val="20"/>
          <w:color w:val="auto"/>
        </w:rPr>
      </w:pPr>
      <w:r>
        <w:rPr>
          <w:rFonts w:ascii="Arial" w:cs="Arial" w:eastAsia="Arial" w:hAnsi="Arial"/>
          <w:sz w:val="18"/>
          <w:szCs w:val="18"/>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we produce, their distribution and marketing success, and consumer response. Our filmed entertainment business also competes to obtain creative, performing and technical talent, including writers, actors, directors and producers, as well as scripts for films. Our filmed entertainment business also competes with the other major studios and other producers of entertainment content for the exhibition of its films in theaters and for premium network and digital distribution of its films.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Theme Parks</w:t>
      </w:r>
    </w:p>
    <w:p>
      <w:pPr>
        <w:jc w:val="both"/>
        <w:spacing w:after="0" w:line="238" w:lineRule="auto"/>
        <w:rPr>
          <w:sz w:val="20"/>
          <w:szCs w:val="20"/>
          <w:color w:val="auto"/>
        </w:rPr>
      </w:pPr>
      <w:r>
        <w:rPr>
          <w:rFonts w:ascii="Arial" w:cs="Arial" w:eastAsia="Arial" w:hAnsi="Arial"/>
          <w:sz w:val="18"/>
          <w:szCs w:val="18"/>
          <w:color w:val="auto"/>
        </w:rPr>
        <w:t>Our theme parks business competes with other multi-park entertainment companies. We also compete with other providers of entertainment, lodging, tourism and recreational activities. To help maintain the competitiveness of our theme parks, we have invested and continue to invest in existing and new theme park attractions, hotels and infrastructure.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Our cable communications business, cable networks, broadcast networks, and owned local broadcast television stations compete for the sale of advertising with other television networks and stations, as well as with all other advertising platforms, such as digital, radio and print media. The willingness of advertisers to purchase advertising from us may be adversely affected by lower audience ratings at our cable networks, broadcast networks and owned local broadcast television stations. Declines in advertising revenue also can be caused by increased competition for the leisure time of viewers and audience fragmentation and from the growing use of technologies such as DVRs and video on demand services, which give consumers greater flexibility to watch programming on a time-delayed or on-demand basis or to fast-forward or skip advertisements within programming; from subscription video on demand services; and from other online programming.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Seasonality and Cyclicality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of our businesses is subject to seasonal and cyclical variations. See Item 7: Management’s Discussion and Analysis of Financial Condition and Results of Operations and refer to the “Seasonality and Cyclicality” discussion within that section for additional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of 1934, as amended (the “Communications Act”), and FCC regulations and policies affect significant aspects of our businesses. Our businesses are also subject to other regulation by federal, state, local and foreign authorities and to agreements we enter into with local cable franchising authorities. In addition, we must comply with the terms, conditions and commitments of the FCC Order that approved the NBCUniversal transaction in January 2011 (the “NBCUniversal Order”) and a consent decree entered into between us, the Department of Justice (“DOJ”) and five states (the “NBCUniversal Consent Decree”) in September 2011, which contain conditions and commitments of varying duration, ranging from three to seven years thereafter.</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Legislators and regulators at all levels of government frequently consider changing, and sometimes do change, existing statutes, rules or regulations, or interpretations of existing statutes, rules or regulations, or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prescribe new ones, any of which may significantly affect our businesses. In addition, in recent years, the FCC and certain states have been more active in considering rulemakings and legislation, as well as in conducting inquiries and reviews, regarding our services. Any future legislative, judicial, regulatory or administrative actions may increase our costs or impose additional restrictions on our businesses, some of which may be significant. Congress may consider proposals to address communications issues, including whether it should rewrite the entire Communications Act to account for changes in the communications marketplace, whether it should address the FCC’s authority to implement or enforce open Internet regulations, and whether it should fund new broadband infrastructure. We are unable to predict the effects of any of these or any other further legislative requirements on our businesses. In addition, with the new Administration in place, the FCC and other agencies may pursue new regulations or seek changes to, or the elimination of, existing regulations, such as the classification of broadband Internet service and requirements relating to the Internet and privacy. We cannot predict what changes will be sought and, if adopted, how they will affect our businesses.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paragraphs summarize material existing and potential future legal and regulatory requirements affecting our businesses, although reference should be made to the Communications Act, FCC regulations, the NBCUniversal Order, the NBCUniversal Consent Decree, and other legislation and regulations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 Carriage</w:t>
      </w:r>
    </w:p>
    <w:p>
      <w:pPr>
        <w:jc w:val="both"/>
        <w:spacing w:after="0" w:line="236" w:lineRule="auto"/>
        <w:rPr>
          <w:sz w:val="20"/>
          <w:szCs w:val="20"/>
          <w:color w:val="auto"/>
        </w:rPr>
      </w:pPr>
      <w:r>
        <w:rPr>
          <w:rFonts w:ascii="Arial" w:cs="Arial" w:eastAsia="Arial" w:hAnsi="Arial"/>
          <w:sz w:val="18"/>
          <w:szCs w:val="18"/>
          <w:color w:val="auto"/>
        </w:rPr>
        <w:t>Cable operators and other multichannel video providers are prohibited from requiring as a condition of carriage a financial interest in, or exclusive distribution rights for, a video programming network. In addition, FCC regulations, as well as the NBCUniversal Order, prohibit us from unreasonably restraining the ability of an unaffiliated video programming network to compete fairly by discriminating against the network on the basis of its non-affiliation in the selection, terms or conditions for its carriage. We have been involved in program carriage disputes at the FCC and may be subject to new complaints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Must-Carry/Retransmission Consent</w:t>
      </w:r>
    </w:p>
    <w:p>
      <w:pPr>
        <w:jc w:val="both"/>
        <w:spacing w:after="0" w:line="236" w:lineRule="auto"/>
        <w:rPr>
          <w:sz w:val="20"/>
          <w:szCs w:val="20"/>
          <w:color w:val="auto"/>
        </w:rPr>
      </w:pPr>
      <w:r>
        <w:rPr>
          <w:rFonts w:ascii="Arial" w:cs="Arial" w:eastAsia="Arial" w:hAnsi="Arial"/>
          <w:sz w:val="18"/>
          <w:szCs w:val="18"/>
          <w:color w:val="auto"/>
        </w:rPr>
        <w:t>Cable operators are required to carry, without compensation, programming transmitted by most local commercial and noncommercial broadcast television stations. As an alternative to this “must-carry” requirement, local broadcast television stations may choose to negotiate with the cable operator for “retransmission consent,” under which the station gives up its must-carry rights and instead seeks to negotiate a carriage agreement with the cable operator, which frequently will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 and other concessions from local broadcast television stations. For information on must-carry and retransmission consent issues relating to our broadcast television business, see “NBCUniversal Segments — Broadcast Television” below and refer to the “Must-Carry/Retransmission Consent” discussion within that section.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Pricing and Packaging</w:t>
      </w:r>
    </w:p>
    <w:p>
      <w:pPr>
        <w:jc w:val="both"/>
        <w:spacing w:after="0" w:line="237" w:lineRule="auto"/>
        <w:rPr>
          <w:sz w:val="20"/>
          <w:szCs w:val="20"/>
          <w:color w:val="auto"/>
        </w:rPr>
      </w:pPr>
      <w:r>
        <w:rPr>
          <w:rFonts w:ascii="Arial" w:cs="Arial" w:eastAsia="Arial" w:hAnsi="Arial"/>
          <w:sz w:val="18"/>
          <w:szCs w:val="18"/>
          <w:color w:val="auto"/>
        </w:rPr>
        <w:t>In 2015, the FCC revised its rate regulations to create a presumption that all local communities are subject to effective competition and should no longer be subject to rate regulation that limits prices cable operators may charge for basic video service, equipment and installation. That decision has been appealed in federal court. While the FCC has accepted a certification from a Massachusetts franchising authority that demonstrated an absence of effective competition in a number of the communities we serve in Massachusetts that will allow for</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continued rate regulation in those communities, all of the other areas we serve are unregulated. In addition to the FCC’s rate regulation rules, certain state entities monitor and may challenge the marketing and advertising of our services. For example, in 2016, the Washington State Attorney General filed suit in state court alleging our service protection plan, an optional plan that protects customers from incurring charges for service visits to diagnose and repair installed in-home wiring for residential cable services, violates state consumer protection laws.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Cable Equipment</w:t>
      </w:r>
    </w:p>
    <w:p>
      <w:pPr>
        <w:jc w:val="both"/>
        <w:spacing w:after="0" w:line="236" w:lineRule="auto"/>
        <w:rPr>
          <w:sz w:val="20"/>
          <w:szCs w:val="20"/>
          <w:color w:val="auto"/>
        </w:rPr>
      </w:pPr>
      <w:r>
        <w:rPr>
          <w:rFonts w:ascii="Arial" w:cs="Arial" w:eastAsia="Arial" w:hAnsi="Arial"/>
          <w:sz w:val="18"/>
          <w:szCs w:val="18"/>
          <w:color w:val="auto"/>
        </w:rPr>
        <w:t>The Communications Act includes provisions aimed at promoting the retail availability of set-top boxes and other equipment that can be used to receive digital video services. In 2016, the FCC launched a rulemaking to consider proposed technology mandates on multichannel video providers aimed at enabling third-party retail video devices to access a provider’s video service without the need for a provider-supplied set-top box. If implemented, these mandates would impose substantial costs on us, impair our ability to innovate and have other adverse effects on our business. It is unclear whether the FCC under the new Administration will pursue this proceeding or adopt these 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Pole Attachments</w:t>
      </w:r>
    </w:p>
    <w:p>
      <w:pPr>
        <w:jc w:val="both"/>
        <w:spacing w:after="0" w:line="235" w:lineRule="auto"/>
        <w:rPr>
          <w:sz w:val="20"/>
          <w:szCs w:val="20"/>
          <w:color w:val="auto"/>
        </w:rPr>
      </w:pPr>
      <w:r>
        <w:rPr>
          <w:rFonts w:ascii="Arial" w:cs="Arial" w:eastAsia="Arial" w:hAnsi="Arial"/>
          <w:sz w:val="18"/>
          <w:szCs w:val="18"/>
          <w:color w:val="auto"/>
        </w:rPr>
        <w:t>The FCC regulates the rates, terms and conditions that most pole-owning utility companies charge cable operators and telecommunications carriers, including broadband Internet access service providers such as us, for allowing attachments to their poles. States are permitted to preempt FCC jurisdiction and regulate the rates, terms and conditions of attachments themselves, and many states in which we operate have done so. Most of these states have generally followed the FCC’s pole attachment rate standards, which set rates for telecommunications service pole attachments to levels at or near the rates for cable service attachments. In 2015, the FCC eliminated the ability of utility companies to justify higher rates for telecommunication service pole attachments. Cable operators had requested this FCC action because the FCC’s new open Internet regulations, as described below under the heading “Open Internet Regulations”, reclassified Internet access service as a telecommunications service, which could have allowed for higher rental rates to be applied to a majority of our pole attachments. The FCC’s order ensuring that pole rates for telecommunications service attachments approximate the cable service pole rate has been appealed in federal court by the utility companies. Some municipalities have enacted “one-touch” make ready pole attachment ordinances, which permit third parties to alter components of our network attached to utility poles in ways that could adversely affect our businesses. We and other providers have filed complaints in federal court challenging these ordinances.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Franchising</w:t>
      </w:r>
    </w:p>
    <w:p>
      <w:pPr>
        <w:jc w:val="both"/>
        <w:spacing w:after="0" w:line="236"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Franchising authorities also may establish reasonable requirements for public, educational and governmental access programming, and some of our franchises require substantial channel capacity and financial support for this programming. The Communications Act also contains provisions governing the franchising process, including renewal procedures designed to protect incumbent franchisees against arbitrary denials of renewal. We believe that our franchise renewal prospects are generally favorable but cannot guarantee the future renewal of any individual franchise.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Approximately half of the states in which we operate provide for statewide franchising or have simplified local franchising requirements for new entrants. Some allow new entrants to operate on more favorable terms than our current operations, for instance by not requiring that the new entrant provide service to all parts of the franchise area or permitting the new entrant to designate only those portions it wishes to serve. Certain states allow incumbent cable operators such as us to opt in to the new state franchise immediately or later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when a competing state franchise has been issued, although even in those states, incumbent cable operators may be required to retain certain franchise obligations that are more burdensome than the new entrant’s state franchise.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high-speed Internet services to our customers. Many of these services are subject to a number of regulatory obligations described below, including open Internet regulations prescribed by the FCC and certain common carrier regulations under Title II of the Communications Act. As an Internet service provider (“ISP”), we are also subject to a requirement to implement certain network capabilities to assist law enforcement in conducting surveillance of persons suspected of criminal activity. From time to time, the FCC considers imposing new regulatory obligations on ISPs, including, for example, proposals to require broadband network outage reporting. New broadband regulations, if adopted, may have adverse effects on our businesses.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Open Internet Regulations</w:t>
      </w:r>
    </w:p>
    <w:p>
      <w:pPr>
        <w:jc w:val="both"/>
        <w:spacing w:after="0" w:line="236" w:lineRule="auto"/>
        <w:rPr>
          <w:sz w:val="20"/>
          <w:szCs w:val="20"/>
          <w:color w:val="auto"/>
        </w:rPr>
      </w:pPr>
      <w:r>
        <w:rPr>
          <w:rFonts w:ascii="Arial" w:cs="Arial" w:eastAsia="Arial" w:hAnsi="Arial"/>
          <w:sz w:val="18"/>
          <w:szCs w:val="18"/>
          <w:color w:val="auto"/>
        </w:rPr>
        <w:t>In 2015, the FCC reclassified broadband Internet access service as a “telecommunications service” subject to new open Internet regulations and certain common carrier regulations under Title II of the Communications Act, including requirements that charges and practices of ISPs for and in connection with broadband Internet access service be just, reasonable and not unjustly or unreasonably discriminatory. However, the FCC refrained from implementing a number of utility-style regulations that might otherwise apply under Title II, such as rate regulation, tariffs and unbundling requirements.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new open Internet regulations bar ISPs from blocking access to lawful content, applications, services or non-harmful devices; prohibit ISPs from impairing or degrading lawful Internet traffic on the basis of content, applications or services, or impairing or degrading the use of non-harmful devices; prohibit ISPs from favoring lawful traffic from one provider of Internet content, applications or services (called an “edge provider”) over lawful traffic of another edge provider in exchange for consideration (“paid prioritization”); establish a new “general conduct standard” that prohibits ISPs from unreasonably interfering with or unreasonably disadvantaging the ability of consumers to select, access and use the lawful Internet content, applications, services or devices of their choosing or of edge providers to make lawful content, applications, services or devices available to consumers; and require ISPs to disclose information regarding network management, performance and commercial terms of the service. In addition, interconnection arrangements, which govern how Internet traffic is exchanged between high-speed Internet networks and provide direct, dedicated interconnection capacity to edge providers, are now subject to FCC oversight under Title II of the Communications Act. All of these regulations are subject to FCC enforcement and could give rise to third-party claims for damages or equitable relief. These requirements could adversely affect our business, although the extent to which they do so will depend upon the manner in which the FCC interprets and enforces them.</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2016, a panel of the United States Court of Appeals for the District of Columbia affirmed the FCC’s new open Internet regulations on appeal. Petitions have been filed requesting a rehearing of the decision. In addition, Congress may consider legislation addressing these regulations, and the FCC under the new Administration may also revisit the rules. We cannot predict whether or how the rules might be changed. States have attempted, and may continue to attempt, to use the FCC’s open Internet decision to justify imposing new regulations and taxes and fees on ISPs that could adversely affect our business.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Separate and apart from the FCC’s new open Internet regulations, we committed to be bound by the FCC’s original “open Internet” regulations adopted in 2010 as a condition of the NBCUniversal Order and the NBCUniversal Consent Decree until 2018, although we did not agree to be bound by any future open Internet regulations. As a result, among other things, we cannot block access to lawful Internet content, applications, services or non-harmful devices or unreasonably discriminate in transmitting lawful Internet network traffic, although we may engage in reasonable network management.</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Business Data Services</w:t>
      </w:r>
    </w:p>
    <w:p>
      <w:pPr>
        <w:jc w:val="both"/>
        <w:spacing w:after="0" w:line="236" w:lineRule="auto"/>
        <w:rPr>
          <w:sz w:val="20"/>
          <w:szCs w:val="20"/>
          <w:color w:val="auto"/>
        </w:rPr>
      </w:pPr>
      <w:r>
        <w:rPr>
          <w:rFonts w:ascii="Arial" w:cs="Arial" w:eastAsia="Arial" w:hAnsi="Arial"/>
          <w:sz w:val="18"/>
          <w:szCs w:val="18"/>
          <w:color w:val="auto"/>
        </w:rPr>
        <w:t>In April 2016, the FCC proposed new regulations for “business data services” (formerly “special access” services), which provide dedicated point-to-point transmission of data at certain guaranteed speeds and service levels using high-capacity connections. The FCC proposed new rate regulation and other regulatory mandates that could apply to business data services offered by cable companies. The proposed rules or any variation of the proposed rules, if implemented, could impose substantial costs on us and have other significant adverse effects on our business. It is uncertain whether the FCC under the new Administration will pursue this proceeding or adopt these 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Order/Consent Decree Conditions</w:t>
      </w:r>
    </w:p>
    <w:p>
      <w:pPr>
        <w:jc w:val="both"/>
        <w:spacing w:after="0" w:line="236" w:lineRule="auto"/>
        <w:rPr>
          <w:sz w:val="20"/>
          <w:szCs w:val="20"/>
          <w:color w:val="auto"/>
        </w:rPr>
      </w:pPr>
      <w:r>
        <w:rPr>
          <w:rFonts w:ascii="Arial" w:cs="Arial" w:eastAsia="Arial" w:hAnsi="Arial"/>
          <w:sz w:val="18"/>
          <w:szCs w:val="18"/>
          <w:color w:val="auto"/>
        </w:rPr>
        <w:t>The NBCUniversal Order and NBCUniversal Consent Decree include various conditions and commitments requiring us to offer all of our broadband Internet access service speed tiers on a stand-alone basis at reasonable market-based prices, to maintain a broadband Internet access service of at least 12 Mbps downstream across most of our footprint, and to avoid discrimination in how we treat “specialized services” (defined as services we provide over the same last-mile facilities as our broadband Internet access service, but not including our broadband Internet access service, video services or voice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Municipally Owned Broadband Networks</w:t>
      </w:r>
    </w:p>
    <w:p>
      <w:pPr>
        <w:jc w:val="both"/>
        <w:spacing w:after="0" w:line="236" w:lineRule="auto"/>
        <w:rPr>
          <w:sz w:val="20"/>
          <w:szCs w:val="20"/>
          <w:color w:val="auto"/>
        </w:rPr>
      </w:pPr>
      <w:r>
        <w:rPr>
          <w:rFonts w:ascii="Arial" w:cs="Arial" w:eastAsia="Arial" w:hAnsi="Arial"/>
          <w:sz w:val="18"/>
          <w:szCs w:val="18"/>
          <w:color w:val="auto"/>
        </w:rPr>
        <w:t>A number of local municipalities operate municipally-owned broadband networks. Certain states have enacted laws that restrict or prohibit local municipalities from operating municipally owned broadband networks. The FCC’s efforts to preempt such laws in Tennessee and North Carolina were overturned in 2016 by the United States Court of Appeals for the Sixth Circuit. However, there may be further efforts by local governments to expand or create government-owned networks and there may also be efforts in state legislatures to restrict the development of government-owned networks or to ease or facilitate such networks. In addition, as part of any federal infrastructure program, governmental subsidies or funding of additional Internet broadband networks may be encouraged. We cannot predict how successful those efforts will be and how they might affect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 contribution obligations and certain regulatory filing requirements. The FCC has not yet ruled on whether VoIP services such as ours should be classified as an “information service” or a “telecommunications service” under the Communications Act. The classification determination is important because telecommunications services are regulated more extensively than information services. State regulatory commissions and legislatures may continue to investigate imposing regulatory requirements on our voice services, and the FCC’s open Internet regulations reclassifying Internet access as a telecommunications service may further encourage state-level regulatory actions.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Voice Interconnection</w:t>
      </w:r>
    </w:p>
    <w:p>
      <w:pPr>
        <w:jc w:val="both"/>
        <w:spacing w:after="0" w:line="236" w:lineRule="auto"/>
        <w:rPr>
          <w:sz w:val="20"/>
          <w:szCs w:val="20"/>
          <w:color w:val="auto"/>
        </w:rPr>
      </w:pPr>
      <w:r>
        <w:rPr>
          <w:rFonts w:ascii="Arial" w:cs="Arial" w:eastAsia="Arial" w:hAnsi="Arial"/>
          <w:sz w:val="18"/>
          <w:szCs w:val="18"/>
          <w:color w:val="auto"/>
        </w:rPr>
        <w:t>Because the FCC has not determined the appropriate classification of our voice services, providers of VoIP services typically either secure CLEC authorization or obtain interconnection to traditional wireline phone company networks by contracting with an existing CLEC, which has the right, as a telecommunications carrier, to request and obtain interconnection with the traditional wireline phone companies. We have arranged for such interconnection rights through affiliated CLECs. If a regulatory or judicial authority were to deny our ability to interconnect through one of our affiliated CLECs, our ability to provide voice services and compete in the area in question would be negatively impacted. The FCC regulates the arrangements by which telecommunications carriers compensate one another for exchanged traffic and has affirmed the right of CLECs to collect intercarrier compensation when providing interconnection for VoIP providers.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Universal Service</w:t>
      </w:r>
    </w:p>
    <w:p>
      <w:pPr>
        <w:jc w:val="both"/>
        <w:spacing w:after="0" w:line="270" w:lineRule="auto"/>
        <w:rPr>
          <w:sz w:val="20"/>
          <w:szCs w:val="20"/>
          <w:color w:val="auto"/>
        </w:rPr>
      </w:pPr>
      <w:r>
        <w:rPr>
          <w:rFonts w:ascii="Arial" w:cs="Arial" w:eastAsia="Arial" w:hAnsi="Arial"/>
          <w:sz w:val="16"/>
          <w:szCs w:val="16"/>
          <w:color w:val="auto"/>
        </w:rPr>
        <w:t>The federal Universal Service program generally requires us and other phone service providers to pay a fee based on revenue from their services into a fund used to subsidize the provision of telecommunications services in high-cost areas and to low-income consumers and the provision of Internet and telecommunications services to schools, libraries and certain health care providers. Some states also have analogous programs that support service in high-cost areas or to low-income consumers. The FCC has long considered implementing changes to the Universal Service program, such as changing the fee calculation from a revenue-based formula to a per-user fee or per-connection fee, adopting a fee based on bandwidth, and expanding the services subject to the fee to include broadband Internet access services. We are unable to predict if or how the FCC may change the Universal Service program, or the effects any such changes would have on our businesses.</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FCC recently has shifted its focus away from supporting traditional telephone service, and toward subsidizing broadband deployment. This shift could assist some of our competitors. For example, in 2014, the FCC substantially revised the program that provides Universal Service support for services to schools and libraries to shift support from voice services to broadband services and the deployment of Wi-Fi networks. Similarly, the FCC has expanded its Lifeline subsidy program for low-income consumers to include broadband services in addition to voice services. The FCC under the new Administration or Congress may revisit these subsidy programs and how they are funded. We cannot predict whether or how these programs will be changed.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 Access</w:t>
      </w:r>
    </w:p>
    <w:p>
      <w:pPr>
        <w:jc w:val="both"/>
        <w:ind w:right="20"/>
        <w:spacing w:after="0" w:line="239" w:lineRule="auto"/>
        <w:rPr>
          <w:sz w:val="20"/>
          <w:szCs w:val="20"/>
          <w:color w:val="auto"/>
        </w:rPr>
      </w:pPr>
      <w:r>
        <w:rPr>
          <w:rFonts w:ascii="Arial" w:cs="Arial" w:eastAsia="Arial" w:hAnsi="Arial"/>
          <w:sz w:val="18"/>
          <w:szCs w:val="18"/>
          <w:color w:val="auto"/>
        </w:rPr>
        <w:t>The Communications Act and FCC regulations (the “program access rules”) generally prevent cable networks affiliated with cable operators from favoring cable operators over competing multichannel video programming distributors (“MVPDs”).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FCC and Congress have considered proposals that would require companies that own multiple cable networks to make each of their networks available individually when negotiating distribution agreements with MVPDs and potentially with online video distributors (“OVDs”). We currently offer our cable networks both on a bundled basis and, when requested, individually.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NBCUniversal Order, MVPDs in certain circumstances can invoke commercial arbitration for access to our cable networks and broadcast television networks, including our regional sports networks. In addition, under the NBCUniversal Order and NBCUniversal Consent Decree, we are required to make certain of our cable network, broadcast television and filmed entertainment programming available to bona fide OVDs in certain circumstances. For further discussion of these conditions, see “Broadcast Television” below and refer to the “Must-Carry/Retransmission Consent” and “Internet Distribution” discussions within that section.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Children’s Programming</w:t>
      </w:r>
    </w:p>
    <w:p>
      <w:pPr>
        <w:jc w:val="both"/>
        <w:spacing w:after="0" w:line="237" w:lineRule="auto"/>
        <w:rPr>
          <w:sz w:val="20"/>
          <w:szCs w:val="20"/>
          <w:color w:val="auto"/>
        </w:rPr>
      </w:pPr>
      <w:r>
        <w:rPr>
          <w:rFonts w:ascii="Arial" w:cs="Arial" w:eastAsia="Arial" w:hAnsi="Arial"/>
          <w:sz w:val="18"/>
          <w:szCs w:val="18"/>
          <w:color w:val="auto"/>
        </w:rPr>
        <w:t>Under federal regulations, the amount of commercial content that may be shown on cable networks, broadcast networks and broadcast television stations during programming originally produced and broadcast primarily for an audience of children under 13 years of age is limited, and certain television station programming must serve the educational and informational needs of children under 17 years of age. In addition, the NBCUniversal Order includes certain commitments and conditions related to children’s television and advertising directed at children.</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Licensing</w:t>
      </w:r>
    </w:p>
    <w:p>
      <w:pPr>
        <w:jc w:val="both"/>
        <w:spacing w:after="0" w:line="236" w:lineRule="auto"/>
        <w:rPr>
          <w:sz w:val="20"/>
          <w:szCs w:val="20"/>
          <w:color w:val="auto"/>
        </w:rPr>
      </w:pPr>
      <w:r>
        <w:rPr>
          <w:rFonts w:ascii="Arial" w:cs="Arial" w:eastAsia="Arial" w:hAnsi="Arial"/>
          <w:sz w:val="18"/>
          <w:szCs w:val="18"/>
          <w:color w:val="auto"/>
        </w:rPr>
        <w:t>Local broadcast television stations may be operated only in accordance with a license issued by the FCC upon a finding that the grant of the license will serve the public interest, convenience and necessity. The FCC grants broadcast television station licenses for specific periods of time, which may be renewed with or without conditions. Substantially all of our broadcast television station licenses have pending applications for renewal, although our stations’ authority to operate is automatically extended while a renewal application is under review. Several of these applications have been opposed by third parties. Although our licenses have been renewed in the past, there can be no assurance that we will always obtain renewal grants.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Ownership Limits</w:t>
      </w:r>
    </w:p>
    <w:p>
      <w:pPr>
        <w:jc w:val="both"/>
        <w:spacing w:after="0" w:line="238" w:lineRule="auto"/>
        <w:rPr>
          <w:sz w:val="20"/>
          <w:szCs w:val="20"/>
          <w:color w:val="auto"/>
        </w:rPr>
      </w:pPr>
      <w:r>
        <w:rPr>
          <w:rFonts w:ascii="Arial" w:cs="Arial" w:eastAsia="Arial" w:hAnsi="Arial"/>
          <w:sz w:val="18"/>
          <w:szCs w:val="18"/>
          <w:color w:val="auto"/>
        </w:rPr>
        <w:t>FCC regulations limit the ability of individuals and entities to have “attributable interests” above specific ownership levels in local television stations and place limitations on ownership of other specified mass media entities, such as limits on the cross-ownership of broadcast television stations and newspapers in the same market. The FCC is in the process of reviewing these ownership regulations.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Local Television Ownership</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FCC regulations, a licensee generally may own up to two broadcast television stations in the same DMA, as long as at least one of the stations is not among the top four-ranked stations in the market based on audience share and there are at least eight independently owned and operating full-power broadcast television stations in the market. Without regard to the number of remaining independently owned television stations, ownership of more than one television station within the same DMA is permitted so long as certain signal contours of the stations involved do not overlap.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National Television Ownership</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and FCC regulations limit the number of broadcast television stations one entity may own or control nationally. No entity may have an attributable interest in broadcast television stations that reach, in the aggregate, more than 39% of all U.S. television households. The FCC also has adopted a rule that eliminates a 50% discount formerly afforded to UHF stations (channels 14 and above) in calculating the extent of an individual station owner’s holdings under the national cap. Our owned broadcast television station reach does not exceed this limit, but the elimination of this discount places us closer to the national cap and limits our flexibility to acquire stations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Foreign Ownership</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Communications Act generally limits foreign ownership in a broadcast television station to 20% direct ownership and 25% indirect ownership, although the limit on indirect ownership can be waived if the FCC finds it to be in the public interest.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Dual Network Rule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of the four major broadcast television networks — ABC, CBS, Fox and NBC — is prohibited from being under common ownership or control with another of the four.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Must-Carry/Retransmission Consent</w:t>
      </w:r>
    </w:p>
    <w:p>
      <w:pPr>
        <w:jc w:val="both"/>
        <w:spacing w:after="0" w:line="238"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must-carry or retransmission consent. A similar regulatory scheme applies to satellite providers. For the current period, which ends on December 31, 2017, all of our owned NBC broadcast television stations and our owned Telemundo broadcast television stations elected retransmission consent.</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enacting the STELA Reauthorization Act of 2014, Congress modified certain aspects of the compulsory copyright licenses under which satellite providers and cable operators retransmit broadcast television sta-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tions. Congress also is considering legislation that would modify the must-carry and retransmission consent regime. Under conditions imposed in the NBCUniversal Order, MVPDs may invoke commercial arbitration to resolve disputes regarding carriage of our owned local broadcast television stations.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Internet Distribution</w:t>
      </w:r>
    </w:p>
    <w:p>
      <w:pPr>
        <w:jc w:val="both"/>
        <w:spacing w:after="0" w:line="236" w:lineRule="auto"/>
        <w:rPr>
          <w:sz w:val="20"/>
          <w:szCs w:val="20"/>
          <w:color w:val="auto"/>
        </w:rPr>
      </w:pPr>
      <w:r>
        <w:rPr>
          <w:rFonts w:ascii="Arial" w:cs="Arial" w:eastAsia="Arial" w:hAnsi="Arial"/>
          <w:sz w:val="18"/>
          <w:szCs w:val="18"/>
          <w:color w:val="auto"/>
        </w:rPr>
        <w:t>The NBCUniversal Order and NBCUniversal Consent Decree establish certain obligations and restraints concerning distribution of our content online. We must make available certain of our cable network, broadcast television and filmed entertainment programming to bona fide OVDs in certain circumstances, and they may invoke commercial arbitration to resolve disputes over access to such programming. We also must distribute programming via nbc.com that is generally equivalent to the programming that we distributed via nbc.com as of January 1, 2011, on generally equivalent prices, terms and conditions, so long as at least one of the other major broadcast networks continues to distribute its programming in a similar fashion. We are one of three broadcast network owners of Hulu, but we have no voting rights or board representation. We have entered into renewal license agreements with Hulu on substantially the same terms as its other broadcast network owners.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Indecency</w:t>
      </w:r>
    </w:p>
    <w:p>
      <w:pPr>
        <w:jc w:val="both"/>
        <w:spacing w:after="0" w:line="281" w:lineRule="auto"/>
        <w:rPr>
          <w:sz w:val="20"/>
          <w:szCs w:val="20"/>
          <w:color w:val="auto"/>
        </w:rPr>
      </w:pPr>
      <w:r>
        <w:rPr>
          <w:rFonts w:ascii="Arial" w:cs="Arial" w:eastAsia="Arial" w:hAnsi="Arial"/>
          <w:sz w:val="16"/>
          <w:szCs w:val="16"/>
          <w:color w:val="auto"/>
        </w:rPr>
        <w:t>A federal statute and FCC regulations prohibit the broadcast of obscene material on television stations at any time and indecent or profane material between the hours of 6 a.m. and 10 p.m. From time to time, we have received and may receive in the future letters of inquiry from the FCC prompted by complaints alleging that certain programming on our owned local broadcast television stations included indecent or profane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filmed entertainment business is subject to “trade practice laws” in effect in 25 states and Puerto Rico relating to theatrical distribution of motion pictures. In countries outside the United States, a variety of existing or contemplated laws and regulations may affect our ability to distribute and license motion picture and television products, as well as consumer merchandise products. The ability of countries to deny market access or refuse national treatment to products originating outside their territories is regulated under various international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are subject to various regulations, including laws and regulations regarding environmental protection, privacy and data protection, consumer product safety and theme park operations, such as health, sanitation, safety and fire standards, as well as liquor licenses.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Copyright, trademark, unfair competition, patent, trade secret and other proprietary-rights laws of the United States and other countries help protect our intellectual property rights. In particular, piracy of programming and films through unauthorized distribution of counterfeit DVDs, peer-to-peer file sharing and other platforms presents challenges for our cable networks, broadcast television and filmed entertainment businesses. The 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302"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While many legal protections exist to combat piracy, laws in the United States and internationally continue to evolve, as do technologies used to evade these laws. We have actively engaged in the enforcement of our intellectual property rights and likely will continue to expend substantial resources to protect our content. The repeal of laws intended to combat piracy and protect intellectual property or weakening of such laws or enforcement in the United States or internationally, or a failure of existing laws to adapt to new technologies, could make it more difficult for us to adequately protect our intellectual property rights, which could negatively affect their value and further increase the costs of enforcing our rights.</w:t>
      </w:r>
    </w:p>
    <w:p>
      <w:pPr>
        <w:spacing w:after="0" w:line="1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Copyright laws also require that we contribute a percentage of revenue to a federal copyright royalty pool in exchange for retransmitting copyrighted material in broadcast signals under a compulsory license and that we pay standard industry licensing fees for the public performance of music in the programs we distribute, such as local advertising and local origination programming on our cable systems, as well as in the content we create. The fees we pay to music performance rights organizations are typically renegotiated when we renew licenses with those organizations, while the royalties we contribute to the copyright royalty pool for broadcast signals can be challenged by copyright owners in annual audits, and we cannot predict what those fees will be in the future or if disputes will arise over them. In addition, in response to a 2014 FCC decision eliminating the FCC’s “sports blackout” rule, which previously enabled sports teams to insist that cable operators black out sports events not available on local broadcast signals, the leading sports leagues petitioned the Copyright Royalty Board to impose a copyright surcharge on cable operators to compensate sports teams for the loss of programming exclusivity, and that proceeding is now pending.</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has been litigation related to a number of online entities that stream our broadcast television content online without the consent of, or compensation to, NBC or its affiliates. In 2014, the U.S. Supreme Court ruled that one such entity, Aereo, violated the broadcasters’ exclusive right to perform their copyrighted works publicly. Subsequently, Aereo sought to operate as a cable system under the Copyright Act. Although the U.S. Copyright Office rejected its application for a compulsory copyright license, other companies continue to seek legislation or court rulings to obtain a compulsory license to stream broadcast programming online.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Security Regulation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Communications Act generally restricts the nonconsensual collection and disclosure to third parties of cable customers’ personally identifiable information by cable operators, except for rendering service, conducting legitimate business activities related to the service, and responding to legal requests. We are also subject to various state and federal regulations that provide privacy protections for customer proprietary network information related to our voice services.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result of the FCC’s 2015 decision to reclassify broadband Internet access service as a “telecommunications service” subject to Title II of the Communications Act, the FCC has concluded that ISPs are subject to FCC regulations regarding the use and disclosure of certain customer information. Specifically, in October 2016, the FCC adopted new privacy and data security regulations governing the use of certain customer information by telecommunications carriers, including ISPs and providers of VoIP services such as ours. Under these new regulations, we may use, disclose or permit access to any customer non-sensitive proprietary information subject to the customer’s ability to opt out, but must obtain opt-in approval from the customer to use, disclose or permit access to customer sensitive proprietary information, with certain exceptions. The new regulations also impose breach notification obligations and data security requirements. These new rules are more stringent than the FTC’s privacy rules that previously applied to ISPs and could have adverse effects on our ability to compete in the highly concentrated online advertising market. The FCC under the new Administration or Congress may revisit and revise these new rules, although we cannot predict whether or how the rules might be changed.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FCC privacy regulations governing ISPs, the FTC generally exercises authority over privacy protections applicable to some of our other businesses by using its existing authority over unfair and deceptive acts or practices to apply greater restrictions on the collection and use of personally identifiable and other information relating to consumers. It also has undertaken numerous enforcement actions against parties that do not provide sufficient security protections against the loss or unauthorized disclosure of this type of information. However, a recent court decision has raised questions regarding the extent of FTC jurisdiction over companies like us, whose service offerings include some common carrier services. The FTC has appealed this decision. We cannot predict the outcome of the litigation or the impact of the decision on our business. We also are subject to stringent data security and data retention requirements that apply to website operators and online services directed to children under 13 years of age, or that knowingly collect or post personal information from children under 13 years of age. Other privacy-oriented laws have been extended by courts to online video providers and are increasingly being used in privacy lawsuits, including class actions, against providers of video materials online.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 commercial emails, as well as FCC regulations relating to automated telemarketing calls, texts and SMS messages. The FTC and state attorneys general also have initiated efforts to increase and enforce transparency requirements about the collection and use of consumer information, even in an aggregated, non-customer-identifiable form, which may require ongoing review of new and rapidly evolving technologies and methods for delivering content and advertising to ensure that appropriate notice is given to consumers and consent is obtained where required.</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laws and regulations regarding data security that primarily apply to sensitive personal information that could be used to commit identity theft. Most states have security breach notification laws that generally require a business to give notice to consumers and government agencies when certain information has been disclosed due to a security breach, and the FCC has adopted security breach rules for voice services and broadband Internet access services. Several states have also enacted general data security requirements to safeguard consumer information, including the proper disposal of consumer information.</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National Institute of Standards and Technology (“NIST”), in cooperation with other federal agencies and owners and operators of U.S. critical infrastructure, including us, have developed a voluntary framework that provides a prioritized, flexible, repeatable, performance-based and cost-effective approach to cybersecurity risk. It is a compendium of existing cross-sector cyber-defense processes, practices and protocols that can help companies identify, assess and manage their cyber risks and vulnerabilities, and several government agencies have encouraged compliance with this framework. NIST recently proposed draft updates to this voluntary framework and is collecting feedback on the draft. In June 2016, the Department of Homeland Security and the Department of Justice, in collaboration with other federal agencies, released final guidance regarding the sharing of cyber threat indicators and defensive measures between and among Federal and Non-Federal entities under the Cybersecurity Act of 2015. Finally, there are pending legislative proposals that could impose new requirements on owners and operators of critical infrastructure, including us, and the FCC is considering expanding its cybersecurity guidelines or adopting new cybersecurity requirements.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Congress has authorized the FCC to conduct an auction to repurpose some broadcast spectrum to mobile broadband use. In this auction, licensees of full-power and Class A television stations have the opportunity to sell some or all of their spectrum rights in exchange for cash. TV stations that do not voluntarily sell their spectrum rights may be assigned new channels on which to operate, but the FCC must make “all reasonable efforts” to preserve those stations’ over-the-air coverage areas and populations served, and to reimburse them for reasonable relocation costs (subject to an aggregate limit of $1.75 billion).</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has submitted applications with the FCC indicating its potential interest in selling broadcast spectrum rights, and we have filed an application to bid on new mobile broadband licenses. Filing an application in the auction does not create any obligation to sell, bid on or buy spectrum.</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Bidding in the auction began in May 2016 and is still ongoing. We cannot predict the outcome of the auction or the impact the outcome may have on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Some states and localities have imposed or are considering imposing, through both legislative and administrative channels, new or additional taxes or fees on, or limiting or eliminating incentives or credits earned or monetized by, the businesses operated by our Cable Communications and NBCUniversal segments,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Cable Communications and NBCUniversal segments. In some situations, DBS providers and other competitors that deliver their services over a high-speed Internet connection do not face the same state tax and fee burdens. Congress has also considered, and may consider again, proposals to bar or limit states from imposing taxes on these DBS providers or other competitors that are equivalent to the taxes or fees that we pay. The Internet Tax Freedom Act, which prohibits most states and localities from imposing sales and other taxes on our Internet access charges, has now been made permanent by 2016 legislation; however, some jurisdictions have or may assert that certain taxes akin to right-of-way fees are not preempted by Internet Tax Freedom Act. The FCC’s reclassification of broadband Internet access services as Title II telecommunications services may cause or allow, directly or indirectly, some states and localities to impose various other taxes and fees on our high-speed Internet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of our business operations are subject to environmental laws and regulations since they involve air emissions, wastewater discharges, and the use, disposal and cleanup of toxic and hazardous substances. Any failure to comply with environmental requirements could result in monetary fines, civil or criminal sanctions, third-party claims, or other costs or liabilities.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for some aspects of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Federal regulators actively regulate other aspects of our businesses, including accessibility to our video and voice services and broadcast television programming for people with disabilities, customer service standards, inside wiring, leased access, loudness of commercial advertisements, advertising, Emergency Alert System, equal employment opportunity, lottery programming, recordkeeping and public file access requirements, regulatory fees and technical standards relating to the operation of cable systems and television stations. We are occasionally subject to enforcement actions at the FCC, which can result in us having to pay fines to the agency or being subject to other sanctions. We also are subject to various international regulations, including those that cover television broadcasting, programming and advertising.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we had approximately 159,000 full-time and part-time employees calculated on a full-time equivalent basis. Of these employees, approximately 91,000 and 58,000 were associated with our cable communications business and our NBCUniversal businesses, respectively. We also use freelance and temporary employees in the normal course of our business.</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auto"/>
        </w:rPr>
        <w:t>Caution Concerning Forward-Looking Statements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as a result of any of such factors, which could adversely affect our businesses, results of operations or financial condition. We undertake no obligation to update any forward-looking statements.</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0C6DFF"/>
        </w:rPr>
        <w:t>Item 1A: Risk Factors</w:t>
      </w:r>
    </w:p>
    <w:p>
      <w:pPr>
        <w:spacing w:after="0" w:line="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businesses currently face a wide range of competition, and our businesses and results of operations could be adversely affected if we do not compete effectively.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influencing consumer behavior, which is discussed in the risk factor immediately below under the heading “Changes in consumer behavior driven by new technologies and distribution platforms for viewing content may adversely affect our businesses and challenge existing business models.”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Competition for our cable services consists primarily of DBS providers and phone companies with fiber-based networks that typically offer features, pricing and packaging for services comparable to ours. In 2015, AT&amp;T, our largest phone company competitor, acquired DirecTV, the nation’s largest DBS provider to create an even larger competitor that also has its own wireless phone facilities, which we do not, and in 2016, announced a proposed merger with Time Warner, a media and entertainment company. Some of these competitors have begun offering smaller packages of channels at price points lower than our standard packages, both through traditional and online distribution platforms, which could cause us to offer more customized programming packages that may be less profitable. In addition, if consolidation between wireless distributors and content providers occurs, some of our competitors may offer free or lower cost streaming services for viewing their content through unlimited data-usage plans for their Internet or wireless phone serv-</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ices. Additional companies, some with significant financial resources, continue to enter or are seeking to enter the video distribution market, primarily by offering online video programming services that can be viewed live, through streaming services or by downloading.</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 and future wireless Internet services, such as 3G, 4G and 5G wireless broadband services and Wi-Fi networks, and devices such as wireless data cards, tablets and smartphones, and mobile wireless routers that connect to such devices, may compete with our high-speed Internet services. Our voice services are facing increased competition as customers replace wireline phones with wireless and Internet-based phone services.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communications business continues to seek ways to enhance the value of our cable services network, such as by growing our high-speed Internet and business services businesses and by launching additional services, such as our home security and automation services. There can be no assurance that we can execute on these and other initiatives in a manner sufficient to grow or maintain our Cable Communications segment revenue, maintain our Cable Communications segment operating margin, or to compete successfully in the future.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must compete to obtain talent, programming and other resources required in operating these businesses.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ability of all of our businesses to compete effectively depends on our perceived image and reputation among our various constituencies, including our customers, consumers, advertisers, investors and government authorities. Our ability to compete may be negatively affected if we do not provide our customers with a satisfactory customer experience.</w:t>
      </w:r>
    </w:p>
    <w:p>
      <w:pPr>
        <w:spacing w:after="0" w:line="15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There can be no assurance that we will be able to compete effectively against existing or new competitors or that competition will not have an adverse effect on our businesses. For a more detailed description of the competition facing our businesses, see Item 1: Business and refer to the “Competition” discussion within that section.</w:t>
      </w:r>
    </w:p>
    <w:p>
      <w:pPr>
        <w:spacing w:after="0" w:line="13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Changes in consumer behavior driven by new technologies and distribution platforms for viewing content may adversely affect our businesses and challenge existing business models.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New technologies and platforms for the distribution, sale and viewing of content have been, and will likely continue to be, developed that further increase the number of competitors that all our businesses face and challenge existing business models. These technologies and distribution platforms are driving changes in consumer behavior as consumers seek more control over when, where and how they consume content and access communications services.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our cable communications business is attempting to adapt to changing consumer behaviors, for example, by deploying our X1 platform, cloud DVR technology and apps such as Netflix on our X1 set top boxes, new and traditional competitors, as well as some programming networks, continue to launch subscription video on demand services, live online broadcast and cable television streaming services and downloading services that can be viewed on television sets, computers, smartphones and tablets. Many of these service offerings charge no fee or a lower fee than our traditional video packages for access to their content, which could have an adverse effect on demand for our video services, including for expanded digital video packages, premium networks, and our DVR and On Demand services.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technologies and distribution platforms, together with an increasing number of companies offering their content directly to consumers over the Internet, including some that also offer exclusive high-quality original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video programming, have increased the number of entertainment choices available to consumers, which has intensified audience fragmentation. The increase in entertainment choices has and may continue to reduce the number of subscribers to our cable networks. Time-shifting technologies, such as DVRs and cloud-based recording services and video on demand services, reduce the viewing of content through traditional linear television distribution outlets. Reduced viewing of our content through traditional linear television distribution outlets has caused and will likely continue to cause audience ratings declines for NBCUniversal’s linear television content and may adversely affect the price and amount of advertising that advertisers are willing to purchase from us and the amount NBCUniversal receives for distribution of its content.</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 of any of these ongoing or future developments or our failure to effectively anticipate or adapt to emerging competitors or changes in consumer behavior, including among younger consumers, could have an adverse effect on our competitive position, businesses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advertisers’ expenditures or changes in advertising markets could negatively impact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communications, cable networks and broadcast television businesses compete for the sale of advertising time with other television networks and stations, as well as with all other advertising platforms, such as digital media, as well as radio and print. We derive substantial revenue from the sale of advertising, and a decline in expenditures by advertisers, including through traditional linear television distribution models, could negatively impact our results of operations. Declines can be caused by the economic prospects of specific advertisers or industries, increased competition for the leisure time of viewers and audience fragmentation, the growing use of new technologies, or the economy in general. In addition, advertisers’ willingness to purchase advertising from us may be adversely affected by lower audience ratings, which many of our networks have experienced and likely will continue to experience. Advertising sales and rates also are dependent on the methodology used for audience measurement and could be negatively affected if methodologies do not accurately reflect actual viewership levels. For example, certain methods of viewing content, such as delayed viewing on DVRs or viewing content online, might not be counted in audience measurements or may generate less, if any, revenue than traditional distribution methods, which could have an adverse effect on our advertising revenue. Reductions in advertisers’ expenditures could adversely affect our revenue and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success is, to a large extent, dependent on our ability to acquire, develop, adopt and leverage new and existing technologies, and our competitors’ use of certain types of technology and equipment may provide them with a competitive advantage. For example, current and new wireless Internet technologies such as 4G and 5G wireless broadband services continue to evolve rapidly to allow for greater speed and reliability, and some companies and municipalities are building advanced fiber-based networks that provide very fast Internet access speeds. We expect other advances in communications technology to occur in the future. If we choose technology or equipment that is not as effective or attractive to consumers as that employed by our competitors, if we fail to employ technologies desired by consumers before our competitors do so, or if we fail to execute effectively on our technology initiatives, our businesses and results of operations could be adversely affected. We also will continue to incur additional costs as we execute our technology initiatives, such as the deployment of DOCSIS 3.1, X1 set-top boxes, wireless gateways and cloud DVR technology, and there can be no assurance that we can execute on these and other initiatives in a manner sufficient to grow or maintain our revenue or to compete successfully in the future. We also may incur increased costs if changes in our competitors’ product offerings require that we offer certain of our existing services or enhancements at a lower or no cost to our customers or that we make additional research and development expenditures.</w:t>
      </w:r>
    </w:p>
    <w:p>
      <w:pPr>
        <w:spacing w:after="0" w:line="33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are subject to regulation by federal, state, local and foreign authorities, which may impose additional costs and restrictions on our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Federal, state and local governments extensively regulate the video, high-speed Internet and voice services industries. Our broadcast television business is also highly regulated by federal laws and regulations. Our cable networks, filmed entertainment and theme parks businesses are also subject to various other laws and regulations at the international, federal, state and local levels, including laws and regulations relating to environmental protection, which have become more stringent over time, and the safety of consumer products and theme park operations. In addition, we are subject to the NBCUniversal Order and the NBCUniversal Consent Decree, which have imposed numerous conditions on our businesses relating to the treatment of competitors and other matters. In recent years, the FCC and certain states also have been more active in conducting inquiries and reviews regarding our services, and this trend may continue. Failure to comply with the laws and regulations applicable to our businesses could result in administrative enforcement actions, fines, and civil and criminal liability. For a more extensive discussion of the significant risks associated with the regulation of our businesses, see Item 1: Business and refer to the “Legislation and Regulation” discussion within that section.</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Changes to existing statutes, rules, regulations, or interpretations thereof, or adoption of new ones, could have an adverse effect on our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Legislators and regulators at all levels of government frequently consider changing, and sometimes do change, existing statutes, rules, regulations, or interpretations thereof, or prescribe new ones, which may significantly affect our businesses. In addition, in recent years, the FCC and certain states have been more active in considering rulemakings and legislation regarding our services. Any future legislative, judicial, regulatory or administrative actions may increase our costs or impose additional restrictions on our businesses, some of which may be significant. In addition, Congress is expected to consider proposals to address communications issues, including whether it should rewrite the entire Communications Act to account for changes in the communications marketplace, whether it should address the FCC’s authority to implement or enforce open Internet regulations, and whether it should fund new broadband infrastructure. We are unable to predict the effects of any of these or any other further legislative requirements on our businesses, nor can we predict how the FCC or other agencies under the new Administration will address regulatory matters affecting our businesses. Any changes to the legal and regulatory framework applicable to any of our services or businesses could have a negative impact on our businesses and results of operations.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Programming expenses for our video services are increasing, which could adversely affect our Cable Communications segment’s video business.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expect programming expenses for our video services to continue to be our Cable Communications segment’s largest single expense item and to increase in the foreseeable future. The multichannel video provider industry has experienced continued increases in the cost of programming, especially sports programming, which we expect will continue for the foreseeable future. Our programming expenses may also increase as we add programming to our video services or distribute existing programming to more of our customers or through additional delivery platforms, such as On Demand or streaming services. Additionally, in the past few years, we have begun paying certain local broadcast television stations in exchange for their required consent for the retransmission of broadcast network programming to our video services customers; we expect to continue to be subject to increasing demands for payment and other concessions from local broadcast television stations. These market factors may be exacerbated by increased consolidation in the media industry, which may further increase our programming expenses. If we are unable to raise our customers’ rates or offset programming cost increases through the sale of additional services, the increasing cost of programming could have an adverse effect on our Cable Communications segment’s results of operations. Moreover, as our contracts with content providers expire, there can be no assurance that they will be renewed on acceptable terms or that they will be renewed at all, in which case we may be unable to provide such content as part of our video services, and our businesses and results of operations could be adversely affected.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Most of NBCUniversal’s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cable network and broadcast television programming, filmed entertainment, theme park attractions and other content that meet the changing preferences of the broad domestic and international consumer markets. We have invested, and will continue to invest, substantial funds in our content, including in the production of original content on our cable networks and broadcast television networks, in our films and for theme park attractions, before learning the extent to which it would earn consumer acceptance.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also obtain a significant portion of our content from third parties, such as movie studios, television production companies, sports organizations and other suppliers. Competition for popular content, particularly for sports programming, is intense, and we may have to increase the price we are willing to pay or be outbid by our competitors for popular content. Entering into or renewing contracts for such programming rights or acquiring additional rights may result in significantly increased costs. Particularly with respect to long-term contracts for sports programming rights, our results of operations and cash flows over the term of a contract depend on a number of factors, including the strength of the advertising market, our audience size, the ability to secure distribution from and impose surcharges or obtain carriage on multichannel video providers for the content, and the timing and amount of our rights payments. There can be no assurance that revenue from these contracts will exceed our costs for the rights, as well as the other costs of producing and distributing the programming. If our content does not achieve sufficient consumer acceptance, or if we cannot obtain or retain rights to popular content on acceptable terms, or at all, our businesses may be adversely affected.</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The loss of NBCUniversal’s programming distribution agreements, or the renewal of these agreements on less favorable terms, could adversely affect its businesses.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cable networks depend on their ability to secure and maintain distribution agreements with multichannel video providers, and if a network does not attract sufficient viewers, multichannel video providers may decide not to distribute the network. Our broadcast television networks depend on their ability to secure and maintain network affiliation agreements with third-party local broadcast television stations in the markets where we do not own the affiliated local broadcast television station. In addition, every three years, each of our owned local broadcast television stations must elect, with respect to its retransmission by multichannel video providers within its 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 All of our NBC and Telemundo owned local broadcast television stations have elected retransmission consent through December 31, 2017. Increasingly, our cable networks, broadcast television and filmed entertainment businesses have entered into agreements to license their prior season and library content on other distribution platforms, including subscription video on demand services, and some multichannel video providers are offering smaller packages of channels as part of their streaming and linear television programming packages. In addition, certain online entities may stream our broadcast television content online without our consent and without paying any compensation to us. As a result, there can be no assurance that any of our distribution agreements will be renewed in the future on acceptable terms, or at all. The loss of any of these agreements, or the renewal of these agreements on less favorable terms, could reduce our distribution revenue and the reach of our television programming and its attractiveness to advertisers, which in turn could adversely affect our cable networks, broadcast television and filmed entertainment businesses.</w:t>
      </w:r>
    </w:p>
    <w:p>
      <w:pPr>
        <w:spacing w:after="0" w:line="200" w:lineRule="exact"/>
        <w:rPr>
          <w:sz w:val="20"/>
          <w:szCs w:val="20"/>
          <w:color w:val="auto"/>
        </w:rPr>
      </w:pPr>
    </w:p>
    <w:p>
      <w:pPr>
        <w:spacing w:after="0" w:line="31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Network and information systems and other technologies, including those related to our network management, customer service operations and programming delivery, are critical to our business activities. Network and information systems-related events, including those caused by us or by third parties, such as computer hackings, cyber attacks, computer viruses, worms or other destructive or disruptive software, process breakdowns, denial of service attacks, malicious social engineering or other malicious activities, or any combination of the foregoing, or power outages, natural disasters, infectious disease outbreaks, terrorist attacks or other similar events, could result in a degradation or disruption of our services, excessive call volume to call centers, a reduction in demand for our theme parks or damage to our equipment, data, properties and reputation. These events also could result in large expenditures to repair or replace the damaged properties, networks or information systems or to protect them from similar events in the future, and any such events could have an adverse effect on our results of operations.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we may obtain certain confidential, proprietary and personal information about our customers, personnel and vendors, and may provide this information to third parties, in connection with our business. While we obtain assurances that these third parties will protect this information, there is a risk that this information may be compromised. Any security breaches, such as misappropriation, misuse, leakage, falsification or accidental release or loss of information maintained in our information technology systems, including customer, personnel and vendor data, could damage our reputation and require us to expend significant capital and other resources to remedy any such security breach, and could cause regulators to impose fines or other remedies for failure to comply with relevant customer privacy rules.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risk of these systems-related events and security breaches occurring continues to intensify in many lines of business, and our lines of business may be at a disproportionately heightened risk of these events occurring, due to the nature of our businesses and the fact that we maintain certain information necessary to conduct our business in digital form stored on cloud servers. In the ordinary course of our business, there are frequent attempts to cause such systems-related events and security breaches, and we have experienced minor systems-related events that, to date, have not resulted in any significant degradation or disruption to our network or information systems or our services or operations. While we develop and maintain systems, and operate a comprehensive security program, seeking to prevent systems-related events and security breaches from occurring, the development, maintenance and operation of these systems and programs is costly and requires ongoing monitoring and updating as technologies change and efforts to overcome security measures become more sophisticated. Despite any efforts to prevent these events and security breaches, there can be no assurance that they will not occur in the future or will not have an adverse effect on our businesses. Moreover, the amount and scope of insurance we maintain against losses resulting from any such events or security breaches likely would not be sufficient to cover our losses or otherwise adequately compensate us for any disruptions to our business that may result, and the occurrence of any such events or security breaches could have an adverse effect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depend on third-party vendors to supply us with a significant amount of the hardware, software and operational support necessary to provide certain of our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if our demand exceeds their capacity or if they are otherwise unable to meet our specifications or provide the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equipment or services we need in a timely manner or at reasonable prices, our ability to provide some services may be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substantial portion of our revenue comes from customers whose spending patterns may be affected by prevailing economic conditions. Weak economic conditions could adversely affect demand for any of our products and services and have a negative impact on our results of operations. For example, customers may reduce the level of cable services to which they subscribe, or may discontinue subscribing to one or more of our cable services. This risk may be increased by the expanded availability of free or lower cost competitive services, such as subscription video on demand services, or substitute services for our high-speed Internet and voice services, such as mobile phones, smartphones and Wi-Fi networks. Weak economic conditions also may have a negative impact on our advertising revenue, the performance of our films and home entertainment releases, and attendance and spending in our theme parks. Weak economic conditions and turmoil in the global financial markets may also impair the ability of third parties to satisfy their obligations to us, and any disruption in the global financial markets may affect our ability to obtain financing or refinance any existing debt on acceptable terms.</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Our businesses depend on using and protecting certain intellectual property rights and on not infringing the intellectual property rights of others.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intellectual property constitutes a significant part of the value of NBCUniversal’s businesses, and its success is highly dependent on protecting the intellectual property rights of the content it creates or acquires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networks, broadcast television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w:t>
      </w:r>
    </w:p>
    <w:p>
      <w:pPr>
        <w:spacing w:after="0" w:line="33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 negatively impacted and our costs of enforcing our rights may increase. See Item 1: Business and refer to the “Legislation and Regulation — Other Areas of Regulation — Intellectual Property” discussion for additional information.</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Acquisitions and other strategic initiatives present many risks, and we may not realize the financial and strategic goals that we had contemplated.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From time to time, we make acquisitions and investments and may pursue other strategic initiatives, including, for example, with respect to our wireless strategy. In connection with such acquisitions and strategic initiatives, we may incur unanticipated expenses, fail to realize anticipated benefits, have difficulty incorporating an acquired or new line of business, disrupt relationships with current and new employees, customers and vendors, incur significant debt, or have to delay or not proceed with announced transactions or initiatives. For example, our launch of a wireless phone service in 2017 using virtual network operator rights from a third party will have success-based working capital requirements, primarily associated with the procurement of handsets and other equipment, as we launch the service, which could have negative effects on our cash flows. Additionally, regulatory agencies, such as the FCC or DOJ, may impose restrictions on the operation of our businesses as a result of our seeking regulatory approvals for any significant acquisitions and strategic initiatives, or may dissuade us from pursing certain transactions. The occurrence of any of these events could have an adverse effect on our businesses.</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Labor disputes, whether involving employees or sports organizations, may disrupt our operations and adversely affect our businesses. </w:t>
      </w:r>
      <w:r>
        <w:rPr>
          <w:rFonts w:ascii="Arial" w:cs="Arial" w:eastAsia="Arial" w:hAnsi="Arial"/>
          <w:sz w:val="18"/>
          <w:szCs w:val="18"/>
          <w:color w:val="auto"/>
        </w:rPr>
        <w:t>Many of NBCUniversal’s employees, including writers, directors, actors, technical and production personnel and others, as well as some of our on-air and creative talent employees, are covered by collective bargaining agreements or works councils. Most of NBCUniversal’s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There can be no assurance that we will renew our collective bargaining agreements as they expire or that we can renew them on favorable terms or without any work stoppages.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networks have programming rights agreements of varying scope and duration with various sports organizations to broadcast and produce sporting events, including certain NFL, NHL, NBA and MLB games. Labor disputes in these and other sports organizations could have an adverse effect on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 In addition, our cable networks, broadcast television and filmed entertainment businesses depend on the abilities and expertise of our on-air and creative talent. If we fail to retain our on-air or creative talent, if the costs to retain such talent increase materially, if we need to make significant termination payments, or if these individuals lose their current appeal, our businesses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primarily through NBCUniversal, operate our businesses worldwide. There are risks inherent in doing business internationally, including global financial market turmoil; economic volatility and the global economic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subjects us to risks relating to political or social unrest, corruption and government regulation, including U.S. laws such as the Foreign Corrupt Practices Act, that impose stringent requirements on how we conduct our foreign operations. If any of these events occur, our businesses may be adversely affected.</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auto"/>
        </w:rPr>
        <w:t xml:space="preserve">Our Class B common stock has substantial voting rights and separate approval rights over several potentially material transactions, and our Chairman and CEO has considerable influence over our company through his beneficial ownership of our Class B common stock. </w:t>
      </w:r>
      <w:r>
        <w:rPr>
          <w:rFonts w:ascii="Arial" w:cs="Arial" w:eastAsia="Arial" w:hAnsi="Arial"/>
          <w:sz w:val="16"/>
          <w:szCs w:val="16"/>
          <w:color w:val="auto"/>
        </w:rPr>
        <w:t xml:space="preserve">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200" w:lineRule="exact"/>
        <w:rPr>
          <w:sz w:val="20"/>
          <w:szCs w:val="20"/>
          <w:color w:val="auto"/>
        </w:rPr>
      </w:pPr>
    </w:p>
    <w:p>
      <w:pPr>
        <w:spacing w:after="0" w:line="316"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1B: 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2: Properties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that substantially all of our physical assets were in good operating condition as of December 31, 2016. Our corporate headquarters and Cable Communications segment headquarters are located in Philadelphia, Pennsylvania at One Comcast Center. We own an 80% interest in the entity whose primary asset is One Comcast Center. In addition, we own an 80% interest in an entity that is currently constructing the Comcast Technology Center, which is adjacent to One Comcast Center. We also lease locations for numerous business offices, warehouses and properties housing divisional information technology operations throughout the United States.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principal physical assets consist of operating plant and equipment, including signal receiving, encoding and decoding devices, headends and distribution networks, and equipment at or near our customers’ homes. Our distribution network consists primarily of headends, content distribution servers,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 equipment consists primarily of set-top boxes, cable modems and wireless gateways. The physical components of cable systems require periodic maintenance and replacement.</w:t>
      </w:r>
    </w:p>
    <w:p>
      <w:pPr>
        <w:spacing w:after="0" w:line="15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national and regional data centers with equipment that is used to provide services, such as email and web services, to our high-speed Internet and voice customers, as well as cloud services to our video customers. In addition, we maintain network operations centers with equipment necessary to monitor and manage the status of our services and network.</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own or lease buildings throughout the country that contain customer service call centers, customer service retail centers, warehouses and administrative space. We also own a building that houses our digital media center. The digital media center contains equipment that we own or lease, including equipment related to network origination, video transmission via satellite and terrestrial fiber-optics, broadcast studios, post-production services and interactive television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NBCUniversal’s corporate headquarters are located in New York City at 30 Rockefeller Plaza. NBCUniversal owns the space it occupies at 30 Rockefeller Plaza.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related facilities in Orlando, Florida and Hollywood, California, as well as a 51% interest in the theme park and related facilities in Osaka, Japan.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Properties as of December 31, 2016</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35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color w:val="auto"/>
              </w:rPr>
              <w:t>Principal Use</w:t>
            </w:r>
          </w:p>
        </w:tc>
        <w:tc>
          <w:tcPr>
            <w:tcW w:w="29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Principal Segment in Which Used</w:t>
            </w:r>
          </w:p>
        </w:tc>
        <w:tc>
          <w:tcPr>
            <w:tcW w:w="1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Owned or Leased</w:t>
            </w:r>
          </w:p>
        </w:tc>
      </w:tr>
      <w:tr>
        <w:trPr>
          <w:trHeight w:val="294"/>
        </w:trPr>
        <w:tc>
          <w:tcPr>
            <w:tcW w:w="3020" w:type="dxa"/>
            <w:vAlign w:val="bottom"/>
          </w:tcPr>
          <w:p>
            <w:pPr>
              <w:spacing w:after="0"/>
              <w:rPr>
                <w:sz w:val="20"/>
                <w:szCs w:val="20"/>
                <w:color w:val="auto"/>
              </w:rPr>
            </w:pPr>
            <w:r>
              <w:rPr>
                <w:rFonts w:ascii="Arial" w:cs="Arial" w:eastAsia="Arial" w:hAnsi="Arial"/>
                <w:sz w:val="18"/>
                <w:szCs w:val="18"/>
                <w:color w:val="auto"/>
              </w:rPr>
              <w:t>30 Rockefeller Plaza</w:t>
            </w:r>
          </w:p>
        </w:tc>
        <w:tc>
          <w:tcPr>
            <w:tcW w:w="3560" w:type="dxa"/>
            <w:vAlign w:val="bottom"/>
          </w:tcPr>
          <w:p>
            <w:pPr>
              <w:ind w:left="540"/>
              <w:spacing w:after="0"/>
              <w:rPr>
                <w:sz w:val="20"/>
                <w:szCs w:val="20"/>
                <w:color w:val="auto"/>
              </w:rPr>
            </w:pPr>
            <w:r>
              <w:rPr>
                <w:rFonts w:ascii="Arial" w:cs="Arial" w:eastAsia="Arial" w:hAnsi="Arial"/>
                <w:sz w:val="18"/>
                <w:szCs w:val="18"/>
                <w:color w:val="auto"/>
              </w:rPr>
              <w:t>NBCUniversal corporate</w:t>
            </w:r>
          </w:p>
        </w:tc>
        <w:tc>
          <w:tcPr>
            <w:tcW w:w="2980" w:type="dxa"/>
            <w:vAlign w:val="bottom"/>
          </w:tcPr>
          <w:p>
            <w:pPr>
              <w:ind w:left="80"/>
              <w:spacing w:after="0"/>
              <w:rPr>
                <w:sz w:val="20"/>
                <w:szCs w:val="20"/>
                <w:color w:val="auto"/>
              </w:rPr>
            </w:pPr>
            <w:r>
              <w:rPr>
                <w:rFonts w:ascii="Arial" w:cs="Arial" w:eastAsia="Arial" w:hAnsi="Arial"/>
                <w:sz w:val="18"/>
                <w:szCs w:val="18"/>
                <w:color w:val="auto"/>
              </w:rPr>
              <w:t>Headquarters and Other, Cable</w:t>
            </w:r>
          </w:p>
        </w:tc>
        <w:tc>
          <w:tcPr>
            <w:tcW w:w="1860" w:type="dxa"/>
            <w:vAlign w:val="bottom"/>
          </w:tcPr>
          <w:p>
            <w:pPr>
              <w:ind w:left="160"/>
              <w:spacing w:after="0"/>
              <w:rPr>
                <w:sz w:val="20"/>
                <w:szCs w:val="20"/>
                <w:color w:val="auto"/>
              </w:rPr>
            </w:pPr>
            <w:r>
              <w:rPr>
                <w:rFonts w:ascii="Arial" w:cs="Arial" w:eastAsia="Arial" w:hAnsi="Arial"/>
                <w:sz w:val="18"/>
                <w:szCs w:val="18"/>
                <w:color w:val="auto"/>
              </w:rPr>
              <w:t>Owned</w:t>
            </w:r>
          </w:p>
        </w:tc>
      </w:tr>
      <w:tr>
        <w:trPr>
          <w:trHeight w:val="211"/>
        </w:trPr>
        <w:tc>
          <w:tcPr>
            <w:tcW w:w="3020" w:type="dxa"/>
            <w:vAlign w:val="bottom"/>
          </w:tcPr>
          <w:p>
            <w:pPr>
              <w:spacing w:after="0"/>
              <w:rPr>
                <w:sz w:val="20"/>
                <w:szCs w:val="20"/>
                <w:color w:val="auto"/>
              </w:rPr>
            </w:pPr>
            <w:r>
              <w:rPr>
                <w:rFonts w:ascii="Arial" w:cs="Arial" w:eastAsia="Arial" w:hAnsi="Arial"/>
                <w:sz w:val="18"/>
                <w:szCs w:val="18"/>
                <w:color w:val="auto"/>
              </w:rPr>
              <w:t>New York, NY</w:t>
            </w:r>
          </w:p>
        </w:tc>
        <w:tc>
          <w:tcPr>
            <w:tcW w:w="3560" w:type="dxa"/>
            <w:vAlign w:val="bottom"/>
          </w:tcPr>
          <w:p>
            <w:pPr>
              <w:ind w:left="540"/>
              <w:spacing w:after="0"/>
              <w:rPr>
                <w:sz w:val="20"/>
                <w:szCs w:val="20"/>
                <w:color w:val="auto"/>
              </w:rPr>
            </w:pPr>
            <w:r>
              <w:rPr>
                <w:rFonts w:ascii="Arial" w:cs="Arial" w:eastAsia="Arial" w:hAnsi="Arial"/>
                <w:sz w:val="18"/>
                <w:szCs w:val="18"/>
                <w:color w:val="auto"/>
              </w:rPr>
              <w:t>headquarters, offices and studios</w:t>
            </w:r>
          </w:p>
        </w:tc>
        <w:tc>
          <w:tcPr>
            <w:tcW w:w="2980" w:type="dxa"/>
            <w:vAlign w:val="bottom"/>
          </w:tcPr>
          <w:p>
            <w:pPr>
              <w:ind w:left="80"/>
              <w:spacing w:after="0"/>
              <w:rPr>
                <w:sz w:val="20"/>
                <w:szCs w:val="20"/>
                <w:color w:val="auto"/>
              </w:rPr>
            </w:pPr>
            <w:r>
              <w:rPr>
                <w:rFonts w:ascii="Arial" w:cs="Arial" w:eastAsia="Arial" w:hAnsi="Arial"/>
                <w:sz w:val="18"/>
                <w:szCs w:val="18"/>
                <w:color w:val="auto"/>
              </w:rPr>
              <w:t>Networks and Broadcast Television</w:t>
            </w:r>
          </w:p>
        </w:tc>
        <w:tc>
          <w:tcPr>
            <w:tcW w:w="1860" w:type="dxa"/>
            <w:vAlign w:val="bottom"/>
          </w:tcPr>
          <w:p>
            <w:pPr>
              <w:spacing w:after="0"/>
              <w:rPr>
                <w:sz w:val="18"/>
                <w:szCs w:val="18"/>
                <w:color w:val="auto"/>
              </w:rPr>
            </w:pPr>
          </w:p>
        </w:tc>
      </w:tr>
      <w:tr>
        <w:trPr>
          <w:trHeight w:val="316"/>
        </w:trPr>
        <w:tc>
          <w:tcPr>
            <w:tcW w:w="3020" w:type="dxa"/>
            <w:vAlign w:val="bottom"/>
          </w:tcPr>
          <w:p>
            <w:pPr>
              <w:spacing w:after="0"/>
              <w:rPr>
                <w:sz w:val="20"/>
                <w:szCs w:val="20"/>
                <w:color w:val="auto"/>
              </w:rPr>
            </w:pPr>
            <w:r>
              <w:rPr>
                <w:rFonts w:ascii="Arial" w:cs="Arial" w:eastAsia="Arial" w:hAnsi="Arial"/>
                <w:sz w:val="18"/>
                <w:szCs w:val="18"/>
                <w:color w:val="auto"/>
              </w:rPr>
              <w:t>10 Rockefeller Plaza</w:t>
            </w:r>
          </w:p>
        </w:tc>
        <w:tc>
          <w:tcPr>
            <w:tcW w:w="3560" w:type="dxa"/>
            <w:vAlign w:val="bottom"/>
          </w:tcPr>
          <w:p>
            <w:pPr>
              <w:ind w:left="540"/>
              <w:spacing w:after="0"/>
              <w:rPr>
                <w:sz w:val="20"/>
                <w:szCs w:val="20"/>
                <w:color w:val="auto"/>
              </w:rPr>
            </w:pPr>
            <w:r>
              <w:rPr>
                <w:rFonts w:ascii="Arial" w:cs="Arial" w:eastAsia="Arial" w:hAnsi="Arial"/>
                <w:sz w:val="18"/>
                <w:szCs w:val="18"/>
                <w:i w:val="1"/>
                <w:iCs w:val="1"/>
                <w:color w:val="auto"/>
              </w:rPr>
              <w:t xml:space="preserve">The Today Show </w:t>
            </w:r>
            <w:r>
              <w:rPr>
                <w:rFonts w:ascii="Arial" w:cs="Arial" w:eastAsia="Arial" w:hAnsi="Arial"/>
                <w:sz w:val="18"/>
                <w:szCs w:val="18"/>
                <w:color w:val="auto"/>
              </w:rPr>
              <w:t>studio,</w:t>
            </w:r>
          </w:p>
        </w:tc>
        <w:tc>
          <w:tcPr>
            <w:tcW w:w="2980" w:type="dxa"/>
            <w:vAlign w:val="bottom"/>
          </w:tcPr>
          <w:p>
            <w:pPr>
              <w:ind w:left="80"/>
              <w:spacing w:after="0"/>
              <w:rPr>
                <w:sz w:val="20"/>
                <w:szCs w:val="20"/>
                <w:color w:val="auto"/>
              </w:rPr>
            </w:pPr>
            <w:r>
              <w:rPr>
                <w:rFonts w:ascii="Arial" w:cs="Arial" w:eastAsia="Arial" w:hAnsi="Arial"/>
                <w:sz w:val="18"/>
                <w:szCs w:val="18"/>
                <w:color w:val="auto"/>
              </w:rPr>
              <w:t>Broadcast Television</w:t>
            </w:r>
          </w:p>
        </w:tc>
        <w:tc>
          <w:tcPr>
            <w:tcW w:w="1860" w:type="dxa"/>
            <w:vAlign w:val="bottom"/>
          </w:tcPr>
          <w:p>
            <w:pPr>
              <w:ind w:left="160"/>
              <w:spacing w:after="0"/>
              <w:rPr>
                <w:sz w:val="20"/>
                <w:szCs w:val="20"/>
                <w:color w:val="auto"/>
              </w:rPr>
            </w:pPr>
            <w:r>
              <w:rPr>
                <w:rFonts w:ascii="Arial" w:cs="Arial" w:eastAsia="Arial" w:hAnsi="Arial"/>
                <w:sz w:val="18"/>
                <w:szCs w:val="18"/>
                <w:color w:val="auto"/>
              </w:rPr>
              <w:t>Leased</w:t>
            </w:r>
          </w:p>
        </w:tc>
      </w:tr>
      <w:tr>
        <w:trPr>
          <w:trHeight w:val="211"/>
        </w:trPr>
        <w:tc>
          <w:tcPr>
            <w:tcW w:w="3020" w:type="dxa"/>
            <w:vAlign w:val="bottom"/>
          </w:tcPr>
          <w:p>
            <w:pPr>
              <w:spacing w:after="0"/>
              <w:rPr>
                <w:sz w:val="20"/>
                <w:szCs w:val="20"/>
                <w:color w:val="auto"/>
              </w:rPr>
            </w:pPr>
            <w:r>
              <w:rPr>
                <w:rFonts w:ascii="Arial" w:cs="Arial" w:eastAsia="Arial" w:hAnsi="Arial"/>
                <w:sz w:val="18"/>
                <w:szCs w:val="18"/>
                <w:color w:val="auto"/>
              </w:rPr>
              <w:t>New York, NY</w:t>
            </w:r>
          </w:p>
        </w:tc>
        <w:tc>
          <w:tcPr>
            <w:tcW w:w="3560" w:type="dxa"/>
            <w:vAlign w:val="bottom"/>
          </w:tcPr>
          <w:p>
            <w:pPr>
              <w:ind w:left="540"/>
              <w:spacing w:after="0"/>
              <w:rPr>
                <w:sz w:val="20"/>
                <w:szCs w:val="20"/>
                <w:color w:val="auto"/>
              </w:rPr>
            </w:pPr>
            <w:r>
              <w:rPr>
                <w:rFonts w:ascii="Arial" w:cs="Arial" w:eastAsia="Arial" w:hAnsi="Arial"/>
                <w:sz w:val="18"/>
                <w:szCs w:val="18"/>
                <w:color w:val="auto"/>
              </w:rPr>
              <w:t>production facilities and offices</w:t>
            </w: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16"/>
        </w:trPr>
        <w:tc>
          <w:tcPr>
            <w:tcW w:w="3020" w:type="dxa"/>
            <w:vAlign w:val="bottom"/>
          </w:tcPr>
          <w:p>
            <w:pPr>
              <w:spacing w:after="0"/>
              <w:rPr>
                <w:sz w:val="20"/>
                <w:szCs w:val="20"/>
                <w:color w:val="auto"/>
              </w:rPr>
            </w:pPr>
            <w:r>
              <w:rPr>
                <w:rFonts w:ascii="Arial" w:cs="Arial" w:eastAsia="Arial" w:hAnsi="Arial"/>
                <w:sz w:val="18"/>
                <w:szCs w:val="18"/>
                <w:color w:val="auto"/>
              </w:rPr>
              <w:t>Universal City</w:t>
            </w:r>
          </w:p>
        </w:tc>
        <w:tc>
          <w:tcPr>
            <w:tcW w:w="3560" w:type="dxa"/>
            <w:vAlign w:val="bottom"/>
          </w:tcPr>
          <w:p>
            <w:pPr>
              <w:ind w:left="540"/>
              <w:spacing w:after="0"/>
              <w:rPr>
                <w:sz w:val="20"/>
                <w:szCs w:val="20"/>
                <w:color w:val="auto"/>
              </w:rPr>
            </w:pPr>
            <w:r>
              <w:rPr>
                <w:rFonts w:ascii="Arial" w:cs="Arial" w:eastAsia="Arial" w:hAnsi="Arial"/>
                <w:sz w:val="18"/>
                <w:szCs w:val="18"/>
                <w:color w:val="auto"/>
                <w:w w:val="99"/>
              </w:rPr>
              <w:t>Offices, studios, theme park and retail</w:t>
            </w:r>
          </w:p>
        </w:tc>
        <w:tc>
          <w:tcPr>
            <w:tcW w:w="2980" w:type="dxa"/>
            <w:vAlign w:val="bottom"/>
          </w:tcPr>
          <w:p>
            <w:pPr>
              <w:ind w:left="80"/>
              <w:spacing w:after="0"/>
              <w:rPr>
                <w:sz w:val="20"/>
                <w:szCs w:val="20"/>
                <w:color w:val="auto"/>
              </w:rPr>
            </w:pPr>
            <w:r>
              <w:rPr>
                <w:rFonts w:ascii="Arial" w:cs="Arial" w:eastAsia="Arial" w:hAnsi="Arial"/>
                <w:sz w:val="18"/>
                <w:szCs w:val="18"/>
                <w:color w:val="auto"/>
              </w:rPr>
              <w:t>All</w:t>
            </w:r>
          </w:p>
        </w:tc>
        <w:tc>
          <w:tcPr>
            <w:tcW w:w="1860" w:type="dxa"/>
            <w:vAlign w:val="bottom"/>
          </w:tcPr>
          <w:p>
            <w:pPr>
              <w:ind w:left="160"/>
              <w:spacing w:after="0"/>
              <w:rPr>
                <w:sz w:val="20"/>
                <w:szCs w:val="20"/>
                <w:color w:val="auto"/>
              </w:rPr>
            </w:pPr>
            <w:r>
              <w:rPr>
                <w:rFonts w:ascii="Arial" w:cs="Arial" w:eastAsia="Arial" w:hAnsi="Arial"/>
                <w:sz w:val="18"/>
                <w:szCs w:val="18"/>
                <w:color w:val="auto"/>
              </w:rPr>
              <w:t>Owned</w:t>
            </w:r>
          </w:p>
        </w:tc>
      </w:tr>
      <w:tr>
        <w:trPr>
          <w:trHeight w:val="211"/>
        </w:trPr>
        <w:tc>
          <w:tcPr>
            <w:tcW w:w="3020" w:type="dxa"/>
            <w:vAlign w:val="bottom"/>
          </w:tcPr>
          <w:p>
            <w:pPr>
              <w:spacing w:after="0"/>
              <w:rPr>
                <w:sz w:val="20"/>
                <w:szCs w:val="20"/>
                <w:color w:val="auto"/>
              </w:rPr>
            </w:pPr>
            <w:r>
              <w:rPr>
                <w:rFonts w:ascii="Arial" w:cs="Arial" w:eastAsia="Arial" w:hAnsi="Arial"/>
                <w:sz w:val="18"/>
                <w:szCs w:val="18"/>
                <w:color w:val="auto"/>
              </w:rPr>
              <w:t>Universal City, CA</w:t>
            </w:r>
          </w:p>
        </w:tc>
        <w:tc>
          <w:tcPr>
            <w:tcW w:w="3560" w:type="dxa"/>
            <w:vAlign w:val="bottom"/>
          </w:tcPr>
          <w:p>
            <w:pPr>
              <w:ind w:left="540"/>
              <w:spacing w:after="0"/>
              <w:rPr>
                <w:sz w:val="20"/>
                <w:szCs w:val="20"/>
                <w:color w:val="auto"/>
              </w:rPr>
            </w:pPr>
            <w:r>
              <w:rPr>
                <w:rFonts w:ascii="Arial" w:cs="Arial" w:eastAsia="Arial" w:hAnsi="Arial"/>
                <w:sz w:val="18"/>
                <w:szCs w:val="18"/>
                <w:color w:val="auto"/>
              </w:rPr>
              <w:t>operations</w:t>
            </w: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16"/>
        </w:trPr>
        <w:tc>
          <w:tcPr>
            <w:tcW w:w="3020" w:type="dxa"/>
            <w:vAlign w:val="bottom"/>
          </w:tcPr>
          <w:p>
            <w:pPr>
              <w:spacing w:after="0"/>
              <w:rPr>
                <w:sz w:val="20"/>
                <w:szCs w:val="20"/>
                <w:color w:val="auto"/>
              </w:rPr>
            </w:pPr>
            <w:r>
              <w:rPr>
                <w:rFonts w:ascii="Arial" w:cs="Arial" w:eastAsia="Arial" w:hAnsi="Arial"/>
                <w:sz w:val="18"/>
                <w:szCs w:val="18"/>
                <w:color w:val="auto"/>
              </w:rPr>
              <w:t>1000 Universal Studios Plaza</w:t>
            </w:r>
          </w:p>
        </w:tc>
        <w:tc>
          <w:tcPr>
            <w:tcW w:w="3560" w:type="dxa"/>
            <w:vAlign w:val="bottom"/>
          </w:tcPr>
          <w:p>
            <w:pPr>
              <w:ind w:left="540"/>
              <w:spacing w:after="0"/>
              <w:rPr>
                <w:sz w:val="20"/>
                <w:szCs w:val="20"/>
                <w:color w:val="auto"/>
              </w:rPr>
            </w:pPr>
            <w:r>
              <w:rPr>
                <w:rFonts w:ascii="Arial" w:cs="Arial" w:eastAsia="Arial" w:hAnsi="Arial"/>
                <w:sz w:val="18"/>
                <w:szCs w:val="18"/>
                <w:color w:val="auto"/>
              </w:rPr>
              <w:t>Theme parks, production facilities,</w:t>
            </w:r>
          </w:p>
        </w:tc>
        <w:tc>
          <w:tcPr>
            <w:tcW w:w="2980" w:type="dxa"/>
            <w:vAlign w:val="bottom"/>
          </w:tcPr>
          <w:p>
            <w:pPr>
              <w:ind w:left="80"/>
              <w:spacing w:after="0"/>
              <w:rPr>
                <w:sz w:val="20"/>
                <w:szCs w:val="20"/>
                <w:color w:val="auto"/>
              </w:rPr>
            </w:pPr>
            <w:r>
              <w:rPr>
                <w:rFonts w:ascii="Arial" w:cs="Arial" w:eastAsia="Arial" w:hAnsi="Arial"/>
                <w:sz w:val="18"/>
                <w:szCs w:val="18"/>
                <w:color w:val="auto"/>
              </w:rPr>
              <w:t>Theme Parks</w:t>
            </w:r>
          </w:p>
        </w:tc>
        <w:tc>
          <w:tcPr>
            <w:tcW w:w="1860" w:type="dxa"/>
            <w:vAlign w:val="bottom"/>
          </w:tcPr>
          <w:p>
            <w:pPr>
              <w:ind w:left="160"/>
              <w:spacing w:after="0"/>
              <w:rPr>
                <w:sz w:val="20"/>
                <w:szCs w:val="20"/>
                <w:color w:val="auto"/>
              </w:rPr>
            </w:pPr>
            <w:r>
              <w:rPr>
                <w:rFonts w:ascii="Arial" w:cs="Arial" w:eastAsia="Arial" w:hAnsi="Arial"/>
                <w:sz w:val="18"/>
                <w:szCs w:val="18"/>
                <w:color w:val="auto"/>
              </w:rPr>
              <w:t>Owned</w:t>
            </w: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Orlando, FL</w:t>
            </w:r>
          </w:p>
        </w:tc>
        <w:tc>
          <w:tcPr>
            <w:tcW w:w="3560" w:type="dxa"/>
            <w:vAlign w:val="bottom"/>
          </w:tcPr>
          <w:p>
            <w:pPr>
              <w:ind w:left="540"/>
              <w:spacing w:after="0" w:line="202" w:lineRule="exact"/>
              <w:rPr>
                <w:sz w:val="20"/>
                <w:szCs w:val="20"/>
                <w:color w:val="auto"/>
              </w:rPr>
            </w:pPr>
            <w:r>
              <w:rPr>
                <w:rFonts w:ascii="Arial" w:cs="Arial" w:eastAsia="Arial" w:hAnsi="Arial"/>
                <w:sz w:val="18"/>
                <w:szCs w:val="18"/>
                <w:color w:val="auto"/>
              </w:rPr>
              <w:t>parking structures and administrative</w:t>
            </w:r>
          </w:p>
        </w:tc>
        <w:tc>
          <w:tcPr>
            <w:tcW w:w="29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1"/>
        </w:trPr>
        <w:tc>
          <w:tcPr>
            <w:tcW w:w="3020" w:type="dxa"/>
            <w:vAlign w:val="bottom"/>
          </w:tcPr>
          <w:p>
            <w:pPr>
              <w:spacing w:after="0"/>
              <w:rPr>
                <w:sz w:val="18"/>
                <w:szCs w:val="18"/>
                <w:color w:val="auto"/>
              </w:rPr>
            </w:pPr>
          </w:p>
        </w:tc>
        <w:tc>
          <w:tcPr>
            <w:tcW w:w="3560" w:type="dxa"/>
            <w:vAlign w:val="bottom"/>
          </w:tcPr>
          <w:p>
            <w:pPr>
              <w:ind w:left="540"/>
              <w:spacing w:after="0"/>
              <w:rPr>
                <w:sz w:val="20"/>
                <w:szCs w:val="20"/>
                <w:color w:val="auto"/>
              </w:rPr>
            </w:pPr>
            <w:r>
              <w:rPr>
                <w:rFonts w:ascii="Arial" w:cs="Arial" w:eastAsia="Arial" w:hAnsi="Arial"/>
                <w:sz w:val="18"/>
                <w:szCs w:val="18"/>
                <w:color w:val="auto"/>
              </w:rPr>
              <w:t>buildings</w:t>
            </w: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02"/>
        </w:trPr>
        <w:tc>
          <w:tcPr>
            <w:tcW w:w="3020" w:type="dxa"/>
            <w:vAlign w:val="bottom"/>
          </w:tcPr>
          <w:p>
            <w:pPr>
              <w:spacing w:after="0"/>
              <w:rPr>
                <w:sz w:val="20"/>
                <w:szCs w:val="20"/>
                <w:color w:val="auto"/>
              </w:rPr>
            </w:pPr>
            <w:r>
              <w:rPr>
                <w:rFonts w:ascii="Arial" w:cs="Arial" w:eastAsia="Arial" w:hAnsi="Arial"/>
                <w:sz w:val="18"/>
                <w:szCs w:val="18"/>
                <w:color w:val="auto"/>
              </w:rPr>
              <w:t>2 Chome-1-33 Sakurajima,</w:t>
            </w:r>
          </w:p>
        </w:tc>
        <w:tc>
          <w:tcPr>
            <w:tcW w:w="3560" w:type="dxa"/>
            <w:vAlign w:val="bottom"/>
          </w:tcPr>
          <w:p>
            <w:pPr>
              <w:ind w:left="540"/>
              <w:spacing w:after="0"/>
              <w:rPr>
                <w:sz w:val="20"/>
                <w:szCs w:val="20"/>
                <w:color w:val="auto"/>
              </w:rPr>
            </w:pPr>
            <w:r>
              <w:rPr>
                <w:rFonts w:ascii="Arial" w:cs="Arial" w:eastAsia="Arial" w:hAnsi="Arial"/>
                <w:sz w:val="18"/>
                <w:szCs w:val="18"/>
                <w:color w:val="auto"/>
              </w:rPr>
              <w:t>Theme park and administrative</w:t>
            </w:r>
          </w:p>
        </w:tc>
        <w:tc>
          <w:tcPr>
            <w:tcW w:w="2980" w:type="dxa"/>
            <w:vAlign w:val="bottom"/>
          </w:tcPr>
          <w:p>
            <w:pPr>
              <w:ind w:left="80"/>
              <w:spacing w:after="0"/>
              <w:rPr>
                <w:sz w:val="20"/>
                <w:szCs w:val="20"/>
                <w:color w:val="auto"/>
              </w:rPr>
            </w:pPr>
            <w:r>
              <w:rPr>
                <w:rFonts w:ascii="Arial" w:cs="Arial" w:eastAsia="Arial" w:hAnsi="Arial"/>
                <w:sz w:val="18"/>
                <w:szCs w:val="18"/>
                <w:color w:val="auto"/>
              </w:rPr>
              <w:t>Theme Parks</w:t>
            </w:r>
          </w:p>
        </w:tc>
        <w:tc>
          <w:tcPr>
            <w:tcW w:w="1860" w:type="dxa"/>
            <w:vAlign w:val="bottom"/>
          </w:tcPr>
          <w:p>
            <w:pPr>
              <w:ind w:left="160"/>
              <w:spacing w:after="0"/>
              <w:rPr>
                <w:sz w:val="20"/>
                <w:szCs w:val="20"/>
                <w:color w:val="auto"/>
              </w:rPr>
            </w:pPr>
            <w:r>
              <w:rPr>
                <w:rFonts w:ascii="Arial" w:cs="Arial" w:eastAsia="Arial" w:hAnsi="Arial"/>
                <w:sz w:val="18"/>
                <w:szCs w:val="18"/>
                <w:color w:val="auto"/>
              </w:rPr>
              <w:t>Tangible</w:t>
            </w: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Konohana Ward, Osaka, Osaka</w:t>
            </w:r>
          </w:p>
        </w:tc>
        <w:tc>
          <w:tcPr>
            <w:tcW w:w="3560" w:type="dxa"/>
            <w:vAlign w:val="bottom"/>
          </w:tcPr>
          <w:p>
            <w:pPr>
              <w:ind w:left="540"/>
              <w:spacing w:after="0" w:line="202" w:lineRule="exact"/>
              <w:rPr>
                <w:sz w:val="20"/>
                <w:szCs w:val="20"/>
                <w:color w:val="auto"/>
              </w:rPr>
            </w:pPr>
            <w:r>
              <w:rPr>
                <w:rFonts w:ascii="Arial" w:cs="Arial" w:eastAsia="Arial" w:hAnsi="Arial"/>
                <w:sz w:val="18"/>
                <w:szCs w:val="18"/>
                <w:color w:val="auto"/>
              </w:rPr>
              <w:t>buildings</w:t>
            </w:r>
          </w:p>
        </w:tc>
        <w:tc>
          <w:tcPr>
            <w:tcW w:w="2980" w:type="dxa"/>
            <w:vAlign w:val="bottom"/>
          </w:tcPr>
          <w:p>
            <w:pPr>
              <w:spacing w:after="0"/>
              <w:rPr>
                <w:sz w:val="17"/>
                <w:szCs w:val="17"/>
                <w:color w:val="auto"/>
              </w:rPr>
            </w:pPr>
          </w:p>
        </w:tc>
        <w:tc>
          <w:tcPr>
            <w:tcW w:w="1860" w:type="dxa"/>
            <w:vAlign w:val="bottom"/>
          </w:tcPr>
          <w:p>
            <w:pPr>
              <w:ind w:left="160"/>
              <w:spacing w:after="0" w:line="202" w:lineRule="exact"/>
              <w:rPr>
                <w:sz w:val="20"/>
                <w:szCs w:val="20"/>
                <w:color w:val="auto"/>
              </w:rPr>
            </w:pPr>
            <w:r>
              <w:rPr>
                <w:rFonts w:ascii="Arial" w:cs="Arial" w:eastAsia="Arial" w:hAnsi="Arial"/>
                <w:sz w:val="18"/>
                <w:szCs w:val="18"/>
                <w:color w:val="auto"/>
              </w:rPr>
              <w:t>properties owned</w:t>
            </w: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Prefecture 554-0031, Japan</w:t>
            </w:r>
          </w:p>
        </w:tc>
        <w:tc>
          <w:tcPr>
            <w:tcW w:w="35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60" w:type="dxa"/>
            <w:vAlign w:val="bottom"/>
          </w:tcPr>
          <w:p>
            <w:pPr>
              <w:ind w:left="160"/>
              <w:spacing w:after="0" w:line="202" w:lineRule="exact"/>
              <w:rPr>
                <w:sz w:val="20"/>
                <w:szCs w:val="20"/>
                <w:color w:val="auto"/>
              </w:rPr>
            </w:pPr>
            <w:r>
              <w:rPr>
                <w:rFonts w:ascii="Arial" w:cs="Arial" w:eastAsia="Arial" w:hAnsi="Arial"/>
                <w:sz w:val="18"/>
                <w:szCs w:val="18"/>
                <w:color w:val="auto"/>
              </w:rPr>
              <w:t>on leased parcels of</w:t>
            </w:r>
          </w:p>
        </w:tc>
      </w:tr>
      <w:tr>
        <w:trPr>
          <w:trHeight w:val="211"/>
        </w:trPr>
        <w:tc>
          <w:tcPr>
            <w:tcW w:w="3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land</w:t>
            </w:r>
          </w:p>
        </w:tc>
      </w:tr>
      <w:tr>
        <w:trPr>
          <w:trHeight w:val="302"/>
        </w:trPr>
        <w:tc>
          <w:tcPr>
            <w:tcW w:w="3020" w:type="dxa"/>
            <w:vAlign w:val="bottom"/>
          </w:tcPr>
          <w:p>
            <w:pPr>
              <w:spacing w:after="0"/>
              <w:rPr>
                <w:sz w:val="20"/>
                <w:szCs w:val="20"/>
                <w:color w:val="auto"/>
              </w:rPr>
            </w:pPr>
            <w:r>
              <w:rPr>
                <w:rFonts w:ascii="Arial" w:cs="Arial" w:eastAsia="Arial" w:hAnsi="Arial"/>
                <w:sz w:val="18"/>
                <w:szCs w:val="18"/>
                <w:color w:val="auto"/>
              </w:rPr>
              <w:t>2290 W. 8th Ave.</w:t>
            </w:r>
          </w:p>
        </w:tc>
        <w:tc>
          <w:tcPr>
            <w:tcW w:w="3560" w:type="dxa"/>
            <w:vAlign w:val="bottom"/>
          </w:tcPr>
          <w:p>
            <w:pPr>
              <w:ind w:left="540"/>
              <w:spacing w:after="0"/>
              <w:rPr>
                <w:sz w:val="20"/>
                <w:szCs w:val="20"/>
                <w:color w:val="auto"/>
              </w:rPr>
            </w:pPr>
            <w:r>
              <w:rPr>
                <w:rFonts w:ascii="Arial" w:cs="Arial" w:eastAsia="Arial" w:hAnsi="Arial"/>
                <w:sz w:val="18"/>
                <w:szCs w:val="18"/>
                <w:color w:val="auto"/>
              </w:rPr>
              <w:t>Telemundo headquarters and</w:t>
            </w:r>
          </w:p>
        </w:tc>
        <w:tc>
          <w:tcPr>
            <w:tcW w:w="2980" w:type="dxa"/>
            <w:vAlign w:val="bottom"/>
          </w:tcPr>
          <w:p>
            <w:pPr>
              <w:ind w:left="80"/>
              <w:spacing w:after="0"/>
              <w:rPr>
                <w:sz w:val="20"/>
                <w:szCs w:val="20"/>
                <w:color w:val="auto"/>
              </w:rPr>
            </w:pPr>
            <w:r>
              <w:rPr>
                <w:rFonts w:ascii="Arial" w:cs="Arial" w:eastAsia="Arial" w:hAnsi="Arial"/>
                <w:sz w:val="18"/>
                <w:szCs w:val="18"/>
                <w:color w:val="auto"/>
              </w:rPr>
              <w:t>Headquarters and Other and</w:t>
            </w:r>
          </w:p>
        </w:tc>
        <w:tc>
          <w:tcPr>
            <w:tcW w:w="1860" w:type="dxa"/>
            <w:vAlign w:val="bottom"/>
          </w:tcPr>
          <w:p>
            <w:pPr>
              <w:ind w:left="160"/>
              <w:spacing w:after="0"/>
              <w:rPr>
                <w:sz w:val="20"/>
                <w:szCs w:val="20"/>
                <w:color w:val="auto"/>
              </w:rPr>
            </w:pPr>
            <w:r>
              <w:rPr>
                <w:rFonts w:ascii="Arial" w:cs="Arial" w:eastAsia="Arial" w:hAnsi="Arial"/>
                <w:sz w:val="18"/>
                <w:szCs w:val="18"/>
                <w:color w:val="auto"/>
              </w:rPr>
              <w:t>Leased</w:t>
            </w:r>
          </w:p>
        </w:tc>
      </w:tr>
      <w:tr>
        <w:trPr>
          <w:trHeight w:val="213"/>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Hialeah, FL</w:t>
            </w:r>
          </w:p>
        </w:tc>
        <w:tc>
          <w:tcPr>
            <w:tcW w:w="35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production facilities</w:t>
            </w:r>
          </w:p>
        </w:tc>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Broadcast Television</w:t>
            </w:r>
          </w:p>
        </w:tc>
        <w:tc>
          <w:tcPr>
            <w:tcW w:w="1860" w:type="dxa"/>
            <w:vAlign w:val="bottom"/>
            <w:tcBorders>
              <w:bottom w:val="single" w:sz="8" w:color="auto"/>
            </w:tcBorders>
          </w:tcPr>
          <w:p>
            <w:pPr>
              <w:spacing w:after="0"/>
              <w:rPr>
                <w:sz w:val="18"/>
                <w:szCs w:val="1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Wells Fargo Center, a large, multipurpose arena in Philadelphia, Pennsylvania that we own, was the principal physical operating asset of our other businesses as of December 31, 2016.</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0C6DFF"/>
        </w:rPr>
        <w:t>Item 3: Legal Proceedings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Refer to Note 16 to Comcast’s consolidated financial statements included in this Annual Report on Form 10-K for a discussion of recent developments related to our legal proceedings.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it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0C6DFF"/>
        </w:rPr>
        <w:t>Item 4: 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w:t>
      </w:r>
    </w:p>
    <w:p>
      <w:pPr>
        <w:spacing w:after="0" w:line="156" w:lineRule="exact"/>
        <w:rPr>
          <w:sz w:val="20"/>
          <w:szCs w:val="20"/>
          <w:color w:val="auto"/>
        </w:rPr>
      </w:pPr>
    </w:p>
    <w:p>
      <w:pPr>
        <w:ind w:right="500"/>
        <w:spacing w:after="0" w:line="260" w:lineRule="auto"/>
        <w:rPr>
          <w:sz w:val="20"/>
          <w:szCs w:val="20"/>
          <w:color w:val="auto"/>
        </w:rPr>
      </w:pPr>
      <w:r>
        <w:rPr>
          <w:rFonts w:ascii="Arial" w:cs="Arial" w:eastAsia="Arial" w:hAnsi="Arial"/>
          <w:sz w:val="24"/>
          <w:szCs w:val="24"/>
          <w:color w:val="0C6DFF"/>
        </w:rPr>
        <w:t>Item 5: Market for Registrant’s Common Equity, Related Stockholder Matters and Issuer Purchases of Equity Securities</w:t>
      </w:r>
    </w:p>
    <w:p>
      <w:pPr>
        <w:spacing w:after="0" w:line="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Comcast’s Class A common stock is listed on the NASDAQ Global Select Market under the symbol CMCSA. There is no established public trading market for Comcast’s Class B common stock. The Class B common stock can be converted, on a share for share basis, into Class A common stock.</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24, 2017, our Board of Directors approved a two-for-one stock split in the form of a 100% dividend payable on February 17, 2017 to shareholders of record as of the close of business on February 8, 2017. As the common stock is not yet trading on a post-split basis, all share and per-share amounts are presented on a pre-split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0C6DFF"/>
        </w:rPr>
        <w:t>Dividends Declared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600" w:type="dxa"/>
            <w:vAlign w:val="bottom"/>
            <w:tcBorders>
              <w:top w:val="single" w:sz="8" w:color="auto"/>
              <w:bottom w:val="single" w:sz="8" w:color="auto"/>
            </w:tcBorders>
          </w:tcPr>
          <w:p>
            <w:pPr>
              <w:spacing w:after="0"/>
              <w:rPr>
                <w:sz w:val="14"/>
                <w:szCs w:val="14"/>
                <w:color w:val="auto"/>
              </w:rPr>
            </w:pPr>
          </w:p>
        </w:tc>
        <w:tc>
          <w:tcPr>
            <w:tcW w:w="2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2015</w:t>
            </w:r>
          </w:p>
        </w:tc>
        <w:tc>
          <w:tcPr>
            <w:tcW w:w="820" w:type="dxa"/>
            <w:vAlign w:val="bottom"/>
            <w:tcBorders>
              <w:top w:val="single" w:sz="8" w:color="auto"/>
              <w:bottom w:val="single" w:sz="8" w:color="auto"/>
            </w:tcBorders>
          </w:tcPr>
          <w:p>
            <w:pPr>
              <w:spacing w:after="0"/>
              <w:rPr>
                <w:sz w:val="14"/>
                <w:szCs w:val="14"/>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Month Declared:</w:t>
            </w:r>
          </w:p>
        </w:tc>
        <w:tc>
          <w:tcPr>
            <w:tcW w:w="2060" w:type="dxa"/>
            <w:vAlign w:val="bottom"/>
            <w:tcBorders>
              <w:bottom w:val="single" w:sz="8" w:color="auto"/>
            </w:tcBorders>
            <w:gridSpan w:val="2"/>
          </w:tcPr>
          <w:p>
            <w:pPr>
              <w:ind w:left="700"/>
              <w:spacing w:after="0" w:line="142" w:lineRule="exact"/>
              <w:rPr>
                <w:sz w:val="20"/>
                <w:szCs w:val="20"/>
                <w:color w:val="auto"/>
              </w:rPr>
            </w:pPr>
            <w:r>
              <w:rPr>
                <w:rFonts w:ascii="Arial" w:cs="Arial" w:eastAsia="Arial" w:hAnsi="Arial"/>
                <w:sz w:val="14"/>
                <w:szCs w:val="14"/>
                <w:b w:val="1"/>
                <w:bCs w:val="1"/>
                <w:color w:val="auto"/>
              </w:rPr>
              <w:t>Dividend Per Share</w:t>
            </w:r>
          </w:p>
        </w:tc>
        <w:tc>
          <w:tcPr>
            <w:tcW w:w="2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Month Declared:</w:t>
            </w:r>
          </w:p>
        </w:tc>
        <w:tc>
          <w:tcPr>
            <w:tcW w:w="3080" w:type="dxa"/>
            <w:vAlign w:val="bottom"/>
            <w:tcBorders>
              <w:bottom w:val="single" w:sz="8" w:color="auto"/>
            </w:tcBorders>
            <w:gridSpan w:val="2"/>
          </w:tcPr>
          <w:p>
            <w:pPr>
              <w:ind w:left="1800"/>
              <w:spacing w:after="0" w:line="142" w:lineRule="exact"/>
              <w:rPr>
                <w:sz w:val="20"/>
                <w:szCs w:val="20"/>
                <w:color w:val="auto"/>
              </w:rPr>
            </w:pPr>
            <w:r>
              <w:rPr>
                <w:rFonts w:ascii="Arial" w:cs="Arial" w:eastAsia="Arial" w:hAnsi="Arial"/>
                <w:sz w:val="14"/>
                <w:szCs w:val="14"/>
                <w:color w:val="auto"/>
              </w:rPr>
              <w:t>Dividend Per Share</w:t>
            </w:r>
          </w:p>
        </w:tc>
      </w:tr>
      <w:tr>
        <w:trPr>
          <w:trHeight w:val="177"/>
        </w:trPr>
        <w:tc>
          <w:tcPr>
            <w:tcW w:w="3680" w:type="dxa"/>
            <w:vAlign w:val="bottom"/>
            <w:gridSpan w:val="2"/>
          </w:tcPr>
          <w:p>
            <w:pPr>
              <w:spacing w:after="0" w:line="177" w:lineRule="exact"/>
              <w:rPr>
                <w:sz w:val="20"/>
                <w:szCs w:val="20"/>
                <w:color w:val="auto"/>
              </w:rPr>
            </w:pPr>
            <w:r>
              <w:rPr>
                <w:rFonts w:ascii="Arial" w:cs="Arial" w:eastAsia="Arial" w:hAnsi="Arial"/>
                <w:sz w:val="18"/>
                <w:szCs w:val="18"/>
                <w:color w:val="auto"/>
              </w:rPr>
              <w:t>February</w:t>
            </w:r>
          </w:p>
        </w:tc>
        <w:tc>
          <w:tcPr>
            <w:tcW w:w="1160" w:type="dxa"/>
            <w:vAlign w:val="bottom"/>
          </w:tcPr>
          <w:p>
            <w:pPr>
              <w:ind w:left="700"/>
              <w:spacing w:after="0" w:line="177"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177" w:lineRule="exact"/>
              <w:rPr>
                <w:sz w:val="20"/>
                <w:szCs w:val="20"/>
                <w:color w:val="auto"/>
              </w:rPr>
            </w:pPr>
            <w:r>
              <w:rPr>
                <w:rFonts w:ascii="Arial" w:cs="Arial" w:eastAsia="Arial" w:hAnsi="Arial"/>
                <w:sz w:val="18"/>
                <w:szCs w:val="18"/>
                <w:b w:val="1"/>
                <w:bCs w:val="1"/>
                <w:color w:val="auto"/>
              </w:rPr>
              <w:t>0.275</w:t>
            </w:r>
          </w:p>
        </w:tc>
        <w:tc>
          <w:tcPr>
            <w:tcW w:w="2600" w:type="dxa"/>
            <w:vAlign w:val="bottom"/>
          </w:tcPr>
          <w:p>
            <w:pPr>
              <w:ind w:left="100"/>
              <w:spacing w:after="0" w:line="177" w:lineRule="exact"/>
              <w:rPr>
                <w:sz w:val="20"/>
                <w:szCs w:val="20"/>
                <w:color w:val="auto"/>
              </w:rPr>
            </w:pPr>
            <w:r>
              <w:rPr>
                <w:rFonts w:ascii="Arial" w:cs="Arial" w:eastAsia="Arial" w:hAnsi="Arial"/>
                <w:sz w:val="18"/>
                <w:szCs w:val="18"/>
                <w:color w:val="auto"/>
              </w:rPr>
              <w:t>February</w:t>
            </w:r>
          </w:p>
        </w:tc>
        <w:tc>
          <w:tcPr>
            <w:tcW w:w="2260" w:type="dxa"/>
            <w:vAlign w:val="bottom"/>
          </w:tcPr>
          <w:p>
            <w:pPr>
              <w:ind w:left="1800"/>
              <w:spacing w:after="0" w:line="177"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177" w:lineRule="exact"/>
              <w:rPr>
                <w:sz w:val="20"/>
                <w:szCs w:val="20"/>
                <w:color w:val="auto"/>
              </w:rPr>
            </w:pPr>
            <w:r>
              <w:rPr>
                <w:rFonts w:ascii="Arial" w:cs="Arial" w:eastAsia="Arial" w:hAnsi="Arial"/>
                <w:sz w:val="18"/>
                <w:szCs w:val="18"/>
                <w:color w:val="auto"/>
              </w:rPr>
              <w:t>0.25</w:t>
            </w: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May</w:t>
            </w:r>
          </w:p>
        </w:tc>
        <w:tc>
          <w:tcPr>
            <w:tcW w:w="116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0.275</w:t>
            </w:r>
          </w:p>
        </w:tc>
        <w:tc>
          <w:tcPr>
            <w:tcW w:w="2600" w:type="dxa"/>
            <w:vAlign w:val="bottom"/>
          </w:tcPr>
          <w:p>
            <w:pPr>
              <w:ind w:left="100"/>
              <w:spacing w:after="0" w:line="202" w:lineRule="exact"/>
              <w:rPr>
                <w:sz w:val="20"/>
                <w:szCs w:val="20"/>
                <w:color w:val="auto"/>
              </w:rPr>
            </w:pPr>
            <w:r>
              <w:rPr>
                <w:rFonts w:ascii="Arial" w:cs="Arial" w:eastAsia="Arial" w:hAnsi="Arial"/>
                <w:sz w:val="18"/>
                <w:szCs w:val="18"/>
                <w:color w:val="auto"/>
              </w:rPr>
              <w:t>May</w:t>
            </w:r>
          </w:p>
        </w:tc>
        <w:tc>
          <w:tcPr>
            <w:tcW w:w="2260" w:type="dxa"/>
            <w:vAlign w:val="bottom"/>
          </w:tcPr>
          <w:p>
            <w:pPr>
              <w:ind w:left="18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0.25</w:t>
            </w: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July</w:t>
            </w:r>
          </w:p>
        </w:tc>
        <w:tc>
          <w:tcPr>
            <w:tcW w:w="116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0.275</w:t>
            </w:r>
          </w:p>
        </w:tc>
        <w:tc>
          <w:tcPr>
            <w:tcW w:w="2600" w:type="dxa"/>
            <w:vAlign w:val="bottom"/>
          </w:tcPr>
          <w:p>
            <w:pPr>
              <w:ind w:left="100"/>
              <w:spacing w:after="0" w:line="202" w:lineRule="exact"/>
              <w:rPr>
                <w:sz w:val="20"/>
                <w:szCs w:val="20"/>
                <w:color w:val="auto"/>
              </w:rPr>
            </w:pPr>
            <w:r>
              <w:rPr>
                <w:rFonts w:ascii="Arial" w:cs="Arial" w:eastAsia="Arial" w:hAnsi="Arial"/>
                <w:sz w:val="18"/>
                <w:szCs w:val="18"/>
                <w:color w:val="auto"/>
              </w:rPr>
              <w:t>July</w:t>
            </w:r>
          </w:p>
        </w:tc>
        <w:tc>
          <w:tcPr>
            <w:tcW w:w="2260" w:type="dxa"/>
            <w:vAlign w:val="bottom"/>
          </w:tcPr>
          <w:p>
            <w:pPr>
              <w:ind w:left="18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0.25</w:t>
            </w:r>
          </w:p>
        </w:tc>
      </w:tr>
      <w:tr>
        <w:trPr>
          <w:trHeight w:val="221"/>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October (paid in January 2017)</w:t>
            </w: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0.275</w:t>
            </w:r>
          </w:p>
        </w:tc>
        <w:tc>
          <w:tcPr>
            <w:tcW w:w="2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October (paid in January 2016)</w:t>
            </w:r>
          </w:p>
        </w:tc>
        <w:tc>
          <w:tcPr>
            <w:tcW w:w="22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0.25</w:t>
            </w:r>
          </w:p>
        </w:tc>
      </w:tr>
      <w:tr>
        <w:trPr>
          <w:trHeight w:val="196"/>
        </w:trPr>
        <w:tc>
          <w:tcPr>
            <w:tcW w:w="36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0C6DFF"/>
            </w:tcBorders>
          </w:tcPr>
          <w:p>
            <w:pPr>
              <w:ind w:left="70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1.10</w:t>
            </w:r>
          </w:p>
        </w:tc>
        <w:tc>
          <w:tcPr>
            <w:tcW w:w="26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260" w:type="dxa"/>
            <w:vAlign w:val="bottom"/>
            <w:tcBorders>
              <w:bottom w:val="single" w:sz="8" w:color="0C6DFF"/>
            </w:tcBorders>
          </w:tcPr>
          <w:p>
            <w:pPr>
              <w:ind w:left="180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1.00</w:t>
            </w: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January 2017, our Board of Directors approved a 15% increase in our dividend to $1.26 per share on an annualized, pre-split basis, or $0.63 per share on an annualized, post-split basis. In addition, the Board of Directors approved our first quarter dividend of $0.1575 a share on a post-split basis to be paid in April 2017.</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Holders of Class A common stock in the aggregate hold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xml:space="preserve">% of the voting power of our common stock. The number of votes that each share of Class A common stock has at any given time depends on the number of shares of Class A common stock and Class B common stock then outstanding. The Class B common stock has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nondilutable voting interest, and each share of Class B common stock has 15 votes per share.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December 31, 2016 are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7240" w:type="dxa"/>
            <w:vAlign w:val="bottom"/>
          </w:tcPr>
          <w:p>
            <w:pPr>
              <w:jc w:val="right"/>
              <w:ind w:right="44"/>
              <w:spacing w:after="0"/>
              <w:rPr>
                <w:sz w:val="20"/>
                <w:szCs w:val="20"/>
                <w:color w:val="auto"/>
              </w:rPr>
            </w:pPr>
            <w:r>
              <w:rPr>
                <w:rFonts w:ascii="Arial" w:cs="Arial" w:eastAsia="Arial" w:hAnsi="Arial"/>
                <w:sz w:val="14"/>
                <w:szCs w:val="14"/>
                <w:color w:val="auto"/>
              </w:rPr>
              <w:t>Record</w:t>
            </w:r>
          </w:p>
        </w:tc>
      </w:tr>
      <w:tr>
        <w:trPr>
          <w:trHeight w:val="163"/>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Stock Class</w:t>
            </w:r>
          </w:p>
        </w:tc>
        <w:tc>
          <w:tcPr>
            <w:tcW w:w="72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Holders</w:t>
            </w:r>
          </w:p>
        </w:tc>
      </w:tr>
      <w:tr>
        <w:trPr>
          <w:trHeight w:val="199"/>
        </w:trPr>
        <w:tc>
          <w:tcPr>
            <w:tcW w:w="4180" w:type="dxa"/>
            <w:vAlign w:val="bottom"/>
          </w:tcPr>
          <w:p>
            <w:pPr>
              <w:spacing w:after="0" w:line="200" w:lineRule="exact"/>
              <w:rPr>
                <w:sz w:val="20"/>
                <w:szCs w:val="20"/>
                <w:color w:val="auto"/>
              </w:rPr>
            </w:pPr>
            <w:r>
              <w:rPr>
                <w:rFonts w:ascii="Arial" w:cs="Arial" w:eastAsia="Arial" w:hAnsi="Arial"/>
                <w:sz w:val="18"/>
                <w:szCs w:val="18"/>
                <w:color w:val="auto"/>
              </w:rPr>
              <w:t>Class A Common Stock</w:t>
            </w:r>
          </w:p>
        </w:tc>
        <w:tc>
          <w:tcPr>
            <w:tcW w:w="7240" w:type="dxa"/>
            <w:vAlign w:val="bottom"/>
          </w:tcPr>
          <w:p>
            <w:pPr>
              <w:jc w:val="right"/>
              <w:ind w:right="44"/>
              <w:spacing w:after="0" w:line="200" w:lineRule="exact"/>
              <w:rPr>
                <w:sz w:val="20"/>
                <w:szCs w:val="20"/>
                <w:color w:val="auto"/>
              </w:rPr>
            </w:pPr>
            <w:r>
              <w:rPr>
                <w:rFonts w:ascii="Arial" w:cs="Arial" w:eastAsia="Arial" w:hAnsi="Arial"/>
                <w:sz w:val="18"/>
                <w:szCs w:val="18"/>
                <w:color w:val="auto"/>
              </w:rPr>
              <w:t>463,104</w:t>
            </w:r>
          </w:p>
        </w:tc>
      </w:tr>
      <w:tr>
        <w:trPr>
          <w:trHeight w:val="199"/>
        </w:trPr>
        <w:tc>
          <w:tcPr>
            <w:tcW w:w="4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Class B Common Stock</w:t>
            </w:r>
          </w:p>
        </w:tc>
        <w:tc>
          <w:tcPr>
            <w:tcW w:w="7240" w:type="dxa"/>
            <w:vAlign w:val="bottom"/>
            <w:tcBorders>
              <w:bottom w:val="single" w:sz="8" w:color="auto"/>
            </w:tcBorders>
          </w:tcPr>
          <w:p>
            <w:pPr>
              <w:jc w:val="right"/>
              <w:ind w:right="44"/>
              <w:spacing w:after="0" w:line="200" w:lineRule="exact"/>
              <w:rPr>
                <w:sz w:val="20"/>
                <w:szCs w:val="20"/>
                <w:color w:val="auto"/>
              </w:rPr>
            </w:pPr>
            <w:r>
              <w:rPr>
                <w:rFonts w:ascii="Arial" w:cs="Arial" w:eastAsia="Arial" w:hAnsi="Arial"/>
                <w:sz w:val="18"/>
                <w:szCs w:val="18"/>
                <w:color w:val="auto"/>
              </w:rPr>
              <w:t>3</w:t>
            </w:r>
          </w:p>
        </w:tc>
      </w:tr>
      <w:tr>
        <w:trPr>
          <w:trHeight w:val="506"/>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7240" w:type="dxa"/>
            <w:vAlign w:val="bottom"/>
          </w:tcPr>
          <w:p>
            <w:pPr>
              <w:jc w:val="right"/>
              <w:ind w:right="5504"/>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under our Board-authorized share repurchase program during 2016.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jc w:val="right"/>
              <w:ind w:right="22"/>
              <w:spacing w:after="0"/>
              <w:rPr>
                <w:sz w:val="20"/>
                <w:szCs w:val="20"/>
                <w:color w:val="auto"/>
              </w:rPr>
            </w:pPr>
            <w:r>
              <w:rPr>
                <w:rFonts w:ascii="Arial" w:cs="Arial" w:eastAsia="Arial" w:hAnsi="Arial"/>
                <w:sz w:val="14"/>
                <w:szCs w:val="14"/>
                <w:color w:val="auto"/>
              </w:rPr>
              <w:t>Total Number of</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9"/>
        </w:trPr>
        <w:tc>
          <w:tcPr>
            <w:tcW w:w="3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jc w:val="right"/>
              <w:ind w:right="22"/>
              <w:spacing w:after="0" w:line="149" w:lineRule="exact"/>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Maximum Dollar Value</w:t>
            </w:r>
          </w:p>
        </w:tc>
      </w:tr>
      <w:tr>
        <w:trPr>
          <w:trHeight w:val="149"/>
        </w:trPr>
        <w:tc>
          <w:tcPr>
            <w:tcW w:w="3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jc w:val="right"/>
              <w:ind w:right="22"/>
              <w:spacing w:after="0" w:line="149" w:lineRule="exact"/>
              <w:rPr>
                <w:sz w:val="20"/>
                <w:szCs w:val="20"/>
                <w:color w:val="auto"/>
              </w:rPr>
            </w:pPr>
            <w:r>
              <w:rPr>
                <w:rFonts w:ascii="Arial" w:cs="Arial" w:eastAsia="Arial" w:hAnsi="Arial"/>
                <w:sz w:val="14"/>
                <w:szCs w:val="14"/>
                <w:color w:val="auto"/>
              </w:rPr>
              <w:t>Purchased as</w:t>
            </w:r>
          </w:p>
        </w:tc>
        <w:tc>
          <w:tcPr>
            <w:tcW w:w="240" w:type="dxa"/>
            <w:vAlign w:val="bottom"/>
          </w:tcPr>
          <w:p>
            <w:pPr>
              <w:spacing w:after="0"/>
              <w:rPr>
                <w:sz w:val="12"/>
                <w:szCs w:val="12"/>
                <w:color w:val="auto"/>
              </w:rPr>
            </w:pPr>
          </w:p>
        </w:tc>
        <w:tc>
          <w:tcPr>
            <w:tcW w:w="1260" w:type="dxa"/>
            <w:vAlign w:val="bottom"/>
          </w:tcPr>
          <w:p>
            <w:pPr>
              <w:jc w:val="right"/>
              <w:ind w:right="18"/>
              <w:spacing w:after="0" w:line="149" w:lineRule="exact"/>
              <w:rPr>
                <w:sz w:val="20"/>
                <w:szCs w:val="20"/>
                <w:color w:val="auto"/>
              </w:rPr>
            </w:pPr>
            <w:r>
              <w:rPr>
                <w:rFonts w:ascii="Arial" w:cs="Arial" w:eastAsia="Arial" w:hAnsi="Arial"/>
                <w:sz w:val="14"/>
                <w:szCs w:val="14"/>
                <w:color w:val="auto"/>
              </w:rPr>
              <w:t>Total Dollar</w:t>
            </w:r>
          </w:p>
        </w:tc>
        <w:tc>
          <w:tcPr>
            <w:tcW w:w="280" w:type="dxa"/>
            <w:vAlign w:val="bottom"/>
          </w:tcPr>
          <w:p>
            <w:pPr>
              <w:spacing w:after="0"/>
              <w:rPr>
                <w:sz w:val="12"/>
                <w:szCs w:val="12"/>
                <w:color w:val="auto"/>
              </w:rPr>
            </w:pPr>
          </w:p>
        </w:tc>
        <w:tc>
          <w:tcPr>
            <w:tcW w:w="1300" w:type="dxa"/>
            <w:vAlign w:val="bottom"/>
          </w:tcPr>
          <w:p>
            <w:pPr>
              <w:jc w:val="right"/>
              <w:ind w:right="19"/>
              <w:spacing w:after="0" w:line="149" w:lineRule="exact"/>
              <w:rPr>
                <w:sz w:val="20"/>
                <w:szCs w:val="20"/>
                <w:color w:val="auto"/>
              </w:rPr>
            </w:pPr>
            <w:r>
              <w:rPr>
                <w:rFonts w:ascii="Arial" w:cs="Arial" w:eastAsia="Arial" w:hAnsi="Arial"/>
                <w:sz w:val="14"/>
                <w:szCs w:val="14"/>
                <w:color w:val="auto"/>
              </w:rPr>
              <w:t>of Shares That</w:t>
            </w:r>
          </w:p>
        </w:tc>
      </w:tr>
      <w:tr>
        <w:trPr>
          <w:trHeight w:val="149"/>
        </w:trPr>
        <w:tc>
          <w:tcPr>
            <w:tcW w:w="3520" w:type="dxa"/>
            <w:vAlign w:val="bottom"/>
          </w:tcPr>
          <w:p>
            <w:pPr>
              <w:spacing w:after="0"/>
              <w:rPr>
                <w:sz w:val="12"/>
                <w:szCs w:val="12"/>
                <w:color w:val="auto"/>
              </w:rPr>
            </w:pPr>
          </w:p>
        </w:tc>
        <w:tc>
          <w:tcPr>
            <w:tcW w:w="2860" w:type="dxa"/>
            <w:vAlign w:val="bottom"/>
          </w:tcPr>
          <w:p>
            <w:pPr>
              <w:jc w:val="right"/>
              <w:ind w:right="18"/>
              <w:spacing w:after="0" w:line="149" w:lineRule="exact"/>
              <w:rPr>
                <w:sz w:val="20"/>
                <w:szCs w:val="20"/>
                <w:color w:val="auto"/>
              </w:rPr>
            </w:pPr>
            <w:r>
              <w:rPr>
                <w:rFonts w:ascii="Arial" w:cs="Arial" w:eastAsia="Arial" w:hAnsi="Arial"/>
                <w:sz w:val="14"/>
                <w:szCs w:val="14"/>
                <w:color w:val="auto"/>
              </w:rPr>
              <w:t>Total Number of</w:t>
            </w:r>
          </w:p>
        </w:tc>
        <w:tc>
          <w:tcPr>
            <w:tcW w:w="800" w:type="dxa"/>
            <w:vAlign w:val="bottom"/>
          </w:tcPr>
          <w:p>
            <w:pPr>
              <w:jc w:val="right"/>
              <w:ind w:right="18"/>
              <w:spacing w:after="0" w:line="149" w:lineRule="exact"/>
              <w:rPr>
                <w:sz w:val="20"/>
                <w:szCs w:val="20"/>
                <w:color w:val="auto"/>
              </w:rPr>
            </w:pPr>
            <w:r>
              <w:rPr>
                <w:rFonts w:ascii="Arial" w:cs="Arial" w:eastAsia="Arial" w:hAnsi="Arial"/>
                <w:sz w:val="14"/>
                <w:szCs w:val="14"/>
                <w:color w:val="auto"/>
              </w:rPr>
              <w:t>Average</w:t>
            </w:r>
          </w:p>
        </w:tc>
        <w:tc>
          <w:tcPr>
            <w:tcW w:w="1160" w:type="dxa"/>
            <w:vAlign w:val="bottom"/>
          </w:tcPr>
          <w:p>
            <w:pPr>
              <w:jc w:val="right"/>
              <w:ind w:right="22"/>
              <w:spacing w:after="0" w:line="149" w:lineRule="exact"/>
              <w:rPr>
                <w:sz w:val="20"/>
                <w:szCs w:val="20"/>
                <w:color w:val="auto"/>
              </w:rPr>
            </w:pPr>
            <w:r>
              <w:rPr>
                <w:rFonts w:ascii="Arial" w:cs="Arial" w:eastAsia="Arial" w:hAnsi="Arial"/>
                <w:sz w:val="14"/>
                <w:szCs w:val="14"/>
                <w:color w:val="auto"/>
              </w:rPr>
              <w:t>Part of Publicly</w:t>
            </w:r>
          </w:p>
        </w:tc>
        <w:tc>
          <w:tcPr>
            <w:tcW w:w="240" w:type="dxa"/>
            <w:vAlign w:val="bottom"/>
          </w:tcPr>
          <w:p>
            <w:pPr>
              <w:spacing w:after="0"/>
              <w:rPr>
                <w:sz w:val="12"/>
                <w:szCs w:val="12"/>
                <w:color w:val="auto"/>
              </w:rPr>
            </w:pPr>
          </w:p>
        </w:tc>
        <w:tc>
          <w:tcPr>
            <w:tcW w:w="1260" w:type="dxa"/>
            <w:vAlign w:val="bottom"/>
          </w:tcPr>
          <w:p>
            <w:pPr>
              <w:jc w:val="right"/>
              <w:ind w:right="18"/>
              <w:spacing w:after="0" w:line="149" w:lineRule="exact"/>
              <w:rPr>
                <w:sz w:val="20"/>
                <w:szCs w:val="20"/>
                <w:color w:val="auto"/>
              </w:rPr>
            </w:pPr>
            <w:r>
              <w:rPr>
                <w:rFonts w:ascii="Arial" w:cs="Arial" w:eastAsia="Arial" w:hAnsi="Arial"/>
                <w:sz w:val="14"/>
                <w:szCs w:val="14"/>
                <w:color w:val="auto"/>
              </w:rPr>
              <w:t>Amount</w:t>
            </w:r>
          </w:p>
        </w:tc>
        <w:tc>
          <w:tcPr>
            <w:tcW w:w="15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May Yet Be Purchased</w:t>
            </w:r>
          </w:p>
        </w:tc>
      </w:tr>
      <w:tr>
        <w:trPr>
          <w:trHeight w:val="128"/>
        </w:trPr>
        <w:tc>
          <w:tcPr>
            <w:tcW w:w="3520" w:type="dxa"/>
            <w:vAlign w:val="bottom"/>
          </w:tcPr>
          <w:p>
            <w:pPr>
              <w:spacing w:after="0"/>
              <w:rPr>
                <w:sz w:val="11"/>
                <w:szCs w:val="11"/>
                <w:color w:val="auto"/>
              </w:rPr>
            </w:pPr>
          </w:p>
        </w:tc>
        <w:tc>
          <w:tcPr>
            <w:tcW w:w="2860" w:type="dxa"/>
            <w:vAlign w:val="bottom"/>
          </w:tcPr>
          <w:p>
            <w:pPr>
              <w:jc w:val="right"/>
              <w:ind w:right="18"/>
              <w:spacing w:after="0" w:line="129" w:lineRule="exact"/>
              <w:rPr>
                <w:sz w:val="20"/>
                <w:szCs w:val="20"/>
                <w:color w:val="auto"/>
              </w:rPr>
            </w:pPr>
            <w:r>
              <w:rPr>
                <w:rFonts w:ascii="Arial" w:cs="Arial" w:eastAsia="Arial" w:hAnsi="Arial"/>
                <w:sz w:val="14"/>
                <w:szCs w:val="14"/>
                <w:color w:val="auto"/>
              </w:rPr>
              <w:t>Shares</w:t>
            </w:r>
          </w:p>
        </w:tc>
        <w:tc>
          <w:tcPr>
            <w:tcW w:w="800" w:type="dxa"/>
            <w:vAlign w:val="bottom"/>
          </w:tcPr>
          <w:p>
            <w:pPr>
              <w:jc w:val="right"/>
              <w:ind w:right="18"/>
              <w:spacing w:after="0" w:line="129" w:lineRule="exact"/>
              <w:rPr>
                <w:sz w:val="20"/>
                <w:szCs w:val="20"/>
                <w:color w:val="auto"/>
              </w:rPr>
            </w:pPr>
            <w:r>
              <w:rPr>
                <w:rFonts w:ascii="Arial" w:cs="Arial" w:eastAsia="Arial" w:hAnsi="Arial"/>
                <w:sz w:val="14"/>
                <w:szCs w:val="14"/>
                <w:color w:val="auto"/>
              </w:rPr>
              <w:t>Price Per</w:t>
            </w:r>
          </w:p>
        </w:tc>
        <w:tc>
          <w:tcPr>
            <w:tcW w:w="1160" w:type="dxa"/>
            <w:vAlign w:val="bottom"/>
          </w:tcPr>
          <w:p>
            <w:pPr>
              <w:jc w:val="right"/>
              <w:ind w:right="22"/>
              <w:spacing w:after="0" w:line="129" w:lineRule="exact"/>
              <w:rPr>
                <w:sz w:val="20"/>
                <w:szCs w:val="20"/>
                <w:color w:val="auto"/>
              </w:rPr>
            </w:pPr>
            <w:r>
              <w:rPr>
                <w:rFonts w:ascii="Arial" w:cs="Arial" w:eastAsia="Arial" w:hAnsi="Arial"/>
                <w:sz w:val="14"/>
                <w:szCs w:val="14"/>
                <w:color w:val="auto"/>
              </w:rPr>
              <w:t>Announced</w:t>
            </w:r>
          </w:p>
        </w:tc>
        <w:tc>
          <w:tcPr>
            <w:tcW w:w="150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Purchased Under the</w:t>
            </w:r>
          </w:p>
        </w:tc>
        <w:tc>
          <w:tcPr>
            <w:tcW w:w="280" w:type="dxa"/>
            <w:vAlign w:val="bottom"/>
          </w:tcPr>
          <w:p>
            <w:pPr>
              <w:spacing w:after="0"/>
              <w:rPr>
                <w:sz w:val="11"/>
                <w:szCs w:val="11"/>
                <w:color w:val="auto"/>
              </w:rPr>
            </w:pPr>
          </w:p>
        </w:tc>
        <w:tc>
          <w:tcPr>
            <w:tcW w:w="1300" w:type="dxa"/>
            <w:vAlign w:val="bottom"/>
          </w:tcPr>
          <w:p>
            <w:pPr>
              <w:jc w:val="right"/>
              <w:ind w:right="19"/>
              <w:spacing w:after="0" w:line="129" w:lineRule="exact"/>
              <w:rPr>
                <w:sz w:val="20"/>
                <w:szCs w:val="20"/>
                <w:color w:val="auto"/>
              </w:rPr>
            </w:pPr>
            <w:r>
              <w:rPr>
                <w:rFonts w:ascii="Arial" w:cs="Arial" w:eastAsia="Arial" w:hAnsi="Arial"/>
                <w:sz w:val="14"/>
                <w:szCs w:val="14"/>
                <w:color w:val="auto"/>
              </w:rPr>
              <w:t>Under the</w:t>
            </w:r>
          </w:p>
        </w:tc>
      </w:tr>
      <w:tr>
        <w:trPr>
          <w:trHeight w:val="169"/>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8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Purchased</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Share</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Authorization</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Authorization</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2"/>
                <w:szCs w:val="12"/>
                <w:color w:val="auto"/>
              </w:rPr>
              <w:t>Authorization</w:t>
            </w:r>
            <w:r>
              <w:rPr>
                <w:rFonts w:ascii="Arial" w:cs="Arial" w:eastAsia="Arial" w:hAnsi="Arial"/>
                <w:sz w:val="19"/>
                <w:szCs w:val="19"/>
                <w:color w:val="auto"/>
                <w:vertAlign w:val="superscript"/>
              </w:rPr>
              <w:t>(a)</w:t>
            </w:r>
          </w:p>
        </w:tc>
      </w:tr>
      <w:tr>
        <w:trPr>
          <w:trHeight w:val="199"/>
        </w:trPr>
        <w:tc>
          <w:tcPr>
            <w:tcW w:w="3520" w:type="dxa"/>
            <w:vAlign w:val="bottom"/>
          </w:tcPr>
          <w:p>
            <w:pPr>
              <w:spacing w:after="0" w:line="200" w:lineRule="exact"/>
              <w:rPr>
                <w:sz w:val="20"/>
                <w:szCs w:val="20"/>
                <w:color w:val="auto"/>
              </w:rPr>
            </w:pPr>
            <w:r>
              <w:rPr>
                <w:rFonts w:ascii="Arial" w:cs="Arial" w:eastAsia="Arial" w:hAnsi="Arial"/>
                <w:sz w:val="18"/>
                <w:szCs w:val="18"/>
                <w:color w:val="auto"/>
              </w:rPr>
              <w:t>First Quarter 2016</w:t>
            </w:r>
          </w:p>
        </w:tc>
        <w:tc>
          <w:tcPr>
            <w:tcW w:w="2860" w:type="dxa"/>
            <w:vAlign w:val="bottom"/>
          </w:tcPr>
          <w:p>
            <w:pPr>
              <w:jc w:val="right"/>
              <w:ind w:right="18"/>
              <w:spacing w:after="0" w:line="200" w:lineRule="exact"/>
              <w:rPr>
                <w:sz w:val="20"/>
                <w:szCs w:val="20"/>
                <w:color w:val="auto"/>
              </w:rPr>
            </w:pPr>
            <w:r>
              <w:rPr>
                <w:rFonts w:ascii="Arial" w:cs="Arial" w:eastAsia="Arial" w:hAnsi="Arial"/>
                <w:sz w:val="18"/>
                <w:szCs w:val="18"/>
                <w:color w:val="auto"/>
              </w:rPr>
              <w:t>22,025,226</w:t>
            </w:r>
          </w:p>
        </w:tc>
        <w:tc>
          <w:tcPr>
            <w:tcW w:w="800" w:type="dxa"/>
            <w:vAlign w:val="bottom"/>
          </w:tcPr>
          <w:p>
            <w:pPr>
              <w:jc w:val="right"/>
              <w:ind w:right="18"/>
              <w:spacing w:after="0" w:line="200" w:lineRule="exact"/>
              <w:rPr>
                <w:sz w:val="20"/>
                <w:szCs w:val="20"/>
                <w:color w:val="auto"/>
              </w:rPr>
            </w:pPr>
            <w:r>
              <w:rPr>
                <w:rFonts w:ascii="Arial" w:cs="Arial" w:eastAsia="Arial" w:hAnsi="Arial"/>
                <w:sz w:val="18"/>
                <w:szCs w:val="18"/>
                <w:color w:val="auto"/>
              </w:rPr>
              <w:t>$ 56.82</w:t>
            </w:r>
          </w:p>
        </w:tc>
        <w:tc>
          <w:tcPr>
            <w:tcW w:w="1160" w:type="dxa"/>
            <w:vAlign w:val="bottom"/>
          </w:tcPr>
          <w:p>
            <w:pPr>
              <w:jc w:val="right"/>
              <w:ind w:right="22"/>
              <w:spacing w:after="0" w:line="200" w:lineRule="exact"/>
              <w:rPr>
                <w:sz w:val="20"/>
                <w:szCs w:val="20"/>
                <w:color w:val="auto"/>
              </w:rPr>
            </w:pPr>
            <w:r>
              <w:rPr>
                <w:rFonts w:ascii="Arial" w:cs="Arial" w:eastAsia="Arial" w:hAnsi="Arial"/>
                <w:sz w:val="18"/>
                <w:szCs w:val="18"/>
                <w:color w:val="auto"/>
              </w:rPr>
              <w:t>21,989,334</w:t>
            </w:r>
          </w:p>
        </w:tc>
        <w:tc>
          <w:tcPr>
            <w:tcW w:w="24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line="200" w:lineRule="exact"/>
              <w:rPr>
                <w:sz w:val="20"/>
                <w:szCs w:val="20"/>
                <w:color w:val="auto"/>
              </w:rPr>
            </w:pPr>
            <w:r>
              <w:rPr>
                <w:rFonts w:ascii="Arial" w:cs="Arial" w:eastAsia="Arial" w:hAnsi="Arial"/>
                <w:sz w:val="18"/>
                <w:szCs w:val="18"/>
                <w:color w:val="auto"/>
                <w:w w:val="99"/>
              </w:rPr>
              <w:t>1,249,417,635</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9"/>
              <w:spacing w:after="0" w:line="200" w:lineRule="exact"/>
              <w:rPr>
                <w:sz w:val="20"/>
                <w:szCs w:val="20"/>
                <w:color w:val="auto"/>
              </w:rPr>
            </w:pPr>
            <w:r>
              <w:rPr>
                <w:rFonts w:ascii="Arial" w:cs="Arial" w:eastAsia="Arial" w:hAnsi="Arial"/>
                <w:sz w:val="18"/>
                <w:szCs w:val="18"/>
                <w:color w:val="auto"/>
              </w:rPr>
              <w:t>8,750,582,365</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Second Quarter 2016</w:t>
            </w:r>
          </w:p>
        </w:tc>
        <w:tc>
          <w:tcPr>
            <w:tcW w:w="2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18,418,256</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$ 61.66</w:t>
            </w:r>
          </w:p>
        </w:tc>
        <w:tc>
          <w:tcPr>
            <w:tcW w:w="11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18,418,136</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line="202" w:lineRule="exact"/>
              <w:rPr>
                <w:sz w:val="20"/>
                <w:szCs w:val="20"/>
                <w:color w:val="auto"/>
              </w:rPr>
            </w:pPr>
            <w:r>
              <w:rPr>
                <w:rFonts w:ascii="Arial" w:cs="Arial" w:eastAsia="Arial" w:hAnsi="Arial"/>
                <w:sz w:val="18"/>
                <w:szCs w:val="18"/>
                <w:color w:val="auto"/>
                <w:w w:val="99"/>
              </w:rPr>
              <w:t>1,135,699,704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7,614,882,661</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Third Quarter 2016</w:t>
            </w:r>
          </w:p>
        </w:tc>
        <w:tc>
          <w:tcPr>
            <w:tcW w:w="2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20,836,401</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$ 66.07</w:t>
            </w:r>
          </w:p>
        </w:tc>
        <w:tc>
          <w:tcPr>
            <w:tcW w:w="11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20,836,288</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line="202" w:lineRule="exact"/>
              <w:rPr>
                <w:sz w:val="20"/>
                <w:szCs w:val="20"/>
                <w:color w:val="auto"/>
              </w:rPr>
            </w:pPr>
            <w:r>
              <w:rPr>
                <w:rFonts w:ascii="Arial" w:cs="Arial" w:eastAsia="Arial" w:hAnsi="Arial"/>
                <w:sz w:val="18"/>
                <w:szCs w:val="18"/>
                <w:color w:val="auto"/>
                <w:w w:val="99"/>
              </w:rPr>
              <w:t>1,376,575,738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6,238,306,923</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October 1-31, 2016</w:t>
            </w:r>
          </w:p>
        </w:tc>
        <w:tc>
          <w:tcPr>
            <w:tcW w:w="2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13,294,399</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$ 64.00</w:t>
            </w:r>
          </w:p>
        </w:tc>
        <w:tc>
          <w:tcPr>
            <w:tcW w:w="11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13,294,399</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850,819,050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5,387,487,873</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November 1-30, 2016</w:t>
            </w:r>
          </w:p>
        </w:tc>
        <w:tc>
          <w:tcPr>
            <w:tcW w:w="2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4,036,116</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$ 61.80</w:t>
            </w:r>
          </w:p>
        </w:tc>
        <w:tc>
          <w:tcPr>
            <w:tcW w:w="11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4,036,116</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249,446,256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5,138,041,617</w:t>
            </w:r>
          </w:p>
        </w:tc>
      </w:tr>
      <w:tr>
        <w:trPr>
          <w:trHeight w:val="199"/>
        </w:trPr>
        <w:tc>
          <w:tcPr>
            <w:tcW w:w="35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December 1-31, 2016</w:t>
            </w:r>
          </w:p>
        </w:tc>
        <w:tc>
          <w:tcPr>
            <w:tcW w:w="286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1,995,929</w:t>
            </w:r>
          </w:p>
        </w:tc>
        <w:tc>
          <w:tcPr>
            <w:tcW w:w="80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$ 69.18</w:t>
            </w:r>
          </w:p>
        </w:tc>
        <w:tc>
          <w:tcPr>
            <w:tcW w:w="1160" w:type="dxa"/>
            <w:vAlign w:val="bottom"/>
            <w:tcBorders>
              <w:bottom w:val="single" w:sz="8" w:color="auto"/>
            </w:tcBorders>
          </w:tcPr>
          <w:p>
            <w:pPr>
              <w:jc w:val="right"/>
              <w:ind w:right="22"/>
              <w:spacing w:after="0" w:line="200" w:lineRule="exact"/>
              <w:rPr>
                <w:sz w:val="20"/>
                <w:szCs w:val="20"/>
                <w:color w:val="auto"/>
              </w:rPr>
            </w:pPr>
            <w:r>
              <w:rPr>
                <w:rFonts w:ascii="Arial" w:cs="Arial" w:eastAsia="Arial" w:hAnsi="Arial"/>
                <w:sz w:val="18"/>
                <w:szCs w:val="18"/>
                <w:color w:val="auto"/>
              </w:rPr>
              <w:t>1,995,464</w:t>
            </w:r>
          </w:p>
        </w:tc>
        <w:tc>
          <w:tcPr>
            <w:tcW w:w="24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138,041,588</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5,000,000,029</w:t>
            </w:r>
          </w:p>
        </w:tc>
      </w:tr>
      <w:tr>
        <w:trPr>
          <w:trHeight w:val="196"/>
        </w:trPr>
        <w:tc>
          <w:tcPr>
            <w:tcW w:w="35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2860" w:type="dxa"/>
            <w:vAlign w:val="bottom"/>
            <w:tcBorders>
              <w:bottom w:val="single" w:sz="8" w:color="0C6DFF"/>
            </w:tcBorders>
          </w:tcPr>
          <w:p>
            <w:pPr>
              <w:jc w:val="right"/>
              <w:ind w:right="18"/>
              <w:spacing w:after="0" w:line="196" w:lineRule="exact"/>
              <w:rPr>
                <w:sz w:val="20"/>
                <w:szCs w:val="20"/>
                <w:color w:val="auto"/>
              </w:rPr>
            </w:pPr>
            <w:r>
              <w:rPr>
                <w:rFonts w:ascii="Arial" w:cs="Arial" w:eastAsia="Arial" w:hAnsi="Arial"/>
                <w:sz w:val="18"/>
                <w:szCs w:val="18"/>
                <w:b w:val="1"/>
                <w:bCs w:val="1"/>
                <w:color w:val="auto"/>
              </w:rPr>
              <w:t>80,606,327</w:t>
            </w:r>
          </w:p>
        </w:tc>
        <w:tc>
          <w:tcPr>
            <w:tcW w:w="800" w:type="dxa"/>
            <w:vAlign w:val="bottom"/>
            <w:tcBorders>
              <w:bottom w:val="single" w:sz="8" w:color="0C6DFF"/>
            </w:tcBorders>
          </w:tcPr>
          <w:p>
            <w:pPr>
              <w:jc w:val="right"/>
              <w:ind w:right="18"/>
              <w:spacing w:after="0" w:line="196" w:lineRule="exact"/>
              <w:rPr>
                <w:sz w:val="20"/>
                <w:szCs w:val="20"/>
                <w:color w:val="auto"/>
              </w:rPr>
            </w:pPr>
            <w:r>
              <w:rPr>
                <w:rFonts w:ascii="Arial" w:cs="Arial" w:eastAsia="Arial" w:hAnsi="Arial"/>
                <w:sz w:val="18"/>
                <w:szCs w:val="18"/>
                <w:b w:val="1"/>
                <w:bCs w:val="1"/>
                <w:color w:val="auto"/>
              </w:rPr>
              <w:t>$ 62.06</w:t>
            </w:r>
          </w:p>
        </w:tc>
        <w:tc>
          <w:tcPr>
            <w:tcW w:w="1160" w:type="dxa"/>
            <w:vAlign w:val="bottom"/>
            <w:tcBorders>
              <w:bottom w:val="single" w:sz="8" w:color="0C6DFF"/>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80,569,737</w:t>
            </w:r>
          </w:p>
        </w:tc>
        <w:tc>
          <w:tcPr>
            <w:tcW w:w="24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0C6DFF"/>
            </w:tcBorders>
          </w:tcPr>
          <w:p>
            <w:pPr>
              <w:jc w:val="right"/>
              <w:ind w:right="18"/>
              <w:spacing w:after="0" w:line="196" w:lineRule="exact"/>
              <w:rPr>
                <w:sz w:val="20"/>
                <w:szCs w:val="20"/>
                <w:color w:val="auto"/>
              </w:rPr>
            </w:pPr>
            <w:r>
              <w:rPr>
                <w:rFonts w:ascii="Arial" w:cs="Arial" w:eastAsia="Arial" w:hAnsi="Arial"/>
                <w:sz w:val="18"/>
                <w:szCs w:val="18"/>
                <w:b w:val="1"/>
                <w:bCs w:val="1"/>
                <w:color w:val="auto"/>
                <w:w w:val="99"/>
              </w:rPr>
              <w:t>4,999,999,971</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0C6DFF"/>
            </w:tcBorders>
          </w:tcPr>
          <w:p>
            <w:pPr>
              <w:jc w:val="right"/>
              <w:ind w:right="19"/>
              <w:spacing w:after="0" w:line="196" w:lineRule="exact"/>
              <w:rPr>
                <w:sz w:val="20"/>
                <w:szCs w:val="20"/>
                <w:color w:val="auto"/>
              </w:rPr>
            </w:pPr>
            <w:r>
              <w:rPr>
                <w:rFonts w:ascii="Arial" w:cs="Arial" w:eastAsia="Arial" w:hAnsi="Arial"/>
                <w:sz w:val="18"/>
                <w:szCs w:val="18"/>
                <w:b w:val="1"/>
                <w:bCs w:val="1"/>
                <w:color w:val="auto"/>
              </w:rPr>
              <w:t>5,000,000,029</w:t>
            </w: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December 2015, our Board of Directors increased our share repurchase program authorization to $10 billion, and in January 2017, it increased the authorization to $12 billion, which does not have an expiration date.</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total number of shares purchased during 2016 includes 36,590 shares received in the administration of employee share-based compensation plans.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our share repurchase program authorization, we may repurchase shares in the open market or in private transactions. We expect to repurchase $5.0 billion of our Class A common stock during 2017, subject to market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Equity Securities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2016, we issued 356,635 shares of our Class A common stock to an institutional accredited investor in connection with an advance on future services in a transaction exempt from registration under the Securities Act of 1933, as amended, in accordance with Section 4(a)(2) thereof.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 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indicated periods, the high and low sales prices of Comcast’s Class A and Class A Special common stock.</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64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color w:val="auto"/>
              </w:rPr>
              <w:t>Class A</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color w:val="auto"/>
                <w:w w:val="94"/>
              </w:rPr>
              <w:t>Class A Special</w:t>
            </w:r>
            <w:r>
              <w:rPr>
                <w:rFonts w:ascii="Arial" w:cs="Arial" w:eastAsia="Arial" w:hAnsi="Arial"/>
                <w:sz w:val="22"/>
                <w:szCs w:val="22"/>
                <w:color w:val="auto"/>
                <w:w w:val="94"/>
                <w:vertAlign w:val="superscript"/>
              </w:rPr>
              <w:t>(a)</w:t>
            </w:r>
          </w:p>
        </w:tc>
      </w:tr>
      <w:tr>
        <w:trPr>
          <w:trHeight w:val="223"/>
        </w:trPr>
        <w:tc>
          <w:tcPr>
            <w:tcW w:w="20" w:type="dxa"/>
            <w:vAlign w:val="bottom"/>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High</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Low</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High</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Low</w:t>
            </w:r>
          </w:p>
        </w:tc>
      </w:tr>
      <w:tr>
        <w:trPr>
          <w:trHeight w:val="177"/>
        </w:trPr>
        <w:tc>
          <w:tcPr>
            <w:tcW w:w="20" w:type="dxa"/>
            <w:vAlign w:val="bottom"/>
          </w:tcPr>
          <w:p>
            <w:pPr>
              <w:spacing w:after="0"/>
              <w:rPr>
                <w:sz w:val="15"/>
                <w:szCs w:val="15"/>
                <w:color w:val="auto"/>
              </w:rPr>
            </w:pPr>
          </w:p>
        </w:tc>
        <w:tc>
          <w:tcPr>
            <w:tcW w:w="8120" w:type="dxa"/>
            <w:vAlign w:val="bottom"/>
          </w:tcPr>
          <w:p>
            <w:pPr>
              <w:spacing w:after="0" w:line="177" w:lineRule="exact"/>
              <w:rPr>
                <w:sz w:val="20"/>
                <w:szCs w:val="20"/>
                <w:color w:val="auto"/>
              </w:rPr>
            </w:pPr>
            <w:r>
              <w:rPr>
                <w:rFonts w:ascii="Arial" w:cs="Arial" w:eastAsia="Arial" w:hAnsi="Arial"/>
                <w:sz w:val="18"/>
                <w:szCs w:val="18"/>
                <w:b w:val="1"/>
                <w:bCs w:val="1"/>
                <w:color w:val="auto"/>
              </w:rPr>
              <w:t>2016</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First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$ 61.37</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$ 52.34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Second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$ 65.42</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$ 59.62</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Third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$ 68.36</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$ 64.27</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r>
      <w:tr>
        <w:trPr>
          <w:trHeight w:val="233"/>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Fourth Quarter</w:t>
            </w:r>
          </w:p>
        </w:tc>
        <w:tc>
          <w:tcPr>
            <w:tcW w:w="800" w:type="dxa"/>
            <w:vAlign w:val="bottom"/>
          </w:tcPr>
          <w:p>
            <w:pPr>
              <w:jc w:val="right"/>
              <w:ind w:right="16"/>
              <w:spacing w:after="0"/>
              <w:rPr>
                <w:sz w:val="20"/>
                <w:szCs w:val="20"/>
                <w:color w:val="auto"/>
              </w:rPr>
            </w:pPr>
            <w:r>
              <w:rPr>
                <w:rFonts w:ascii="Arial" w:cs="Arial" w:eastAsia="Arial" w:hAnsi="Arial"/>
                <w:sz w:val="18"/>
                <w:szCs w:val="18"/>
                <w:b w:val="1"/>
                <w:bCs w:val="1"/>
                <w:color w:val="auto"/>
              </w:rPr>
              <w:t>$ 71.32</w:t>
            </w: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$ 60.04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302"/>
        </w:trPr>
        <w:tc>
          <w:tcPr>
            <w:tcW w:w="8140" w:type="dxa"/>
            <w:vAlign w:val="bottom"/>
            <w:gridSpan w:val="2"/>
          </w:tcPr>
          <w:p>
            <w:pPr>
              <w:spacing w:after="0"/>
              <w:rPr>
                <w:sz w:val="20"/>
                <w:szCs w:val="20"/>
                <w:color w:val="auto"/>
              </w:rPr>
            </w:pPr>
            <w:r>
              <w:rPr>
                <w:rFonts w:ascii="Arial" w:cs="Arial" w:eastAsia="Arial" w:hAnsi="Arial"/>
                <w:sz w:val="18"/>
                <w:szCs w:val="18"/>
                <w:color w:val="auto"/>
              </w:rPr>
              <w:t>2015</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$ 60.70</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$ 52.45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color w:val="auto"/>
                <w:w w:val="97"/>
              </w:rPr>
              <w:t>60.19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52.23</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$ 61.64</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$ 56.05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color w:val="auto"/>
                <w:w w:val="97"/>
              </w:rPr>
              <w:t>61.38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55.74</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$ 64.99</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$ 50.00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color w:val="auto"/>
                <w:w w:val="97"/>
              </w:rPr>
              <w:t>64.70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51.26</w:t>
            </w:r>
          </w:p>
        </w:tc>
      </w:tr>
      <w:tr>
        <w:trPr>
          <w:trHeight w:val="199"/>
        </w:trPr>
        <w:tc>
          <w:tcPr>
            <w:tcW w:w="81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Fourth Quarter</w:t>
            </w:r>
            <w:r>
              <w:rPr>
                <w:rFonts w:ascii="Arial" w:cs="Arial" w:eastAsia="Arial" w:hAnsi="Arial"/>
                <w:sz w:val="22"/>
                <w:szCs w:val="22"/>
                <w:color w:val="auto"/>
                <w:vertAlign w:val="superscript"/>
              </w:rPr>
              <w:t>(a)</w:t>
            </w:r>
          </w:p>
        </w:tc>
        <w:tc>
          <w:tcPr>
            <w:tcW w:w="80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$ 63.38</w:t>
            </w:r>
          </w:p>
        </w:tc>
        <w:tc>
          <w:tcPr>
            <w:tcW w:w="8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$ 55.39</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w w:val="97"/>
              </w:rPr>
              <w:t>63.48</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56.88</w:t>
            </w: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high and low sales price of Comcast’s Class A Special common stock reflects the prices until December 11, 2015, when each issued share of Class A Special common stock was reclassified into one share of Class A common stock (see Note 12 to Comcast’s consolidated financial statements).</w:t>
      </w:r>
    </w:p>
    <w:p>
      <w:pPr>
        <w:spacing w:after="0" w:line="322"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37</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following graph compares the annual percentage change in the cumulative total shareholder return on Comcast’s Class A common stock during the five years ended December 31, 2016 with the cumulative total returns on the Standard &amp; Poor’s 500 Stock Index and with a select peer group consisting of us and other companies engaged in the cable, communications and media industries. This peer group (the “new peer group index”) consists of our common stock, DISH Network Corporation (Class A), Charter Communications, Inc., AT&amp;T Inc., Verizon Communications Inc., CenturyLink, Inc., and Sprint Corporation (the “transmission and distribution subgroup”); and Time Warner Inc., Walt Disney Company, Viacom Inc. (Class B), Twenty-First Century Fox, Inc. (Class A), and CBS Corporation (Class B) (the “media subgroup”). The new peer group index was created as a result of merger and acquisition activity that impacted our prior peer group index, which had consisted of our common stock as well as Cablevision Systems Corporation (Class A) (included through June 21, 2016, the date of acquisition by Altice NV), DISH Network Corporation (Class A), DirecTV Inc. (included through July 24, 2015, the date of acquisition by AT&amp;T Inc.), Time Warner Cable Inc. (included through May 18, 2016, the date of acquisition by Charter Communications, Inc.) (the “cable subgroup”); and Time Warner Inc., Walt Disney Company, Viacom Inc. (Class B), Twenty-First Century Fox, Inc. (Class A), and CBS Corporation (Class B) (the “media subgroup”). The peer groups are constructed as composite peer groups in which the transmission and distribution subgroup and the cable subgroup are weighted 61% and the media subgroup is weighted 39% based on the respective revenue of our Cable Communications and NBCUniversal segments. The comparison assumes $100 was invested on December 31, 2011 in our Class A common stock and in each of the following indices and assumes the reinvestment of dividends.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0C6DF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9723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2016</w:t>
            </w: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Comcast Class A</w:t>
            </w:r>
          </w:p>
        </w:tc>
        <w:tc>
          <w:tcPr>
            <w:tcW w:w="374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$ 160</w:t>
            </w:r>
          </w:p>
        </w:tc>
        <w:tc>
          <w:tcPr>
            <w:tcW w:w="680" w:type="dxa"/>
            <w:vAlign w:val="bottom"/>
          </w:tcPr>
          <w:p>
            <w:pPr>
              <w:jc w:val="right"/>
              <w:ind w:right="36"/>
              <w:spacing w:after="0" w:line="200" w:lineRule="exact"/>
              <w:rPr>
                <w:sz w:val="20"/>
                <w:szCs w:val="20"/>
                <w:color w:val="auto"/>
              </w:rPr>
            </w:pPr>
            <w:r>
              <w:rPr>
                <w:rFonts w:ascii="Arial" w:cs="Arial" w:eastAsia="Arial" w:hAnsi="Arial"/>
                <w:sz w:val="18"/>
                <w:szCs w:val="18"/>
                <w:color w:val="auto"/>
              </w:rPr>
              <w:t>$ 226</w:t>
            </w:r>
          </w:p>
        </w:tc>
        <w:tc>
          <w:tcPr>
            <w:tcW w:w="6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$ 256</w:t>
            </w:r>
          </w:p>
        </w:tc>
        <w:tc>
          <w:tcPr>
            <w:tcW w:w="6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$ 253</w:t>
            </w:r>
          </w:p>
        </w:tc>
        <w:tc>
          <w:tcPr>
            <w:tcW w:w="6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$ 316</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S&amp;P 500 Stock Index</w:t>
            </w:r>
          </w:p>
        </w:tc>
        <w:tc>
          <w:tcPr>
            <w:tcW w:w="37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$ 116</w:t>
            </w:r>
          </w:p>
        </w:tc>
        <w:tc>
          <w:tcPr>
            <w:tcW w:w="6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$ 153</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$ 174</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$ 176</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$ 197</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Prior Peer Group Index</w:t>
            </w:r>
          </w:p>
        </w:tc>
        <w:tc>
          <w:tcPr>
            <w:tcW w:w="37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$ 144</w:t>
            </w:r>
          </w:p>
        </w:tc>
        <w:tc>
          <w:tcPr>
            <w:tcW w:w="6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$ 211</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$ 244</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$ 242</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$ 284</w:t>
            </w: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New Peer Group Index</w:t>
            </w:r>
          </w:p>
        </w:tc>
        <w:tc>
          <w:tcPr>
            <w:tcW w:w="374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$ 130</w:t>
            </w:r>
          </w:p>
        </w:tc>
        <w:tc>
          <w:tcPr>
            <w:tcW w:w="68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$ 170</w:t>
            </w:r>
          </w:p>
        </w:tc>
        <w:tc>
          <w:tcPr>
            <w:tcW w:w="6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$ 180</w:t>
            </w:r>
          </w:p>
        </w:tc>
        <w:tc>
          <w:tcPr>
            <w:tcW w:w="6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$ 178</w:t>
            </w:r>
          </w:p>
        </w:tc>
        <w:tc>
          <w:tcPr>
            <w:tcW w:w="6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$ 220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NBCUniversal is a wholly owned subsidiary of NBCUniversal Holdings and there is no market for its equity securities.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6: Selected Financial Data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6000" w:type="dxa"/>
            <w:vAlign w:val="bottom"/>
          </w:tcPr>
          <w:p>
            <w:pPr>
              <w:spacing w:after="0" w:line="200" w:lineRule="exact"/>
              <w:rPr>
                <w:sz w:val="20"/>
                <w:szCs w:val="20"/>
                <w:color w:val="auto"/>
              </w:rPr>
            </w:pPr>
            <w:r>
              <w:rPr>
                <w:rFonts w:ascii="Arial" w:cs="Arial" w:eastAsia="Arial" w:hAnsi="Arial"/>
                <w:sz w:val="18"/>
                <w:szCs w:val="18"/>
                <w:b w:val="1"/>
                <w:bCs w:val="1"/>
                <w:color w:val="auto"/>
              </w:rPr>
              <w:t>Statement of Income Data</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80,403</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spacing w:after="0" w:line="181" w:lineRule="exact"/>
              <w:rPr>
                <w:sz w:val="20"/>
                <w:szCs w:val="20"/>
                <w:color w:val="auto"/>
              </w:rPr>
            </w:pPr>
            <w:r>
              <w:rPr>
                <w:rFonts w:ascii="Arial" w:cs="Arial" w:eastAsia="Arial" w:hAnsi="Arial"/>
                <w:sz w:val="18"/>
                <w:szCs w:val="18"/>
                <w:color w:val="auto"/>
              </w:rPr>
              <w:t>Revenue</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74,510</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68,775</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64,657</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62,570</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16,859</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15,998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14,904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13,563</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12,179</w:t>
            </w:r>
          </w:p>
        </w:tc>
        <w:tc>
          <w:tcPr>
            <w:tcW w:w="0" w:type="dxa"/>
            <w:vAlign w:val="bottom"/>
          </w:tcPr>
          <w:p>
            <w:pPr>
              <w:spacing w:after="0"/>
              <w:rPr>
                <w:sz w:val="1"/>
                <w:szCs w:val="1"/>
                <w:color w:val="auto"/>
              </w:rPr>
            </w:pPr>
          </w:p>
        </w:tc>
      </w:tr>
      <w:tr>
        <w:trPr>
          <w:trHeight w:val="225"/>
        </w:trPr>
        <w:tc>
          <w:tcPr>
            <w:tcW w:w="6000" w:type="dxa"/>
            <w:vAlign w:val="bottom"/>
          </w:tcPr>
          <w:p>
            <w:pPr>
              <w:spacing w:after="0"/>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11"/>
                <w:szCs w:val="11"/>
                <w:color w:val="auto"/>
              </w:rPr>
              <w:t>(a)</w:t>
            </w:r>
          </w:p>
        </w:tc>
        <w:tc>
          <w:tcPr>
            <w:tcW w:w="54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b w:val="1"/>
                <w:bCs w:val="1"/>
                <w:color w:val="auto"/>
              </w:rPr>
              <w:t>8,695</w:t>
            </w:r>
          </w:p>
        </w:tc>
        <w:tc>
          <w:tcPr>
            <w:tcW w:w="2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8,163</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8,380</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6,816</w:t>
            </w:r>
          </w:p>
        </w:tc>
        <w:tc>
          <w:tcPr>
            <w:tcW w:w="2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w:t>
            </w:r>
          </w:p>
        </w:tc>
        <w:tc>
          <w:tcPr>
            <w:tcW w:w="540" w:type="dxa"/>
            <w:vAlign w:val="bottom"/>
          </w:tcPr>
          <w:p>
            <w:pPr>
              <w:spacing w:after="0"/>
              <w:rPr>
                <w:sz w:val="17"/>
                <w:szCs w:val="17"/>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3.61</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r>
              <w:rPr>
                <w:rFonts w:ascii="Arial" w:cs="Arial" w:eastAsia="Arial" w:hAnsi="Arial"/>
                <w:sz w:val="11"/>
                <w:szCs w:val="11"/>
                <w:color w:val="auto"/>
              </w:rPr>
              <w:t>(b)</w:t>
            </w:r>
          </w:p>
        </w:tc>
        <w:tc>
          <w:tcPr>
            <w:tcW w:w="5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2.60</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attributable to Comcast Corporation</w:t>
            </w:r>
          </w:p>
        </w:tc>
        <w:tc>
          <w:tcPr>
            <w:tcW w:w="540" w:type="dxa"/>
            <w:vAlign w:val="bottom"/>
          </w:tcPr>
          <w:p>
            <w:pPr>
              <w:spacing w:after="0"/>
              <w:rPr>
                <w:sz w:val="17"/>
                <w:szCs w:val="17"/>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3.57</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220"/>
              <w:spacing w:after="0" w:line="181" w:lineRule="exact"/>
              <w:rPr>
                <w:sz w:val="20"/>
                <w:szCs w:val="20"/>
                <w:color w:val="auto"/>
              </w:rPr>
            </w:pPr>
            <w:r>
              <w:rPr>
                <w:rFonts w:ascii="Arial" w:cs="Arial" w:eastAsia="Arial" w:hAnsi="Arial"/>
                <w:sz w:val="18"/>
                <w:szCs w:val="18"/>
                <w:color w:val="auto"/>
              </w:rPr>
              <w:t>shareholders</w:t>
            </w:r>
            <w:r>
              <w:rPr>
                <w:rFonts w:ascii="Arial" w:cs="Arial" w:eastAsia="Arial" w:hAnsi="Arial"/>
                <w:sz w:val="11"/>
                <w:szCs w:val="11"/>
                <w:color w:val="auto"/>
              </w:rPr>
              <w:t>(b)</w:t>
            </w: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3.24</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3.20</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2.56</w:t>
            </w:r>
          </w:p>
        </w:tc>
        <w:tc>
          <w:tcPr>
            <w:tcW w:w="200" w:type="dxa"/>
            <w:vAlign w:val="bottom"/>
          </w:tcPr>
          <w:p>
            <w:pPr>
              <w:spacing w:after="0"/>
              <w:rPr>
                <w:sz w:val="15"/>
                <w:szCs w:val="15"/>
                <w:color w:val="auto"/>
              </w:rPr>
            </w:pP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declared per common share</w:t>
            </w:r>
            <w:r>
              <w:rPr>
                <w:rFonts w:ascii="Arial" w:cs="Arial" w:eastAsia="Arial" w:hAnsi="Arial"/>
                <w:sz w:val="11"/>
                <w:szCs w:val="11"/>
                <w:color w:val="auto"/>
              </w:rPr>
              <w:t>(b)</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1.10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0.90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0.78</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99"/>
        </w:trPr>
        <w:tc>
          <w:tcPr>
            <w:tcW w:w="6000" w:type="dxa"/>
            <w:vAlign w:val="bottom"/>
          </w:tcPr>
          <w:p>
            <w:pPr>
              <w:spacing w:after="0" w:line="200" w:lineRule="exact"/>
              <w:rPr>
                <w:sz w:val="20"/>
                <w:szCs w:val="20"/>
                <w:color w:val="auto"/>
              </w:rPr>
            </w:pPr>
            <w:r>
              <w:rPr>
                <w:rFonts w:ascii="Arial" w:cs="Arial" w:eastAsia="Arial" w:hAnsi="Arial"/>
                <w:sz w:val="18"/>
                <w:szCs w:val="18"/>
                <w:b w:val="1"/>
                <w:bCs w:val="1"/>
                <w:color w:val="auto"/>
              </w:rPr>
              <w:t>Balance Sheet Data (at year end)</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w w:val="98"/>
              </w:rPr>
              <w:t>180,500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spacing w:after="0" w:line="181" w:lineRule="exact"/>
              <w:rPr>
                <w:sz w:val="20"/>
                <w:szCs w:val="20"/>
                <w:color w:val="auto"/>
              </w:rPr>
            </w:pPr>
            <w:r>
              <w:rPr>
                <w:rFonts w:ascii="Arial" w:cs="Arial" w:eastAsia="Arial" w:hAnsi="Arial"/>
                <w:sz w:val="18"/>
                <w:szCs w:val="18"/>
                <w:color w:val="auto"/>
              </w:rPr>
              <w:t>Total assets</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166,574</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159,186</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158,672</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164,837</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Total debt, including current portion</w:t>
            </w:r>
          </w:p>
        </w:tc>
        <w:tc>
          <w:tcPr>
            <w:tcW w:w="54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61,046</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52,621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48,081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47,706</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40,323</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Comcast Corporation shareholders’ equity</w:t>
            </w:r>
          </w:p>
        </w:tc>
        <w:tc>
          <w:tcPr>
            <w:tcW w:w="54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53,943</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52,269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52,711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50,694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49,356</w:t>
            </w:r>
          </w:p>
        </w:tc>
        <w:tc>
          <w:tcPr>
            <w:tcW w:w="0" w:type="dxa"/>
            <w:vAlign w:val="bottom"/>
          </w:tcPr>
          <w:p>
            <w:pPr>
              <w:spacing w:after="0"/>
              <w:rPr>
                <w:sz w:val="1"/>
                <w:szCs w:val="1"/>
                <w:color w:val="auto"/>
              </w:rPr>
            </w:pPr>
          </w:p>
        </w:tc>
      </w:tr>
      <w:tr>
        <w:trPr>
          <w:trHeight w:val="225"/>
        </w:trPr>
        <w:tc>
          <w:tcPr>
            <w:tcW w:w="6000" w:type="dxa"/>
            <w:vAlign w:val="bottom"/>
          </w:tcPr>
          <w:p>
            <w:pPr>
              <w:spacing w:after="0"/>
              <w:rPr>
                <w:sz w:val="20"/>
                <w:szCs w:val="20"/>
                <w:color w:val="auto"/>
              </w:rPr>
            </w:pPr>
            <w:r>
              <w:rPr>
                <w:rFonts w:ascii="Arial" w:cs="Arial" w:eastAsia="Arial" w:hAnsi="Arial"/>
                <w:sz w:val="18"/>
                <w:szCs w:val="18"/>
                <w:b w:val="1"/>
                <w:bCs w:val="1"/>
                <w:color w:val="auto"/>
              </w:rPr>
              <w:t>Statement of Cash Flows Data</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540" w:type="dxa"/>
            <w:vAlign w:val="bottom"/>
          </w:tcPr>
          <w:p>
            <w:pPr>
              <w:spacing w:after="0"/>
              <w:rPr>
                <w:sz w:val="17"/>
                <w:szCs w:val="17"/>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19,240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220"/>
              <w:spacing w:after="0" w:line="181" w:lineRule="exact"/>
              <w:rPr>
                <w:sz w:val="20"/>
                <w:szCs w:val="20"/>
                <w:color w:val="auto"/>
              </w:rPr>
            </w:pPr>
            <w:r>
              <w:rPr>
                <w:rFonts w:ascii="Arial" w:cs="Arial" w:eastAsia="Arial" w:hAnsi="Arial"/>
                <w:sz w:val="18"/>
                <w:szCs w:val="18"/>
                <w:color w:val="auto"/>
              </w:rPr>
              <w:t>Operating activities</w:t>
            </w: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18,778</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16,945</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14,160</w:t>
            </w:r>
          </w:p>
        </w:tc>
        <w:tc>
          <w:tcPr>
            <w:tcW w:w="200" w:type="dxa"/>
            <w:vAlign w:val="bottom"/>
          </w:tcPr>
          <w:p>
            <w:pPr>
              <w:spacing w:after="0"/>
              <w:rPr>
                <w:sz w:val="15"/>
                <w:szCs w:val="15"/>
                <w:color w:val="auto"/>
              </w:rPr>
            </w:pP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14,854</w:t>
            </w: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54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(18,385)</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(11,964)</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(8,733)</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(9,514)</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Financing activities</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151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6"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2016, 2015 and 2014, refer to Item 7: Management’s Discussion and Analysis of Financial Condition and Results of Operations included in this Annual Report on Form 10-K for a discussion of the effects of items impacting net income attributable to Comcast Corporation. In 2016, 2015, 2014, 2013 and 2012, net income attributable to Comcast Corporation is stated after deducting net income attributable to noncontrolling interests of $350 million, $250 million, $212 million, $319 million and $1.7 billion, respectively. The reduction in net income attributable to noncontrolling interests in 2013 was primarily due to our acquisition of General Electric Company’s remaining interest in NBCUniversal.</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 share amounts are presented on a pre-split basis (see Note 1 to Comcast’s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I(2)(a) to Form 10-K.</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39</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7: Management’s Discussion and Analysis of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an overview of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6294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0C6DFF"/>
        </w:rPr>
        <w:t>2016 Consolidated Operating Results by Segment</w:t>
      </w:r>
      <w:r>
        <w:rPr>
          <w:rFonts w:ascii="Arial" w:cs="Arial" w:eastAsia="Arial" w:hAnsi="Arial"/>
          <w:sz w:val="22"/>
          <w:szCs w:val="22"/>
          <w:color w:val="0C6DF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414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Excludes the results of NBCUniversal Headquarters and Other, Corporate and Other, and eliminations.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Comcast Cable is one of the nation’s largest providers of video, high-speed Internet and voice services (“cable services”) to residential customers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under the XFINITY brand, and we also provide these and other services to business customers. As of December 31, 2016, our cable systems had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28.6 million total customer relationships, of which 26.5 million were residential customer relationships; served 22.5 million video customers,</w:t>
      </w:r>
    </w:p>
    <w:p>
      <w:pPr>
        <w:spacing w:after="0"/>
        <w:rPr>
          <w:sz w:val="20"/>
          <w:szCs w:val="20"/>
          <w:color w:val="auto"/>
        </w:rPr>
      </w:pPr>
      <w:r>
        <w:rPr>
          <w:rFonts w:ascii="Arial" w:cs="Arial" w:eastAsia="Arial" w:hAnsi="Arial"/>
          <w:sz w:val="18"/>
          <w:szCs w:val="18"/>
          <w:color w:val="auto"/>
        </w:rPr>
        <w:t>24.7 million high-speed Internet customers and 11.7 million voice customers; and passed more than 56 million homes and businesses.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Communications segment generates revenue primarily from residential and business customers subscribing to our cable services, which we market individually and as bundled services, and from the sale of advertising. Customers are typically billed in advance on a monthly basis based on the services and features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they receive and the type of equipment they use. The majority of our residential cable services customers are not subject to minimum-term contracts for their services, while substantially all of our business customers are. Minimum-term contracts are typically 2 years in length for residential customers and typically range from 2 to 5 years for business services customers. Customers with minimum-term contracts may only discontinue service in accordance with the terms of their contracts, which typically include an early termination fee.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w:t>
      </w:r>
    </w:p>
    <w:p>
      <w:pPr>
        <w:jc w:val="both"/>
        <w:spacing w:after="0" w:line="236"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entertainment networks (USA Network, E!, Syfy, Bravo, Oxygen, Sprout, Esquire Network, Chiller, Universal HD and Cloo), our national cable news and information networks (MSNBC, CNBC and CNBC World), our national cable sports networks (NBC Sports Network and Golf Channel), our regional sports and news networks, our international cable networks, our cable television studio production operations, and related digital media properties.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Cable Networks segment generates revenue primarily from the distribution and licensing of its programming and from the sale of advertising on its networks.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Broadcast Television</w:t>
      </w:r>
    </w:p>
    <w:p>
      <w:pPr>
        <w:jc w:val="both"/>
        <w:spacing w:after="0" w:line="238" w:lineRule="auto"/>
        <w:rPr>
          <w:sz w:val="20"/>
          <w:szCs w:val="20"/>
          <w:color w:val="auto"/>
        </w:rPr>
      </w:pPr>
      <w:r>
        <w:rPr>
          <w:rFonts w:ascii="Arial" w:cs="Arial" w:eastAsia="Arial" w:hAnsi="Arial"/>
          <w:sz w:val="18"/>
          <w:szCs w:val="18"/>
          <w:color w:val="auto"/>
        </w:rPr>
        <w:t>Our Broadcast Television segment consists primarily of the NBC and Telemundo broadcast television networks, our NBC and Telemundo owned local broadcast television stations, the NBC Universo national cable network, our broadcast television studio production operations, and related digital media properties.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Broadcast Television segment generates revenue primarily from the sale of advertising on its networks, from the licensing of its programming, and from fees received under retransmission consent agreements and associated fees received from NBC-affiliated local broadcast television stations.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w:t>
      </w:r>
    </w:p>
    <w:p>
      <w:pPr>
        <w:jc w:val="both"/>
        <w:spacing w:after="0" w:line="237"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films are produced primarily under the Universal Pictures, Illumination and Focus Features names, and in August 2016, we acquired DreamWorks Animation. DreamWorks Animation creates animated feature films, television series and specials, live entertainment and related consumer products.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owned and acquired films for exhibition in movie theaters and from the licensing and sale of our owned and acquired films.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Theme Parks</w:t>
      </w:r>
    </w:p>
    <w:p>
      <w:pPr>
        <w:jc w:val="both"/>
        <w:spacing w:after="0" w:line="238"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and our 51% interest in the Universal Studios theme park in Osaka, Japan (“Universal Studios Japan”), which we acquired in November 2015. In addition, along with a consortium of Chinese state-owned companies, we are developing a theme park in China.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Theme Parks segment generates revenue primarily from ticket sales and guest spending at our theme parks.</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operates arena management-related businesses.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currently anticipate launching a Comcast-branded wireless phone service in 2017 using our virtual network operator rights to provide the service over a third party’s wireless network, although we are still evaluating the parameters of the anticipated offering. A wireless phone service will have success-based working capital requirements, primarily associated with the procurement of handsets and other equipment, as we launch the new service.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Developments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Cable Communications Segment</w:t>
      </w:r>
    </w:p>
    <w:p>
      <w:pPr>
        <w:spacing w:after="0" w:line="77" w:lineRule="exact"/>
        <w:rPr>
          <w:sz w:val="20"/>
          <w:szCs w:val="20"/>
          <w:color w:val="auto"/>
        </w:rPr>
      </w:pPr>
    </w:p>
    <w:p>
      <w:pPr>
        <w:ind w:left="1020" w:right="124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revenue of 6.6% to $50.0 billion and an increase in operating income before depreciation and amortization of 5.6% to $20.1 billion</w:t>
      </w:r>
    </w:p>
    <w:p>
      <w:pPr>
        <w:spacing w:after="0" w:line="7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operating margin to 40.2% primarily due to higher programming expenses, which were partially offset by increases in high-speed Internet, video and business services revenue</w:t>
      </w:r>
    </w:p>
    <w:p>
      <w:pPr>
        <w:spacing w:after="0" w:line="73"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Investments to improve the customer experience, including by hiring additional personnel and developing and deploying various technology and software tools</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capital expenditures of 7.9% to $7.6 billion primarily due to:</w:t>
      </w:r>
    </w:p>
    <w:p>
      <w:pPr>
        <w:spacing w:after="0" w:line="76" w:lineRule="exact"/>
        <w:rPr>
          <w:rFonts w:ascii="Arial" w:cs="Arial" w:eastAsia="Arial" w:hAnsi="Arial"/>
          <w:sz w:val="18"/>
          <w:szCs w:val="18"/>
          <w:color w:val="auto"/>
        </w:rPr>
      </w:pPr>
    </w:p>
    <w:p>
      <w:pPr>
        <w:ind w:left="1580" w:hanging="208"/>
        <w:spacing w:after="0"/>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increased investment in line extensions, primarily for the expansion of our business services</w:t>
      </w:r>
    </w:p>
    <w:p>
      <w:pPr>
        <w:spacing w:after="0" w:line="76" w:lineRule="exact"/>
        <w:rPr>
          <w:rFonts w:ascii="Arial" w:cs="Arial" w:eastAsia="Arial" w:hAnsi="Arial"/>
          <w:sz w:val="18"/>
          <w:szCs w:val="18"/>
          <w:color w:val="auto"/>
        </w:rPr>
      </w:pPr>
    </w:p>
    <w:p>
      <w:pPr>
        <w:ind w:left="1580" w:hanging="208"/>
        <w:spacing w:after="0"/>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 increased investment in scalable infrastructure to increase network capacity</w:t>
      </w:r>
    </w:p>
    <w:p>
      <w:pPr>
        <w:spacing w:after="0" w:line="76" w:lineRule="exact"/>
        <w:rPr>
          <w:rFonts w:ascii="Arial" w:cs="Arial" w:eastAsia="Arial" w:hAnsi="Arial"/>
          <w:sz w:val="18"/>
          <w:szCs w:val="18"/>
          <w:color w:val="auto"/>
        </w:rPr>
      </w:pPr>
    </w:p>
    <w:p>
      <w:pPr>
        <w:ind w:left="1580" w:hanging="208"/>
        <w:spacing w:after="0"/>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continued deployment of wireless gateways</w:t>
      </w:r>
    </w:p>
    <w:p>
      <w:pPr>
        <w:spacing w:after="0" w:line="76" w:lineRule="exact"/>
        <w:rPr>
          <w:rFonts w:ascii="Arial" w:cs="Arial" w:eastAsia="Arial" w:hAnsi="Arial"/>
          <w:sz w:val="18"/>
          <w:szCs w:val="18"/>
          <w:color w:val="auto"/>
        </w:rPr>
      </w:pPr>
    </w:p>
    <w:p>
      <w:pPr>
        <w:ind w:left="1580" w:right="1260" w:hanging="208"/>
        <w:spacing w:after="0" w:line="239" w:lineRule="auto"/>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continued deployment of our X1 platform, which is now available in all of the markets in which we operate, and our cloud DVR technology, which is now available in substantially all of our markets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Segments</w:t>
      </w:r>
    </w:p>
    <w:p>
      <w:pPr>
        <w:spacing w:after="0" w:line="77" w:lineRule="exact"/>
        <w:rPr>
          <w:sz w:val="20"/>
          <w:szCs w:val="20"/>
          <w:color w:val="auto"/>
        </w:rPr>
      </w:pPr>
    </w:p>
    <w:p>
      <w:pPr>
        <w:jc w:val="both"/>
        <w:ind w:left="1020" w:right="1260" w:hanging="215"/>
        <w:spacing w:after="0" w:line="23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total NBCUniversal revenue of 11.0% to $31.6 billion; excluding $1.6 billion of revenue associated with our broadcast of the Rio Olympics in August 2016, as well as $376 million of revenue associated with our broadcast of the Super Bowl in February 2015, total NBCUniversal revenue increased 6.7%</w:t>
      </w:r>
    </w:p>
    <w:p>
      <w:pPr>
        <w:spacing w:after="0" w:line="72"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total NBCUniversal operating income before depreciation and amortization of 13.8% to $7.2 billion</w:t>
      </w:r>
    </w:p>
    <w:p>
      <w:pPr>
        <w:spacing w:after="0" w:line="76"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Cable Networks segment revenue of 8.7%, including $432 million associated with our broadcast of the 2016 Rio Olympics</w:t>
      </w:r>
    </w:p>
    <w:p>
      <w:pPr>
        <w:spacing w:after="0" w:line="7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Broadcast Television segment revenue of 19.0%, including $1.2 billion associated with our broadcast of the 2016 Rio Olympics</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acquisition of DreamWorks Animation for $3.8 billion in our Filmed Entertainment segment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20" w:right="1260" w:hanging="215"/>
        <w:spacing w:after="0" w:line="23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Theme Parks segment revenue of 12.7% on a pro forma combined basis to include Universal Studios Japan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Corporate and Other</w:t>
      </w:r>
    </w:p>
    <w:p>
      <w:pPr>
        <w:spacing w:after="0" w:line="77" w:lineRule="exact"/>
        <w:rPr>
          <w:sz w:val="20"/>
          <w:szCs w:val="20"/>
          <w:color w:val="auto"/>
        </w:rPr>
      </w:pPr>
    </w:p>
    <w:p>
      <w:pPr>
        <w:ind w:left="1020" w:right="1240" w:hanging="215"/>
        <w:spacing w:after="0" w:line="23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announcement that we anticipate launching a Comcast-branded wireless phone service in 2017 using our virtual network operator rights to provide the service over a third party’s wireless network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additional information on the competition our businesses face, see Item 1: Business and refer to the “Competition” discussion within that section and see Item 1A: Risk Factors and refer to the risk factors within that section entitled “Our businesses currently face a wide range of competition, and our businesses and results of operations could be adversely affected if we do not compete effectively” and “Changes in consumer behavior driven by new technologies and distribution platforms for viewing content may adversely affect our businesses and challenge existing business models.”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 our Cable Networks and Broadcast Television segments, and the Super Bowl, which affects our Broadcast Television segment. Our advertising revenue increases in the period of these broadcasts due to increased demand for advertising time, and our operating costs and expenses also increase as a result of our production costs and the amortization of the related rights fees.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in our Filmed Entertainment segment fluctuates due to the timing of the release of films in movie theaters, on standard-definition digital video discs and Blu-ray discs (together,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Revenue in our Cable Networks, Broadcast Television and Filmed Entertainment segments also fluctuates due to the timing of when our content is made available to licensees.</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9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2015 to 2016</w:t>
            </w: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2014 to 2015</w:t>
            </w:r>
          </w:p>
        </w:tc>
        <w:tc>
          <w:tcPr>
            <w:tcW w:w="0" w:type="dxa"/>
            <w:vAlign w:val="bottom"/>
          </w:tcPr>
          <w:p>
            <w:pPr>
              <w:spacing w:after="0"/>
              <w:rPr>
                <w:sz w:val="1"/>
                <w:szCs w:val="1"/>
                <w:color w:val="auto"/>
              </w:rPr>
            </w:pPr>
          </w:p>
        </w:tc>
      </w:tr>
      <w:tr>
        <w:trPr>
          <w:trHeight w:val="199"/>
        </w:trPr>
        <w:tc>
          <w:tcPr>
            <w:tcW w:w="60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56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4"/>
              <w:spacing w:after="0" w:line="200" w:lineRule="exact"/>
              <w:rPr>
                <w:sz w:val="20"/>
                <w:szCs w:val="20"/>
                <w:color w:val="auto"/>
              </w:rPr>
            </w:pPr>
            <w:r>
              <w:rPr>
                <w:rFonts w:ascii="Arial" w:cs="Arial" w:eastAsia="Arial" w:hAnsi="Arial"/>
                <w:sz w:val="18"/>
                <w:szCs w:val="18"/>
                <w:b w:val="1"/>
                <w:bCs w:val="1"/>
                <w:color w:val="auto"/>
              </w:rPr>
              <w:t>80,403</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w w:val="98"/>
              </w:rPr>
              <w:t>74,510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w w:val="98"/>
              </w:rPr>
              <w:t>68,775</w:t>
            </w:r>
          </w:p>
        </w:tc>
        <w:tc>
          <w:tcPr>
            <w:tcW w:w="11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7.9%</w:t>
            </w:r>
          </w:p>
        </w:tc>
        <w:tc>
          <w:tcPr>
            <w:tcW w:w="11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7"/>
                <w:szCs w:val="17"/>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24,463</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8.5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5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w w:val="98"/>
              </w:rPr>
              <w:t>22,550</w:t>
            </w:r>
          </w:p>
        </w:tc>
        <w:tc>
          <w:tcPr>
            <w:tcW w:w="200" w:type="dxa"/>
            <w:vAlign w:val="bottom"/>
          </w:tcPr>
          <w:p>
            <w:pPr>
              <w:spacing w:after="0"/>
              <w:rPr>
                <w:sz w:val="15"/>
                <w:szCs w:val="15"/>
                <w:color w:val="auto"/>
              </w:rPr>
            </w:pP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w w:val="98"/>
              </w:rPr>
              <w:t>20,912</w:t>
            </w:r>
          </w:p>
        </w:tc>
        <w:tc>
          <w:tcPr>
            <w:tcW w:w="1120" w:type="dxa"/>
            <w:vAlign w:val="bottom"/>
            <w:vMerge w:val="continue"/>
          </w:tcPr>
          <w:p>
            <w:pPr>
              <w:spacing w:after="0"/>
              <w:rPr>
                <w:sz w:val="15"/>
                <w:szCs w:val="15"/>
                <w:color w:val="auto"/>
              </w:rPr>
            </w:pPr>
          </w:p>
        </w:tc>
        <w:tc>
          <w:tcPr>
            <w:tcW w:w="1140" w:type="dxa"/>
            <w:vAlign w:val="bottom"/>
          </w:tcPr>
          <w:p>
            <w:pPr>
              <w:jc w:val="right"/>
              <w:ind w:right="175"/>
              <w:spacing w:after="0" w:line="181"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5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23,409</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w w:val="98"/>
              </w:rPr>
              <w:t>21,319</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w w:val="98"/>
              </w:rPr>
              <w:t>19,839</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9.8</w:t>
            </w:r>
          </w:p>
        </w:tc>
        <w:tc>
          <w:tcPr>
            <w:tcW w:w="11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5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6,114</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5,963</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5,101</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2.5</w:t>
            </w:r>
          </w:p>
        </w:tc>
        <w:tc>
          <w:tcPr>
            <w:tcW w:w="11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7,464</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6,781</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6,337</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10.1</w:t>
            </w:r>
          </w:p>
        </w:tc>
        <w:tc>
          <w:tcPr>
            <w:tcW w:w="11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2,094</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1,899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1,682</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10.3</w:t>
            </w:r>
          </w:p>
        </w:tc>
        <w:tc>
          <w:tcPr>
            <w:tcW w:w="11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6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w:t>
            </w:r>
          </w:p>
        </w:tc>
        <w:tc>
          <w:tcPr>
            <w:tcW w:w="56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16,859</w:t>
            </w:r>
          </w:p>
        </w:tc>
        <w:tc>
          <w:tcPr>
            <w:tcW w:w="20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8"/>
              </w:rPr>
              <w:t>15,998</w:t>
            </w:r>
          </w:p>
        </w:tc>
        <w:tc>
          <w:tcPr>
            <w:tcW w:w="20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8"/>
              </w:rPr>
              <w:t>14,904</w:t>
            </w:r>
          </w:p>
        </w:tc>
        <w:tc>
          <w:tcPr>
            <w:tcW w:w="11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5.4</w:t>
            </w:r>
          </w:p>
        </w:tc>
        <w:tc>
          <w:tcPr>
            <w:tcW w:w="1140" w:type="dxa"/>
            <w:vAlign w:val="bottom"/>
          </w:tcPr>
          <w:p>
            <w:pPr>
              <w:jc w:val="right"/>
              <w:ind w:right="175"/>
              <w:spacing w:after="0" w:line="177"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1"/>
        </w:trPr>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income (expense) items, net</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(2,506)</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(4.6)</w:t>
            </w: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7"/>
        </w:trPr>
        <w:tc>
          <w:tcPr>
            <w:tcW w:w="608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14,353</w:t>
            </w:r>
          </w:p>
        </w:tc>
        <w:tc>
          <w:tcPr>
            <w:tcW w:w="20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8"/>
              </w:rPr>
              <w:t>13,372</w:t>
            </w:r>
          </w:p>
        </w:tc>
        <w:tc>
          <w:tcPr>
            <w:tcW w:w="20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8"/>
              </w:rPr>
              <w:t>12,465</w:t>
            </w:r>
          </w:p>
        </w:tc>
        <w:tc>
          <w:tcPr>
            <w:tcW w:w="11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7.3</w:t>
            </w:r>
          </w:p>
        </w:tc>
        <w:tc>
          <w:tcPr>
            <w:tcW w:w="1140" w:type="dxa"/>
            <w:vAlign w:val="bottom"/>
          </w:tcPr>
          <w:p>
            <w:pPr>
              <w:jc w:val="right"/>
              <w:ind w:right="175"/>
              <w:spacing w:after="0" w:line="177"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1"/>
        </w:trPr>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7.0</w:t>
            </w:r>
          </w:p>
        </w:tc>
        <w:tc>
          <w:tcPr>
            <w:tcW w:w="11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99"/>
        </w:trPr>
        <w:tc>
          <w:tcPr>
            <w:tcW w:w="6080" w:type="dxa"/>
            <w:vAlign w:val="bottom"/>
            <w:gridSpan w:val="2"/>
          </w:tcPr>
          <w:p>
            <w:pPr>
              <w:spacing w:after="0" w:line="200" w:lineRule="exact"/>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7"/>
                <w:szCs w:val="17"/>
                <w:color w:val="auto"/>
              </w:rPr>
            </w:pPr>
          </w:p>
        </w:tc>
        <w:tc>
          <w:tcPr>
            <w:tcW w:w="720" w:type="dxa"/>
            <w:vAlign w:val="bottom"/>
          </w:tcPr>
          <w:p>
            <w:pPr>
              <w:jc w:val="right"/>
              <w:ind w:right="54"/>
              <w:spacing w:after="0" w:line="200" w:lineRule="exact"/>
              <w:rPr>
                <w:sz w:val="20"/>
                <w:szCs w:val="20"/>
                <w:color w:val="auto"/>
              </w:rPr>
            </w:pPr>
            <w:r>
              <w:rPr>
                <w:rFonts w:ascii="Arial" w:cs="Arial" w:eastAsia="Arial" w:hAnsi="Arial"/>
                <w:sz w:val="18"/>
                <w:szCs w:val="18"/>
                <w:b w:val="1"/>
                <w:bCs w:val="1"/>
                <w:color w:val="auto"/>
              </w:rPr>
              <w:t>9,045</w:t>
            </w:r>
          </w:p>
        </w:tc>
        <w:tc>
          <w:tcPr>
            <w:tcW w:w="200" w:type="dxa"/>
            <w:vAlign w:val="bottom"/>
          </w:tcPr>
          <w:p>
            <w:pPr>
              <w:spacing w:after="0"/>
              <w:rPr>
                <w:sz w:val="17"/>
                <w:szCs w:val="17"/>
                <w:color w:val="auto"/>
              </w:rPr>
            </w:pP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rPr>
              <w:t>8,413</w:t>
            </w:r>
          </w:p>
        </w:tc>
        <w:tc>
          <w:tcPr>
            <w:tcW w:w="200" w:type="dxa"/>
            <w:vAlign w:val="bottom"/>
          </w:tcPr>
          <w:p>
            <w:pPr>
              <w:spacing w:after="0"/>
              <w:rPr>
                <w:sz w:val="17"/>
                <w:szCs w:val="17"/>
                <w:color w:val="auto"/>
              </w:rPr>
            </w:pP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rPr>
              <w:t>8,592</w:t>
            </w:r>
          </w:p>
        </w:tc>
        <w:tc>
          <w:tcPr>
            <w:tcW w:w="1120" w:type="dxa"/>
            <w:vAlign w:val="bottom"/>
          </w:tcPr>
          <w:p>
            <w:pPr>
              <w:jc w:val="right"/>
              <w:ind w:right="155"/>
              <w:spacing w:after="0" w:line="200" w:lineRule="exact"/>
              <w:rPr>
                <w:sz w:val="20"/>
                <w:szCs w:val="20"/>
                <w:color w:val="auto"/>
              </w:rPr>
            </w:pPr>
            <w:r>
              <w:rPr>
                <w:rFonts w:ascii="Arial" w:cs="Arial" w:eastAsia="Arial" w:hAnsi="Arial"/>
                <w:sz w:val="18"/>
                <w:szCs w:val="18"/>
                <w:b w:val="1"/>
                <w:bCs w:val="1"/>
                <w:color w:val="auto"/>
              </w:rPr>
              <w:t>7.5</w:t>
            </w:r>
          </w:p>
        </w:tc>
        <w:tc>
          <w:tcPr>
            <w:tcW w:w="114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 redeemable</w:t>
            </w:r>
          </w:p>
        </w:tc>
        <w:tc>
          <w:tcPr>
            <w:tcW w:w="5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(350)</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39.3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subsidiary preferred stock</w:t>
            </w: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(250)</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(212)</w:t>
            </w:r>
          </w:p>
        </w:tc>
        <w:tc>
          <w:tcPr>
            <w:tcW w:w="1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195"/>
              <w:spacing w:after="0" w:line="200"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60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8,695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8,163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8,380</w:t>
            </w:r>
          </w:p>
        </w:tc>
        <w:tc>
          <w:tcPr>
            <w:tcW w:w="11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6.5%</w:t>
            </w:r>
          </w:p>
        </w:tc>
        <w:tc>
          <w:tcPr>
            <w:tcW w:w="1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graph illustrates the contributions to the increases in consolidated revenue made by our Cable Communications and NBCUniversal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121920</wp:posOffset>
            </wp:positionV>
            <wp:extent cx="4244975" cy="2186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4497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changes in revenue were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2016</w:t>
      </w:r>
    </w:p>
    <w:p>
      <w:pPr>
        <w:spacing w:after="0" w:line="77" w:lineRule="exact"/>
        <w:rPr>
          <w:sz w:val="20"/>
          <w:szCs w:val="20"/>
          <w:color w:val="auto"/>
        </w:rPr>
      </w:pPr>
    </w:p>
    <w:p>
      <w:pPr>
        <w:ind w:left="1020" w:right="1240" w:hanging="215"/>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Growth in our Cable Communications segment driven by our high-speed Internet, video and business services businesses</w:t>
      </w:r>
    </w:p>
    <w:p>
      <w:pPr>
        <w:spacing w:after="0" w:line="73"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broadcast of the 2016 Rio Olympics that generated $1.6 billion of revenue, which was reported in our NBCUniversal segments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2015</w:t>
      </w:r>
    </w:p>
    <w:p>
      <w:pPr>
        <w:spacing w:after="0" w:line="77" w:lineRule="exact"/>
        <w:rPr>
          <w:sz w:val="20"/>
          <w:szCs w:val="20"/>
          <w:color w:val="auto"/>
        </w:rPr>
      </w:pPr>
    </w:p>
    <w:p>
      <w:pPr>
        <w:ind w:left="1020" w:right="1240" w:hanging="215"/>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our Cable Communications segment driven by our high-speed Internet, business services and video businesses</w:t>
      </w:r>
    </w:p>
    <w:p>
      <w:pPr>
        <w:spacing w:after="0" w:line="73"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larger film slate in our Filmed Entertainment segment, which led to an increase in revenue of $2.3 billion, and our broadcast of the 2015 Super Bowl, which generated $376 million of revenue, both of which were reported in our NBCUniversal segments</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is discussed separately under the heading “Corporate and Other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graph illustrates the contributions to the increases in consolidated operating costs and expenses made by our Cable Communications and NBCUniversal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121920</wp:posOffset>
            </wp:positionV>
            <wp:extent cx="4253865" cy="2212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5386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changes in operating costs and expenses were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2016</w:t>
      </w:r>
    </w:p>
    <w:p>
      <w:pPr>
        <w:spacing w:after="0" w:line="77" w:lineRule="exact"/>
        <w:rPr>
          <w:sz w:val="20"/>
          <w:szCs w:val="20"/>
          <w:color w:val="auto"/>
        </w:rPr>
      </w:pPr>
    </w:p>
    <w:p>
      <w:pPr>
        <w:ind w:left="1020" w:hanging="215"/>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programming expenses in our Cable Communications segment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broadcast of the 2016 Rio Olympics, which was reported in our NBCUniversal segments</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C6DFF"/>
        </w:rPr>
        <w:t>2015</w:t>
      </w:r>
    </w:p>
    <w:p>
      <w:pPr>
        <w:spacing w:after="0" w:line="77" w:lineRule="exact"/>
        <w:rPr>
          <w:sz w:val="20"/>
          <w:szCs w:val="20"/>
          <w:color w:val="auto"/>
        </w:rPr>
      </w:pPr>
    </w:p>
    <w:p>
      <w:pPr>
        <w:ind w:left="1020" w:hanging="21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programming expenses in our Cable Communications segment</w:t>
      </w:r>
    </w:p>
    <w:p>
      <w:pPr>
        <w:spacing w:after="0" w:line="76"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larger film slate and our broadcast of the 2015 Super Bowl, both of which were reported in our NBCUniversal segments</w:t>
      </w:r>
    </w:p>
    <w:p>
      <w:pPr>
        <w:spacing w:after="0" w:line="73" w:lineRule="exact"/>
        <w:rPr>
          <w:rFonts w:ascii="Arial" w:cs="Arial" w:eastAsia="Arial" w:hAnsi="Arial"/>
          <w:sz w:val="18"/>
          <w:szCs w:val="18"/>
          <w:color w:val="auto"/>
        </w:rPr>
      </w:pPr>
    </w:p>
    <w:p>
      <w:pPr>
        <w:jc w:val="both"/>
        <w:ind w:left="1020" w:right="1240" w:hanging="215"/>
        <w:spacing w:after="0" w:line="23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Transaction-related costs associated with the Time Warner Cable merger and the related divestiture transactions of $178 million, which were reported in Corporate and Other activities. In April 2015, we and Time Warner Cable Inc. terminated our planned merger and, as a result, we terminated our related agreement with Charter Communications, Inc. to spin off, exchange and sell certain cable systems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costs and expenses for our segments is discussed separately below under the heading “Segment Operating Results.” Operating costs and expenses for our other businesses is discussed separately below under the heading “Corporate and Other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Consolidated Depreciation and Amortization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56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59"/>
              <w:spacing w:after="0" w:line="145" w:lineRule="exact"/>
              <w:rPr>
                <w:sz w:val="20"/>
                <w:szCs w:val="20"/>
                <w:color w:val="auto"/>
              </w:rPr>
            </w:pPr>
            <w:r>
              <w:rPr>
                <w:rFonts w:ascii="Arial" w:cs="Arial" w:eastAsia="Arial" w:hAnsi="Arial"/>
                <w:sz w:val="14"/>
                <w:szCs w:val="14"/>
                <w:b w:val="1"/>
                <w:bCs w:val="1"/>
                <w:color w:val="auto"/>
              </w:rPr>
              <w:t>% Change</w:t>
            </w:r>
          </w:p>
        </w:tc>
        <w:tc>
          <w:tcPr>
            <w:tcW w:w="1080" w:type="dxa"/>
            <w:vAlign w:val="bottom"/>
            <w:tcBorders>
              <w:top w:val="single" w:sz="8" w:color="auto"/>
            </w:tcBorders>
          </w:tcPr>
          <w:p>
            <w:pPr>
              <w:jc w:val="right"/>
              <w:ind w:right="139"/>
              <w:spacing w:after="0" w:line="145" w:lineRule="exact"/>
              <w:rPr>
                <w:sz w:val="20"/>
                <w:szCs w:val="20"/>
                <w:color w:val="auto"/>
              </w:rPr>
            </w:pPr>
            <w:r>
              <w:rPr>
                <w:rFonts w:ascii="Arial" w:cs="Arial" w:eastAsia="Arial" w:hAnsi="Arial"/>
                <w:sz w:val="14"/>
                <w:szCs w:val="14"/>
                <w:color w:val="auto"/>
              </w:rPr>
              <w:t>% Change</w:t>
            </w:r>
          </w:p>
        </w:tc>
      </w:tr>
      <w:tr>
        <w:trPr>
          <w:trHeight w:val="165"/>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 to 2016</w:t>
            </w: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2014 to 2015</w:t>
            </w:r>
          </w:p>
        </w:tc>
      </w:tr>
      <w:tr>
        <w:trPr>
          <w:trHeight w:val="177"/>
        </w:trPr>
        <w:tc>
          <w:tcPr>
            <w:tcW w:w="4560" w:type="dxa"/>
            <w:vAlign w:val="bottom"/>
          </w:tcPr>
          <w:p>
            <w:pPr>
              <w:spacing w:after="0" w:line="177" w:lineRule="exact"/>
              <w:rPr>
                <w:sz w:val="20"/>
                <w:szCs w:val="20"/>
                <w:color w:val="auto"/>
              </w:rPr>
            </w:pPr>
            <w:r>
              <w:rPr>
                <w:rFonts w:ascii="Arial" w:cs="Arial" w:eastAsia="Arial" w:hAnsi="Arial"/>
                <w:sz w:val="18"/>
                <w:szCs w:val="18"/>
                <w:color w:val="auto"/>
              </w:rPr>
              <w:t>Cable Communications</w:t>
            </w:r>
          </w:p>
        </w:tc>
        <w:tc>
          <w:tcPr>
            <w:tcW w:w="3000" w:type="dxa"/>
            <w:vAlign w:val="bottom"/>
          </w:tcPr>
          <w:p>
            <w:pPr>
              <w:jc w:val="right"/>
              <w:ind w:right="16"/>
              <w:spacing w:after="0" w:line="177" w:lineRule="exact"/>
              <w:rPr>
                <w:sz w:val="20"/>
                <w:szCs w:val="20"/>
                <w:color w:val="auto"/>
              </w:rPr>
            </w:pPr>
            <w:r>
              <w:rPr>
                <w:rFonts w:ascii="Arial" w:cs="Arial" w:eastAsia="Arial" w:hAnsi="Arial"/>
                <w:sz w:val="18"/>
                <w:szCs w:val="18"/>
                <w:b w:val="1"/>
                <w:bCs w:val="1"/>
                <w:color w:val="auto"/>
              </w:rPr>
              <w:t>$ 7,670</w:t>
            </w:r>
          </w:p>
        </w:tc>
        <w:tc>
          <w:tcPr>
            <w:tcW w:w="82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$ 7,051</w:t>
            </w:r>
          </w:p>
        </w:tc>
        <w:tc>
          <w:tcPr>
            <w:tcW w:w="80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$ 6,436</w:t>
            </w:r>
          </w:p>
        </w:tc>
        <w:tc>
          <w:tcPr>
            <w:tcW w:w="11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8.8%</w:t>
            </w:r>
          </w:p>
        </w:tc>
        <w:tc>
          <w:tcPr>
            <w:tcW w:w="1080" w:type="dxa"/>
            <w:vAlign w:val="bottom"/>
          </w:tcPr>
          <w:p>
            <w:pPr>
              <w:ind w:left="620"/>
              <w:spacing w:after="0" w:line="177" w:lineRule="exact"/>
              <w:rPr>
                <w:sz w:val="20"/>
                <w:szCs w:val="20"/>
                <w:color w:val="auto"/>
              </w:rPr>
            </w:pPr>
            <w:r>
              <w:rPr>
                <w:rFonts w:ascii="Arial" w:cs="Arial" w:eastAsia="Arial" w:hAnsi="Arial"/>
                <w:sz w:val="18"/>
                <w:szCs w:val="18"/>
                <w:color w:val="auto"/>
              </w:rPr>
              <w:t>9.6%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30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1,805</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1,539</w:t>
            </w: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1,495</w:t>
            </w:r>
          </w:p>
        </w:tc>
        <w:tc>
          <w:tcPr>
            <w:tcW w:w="1160" w:type="dxa"/>
            <w:vAlign w:val="bottom"/>
          </w:tcPr>
          <w:p>
            <w:pPr>
              <w:jc w:val="right"/>
              <w:ind w:right="159"/>
              <w:spacing w:after="0" w:line="202" w:lineRule="exact"/>
              <w:rPr>
                <w:sz w:val="20"/>
                <w:szCs w:val="20"/>
                <w:color w:val="auto"/>
              </w:rPr>
            </w:pPr>
            <w:r>
              <w:rPr>
                <w:rFonts w:ascii="Arial" w:cs="Arial" w:eastAsia="Arial" w:hAnsi="Arial"/>
                <w:sz w:val="18"/>
                <w:szCs w:val="18"/>
                <w:b w:val="1"/>
                <w:bCs w:val="1"/>
                <w:color w:val="auto"/>
              </w:rPr>
              <w:t>17.3</w:t>
            </w:r>
          </w:p>
        </w:tc>
        <w:tc>
          <w:tcPr>
            <w:tcW w:w="1080" w:type="dxa"/>
            <w:vAlign w:val="bottom"/>
          </w:tcPr>
          <w:p>
            <w:pPr>
              <w:ind w:left="620"/>
              <w:spacing w:after="0" w:line="202" w:lineRule="exact"/>
              <w:rPr>
                <w:sz w:val="20"/>
                <w:szCs w:val="20"/>
                <w:color w:val="auto"/>
              </w:rPr>
            </w:pPr>
            <w:r>
              <w:rPr>
                <w:rFonts w:ascii="Arial" w:cs="Arial" w:eastAsia="Arial" w:hAnsi="Arial"/>
                <w:sz w:val="18"/>
                <w:szCs w:val="18"/>
                <w:color w:val="auto"/>
              </w:rPr>
              <w:t>2.9</w:t>
            </w: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and Other</w:t>
            </w:r>
          </w:p>
        </w:tc>
        <w:tc>
          <w:tcPr>
            <w:tcW w:w="3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83</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90</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88</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(7.3)</w:t>
            </w: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1.3</w:t>
            </w:r>
          </w:p>
        </w:tc>
      </w:tr>
      <w:tr>
        <w:trPr>
          <w:trHeight w:val="196"/>
        </w:trPr>
        <w:tc>
          <w:tcPr>
            <w:tcW w:w="4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Comcast Consolidated</w:t>
            </w:r>
          </w:p>
        </w:tc>
        <w:tc>
          <w:tcPr>
            <w:tcW w:w="300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$ 9,558</w:t>
            </w:r>
          </w:p>
        </w:tc>
        <w:tc>
          <w:tcPr>
            <w:tcW w:w="8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$ 8,680</w:t>
            </w:r>
          </w:p>
        </w:tc>
        <w:tc>
          <w:tcPr>
            <w:tcW w:w="80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$ 8,019</w:t>
            </w:r>
          </w:p>
        </w:tc>
        <w:tc>
          <w:tcPr>
            <w:tcW w:w="1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10.1%</w:t>
            </w:r>
          </w:p>
        </w:tc>
        <w:tc>
          <w:tcPr>
            <w:tcW w:w="1080" w:type="dxa"/>
            <w:vAlign w:val="bottom"/>
            <w:tcBorders>
              <w:bottom w:val="single" w:sz="8" w:color="0C6DFF"/>
            </w:tcBorders>
          </w:tcPr>
          <w:p>
            <w:pPr>
              <w:ind w:left="620"/>
              <w:spacing w:after="0" w:line="196" w:lineRule="exact"/>
              <w:rPr>
                <w:sz w:val="20"/>
                <w:szCs w:val="20"/>
                <w:color w:val="auto"/>
              </w:rPr>
            </w:pPr>
            <w:r>
              <w:rPr>
                <w:rFonts w:ascii="Arial" w:cs="Arial" w:eastAsia="Arial" w:hAnsi="Arial"/>
                <w:sz w:val="18"/>
                <w:szCs w:val="18"/>
                <w:color w:val="auto"/>
              </w:rPr>
              <w:t>8.2%</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Consolidated depreciation and amortization expense increased in 2016 and 2015 primarily due to increases in capital expenditures, as well as expenditures for software, in our Cable Communications segment in recent years. We continue to invest to increase our network capacity and in customer premise equipment, primarily for our X1 platform and cloud DVR technology and for wireless gateways. In addition, because these assets generally have shorter estimated useful lives, our depreciation expenses have increased and we expect this will continue in 2017. NBCUniversal depreciation and amortization expense also increased due to the acquisition of the 51% interest in Universal Studios Japan in November 2015 and our investments in new attractions in the Theme Parks segment.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consolidated financial statements (see Note 17 to Comcast’s consolidated financial statements and Note 16 to NBCUniversal’s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revenue and operating costs and expenses associated with our broadcasts of the 2016 Rio Olympics and the Sochi Olympics in February 2014 were reported in our Cable Networks and Broadcast Television segments. The revenue and operating costs and expenses associated with our broadcast of the 2015 Super Bowl were reported in our Broadcast Television segment.</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adjusted prior period segment operating results to reflect certain changes in our management reporting presentation. See Note 17 to Comcast’s consolidated financial statements for additional information on these 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938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10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2015 to 2016</w:t>
            </w:r>
          </w:p>
        </w:tc>
        <w:tc>
          <w:tcPr>
            <w:tcW w:w="11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2014 to 2015</w:t>
            </w:r>
          </w:p>
        </w:tc>
        <w:tc>
          <w:tcPr>
            <w:tcW w:w="0" w:type="dxa"/>
            <w:vAlign w:val="bottom"/>
          </w:tcPr>
          <w:p>
            <w:pPr>
              <w:spacing w:after="0"/>
              <w:rPr>
                <w:sz w:val="1"/>
                <w:szCs w:val="1"/>
                <w:color w:val="auto"/>
              </w:rPr>
            </w:pPr>
          </w:p>
        </w:tc>
      </w:tr>
      <w:tr>
        <w:trPr>
          <w:trHeight w:val="199"/>
        </w:trPr>
        <w:tc>
          <w:tcPr>
            <w:tcW w:w="6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Residential:</w:t>
            </w:r>
          </w:p>
        </w:tc>
        <w:tc>
          <w:tcPr>
            <w:tcW w:w="84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$ 22,357</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20" w:type="dxa"/>
            <w:vAlign w:val="bottom"/>
          </w:tcPr>
          <w:p>
            <w:pPr>
              <w:ind w:left="420"/>
              <w:spacing w:after="0" w:line="181" w:lineRule="exact"/>
              <w:rPr>
                <w:sz w:val="20"/>
                <w:szCs w:val="20"/>
                <w:color w:val="auto"/>
              </w:rPr>
            </w:pPr>
            <w:r>
              <w:rPr>
                <w:rFonts w:ascii="Arial" w:cs="Arial" w:eastAsia="Arial" w:hAnsi="Arial"/>
                <w:sz w:val="18"/>
                <w:szCs w:val="18"/>
                <w:color w:val="auto"/>
              </w:rPr>
              <w:t>Video</w:t>
            </w:r>
          </w:p>
        </w:tc>
        <w:tc>
          <w:tcPr>
            <w:tcW w:w="840" w:type="dxa"/>
            <w:vAlign w:val="bottom"/>
            <w:vMerge w:val="continue"/>
          </w:tcPr>
          <w:p>
            <w:pPr>
              <w:spacing w:after="0"/>
              <w:rPr>
                <w:sz w:val="15"/>
                <w:szCs w:val="15"/>
                <w:color w:val="auto"/>
              </w:rPr>
            </w:pPr>
          </w:p>
        </w:tc>
        <w:tc>
          <w:tcPr>
            <w:tcW w:w="940" w:type="dxa"/>
            <w:vAlign w:val="bottom"/>
          </w:tcPr>
          <w:p>
            <w:pPr>
              <w:jc w:val="right"/>
              <w:ind w:right="55"/>
              <w:spacing w:after="0" w:line="181" w:lineRule="exact"/>
              <w:rPr>
                <w:sz w:val="20"/>
                <w:szCs w:val="20"/>
                <w:color w:val="auto"/>
              </w:rPr>
            </w:pPr>
            <w:r>
              <w:rPr>
                <w:rFonts w:ascii="Arial" w:cs="Arial" w:eastAsia="Arial" w:hAnsi="Arial"/>
                <w:sz w:val="18"/>
                <w:szCs w:val="18"/>
                <w:color w:val="auto"/>
              </w:rPr>
              <w:t>$ 21,526</w:t>
            </w:r>
          </w:p>
        </w:tc>
        <w:tc>
          <w:tcPr>
            <w:tcW w:w="9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$ 20,783</w:t>
            </w:r>
          </w:p>
        </w:tc>
        <w:tc>
          <w:tcPr>
            <w:tcW w:w="10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420"/>
              <w:spacing w:after="0" w:line="202" w:lineRule="exact"/>
              <w:rPr>
                <w:sz w:val="20"/>
                <w:szCs w:val="20"/>
                <w:color w:val="auto"/>
              </w:rPr>
            </w:pPr>
            <w:r>
              <w:rPr>
                <w:rFonts w:ascii="Arial" w:cs="Arial" w:eastAsia="Arial" w:hAnsi="Arial"/>
                <w:sz w:val="18"/>
                <w:szCs w:val="18"/>
                <w:color w:val="auto"/>
              </w:rPr>
              <w:t>High-speed Internet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13,532</w:t>
            </w: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12,471</w:t>
            </w: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11,321</w:t>
            </w:r>
          </w:p>
        </w:tc>
        <w:tc>
          <w:tcPr>
            <w:tcW w:w="106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8.5</w:t>
            </w:r>
          </w:p>
        </w:tc>
        <w:tc>
          <w:tcPr>
            <w:tcW w:w="48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420"/>
              <w:spacing w:after="0" w:line="202" w:lineRule="exact"/>
              <w:rPr>
                <w:sz w:val="20"/>
                <w:szCs w:val="20"/>
                <w:color w:val="auto"/>
              </w:rPr>
            </w:pPr>
            <w:r>
              <w:rPr>
                <w:rFonts w:ascii="Arial" w:cs="Arial" w:eastAsia="Arial" w:hAnsi="Arial"/>
                <w:sz w:val="18"/>
                <w:szCs w:val="18"/>
                <w:color w:val="auto"/>
              </w:rPr>
              <w:t>Voice</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3,540</w:t>
            </w: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3,608</w:t>
            </w: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3,671</w:t>
            </w:r>
          </w:p>
        </w:tc>
        <w:tc>
          <w:tcPr>
            <w:tcW w:w="1060" w:type="dxa"/>
            <w:vAlign w:val="bottom"/>
            <w:gridSpan w:val="2"/>
          </w:tcPr>
          <w:p>
            <w:pPr>
              <w:jc w:val="right"/>
              <w:ind w:right="32"/>
              <w:spacing w:after="0" w:line="202" w:lineRule="exact"/>
              <w:rPr>
                <w:sz w:val="20"/>
                <w:szCs w:val="20"/>
                <w:color w:val="auto"/>
              </w:rPr>
            </w:pPr>
            <w:r>
              <w:rPr>
                <w:rFonts w:ascii="Arial" w:cs="Arial" w:eastAsia="Arial" w:hAnsi="Arial"/>
                <w:sz w:val="18"/>
                <w:szCs w:val="18"/>
                <w:b w:val="1"/>
                <w:bCs w:val="1"/>
                <w:color w:val="auto"/>
              </w:rPr>
              <w:t>(1.9)</w:t>
            </w:r>
          </w:p>
        </w:tc>
        <w:tc>
          <w:tcPr>
            <w:tcW w:w="48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Business services</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5,514</w:t>
            </w: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4,751</w:t>
            </w: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3,960</w:t>
            </w:r>
          </w:p>
        </w:tc>
        <w:tc>
          <w:tcPr>
            <w:tcW w:w="106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16.1</w:t>
            </w:r>
          </w:p>
        </w:tc>
        <w:tc>
          <w:tcPr>
            <w:tcW w:w="48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2,518</w:t>
            </w: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2,298</w:t>
            </w: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2,388</w:t>
            </w:r>
          </w:p>
        </w:tc>
        <w:tc>
          <w:tcPr>
            <w:tcW w:w="106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9.6</w:t>
            </w:r>
          </w:p>
        </w:tc>
        <w:tc>
          <w:tcPr>
            <w:tcW w:w="480" w:type="dxa"/>
            <w:vAlign w:val="bottom"/>
          </w:tcPr>
          <w:p>
            <w:pPr>
              <w:spacing w:after="0"/>
              <w:rPr>
                <w:sz w:val="17"/>
                <w:szCs w:val="17"/>
                <w:color w:val="auto"/>
              </w:rPr>
            </w:pPr>
          </w:p>
        </w:tc>
        <w:tc>
          <w:tcPr>
            <w:tcW w:w="6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2,587</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2,274</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2,042</w:t>
            </w:r>
          </w:p>
        </w:tc>
        <w:tc>
          <w:tcPr>
            <w:tcW w:w="10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13.8</w:t>
            </w: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2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84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50,048</w:t>
            </w:r>
          </w:p>
        </w:tc>
        <w:tc>
          <w:tcPr>
            <w:tcW w:w="940" w:type="dxa"/>
            <w:vAlign w:val="bottom"/>
          </w:tcPr>
          <w:p>
            <w:pPr>
              <w:jc w:val="right"/>
              <w:ind w:right="55"/>
              <w:spacing w:after="0" w:line="177" w:lineRule="exact"/>
              <w:rPr>
                <w:sz w:val="20"/>
                <w:szCs w:val="20"/>
                <w:color w:val="auto"/>
              </w:rPr>
            </w:pPr>
            <w:r>
              <w:rPr>
                <w:rFonts w:ascii="Arial" w:cs="Arial" w:eastAsia="Arial" w:hAnsi="Arial"/>
                <w:sz w:val="18"/>
                <w:szCs w:val="18"/>
                <w:color w:val="auto"/>
              </w:rPr>
              <w:t>46,928</w:t>
            </w:r>
          </w:p>
        </w:tc>
        <w:tc>
          <w:tcPr>
            <w:tcW w:w="900" w:type="dxa"/>
            <w:vAlign w:val="bottom"/>
          </w:tcPr>
          <w:p>
            <w:pPr>
              <w:jc w:val="right"/>
              <w:ind w:right="54"/>
              <w:spacing w:after="0" w:line="177" w:lineRule="exact"/>
              <w:rPr>
                <w:sz w:val="20"/>
                <w:szCs w:val="20"/>
                <w:color w:val="auto"/>
              </w:rPr>
            </w:pPr>
            <w:r>
              <w:rPr>
                <w:rFonts w:ascii="Arial" w:cs="Arial" w:eastAsia="Arial" w:hAnsi="Arial"/>
                <w:sz w:val="18"/>
                <w:szCs w:val="18"/>
                <w:color w:val="auto"/>
              </w:rPr>
              <w:t>44,165</w:t>
            </w:r>
          </w:p>
        </w:tc>
        <w:tc>
          <w:tcPr>
            <w:tcW w:w="1060" w:type="dxa"/>
            <w:vAlign w:val="bottom"/>
            <w:gridSpan w:val="2"/>
          </w:tcPr>
          <w:p>
            <w:pPr>
              <w:jc w:val="right"/>
              <w:ind w:right="92"/>
              <w:spacing w:after="0" w:line="177" w:lineRule="exact"/>
              <w:rPr>
                <w:sz w:val="20"/>
                <w:szCs w:val="20"/>
                <w:color w:val="auto"/>
              </w:rPr>
            </w:pPr>
            <w:r>
              <w:rPr>
                <w:rFonts w:ascii="Arial" w:cs="Arial" w:eastAsia="Arial" w:hAnsi="Arial"/>
                <w:sz w:val="18"/>
                <w:szCs w:val="18"/>
                <w:b w:val="1"/>
                <w:bCs w:val="1"/>
                <w:color w:val="auto"/>
              </w:rPr>
              <w:t>6.6</w:t>
            </w:r>
          </w:p>
        </w:tc>
        <w:tc>
          <w:tcPr>
            <w:tcW w:w="480" w:type="dxa"/>
            <w:vAlign w:val="bottom"/>
          </w:tcPr>
          <w:p>
            <w:pPr>
              <w:spacing w:after="0"/>
              <w:rPr>
                <w:sz w:val="15"/>
                <w:szCs w:val="15"/>
                <w:color w:val="auto"/>
              </w:rPr>
            </w:pPr>
          </w:p>
        </w:tc>
        <w:tc>
          <w:tcPr>
            <w:tcW w:w="660" w:type="dxa"/>
            <w:vAlign w:val="bottom"/>
          </w:tcPr>
          <w:p>
            <w:pPr>
              <w:jc w:val="right"/>
              <w:ind w:right="133"/>
              <w:spacing w:after="0" w:line="177"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5"/>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84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11,576</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gridSpan w:val="2"/>
            <w:vMerge w:val="restart"/>
          </w:tcPr>
          <w:p>
            <w:pPr>
              <w:jc w:val="right"/>
              <w:ind w:right="92"/>
              <w:spacing w:after="0"/>
              <w:rPr>
                <w:sz w:val="20"/>
                <w:szCs w:val="20"/>
                <w:color w:val="auto"/>
              </w:rPr>
            </w:pPr>
            <w:r>
              <w:rPr>
                <w:rFonts w:ascii="Arial" w:cs="Arial" w:eastAsia="Arial" w:hAnsi="Arial"/>
                <w:sz w:val="18"/>
                <w:szCs w:val="18"/>
                <w:b w:val="1"/>
                <w:bCs w:val="1"/>
                <w:color w:val="auto"/>
              </w:rPr>
              <w:t>10.1</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20" w:type="dxa"/>
            <w:vAlign w:val="bottom"/>
          </w:tcPr>
          <w:p>
            <w:pPr>
              <w:ind w:left="200"/>
              <w:spacing w:after="0" w:line="181" w:lineRule="exact"/>
              <w:rPr>
                <w:sz w:val="20"/>
                <w:szCs w:val="20"/>
                <w:color w:val="auto"/>
              </w:rPr>
            </w:pPr>
            <w:r>
              <w:rPr>
                <w:rFonts w:ascii="Arial" w:cs="Arial" w:eastAsia="Arial" w:hAnsi="Arial"/>
                <w:sz w:val="18"/>
                <w:szCs w:val="18"/>
                <w:color w:val="auto"/>
              </w:rPr>
              <w:t>Programming</w:t>
            </w:r>
          </w:p>
        </w:tc>
        <w:tc>
          <w:tcPr>
            <w:tcW w:w="840" w:type="dxa"/>
            <w:vAlign w:val="bottom"/>
            <w:vMerge w:val="continue"/>
          </w:tcPr>
          <w:p>
            <w:pPr>
              <w:spacing w:after="0"/>
              <w:rPr>
                <w:sz w:val="15"/>
                <w:szCs w:val="15"/>
                <w:color w:val="auto"/>
              </w:rPr>
            </w:pPr>
          </w:p>
        </w:tc>
        <w:tc>
          <w:tcPr>
            <w:tcW w:w="940" w:type="dxa"/>
            <w:vAlign w:val="bottom"/>
          </w:tcPr>
          <w:p>
            <w:pPr>
              <w:jc w:val="right"/>
              <w:ind w:right="55"/>
              <w:spacing w:after="0" w:line="181" w:lineRule="exact"/>
              <w:rPr>
                <w:sz w:val="20"/>
                <w:szCs w:val="20"/>
                <w:color w:val="auto"/>
              </w:rPr>
            </w:pPr>
            <w:r>
              <w:rPr>
                <w:rFonts w:ascii="Arial" w:cs="Arial" w:eastAsia="Arial" w:hAnsi="Arial"/>
                <w:sz w:val="18"/>
                <w:szCs w:val="18"/>
                <w:color w:val="auto"/>
              </w:rPr>
              <w:t>10,516</w:t>
            </w:r>
          </w:p>
        </w:tc>
        <w:tc>
          <w:tcPr>
            <w:tcW w:w="9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9,819</w:t>
            </w:r>
          </w:p>
        </w:tc>
        <w:tc>
          <w:tcPr>
            <w:tcW w:w="10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Technical and product support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6,371</w:t>
            </w: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5,996</w:t>
            </w: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5,594</w:t>
            </w:r>
          </w:p>
        </w:tc>
        <w:tc>
          <w:tcPr>
            <w:tcW w:w="106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6.3</w:t>
            </w:r>
          </w:p>
        </w:tc>
        <w:tc>
          <w:tcPr>
            <w:tcW w:w="48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Customer service</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2,486</w:t>
            </w: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2,396</w:t>
            </w: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2,226</w:t>
            </w:r>
          </w:p>
        </w:tc>
        <w:tc>
          <w:tcPr>
            <w:tcW w:w="106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3.7</w:t>
            </w:r>
          </w:p>
        </w:tc>
        <w:tc>
          <w:tcPr>
            <w:tcW w:w="48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Franchise and other regulatory fees</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1,481</w:t>
            </w: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1,382</w:t>
            </w: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1,296</w:t>
            </w:r>
          </w:p>
        </w:tc>
        <w:tc>
          <w:tcPr>
            <w:tcW w:w="106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7.2</w:t>
            </w:r>
          </w:p>
        </w:tc>
        <w:tc>
          <w:tcPr>
            <w:tcW w:w="48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3,547</w:t>
            </w:r>
          </w:p>
        </w:tc>
        <w:tc>
          <w:tcPr>
            <w:tcW w:w="9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3,369</w:t>
            </w: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3,098</w:t>
            </w:r>
          </w:p>
        </w:tc>
        <w:tc>
          <w:tcPr>
            <w:tcW w:w="106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5.3</w:t>
            </w:r>
          </w:p>
        </w:tc>
        <w:tc>
          <w:tcPr>
            <w:tcW w:w="48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4,478</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4,232</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4,035</w:t>
            </w:r>
          </w:p>
        </w:tc>
        <w:tc>
          <w:tcPr>
            <w:tcW w:w="10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5.8</w:t>
            </w: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8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29,939</w:t>
            </w:r>
          </w:p>
        </w:tc>
        <w:tc>
          <w:tcPr>
            <w:tcW w:w="94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27,891</w:t>
            </w:r>
          </w:p>
        </w:tc>
        <w:tc>
          <w:tcPr>
            <w:tcW w:w="9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26,068</w:t>
            </w:r>
          </w:p>
        </w:tc>
        <w:tc>
          <w:tcPr>
            <w:tcW w:w="1060" w:type="dxa"/>
            <w:vAlign w:val="bottom"/>
            <w:tcBorders>
              <w:bottom w:val="single" w:sz="8" w:color="auto"/>
            </w:tcBorders>
            <w:gridSpan w:val="2"/>
          </w:tcPr>
          <w:p>
            <w:pPr>
              <w:jc w:val="right"/>
              <w:ind w:right="92"/>
              <w:spacing w:after="0" w:line="196" w:lineRule="exact"/>
              <w:rPr>
                <w:sz w:val="20"/>
                <w:szCs w:val="20"/>
                <w:color w:val="auto"/>
              </w:rPr>
            </w:pPr>
            <w:r>
              <w:rPr>
                <w:rFonts w:ascii="Arial" w:cs="Arial" w:eastAsia="Arial" w:hAnsi="Arial"/>
                <w:sz w:val="18"/>
                <w:szCs w:val="18"/>
                <w:b w:val="1"/>
                <w:bCs w:val="1"/>
                <w:color w:val="auto"/>
              </w:rPr>
              <w:t>7.3</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84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$ 20,109</w:t>
            </w:r>
          </w:p>
        </w:tc>
        <w:tc>
          <w:tcPr>
            <w:tcW w:w="94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color w:val="auto"/>
              </w:rPr>
              <w:t>$ 19,037</w:t>
            </w:r>
          </w:p>
        </w:tc>
        <w:tc>
          <w:tcPr>
            <w:tcW w:w="9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$ 18,097</w:t>
            </w:r>
          </w:p>
        </w:tc>
        <w:tc>
          <w:tcPr>
            <w:tcW w:w="106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5.6%</w:t>
            </w:r>
          </w:p>
        </w:tc>
        <w:tc>
          <w:tcPr>
            <w:tcW w:w="480" w:type="dxa"/>
            <w:vAlign w:val="bottom"/>
            <w:tcBorders>
              <w:bottom w:val="single" w:sz="8" w:color="0C6DFF"/>
            </w:tcBorders>
          </w:tcPr>
          <w:p>
            <w:pPr>
              <w:spacing w:after="0"/>
              <w:rPr>
                <w:sz w:val="17"/>
                <w:szCs w:val="17"/>
                <w:color w:val="auto"/>
              </w:rPr>
            </w:pP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70"/>
        </w:trPr>
        <w:tc>
          <w:tcPr>
            <w:tcW w:w="6540" w:type="dxa"/>
            <w:vAlign w:val="bottom"/>
            <w:gridSpan w:val="2"/>
          </w:tcPr>
          <w:p>
            <w:pPr>
              <w:spacing w:after="0"/>
              <w:rPr>
                <w:sz w:val="20"/>
                <w:szCs w:val="20"/>
                <w:color w:val="auto"/>
              </w:rPr>
            </w:pPr>
            <w:r>
              <w:rPr>
                <w:rFonts w:ascii="Arial" w:cs="Arial" w:eastAsia="Arial" w:hAnsi="Arial"/>
                <w:sz w:val="18"/>
                <w:szCs w:val="18"/>
                <w:color w:val="0C6DFF"/>
              </w:rPr>
              <w:t>Customer Metrics</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2"/>
          </w:tcPr>
          <w:p>
            <w:pPr>
              <w:spacing w:after="0"/>
              <w:rPr>
                <w:sz w:val="3"/>
                <w:szCs w:val="3"/>
                <w:color w:val="auto"/>
              </w:rPr>
            </w:pPr>
          </w:p>
        </w:tc>
        <w:tc>
          <w:tcPr>
            <w:tcW w:w="220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540" w:type="dxa"/>
            <w:vAlign w:val="bottom"/>
            <w:gridSpan w:val="2"/>
            <w:vMerge w:val="restart"/>
          </w:tcPr>
          <w:p>
            <w:pPr>
              <w:spacing w:after="0"/>
              <w:rPr>
                <w:sz w:val="20"/>
                <w:szCs w:val="20"/>
                <w:color w:val="auto"/>
              </w:rPr>
            </w:pPr>
            <w:r>
              <w:rPr>
                <w:rFonts w:ascii="Arial" w:cs="Arial" w:eastAsia="Arial" w:hAnsi="Arial"/>
                <w:sz w:val="14"/>
                <w:szCs w:val="14"/>
                <w:color w:val="auto"/>
              </w:rPr>
              <w:t>December 31 (in thousands)</w:t>
            </w:r>
          </w:p>
        </w:tc>
        <w:tc>
          <w:tcPr>
            <w:tcW w:w="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4"/>
                <w:szCs w:val="14"/>
                <w:color w:val="auto"/>
                <w:w w:val="95"/>
              </w:rPr>
              <w:t>Total Customers</w:t>
            </w:r>
          </w:p>
        </w:tc>
        <w:tc>
          <w:tcPr>
            <w:tcW w:w="22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color w:val="auto"/>
              </w:rPr>
              <w:t>Net Additional Customers</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tcBorders>
            <w:gridSpan w:val="2"/>
            <w:vMerge w:val="continue"/>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2014</w:t>
            </w:r>
          </w:p>
        </w:tc>
        <w:tc>
          <w:tcPr>
            <w:tcW w:w="8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w w:val="96"/>
              </w:rPr>
              <w:t>2015</w:t>
            </w:r>
          </w:p>
        </w:tc>
        <w:tc>
          <w:tcPr>
            <w:tcW w:w="6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6540" w:type="dxa"/>
            <w:vAlign w:val="bottom"/>
            <w:gridSpan w:val="2"/>
          </w:tcPr>
          <w:p>
            <w:pPr>
              <w:spacing w:after="0" w:line="177" w:lineRule="exact"/>
              <w:rPr>
                <w:sz w:val="20"/>
                <w:szCs w:val="20"/>
                <w:color w:val="auto"/>
              </w:rPr>
            </w:pPr>
            <w:r>
              <w:rPr>
                <w:rFonts w:ascii="Arial" w:cs="Arial" w:eastAsia="Arial" w:hAnsi="Arial"/>
                <w:sz w:val="18"/>
                <w:szCs w:val="18"/>
                <w:color w:val="auto"/>
              </w:rPr>
              <w:t>Total customer relationships</w:t>
            </w:r>
            <w:r>
              <w:rPr>
                <w:rFonts w:ascii="Arial" w:cs="Arial" w:eastAsia="Arial" w:hAnsi="Arial"/>
                <w:sz w:val="11"/>
                <w:szCs w:val="11"/>
                <w:color w:val="auto"/>
              </w:rPr>
              <w:t>(a)</w:t>
            </w:r>
          </w:p>
        </w:tc>
        <w:tc>
          <w:tcPr>
            <w:tcW w:w="8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28,559</w:t>
            </w:r>
          </w:p>
        </w:tc>
        <w:tc>
          <w:tcPr>
            <w:tcW w:w="940" w:type="dxa"/>
            <w:vAlign w:val="bottom"/>
          </w:tcPr>
          <w:p>
            <w:pPr>
              <w:jc w:val="right"/>
              <w:spacing w:after="0" w:line="177" w:lineRule="exact"/>
              <w:rPr>
                <w:sz w:val="20"/>
                <w:szCs w:val="20"/>
                <w:color w:val="auto"/>
              </w:rPr>
            </w:pPr>
            <w:r>
              <w:rPr>
                <w:rFonts w:ascii="Arial" w:cs="Arial" w:eastAsia="Arial" w:hAnsi="Arial"/>
                <w:sz w:val="18"/>
                <w:szCs w:val="18"/>
                <w:color w:val="auto"/>
              </w:rPr>
              <w:t>27,701</w:t>
            </w:r>
          </w:p>
        </w:tc>
        <w:tc>
          <w:tcPr>
            <w:tcW w:w="900" w:type="dxa"/>
            <w:vAlign w:val="bottom"/>
          </w:tcPr>
          <w:p>
            <w:pPr>
              <w:jc w:val="right"/>
              <w:spacing w:after="0" w:line="177" w:lineRule="exact"/>
              <w:rPr>
                <w:sz w:val="20"/>
                <w:szCs w:val="20"/>
                <w:color w:val="auto"/>
              </w:rPr>
            </w:pPr>
            <w:r>
              <w:rPr>
                <w:rFonts w:ascii="Arial" w:cs="Arial" w:eastAsia="Arial" w:hAnsi="Arial"/>
                <w:sz w:val="18"/>
                <w:szCs w:val="18"/>
                <w:color w:val="auto"/>
              </w:rPr>
              <w:t>27,035</w:t>
            </w:r>
          </w:p>
        </w:tc>
        <w:tc>
          <w:tcPr>
            <w:tcW w:w="80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858</w:t>
            </w:r>
          </w:p>
        </w:tc>
        <w:tc>
          <w:tcPr>
            <w:tcW w:w="260" w:type="dxa"/>
            <w:vAlign w:val="bottom"/>
          </w:tcPr>
          <w:p>
            <w:pPr>
              <w:spacing w:after="0"/>
              <w:rPr>
                <w:sz w:val="15"/>
                <w:szCs w:val="15"/>
                <w:color w:val="auto"/>
              </w:rPr>
            </w:pPr>
          </w:p>
        </w:tc>
        <w:tc>
          <w:tcPr>
            <w:tcW w:w="480" w:type="dxa"/>
            <w:vAlign w:val="bottom"/>
          </w:tcPr>
          <w:p>
            <w:pPr>
              <w:jc w:val="right"/>
              <w:ind w:right="79"/>
              <w:spacing w:after="0" w:line="177" w:lineRule="exact"/>
              <w:rPr>
                <w:sz w:val="20"/>
                <w:szCs w:val="20"/>
                <w:color w:val="auto"/>
              </w:rPr>
            </w:pPr>
            <w:r>
              <w:rPr>
                <w:rFonts w:ascii="Arial" w:cs="Arial" w:eastAsia="Arial" w:hAnsi="Arial"/>
                <w:sz w:val="18"/>
                <w:szCs w:val="18"/>
                <w:color w:val="auto"/>
                <w:w w:val="99"/>
              </w:rPr>
              <w:t>666</w:t>
            </w:r>
          </w:p>
        </w:tc>
        <w:tc>
          <w:tcPr>
            <w:tcW w:w="6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Single product customers</w:t>
            </w:r>
            <w:r>
              <w:rPr>
                <w:rFonts w:ascii="Arial" w:cs="Arial" w:eastAsia="Arial" w:hAnsi="Arial"/>
                <w:sz w:val="11"/>
                <w:szCs w:val="11"/>
                <w:color w:val="auto"/>
              </w:rPr>
              <w:t>(a)</w:t>
            </w: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8,541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8,366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8,409</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175</w:t>
            </w:r>
          </w:p>
        </w:tc>
        <w:tc>
          <w:tcPr>
            <w:tcW w:w="260" w:type="dxa"/>
            <w:vAlign w:val="bottom"/>
          </w:tcPr>
          <w:p>
            <w:pPr>
              <w:spacing w:after="0"/>
              <w:rPr>
                <w:sz w:val="17"/>
                <w:szCs w:val="17"/>
                <w:color w:val="auto"/>
              </w:rPr>
            </w:pPr>
          </w:p>
        </w:tc>
        <w:tc>
          <w:tcPr>
            <w:tcW w:w="4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(43)</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Double product customers</w:t>
            </w:r>
            <w:r>
              <w:rPr>
                <w:rFonts w:ascii="Arial" w:cs="Arial" w:eastAsia="Arial" w:hAnsi="Arial"/>
                <w:sz w:val="11"/>
                <w:szCs w:val="11"/>
                <w:color w:val="auto"/>
              </w:rPr>
              <w:t>(a)</w:t>
            </w: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9,699</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9,221</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8,750</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477</w:t>
            </w:r>
          </w:p>
        </w:tc>
        <w:tc>
          <w:tcPr>
            <w:tcW w:w="260" w:type="dxa"/>
            <w:vAlign w:val="bottom"/>
          </w:tcPr>
          <w:p>
            <w:pPr>
              <w:spacing w:after="0"/>
              <w:rPr>
                <w:sz w:val="17"/>
                <w:szCs w:val="17"/>
                <w:color w:val="auto"/>
              </w:rPr>
            </w:pPr>
          </w:p>
        </w:tc>
        <w:tc>
          <w:tcPr>
            <w:tcW w:w="480" w:type="dxa"/>
            <w:vAlign w:val="bottom"/>
          </w:tcPr>
          <w:p>
            <w:pPr>
              <w:jc w:val="right"/>
              <w:ind w:right="79"/>
              <w:spacing w:after="0" w:line="202" w:lineRule="exact"/>
              <w:rPr>
                <w:sz w:val="20"/>
                <w:szCs w:val="20"/>
                <w:color w:val="auto"/>
              </w:rPr>
            </w:pPr>
            <w:r>
              <w:rPr>
                <w:rFonts w:ascii="Arial" w:cs="Arial" w:eastAsia="Arial" w:hAnsi="Arial"/>
                <w:sz w:val="18"/>
                <w:szCs w:val="18"/>
                <w:color w:val="auto"/>
                <w:w w:val="99"/>
              </w:rPr>
              <w:t>472</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Triple product customers</w:t>
            </w:r>
            <w:r>
              <w:rPr>
                <w:rFonts w:ascii="Arial" w:cs="Arial" w:eastAsia="Arial" w:hAnsi="Arial"/>
                <w:sz w:val="11"/>
                <w:szCs w:val="11"/>
                <w:color w:val="auto"/>
              </w:rPr>
              <w:t>(a)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9,876</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205</w:t>
            </w: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99"/>
              </w:rPr>
              <w:t>238</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177"/>
        </w:trPr>
        <w:tc>
          <w:tcPr>
            <w:tcW w:w="6540" w:type="dxa"/>
            <w:vAlign w:val="bottom"/>
            <w:gridSpan w:val="2"/>
          </w:tcPr>
          <w:p>
            <w:pPr>
              <w:spacing w:after="0" w:line="177" w:lineRule="exact"/>
              <w:rPr>
                <w:sz w:val="20"/>
                <w:szCs w:val="20"/>
                <w:color w:val="auto"/>
              </w:rPr>
            </w:pPr>
            <w:r>
              <w:rPr>
                <w:rFonts w:ascii="Arial" w:cs="Arial" w:eastAsia="Arial" w:hAnsi="Arial"/>
                <w:sz w:val="18"/>
                <w:szCs w:val="18"/>
                <w:color w:val="auto"/>
              </w:rPr>
              <w:t>Video customers</w:t>
            </w:r>
          </w:p>
        </w:tc>
        <w:tc>
          <w:tcPr>
            <w:tcW w:w="8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22,508</w:t>
            </w:r>
          </w:p>
        </w:tc>
        <w:tc>
          <w:tcPr>
            <w:tcW w:w="940" w:type="dxa"/>
            <w:vAlign w:val="bottom"/>
          </w:tcPr>
          <w:p>
            <w:pPr>
              <w:jc w:val="right"/>
              <w:spacing w:after="0" w:line="177" w:lineRule="exact"/>
              <w:rPr>
                <w:sz w:val="20"/>
                <w:szCs w:val="20"/>
                <w:color w:val="auto"/>
              </w:rPr>
            </w:pPr>
            <w:r>
              <w:rPr>
                <w:rFonts w:ascii="Arial" w:cs="Arial" w:eastAsia="Arial" w:hAnsi="Arial"/>
                <w:sz w:val="18"/>
                <w:szCs w:val="18"/>
                <w:color w:val="auto"/>
              </w:rPr>
              <w:t>22,347</w:t>
            </w:r>
          </w:p>
        </w:tc>
        <w:tc>
          <w:tcPr>
            <w:tcW w:w="900" w:type="dxa"/>
            <w:vAlign w:val="bottom"/>
          </w:tcPr>
          <w:p>
            <w:pPr>
              <w:jc w:val="right"/>
              <w:spacing w:after="0" w:line="177" w:lineRule="exact"/>
              <w:rPr>
                <w:sz w:val="20"/>
                <w:szCs w:val="20"/>
                <w:color w:val="auto"/>
              </w:rPr>
            </w:pPr>
            <w:r>
              <w:rPr>
                <w:rFonts w:ascii="Arial" w:cs="Arial" w:eastAsia="Arial" w:hAnsi="Arial"/>
                <w:sz w:val="18"/>
                <w:szCs w:val="18"/>
                <w:color w:val="auto"/>
              </w:rPr>
              <w:t>22,383</w:t>
            </w:r>
          </w:p>
        </w:tc>
        <w:tc>
          <w:tcPr>
            <w:tcW w:w="80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161</w:t>
            </w:r>
          </w:p>
        </w:tc>
        <w:tc>
          <w:tcPr>
            <w:tcW w:w="260" w:type="dxa"/>
            <w:vAlign w:val="bottom"/>
          </w:tcPr>
          <w:p>
            <w:pPr>
              <w:spacing w:after="0"/>
              <w:rPr>
                <w:sz w:val="15"/>
                <w:szCs w:val="15"/>
                <w:color w:val="auto"/>
              </w:rPr>
            </w:pPr>
          </w:p>
        </w:tc>
        <w:tc>
          <w:tcPr>
            <w:tcW w:w="480" w:type="dxa"/>
            <w:vAlign w:val="bottom"/>
          </w:tcPr>
          <w:p>
            <w:pPr>
              <w:jc w:val="right"/>
              <w:ind w:right="19"/>
              <w:spacing w:after="0" w:line="177" w:lineRule="exact"/>
              <w:rPr>
                <w:sz w:val="20"/>
                <w:szCs w:val="20"/>
                <w:color w:val="auto"/>
              </w:rPr>
            </w:pPr>
            <w:r>
              <w:rPr>
                <w:rFonts w:ascii="Arial" w:cs="Arial" w:eastAsia="Arial" w:hAnsi="Arial"/>
                <w:sz w:val="18"/>
                <w:szCs w:val="18"/>
                <w:color w:val="auto"/>
              </w:rPr>
              <w:t>(36)</w:t>
            </w:r>
          </w:p>
        </w:tc>
        <w:tc>
          <w:tcPr>
            <w:tcW w:w="660" w:type="dxa"/>
            <w:vAlign w:val="bottom"/>
          </w:tcPr>
          <w:p>
            <w:pPr>
              <w:jc w:val="right"/>
              <w:spacing w:after="0" w:line="177"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6540" w:type="dxa"/>
            <w:vAlign w:val="bottom"/>
            <w:gridSpan w:val="2"/>
          </w:tcPr>
          <w:p>
            <w:pPr>
              <w:spacing w:after="0" w:line="202" w:lineRule="exact"/>
              <w:rPr>
                <w:sz w:val="20"/>
                <w:szCs w:val="20"/>
                <w:color w:val="auto"/>
              </w:rPr>
            </w:pPr>
            <w:r>
              <w:rPr>
                <w:rFonts w:ascii="Arial" w:cs="Arial" w:eastAsia="Arial" w:hAnsi="Arial"/>
                <w:sz w:val="18"/>
                <w:szCs w:val="18"/>
                <w:color w:val="auto"/>
              </w:rPr>
              <w:t>High-speed Internet customers</w:t>
            </w: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24,701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23,329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21,962</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1,373</w:t>
            </w:r>
          </w:p>
        </w:tc>
        <w:tc>
          <w:tcPr>
            <w:tcW w:w="74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1,367</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1"/>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Voice customers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11,687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211</w:t>
            </w: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99"/>
              </w:rPr>
              <w:t>282</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9"/>
        </w:trPr>
        <w:tc>
          <w:tcPr>
            <w:tcW w:w="6540" w:type="dxa"/>
            <w:vAlign w:val="bottom"/>
            <w:gridSpan w:val="2"/>
          </w:tcPr>
          <w:p>
            <w:pPr>
              <w:spacing w:after="0"/>
              <w:rPr>
                <w:sz w:val="20"/>
                <w:szCs w:val="20"/>
                <w:color w:val="auto"/>
              </w:rPr>
            </w:pPr>
            <w:r>
              <w:rPr>
                <w:rFonts w:ascii="Arial" w:cs="Arial" w:eastAsia="Arial" w:hAnsi="Arial"/>
                <w:sz w:val="18"/>
                <w:szCs w:val="18"/>
                <w:color w:val="auto"/>
              </w:rPr>
              <w:t>Average monthly total revenue per customer relationship</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$ 148.26</w:t>
            </w:r>
          </w:p>
        </w:tc>
        <w:tc>
          <w:tcPr>
            <w:tcW w:w="940" w:type="dxa"/>
            <w:vAlign w:val="bottom"/>
          </w:tcPr>
          <w:p>
            <w:pPr>
              <w:jc w:val="right"/>
              <w:spacing w:after="0"/>
              <w:rPr>
                <w:sz w:val="20"/>
                <w:szCs w:val="20"/>
                <w:color w:val="auto"/>
              </w:rPr>
            </w:pPr>
            <w:r>
              <w:rPr>
                <w:rFonts w:ascii="Arial" w:cs="Arial" w:eastAsia="Arial" w:hAnsi="Arial"/>
                <w:sz w:val="18"/>
                <w:szCs w:val="18"/>
                <w:color w:val="auto"/>
              </w:rPr>
              <w:t>$ 142.89</w:t>
            </w:r>
          </w:p>
        </w:tc>
        <w:tc>
          <w:tcPr>
            <w:tcW w:w="900" w:type="dxa"/>
            <w:vAlign w:val="bottom"/>
          </w:tcPr>
          <w:p>
            <w:pPr>
              <w:jc w:val="right"/>
              <w:spacing w:after="0"/>
              <w:rPr>
                <w:sz w:val="20"/>
                <w:szCs w:val="20"/>
                <w:color w:val="auto"/>
              </w:rPr>
            </w:pPr>
            <w:r>
              <w:rPr>
                <w:rFonts w:ascii="Arial" w:cs="Arial" w:eastAsia="Arial" w:hAnsi="Arial"/>
                <w:sz w:val="18"/>
                <w:szCs w:val="18"/>
                <w:color w:val="auto"/>
              </w:rPr>
              <w:t>$ 137.04</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Customer metrics include residential and business customers and are presented based on actual amounts. Minor differences may exist due to rounding.</w:t>
      </w:r>
    </w:p>
    <w:p>
      <w:pPr>
        <w:spacing w:after="0" w:line="55" w:lineRule="exact"/>
        <w:rPr>
          <w:sz w:val="20"/>
          <w:szCs w:val="20"/>
          <w:color w:val="auto"/>
        </w:rPr>
      </w:pPr>
    </w:p>
    <w:p>
      <w:pPr>
        <w:ind w:left="300" w:right="20" w:hanging="292"/>
        <w:spacing w:after="0" w:line="231" w:lineRule="auto"/>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Video</w:t>
      </w:r>
    </w:p>
    <w:p>
      <w:pPr>
        <w:jc w:val="both"/>
        <w:spacing w:after="0" w:line="237" w:lineRule="auto"/>
        <w:rPr>
          <w:sz w:val="20"/>
          <w:szCs w:val="20"/>
          <w:color w:val="auto"/>
        </w:rPr>
      </w:pPr>
      <w:r>
        <w:rPr>
          <w:rFonts w:ascii="Arial" w:cs="Arial" w:eastAsia="Arial" w:hAnsi="Arial"/>
          <w:sz w:val="18"/>
          <w:szCs w:val="18"/>
          <w:color w:val="auto"/>
        </w:rPr>
        <w:t>Our Cable Communications segment offers a broad variety of video service packages that may include premium networks, pay-per-view services and our On Demand service. Our video customers may subscribe for additional fees to our high-definition (“HD”) video and digital video recorder (“DVR”) advanced services. We are actively deploying set-top boxes for our Internet Protocol (“IP”) and cloud-enabled video platform, referred to as our X1 platform, and cloud DVR technology throughout our footprint.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Video revenue increased 3.9% and 3.6% in 2016 and 2015, respectively. The increases in revenue in both years were primarily due to rate adjustments and an increase in the number of residential customers subscribing to additional services such as premium channels and advanced services, which accounted for increases in revenue of 3.9% and 4.5% in 2016 and 2015, respectively. As of December 31, 2016, 14.8 million customers subscribed to at least one of our HD or DVR advanced services compared to 13.9 million customers and 13.0 million customers as of December 31, 2015 and 2014, respectively. Net additional video customers increased in 2016 primarily due to reduced customer churn, which we believe is a result of our continued deployment of our X1 platform as well as improvements we have made in the customer experience. The increase in revenue in 2015 was partially offset by a decrease in the number of residential video customers, which was primarily due to competitive pressures and the impact of rate adjustments.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39.9% of the homes and businesses in the areas we serve subscribed to our video services, compared to 40.1% and 40.9% as of December 31, 2015 and 2014, respectively. We have in the past, and may in the future, experience declines in the number of residential video customers due to competitive pressures and the impact of rate adjustments.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w:t>
      </w:r>
    </w:p>
    <w:p>
      <w:pPr>
        <w:jc w:val="both"/>
        <w:spacing w:after="0" w:line="236" w:lineRule="auto"/>
        <w:rPr>
          <w:sz w:val="20"/>
          <w:szCs w:val="20"/>
          <w:color w:val="auto"/>
        </w:rPr>
      </w:pPr>
      <w:r>
        <w:rPr>
          <w:rFonts w:ascii="Arial" w:cs="Arial" w:eastAsia="Arial" w:hAnsi="Arial"/>
          <w:sz w:val="18"/>
          <w:szCs w:val="18"/>
          <w:color w:val="auto"/>
        </w:rPr>
        <w:t>We offer high-speed Internet services with downstream speeds from a range of up to 10 Mbps to fiber-based speeds up to 2 Gbps. We are actively deploying wireless gateways throughout our footprint, which combine a customer’s wireless router, cable modem and voice adapter, to improve the performance of multiple IP-enabled devices used at the same time within the home, provide faster Internet speeds and create an in-home Wi-Fi network. We are continuing to expand our network of residential, outdoor and business Wi-Fi hotspots to allow most of our high-speed Internet customers to access our high-speed Internet services inside and outside the home. As of December 31, 2016, there were approximately 15.8 million of these hotspots.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High-speed Internet revenue increased 8.5% and 10.2% in 2016 and 2015, respectively. Increases in the number of residential customers receiving our high-speed Internet services accounted for increases in revenue of 5.8% in both 2016 and 2015. The remaining increases in revenue in both 2016 and 2015 were primarily due to increases in the number of customers receiving higher levels of service and the impact of rate adjustments.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43.8% of the homes and businesses in the areas we serve subscribed to our high-speed Internet services, compared to 41.9% and 40.2% as of December 31, 2015 and 2014, respectively. Our customer base continues to grow as consumers choose our high-speed Internet service and seek higher-speed offerings.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Voice</w:t>
      </w:r>
    </w:p>
    <w:p>
      <w:pPr>
        <w:spacing w:after="0"/>
        <w:rPr>
          <w:sz w:val="20"/>
          <w:szCs w:val="20"/>
          <w:color w:val="auto"/>
        </w:rPr>
      </w:pPr>
      <w:r>
        <w:rPr>
          <w:rFonts w:ascii="Arial" w:cs="Arial" w:eastAsia="Arial" w:hAnsi="Arial"/>
          <w:sz w:val="18"/>
          <w:szCs w:val="18"/>
          <w:color w:val="auto"/>
        </w:rPr>
        <w:t>We offer voice services that provide local and long-distance calling and other related features.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Voice revenue decreased 1.9% and 1.7% in 2016 and 2015, respectively. While the number of residential customers receiving voice services through our discounted bundled service offerings increased in both years, revenue was negatively impacted by the allocation of voice revenue for our customers who receive bundled services. The amount allocated to voice revenue in the rate charged for bundled services decreased in both years because video and high-speed Internet rates increased while voice rates remained relatively flat.</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 of December 31, 2016, 20.7% of the homes and businesses in the areas we serve subscribed to our voice services, compared to 20.6% and 20.5% as of December 31, 2015 and 2014, respectively.</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8" w:lineRule="auto"/>
        <w:rPr>
          <w:sz w:val="20"/>
          <w:szCs w:val="20"/>
          <w:color w:val="auto"/>
        </w:rPr>
      </w:pPr>
      <w:r>
        <w:rPr>
          <w:rFonts w:ascii="Arial" w:cs="Arial" w:eastAsia="Arial" w:hAnsi="Arial"/>
          <w:sz w:val="18"/>
          <w:szCs w:val="18"/>
          <w:color w:val="auto"/>
        </w:rPr>
        <w:t>We offer our cable services to small and medium-sized businesses and to large enterprises with multiple locations. We offer Ethernet network services that connect multiple locations and provide higher downstream and upstream speed options to medium-sized businesses and large enterprises. We also provide cellular backhaul services to mobile network operators to help those customers manage network bandwidth.</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Business services revenue increased 16.1% and 20.0% in 2016 and 2015, respectively. The increase in 2016 was primarily due to an increase in the number of small business customers, as well as continued growth in our medium-sized business services, including Ethernet network and advanced voice services. The increase in 2015 was primarily due to an increase in the number of small business customers receiving our high-speed Internet and voice services and rate adjustments. In 2016, 2015 and 2014, our small business customers represented more than 70% of total business services revenue. We believe the increases in the number of business customers were primarily the result of our efforts to gain market share from competitors by offering competitive services and pricing, although the rate of growth in the number of our small business customers may slow as the business matures.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Our Cable Communications segment also sells advertising. As part of our distribution agreements with cable networks, we generally receive an allocation of scheduled advertising time on cable networks that we sell through our advertising business, Spotlight, to local, regional and national advertisers.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In addition, we generate revenue from the sale of advertising online and on our On Demand service. Advertising revenue is affected by the strength of the advertising market and general economic conditions.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revenue increased 9.6% in 2016 primarily due to an increase in political advertising revenue. Advertising revenue decreased 3.8% in 2015 primarily due to a decrease in political advertising revenue. Excluding the impact of political advertising revenue, advertising revenue increased slightly in 2016 and 3.0% in 2015.</w:t>
      </w:r>
    </w:p>
    <w:p>
      <w:pPr>
        <w:spacing w:after="0" w:line="15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2016, 5% of our Cable Communications segment advertising revenue was generated from our NBCUniversal segments, compared to 6% and 5% in 2015 and 2014, respectively. These amounts are eliminated in our consolidated financial statements but are included in the amounts presented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73" w:lineRule="auto"/>
        <w:rPr>
          <w:sz w:val="20"/>
          <w:szCs w:val="20"/>
          <w:color w:val="auto"/>
        </w:rPr>
      </w:pPr>
      <w:r>
        <w:rPr>
          <w:rFonts w:ascii="Arial" w:cs="Arial" w:eastAsia="Arial" w:hAnsi="Arial"/>
          <w:sz w:val="16"/>
          <w:szCs w:val="16"/>
          <w:color w:val="auto"/>
        </w:rPr>
        <w:t>Other revenue primarily includes revenue related to cable franchise and other regulatory fees. We also receive revenue related to fees from other services, such as our home security and automation services. Cable franchise and other regulatory fees represent the fees we are required to pay to federal, state and local authorities that we pass through to our customers. Under the terms of our cable franchise agreements, we are generally required to pay to the cable franchising authority an amount based on our gross video revenue. The changes in franchise and other regulatory fees collected from our cable services customers are generally due to changes in the revenue to which the fees apply.</w:t>
      </w:r>
    </w:p>
    <w:p>
      <w:pPr>
        <w:spacing w:after="0" w:line="12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Other revenue increased 13.8% and 11.3% in 2016 and 2015, respectively, primarily due to increases in cable franchise and other regulatory fees, revenue from our home security and automation services and revenue from other services.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Expenses</w:t>
      </w:r>
    </w:p>
    <w:p>
      <w:pPr>
        <w:jc w:val="both"/>
        <w:spacing w:after="0" w:line="236" w:lineRule="auto"/>
        <w:rPr>
          <w:sz w:val="20"/>
          <w:szCs w:val="20"/>
          <w:color w:val="auto"/>
        </w:rPr>
      </w:pPr>
      <w:r>
        <w:rPr>
          <w:rFonts w:ascii="Arial" w:cs="Arial" w:eastAsia="Arial" w:hAnsi="Arial"/>
          <w:sz w:val="18"/>
          <w:szCs w:val="18"/>
          <w:color w:val="auto"/>
        </w:rPr>
        <w:t>Programming expenses, which represent our most significant operating expense, are the fees we incur to provide content to our video customers. These expenses are affected by the programming license fees charged by cable networks, the fees charged for retransmission of the signals from local broadcast television stations, the number of video customers we serve and the amount of content we provide. Programming expenses increased in 2016 and 2015 primarily due to increases in programming license fees, including retransmission consent fees, sports programming costs and fees to secure rights for additional programming for distribution across an increasing number of platforms.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anticipate that our programming expenses will increase at a higher growth rate in 2017, as the fees we pay will increase primarily due to the timing of contract renewals and increases in retransmission consent fees and sports programming costs; as we provide additional content to our video customers; and as we deliver this content through an increasing number of platforms, including On Demand, online and through our mobile apps. We believe that adding more content and delivering it on various platforms will help us to attract and retain video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Technical and Product Support Expenses</w:t>
      </w:r>
    </w:p>
    <w:p>
      <w:pPr>
        <w:jc w:val="both"/>
        <w:spacing w:after="0" w:line="236" w:lineRule="auto"/>
        <w:rPr>
          <w:sz w:val="20"/>
          <w:szCs w:val="20"/>
          <w:color w:val="auto"/>
        </w:rPr>
      </w:pPr>
      <w:r>
        <w:rPr>
          <w:rFonts w:ascii="Arial" w:cs="Arial" w:eastAsia="Arial" w:hAnsi="Arial"/>
          <w:sz w:val="18"/>
          <w:szCs w:val="18"/>
          <w:color w:val="auto"/>
        </w:rPr>
        <w:t>Technical and product support expenses include costs to complete service call and installation activities, as well as costs for network operations, product development, fulfillment and provisioning. Technical and product support expenses increased in 2016 and 2015 primarily due to expenses related to the development, delivery and support of our enhanced devices and services, including our X1 platform, cloud DVR technology and wireless gateways, and continued growth in business services and home security and automation services. The increases in both years were also due to expenses related to investments to improve the customer experience.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Customer Service Expenses</w:t>
      </w:r>
    </w:p>
    <w:p>
      <w:pPr>
        <w:jc w:val="both"/>
        <w:spacing w:after="0" w:line="273" w:lineRule="auto"/>
        <w:rPr>
          <w:sz w:val="20"/>
          <w:szCs w:val="20"/>
          <w:color w:val="auto"/>
        </w:rPr>
      </w:pPr>
      <w:r>
        <w:rPr>
          <w:rFonts w:ascii="Arial" w:cs="Arial" w:eastAsia="Arial" w:hAnsi="Arial"/>
          <w:sz w:val="16"/>
          <w:szCs w:val="16"/>
          <w:color w:val="auto"/>
        </w:rPr>
        <w:t>Customer service expenses include the personnel and other costs associated with handling the sale of services to customers and customer service activity. Customer service expenses increased in 2016 and 2015 primarily due to increased support for improving the customer experience and increases in total labor costs, which reflect sales and support activities associated with the continued deployment of our enhanced devices and services, including our X1 platform and wireless gateways, and continued growth in business services and home security and automation services. The rate of growth of our customer service expenses decreased in 2016 primarily due to reduced call volumes.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Franchise and Other Regulatory Fees</w:t>
      </w:r>
    </w:p>
    <w:p>
      <w:pPr>
        <w:spacing w:after="0"/>
        <w:rPr>
          <w:sz w:val="20"/>
          <w:szCs w:val="20"/>
          <w:color w:val="auto"/>
        </w:rPr>
      </w:pPr>
      <w:r>
        <w:rPr>
          <w:rFonts w:ascii="Arial" w:cs="Arial" w:eastAsia="Arial" w:hAnsi="Arial"/>
          <w:sz w:val="18"/>
          <w:szCs w:val="18"/>
          <w:color w:val="auto"/>
        </w:rPr>
        <w:t>Franchise and other regulatory fees increased in 2016 and 2015 primarily due to increases in the revenue to which the fees apply.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9" w:lineRule="auto"/>
        <w:rPr>
          <w:sz w:val="20"/>
          <w:szCs w:val="20"/>
          <w:color w:val="auto"/>
        </w:rPr>
      </w:pPr>
      <w:r>
        <w:rPr>
          <w:rFonts w:ascii="Arial" w:cs="Arial" w:eastAsia="Arial" w:hAnsi="Arial"/>
          <w:sz w:val="18"/>
          <w:szCs w:val="18"/>
          <w:color w:val="auto"/>
        </w:rPr>
        <w:t>Advertising, marketing and promotion expenses increased in 2016 and 2015 primarily due to increases in spending associated with attracting new residential and business services customers and encouraging existing customers to add additional or higher-tier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Costs and Expenses</w:t>
      </w:r>
    </w:p>
    <w:p>
      <w:pPr>
        <w:jc w:val="both"/>
        <w:spacing w:after="0" w:line="239" w:lineRule="auto"/>
        <w:rPr>
          <w:sz w:val="20"/>
          <w:szCs w:val="20"/>
          <w:color w:val="auto"/>
        </w:rPr>
      </w:pPr>
      <w:r>
        <w:rPr>
          <w:rFonts w:ascii="Arial" w:cs="Arial" w:eastAsia="Arial" w:hAnsi="Arial"/>
          <w:sz w:val="18"/>
          <w:szCs w:val="18"/>
          <w:color w:val="auto"/>
        </w:rPr>
        <w:t>Other operating costs and expenses increased in 2016 and 2015 primarily due to increases in costs to support our advertising sales business, as well as increases in other administrative costs.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Communications segment operating margin is operating income before depreciation and amortization as a percentage of revenue. The most significant operating costs and expenses for our Cable Communications segment are the programming expenses we incur to provide content to our video customers. We expect that our programming expenses will continue to increase, which may negatively impact our operating margin. We will attempt to mitigate increases in operating costs and expenses by growing revenue, particularly in our high-speed Internet, video and business services businesses and through cost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margin in 2016, 2015 and 2014 was 40.2%, 40.6% and 41.0%,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0C6DFF"/>
        </w:rPr>
        <w:t>2016 NBCUniversal Segments Operating Results</w:t>
      </w:r>
      <w:r>
        <w:rPr>
          <w:rFonts w:ascii="Arial" w:cs="Arial" w:eastAsia="Arial" w:hAnsi="Arial"/>
          <w:sz w:val="22"/>
          <w:szCs w:val="22"/>
          <w:color w:val="0C6DF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4490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Arial" w:cs="Arial" w:eastAsia="Arial" w:hAnsi="Arial"/>
                <w:sz w:val="14"/>
                <w:szCs w:val="14"/>
                <w:color w:val="auto"/>
              </w:rPr>
              <w:t>(a)  Excludes the results of NBCUniversal Headquarters, Other and eliminations.</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5340" w:type="dxa"/>
            <w:vAlign w:val="bottom"/>
            <w:gridSpan w:val="2"/>
          </w:tcPr>
          <w:p>
            <w:pPr>
              <w:spacing w:after="0"/>
              <w:rPr>
                <w:sz w:val="20"/>
                <w:szCs w:val="20"/>
                <w:color w:val="auto"/>
              </w:rPr>
            </w:pPr>
            <w:r>
              <w:rPr>
                <w:rFonts w:ascii="Arial" w:cs="Arial" w:eastAsia="Arial" w:hAnsi="Arial"/>
                <w:sz w:val="14"/>
                <w:szCs w:val="14"/>
                <w:color w:val="auto"/>
              </w:rPr>
              <w:t>Year ended December 31 (in millions)</w:t>
            </w:r>
          </w:p>
        </w:tc>
        <w:tc>
          <w:tcPr>
            <w:tcW w:w="42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2015 to 2016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36"/>
              <w:spacing w:after="0" w:line="115" w:lineRule="exact"/>
              <w:rPr>
                <w:sz w:val="20"/>
                <w:szCs w:val="20"/>
                <w:color w:val="auto"/>
              </w:rPr>
            </w:pPr>
            <w:r>
              <w:rPr>
                <w:rFonts w:ascii="Arial" w:cs="Arial" w:eastAsia="Arial" w:hAnsi="Arial"/>
                <w:sz w:val="12"/>
                <w:szCs w:val="12"/>
                <w:color w:val="auto"/>
              </w:rPr>
              <w:t>Pro Forma</w:t>
            </w:r>
          </w:p>
        </w:tc>
        <w:tc>
          <w:tcPr>
            <w:tcW w:w="900" w:type="dxa"/>
            <w:vAlign w:val="bottom"/>
            <w:tcBorders>
              <w:top w:val="single" w:sz="8" w:color="auto"/>
            </w:tcBorders>
            <w:gridSpan w:val="2"/>
          </w:tcPr>
          <w:p>
            <w:pPr>
              <w:jc w:val="right"/>
              <w:ind w:right="12"/>
              <w:spacing w:after="0" w:line="115" w:lineRule="exact"/>
              <w:rPr>
                <w:sz w:val="20"/>
                <w:szCs w:val="20"/>
                <w:color w:val="auto"/>
              </w:rPr>
            </w:pPr>
            <w:r>
              <w:rPr>
                <w:rFonts w:ascii="Arial" w:cs="Arial" w:eastAsia="Arial" w:hAnsi="Arial"/>
                <w:sz w:val="12"/>
                <w:szCs w:val="12"/>
                <w:color w:val="auto"/>
              </w:rPr>
              <w:t>Pro Forma</w:t>
            </w: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40"/>
              <w:spacing w:after="0" w:line="115" w:lineRule="exact"/>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5"/>
                <w:szCs w:val="15"/>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Actual</w:t>
            </w:r>
          </w:p>
        </w:tc>
        <w:tc>
          <w:tcPr>
            <w:tcW w:w="1080" w:type="dxa"/>
            <w:vAlign w:val="bottom"/>
            <w:gridSpan w:val="2"/>
          </w:tcPr>
          <w:p>
            <w:pPr>
              <w:ind w:left="80"/>
              <w:spacing w:after="0" w:line="176" w:lineRule="exact"/>
              <w:rPr>
                <w:sz w:val="20"/>
                <w:szCs w:val="20"/>
                <w:color w:val="auto"/>
              </w:rPr>
            </w:pPr>
            <w:r>
              <w:rPr>
                <w:rFonts w:ascii="Arial" w:cs="Arial" w:eastAsia="Arial" w:hAnsi="Arial"/>
                <w:sz w:val="13"/>
                <w:szCs w:val="13"/>
                <w:color w:val="auto"/>
              </w:rPr>
              <w:t>Adjustments</w:t>
            </w:r>
            <w:r>
              <w:rPr>
                <w:rFonts w:ascii="Arial" w:cs="Arial" w:eastAsia="Arial" w:hAnsi="Arial"/>
                <w:sz w:val="20"/>
                <w:szCs w:val="20"/>
                <w:color w:val="auto"/>
                <w:vertAlign w:val="superscript"/>
              </w:rPr>
              <w:t>(a)</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color w:val="auto"/>
              </w:rPr>
              <w:t>Combined</w:t>
            </w: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Actual</w:t>
            </w:r>
          </w:p>
        </w:tc>
        <w:tc>
          <w:tcPr>
            <w:tcW w:w="960" w:type="dxa"/>
            <w:vAlign w:val="bottom"/>
          </w:tcPr>
          <w:p>
            <w:pPr>
              <w:jc w:val="right"/>
              <w:ind w:right="1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b w:val="1"/>
                <w:bCs w:val="1"/>
                <w:color w:val="auto"/>
                <w:w w:val="98"/>
              </w:rPr>
              <w:t>10,464</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8.7%</w:t>
            </w: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4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9,628</w:t>
            </w:r>
          </w:p>
        </w:tc>
        <w:tc>
          <w:tcPr>
            <w:tcW w:w="2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181" w:lineRule="exact"/>
              <w:rPr>
                <w:sz w:val="20"/>
                <w:szCs w:val="20"/>
                <w:color w:val="auto"/>
              </w:rPr>
            </w:pPr>
            <w:r>
              <w:rPr>
                <w:rFonts w:ascii="Arial" w:cs="Arial" w:eastAsia="Arial" w:hAnsi="Arial"/>
                <w:sz w:val="18"/>
                <w:szCs w:val="18"/>
                <w:color w:val="auto"/>
              </w:rPr>
              <w:t>9,628</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42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w w:val="98"/>
              </w:rPr>
              <w:t>10,147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8,530</w:t>
            </w:r>
          </w:p>
        </w:tc>
        <w:tc>
          <w:tcPr>
            <w:tcW w:w="26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8,530</w:t>
            </w:r>
          </w:p>
        </w:tc>
        <w:tc>
          <w:tcPr>
            <w:tcW w:w="160" w:type="dxa"/>
            <w:vAlign w:val="bottom"/>
          </w:tcPr>
          <w:p>
            <w:pPr>
              <w:spacing w:after="0"/>
              <w:rPr>
                <w:sz w:val="17"/>
                <w:szCs w:val="17"/>
                <w:color w:val="auto"/>
              </w:rPr>
            </w:pPr>
          </w:p>
        </w:tc>
        <w:tc>
          <w:tcPr>
            <w:tcW w:w="80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19.0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42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6,360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7,287</w:t>
            </w:r>
          </w:p>
        </w:tc>
        <w:tc>
          <w:tcPr>
            <w:tcW w:w="26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7,287</w:t>
            </w:r>
          </w:p>
        </w:tc>
        <w:tc>
          <w:tcPr>
            <w:tcW w:w="160" w:type="dxa"/>
            <w:vAlign w:val="bottom"/>
          </w:tcPr>
          <w:p>
            <w:pPr>
              <w:spacing w:after="0"/>
              <w:rPr>
                <w:sz w:val="17"/>
                <w:szCs w:val="17"/>
                <w:color w:val="auto"/>
              </w:rPr>
            </w:pPr>
          </w:p>
        </w:tc>
        <w:tc>
          <w:tcPr>
            <w:tcW w:w="80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(12.7)</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42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4,946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3,339</w:t>
            </w:r>
          </w:p>
        </w:tc>
        <w:tc>
          <w:tcPr>
            <w:tcW w:w="26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1,052</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4,391</w:t>
            </w:r>
          </w:p>
        </w:tc>
        <w:tc>
          <w:tcPr>
            <w:tcW w:w="160" w:type="dxa"/>
            <w:vAlign w:val="bottom"/>
          </w:tcPr>
          <w:p>
            <w:pPr>
              <w:spacing w:after="0"/>
              <w:rPr>
                <w:sz w:val="17"/>
                <w:szCs w:val="17"/>
                <w:color w:val="auto"/>
              </w:rPr>
            </w:pPr>
          </w:p>
        </w:tc>
        <w:tc>
          <w:tcPr>
            <w:tcW w:w="80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48.2</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Headquarters, other and eliminations</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NM</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w w:val="98"/>
              </w:rPr>
              <w:t>31,593</w:t>
            </w:r>
          </w:p>
        </w:tc>
        <w:tc>
          <w:tcPr>
            <w:tcW w:w="160" w:type="dxa"/>
            <w:vAlign w:val="bottom"/>
          </w:tcPr>
          <w:p>
            <w:pPr>
              <w:spacing w:after="0"/>
              <w:rPr>
                <w:sz w:val="17"/>
                <w:szCs w:val="17"/>
                <w:color w:val="auto"/>
              </w:rPr>
            </w:pP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28,462</w:t>
            </w:r>
          </w:p>
        </w:tc>
        <w:tc>
          <w:tcPr>
            <w:tcW w:w="2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color w:val="auto"/>
              </w:rPr>
              <w:t>1,052</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29,514</w:t>
            </w:r>
          </w:p>
        </w:tc>
        <w:tc>
          <w:tcPr>
            <w:tcW w:w="160" w:type="dxa"/>
            <w:vAlign w:val="bottom"/>
          </w:tcPr>
          <w:p>
            <w:pPr>
              <w:spacing w:after="0"/>
              <w:rPr>
                <w:sz w:val="17"/>
                <w:szCs w:val="17"/>
                <w:color w:val="auto"/>
              </w:rPr>
            </w:pP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11.0%</w:t>
            </w:r>
          </w:p>
        </w:tc>
        <w:tc>
          <w:tcPr>
            <w:tcW w:w="9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2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3,709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4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3,499</w:t>
            </w:r>
          </w:p>
        </w:tc>
        <w:tc>
          <w:tcPr>
            <w:tcW w:w="2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181" w:lineRule="exact"/>
              <w:rPr>
                <w:sz w:val="20"/>
                <w:szCs w:val="20"/>
                <w:color w:val="auto"/>
              </w:rPr>
            </w:pPr>
            <w:r>
              <w:rPr>
                <w:rFonts w:ascii="Arial" w:cs="Arial" w:eastAsia="Arial" w:hAnsi="Arial"/>
                <w:sz w:val="18"/>
                <w:szCs w:val="18"/>
                <w:color w:val="auto"/>
              </w:rPr>
              <w:t>3,499</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42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1,320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780</w:t>
            </w:r>
          </w:p>
        </w:tc>
        <w:tc>
          <w:tcPr>
            <w:tcW w:w="26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780</w:t>
            </w:r>
          </w:p>
        </w:tc>
        <w:tc>
          <w:tcPr>
            <w:tcW w:w="160" w:type="dxa"/>
            <w:vAlign w:val="bottom"/>
          </w:tcPr>
          <w:p>
            <w:pPr>
              <w:spacing w:after="0"/>
              <w:rPr>
                <w:sz w:val="17"/>
                <w:szCs w:val="17"/>
                <w:color w:val="auto"/>
              </w:rPr>
            </w:pPr>
          </w:p>
        </w:tc>
        <w:tc>
          <w:tcPr>
            <w:tcW w:w="80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69.1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42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697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1,234</w:t>
            </w:r>
          </w:p>
        </w:tc>
        <w:tc>
          <w:tcPr>
            <w:tcW w:w="26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1,234</w:t>
            </w:r>
          </w:p>
        </w:tc>
        <w:tc>
          <w:tcPr>
            <w:tcW w:w="160" w:type="dxa"/>
            <w:vAlign w:val="bottom"/>
          </w:tcPr>
          <w:p>
            <w:pPr>
              <w:spacing w:after="0"/>
              <w:rPr>
                <w:sz w:val="17"/>
                <w:szCs w:val="17"/>
                <w:color w:val="auto"/>
              </w:rPr>
            </w:pPr>
          </w:p>
        </w:tc>
        <w:tc>
          <w:tcPr>
            <w:tcW w:w="80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(43.5)</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42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2,190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1,464</w:t>
            </w:r>
          </w:p>
        </w:tc>
        <w:tc>
          <w:tcPr>
            <w:tcW w:w="260" w:type="dxa"/>
            <w:vAlign w:val="bottom"/>
          </w:tcPr>
          <w:p>
            <w:pPr>
              <w:spacing w:after="0"/>
              <w:rPr>
                <w:sz w:val="17"/>
                <w:szCs w:val="17"/>
                <w:color w:val="auto"/>
              </w:rPr>
            </w:pP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488</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1,952</w:t>
            </w:r>
          </w:p>
        </w:tc>
        <w:tc>
          <w:tcPr>
            <w:tcW w:w="160" w:type="dxa"/>
            <w:vAlign w:val="bottom"/>
          </w:tcPr>
          <w:p>
            <w:pPr>
              <w:spacing w:after="0"/>
              <w:rPr>
                <w:sz w:val="17"/>
                <w:szCs w:val="17"/>
                <w:color w:val="auto"/>
              </w:rPr>
            </w:pPr>
          </w:p>
        </w:tc>
        <w:tc>
          <w:tcPr>
            <w:tcW w:w="80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49.6</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Headquarters, other and eliminations</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(10.1)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operating income before depreciation and amortization</w:t>
            </w:r>
          </w:p>
        </w:tc>
        <w:tc>
          <w:tcPr>
            <w:tcW w:w="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7,227</w:t>
            </w:r>
          </w:p>
        </w:tc>
        <w:tc>
          <w:tcPr>
            <w:tcW w:w="160" w:type="dxa"/>
            <w:vAlign w:val="bottom"/>
          </w:tcPr>
          <w:p>
            <w:pPr>
              <w:spacing w:after="0"/>
              <w:rPr>
                <w:sz w:val="17"/>
                <w:szCs w:val="17"/>
                <w:color w:val="auto"/>
              </w:rPr>
            </w:pP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6,352</w:t>
            </w:r>
          </w:p>
        </w:tc>
        <w:tc>
          <w:tcPr>
            <w:tcW w:w="2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color w:val="auto"/>
              </w:rPr>
              <w:t>488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6,840</w:t>
            </w:r>
          </w:p>
        </w:tc>
        <w:tc>
          <w:tcPr>
            <w:tcW w:w="160" w:type="dxa"/>
            <w:vAlign w:val="bottom"/>
          </w:tcPr>
          <w:p>
            <w:pPr>
              <w:spacing w:after="0"/>
              <w:rPr>
                <w:sz w:val="17"/>
                <w:szCs w:val="17"/>
                <w:color w:val="auto"/>
              </w:rPr>
            </w:pP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13.8%</w:t>
            </w:r>
          </w:p>
        </w:tc>
        <w:tc>
          <w:tcPr>
            <w:tcW w:w="9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506"/>
        </w:trPr>
        <w:tc>
          <w:tcPr>
            <w:tcW w:w="5340" w:type="dxa"/>
            <w:vAlign w:val="bottom"/>
            <w:gridSpan w:val="2"/>
          </w:tcPr>
          <w:p>
            <w:pPr>
              <w:spacing w:after="0"/>
              <w:rPr>
                <w:sz w:val="20"/>
                <w:szCs w:val="20"/>
                <w:color w:val="auto"/>
              </w:rPr>
            </w:pPr>
            <w:r>
              <w:rPr>
                <w:rFonts w:ascii="Arial" w:cs="Arial" w:eastAsia="Arial" w:hAnsi="Arial"/>
                <w:sz w:val="14"/>
                <w:szCs w:val="14"/>
                <w:color w:val="auto"/>
              </w:rPr>
              <w:t>Comcast 2016 Annual Report on Form 10-K</w:t>
            </w:r>
          </w:p>
        </w:tc>
        <w:tc>
          <w:tcPr>
            <w:tcW w:w="1100" w:type="dxa"/>
            <w:vAlign w:val="bottom"/>
            <w:gridSpan w:val="2"/>
          </w:tcPr>
          <w:p>
            <w:pPr>
              <w:jc w:val="right"/>
              <w:ind w:right="515"/>
              <w:spacing w:after="0"/>
              <w:rPr>
                <w:sz w:val="20"/>
                <w:szCs w:val="20"/>
                <w:color w:val="auto"/>
              </w:rPr>
            </w:pPr>
            <w:r>
              <w:rPr>
                <w:rFonts w:ascii="Arial" w:cs="Arial" w:eastAsia="Arial" w:hAnsi="Arial"/>
                <w:sz w:val="14"/>
                <w:szCs w:val="14"/>
                <w:b w:val="1"/>
                <w:bCs w:val="1"/>
                <w:color w:val="auto"/>
              </w:rPr>
              <w:t>52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519"/>
              <w:spacing w:after="0"/>
              <w:rPr>
                <w:sz w:val="20"/>
                <w:szCs w:val="20"/>
                <w:color w:val="auto"/>
              </w:rPr>
            </w:pPr>
            <w:r>
              <w:rPr>
                <w:rFonts w:ascii="Arial" w:cs="Arial" w:eastAsia="Arial" w:hAnsi="Arial"/>
                <w:sz w:val="14"/>
                <w:szCs w:val="14"/>
                <w:color w:val="auto"/>
              </w:rPr>
              <w:t>% Change</w:t>
            </w:r>
          </w:p>
        </w:tc>
      </w:tr>
      <w:tr>
        <w:trPr>
          <w:trHeight w:val="149"/>
        </w:trPr>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5"/>
              <w:spacing w:after="0" w:line="149"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5"/>
              <w:spacing w:after="0" w:line="149"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439"/>
              <w:spacing w:after="0" w:line="149" w:lineRule="exact"/>
              <w:rPr>
                <w:sz w:val="20"/>
                <w:szCs w:val="20"/>
                <w:color w:val="auto"/>
              </w:rPr>
            </w:pPr>
            <w:r>
              <w:rPr>
                <w:rFonts w:ascii="Arial" w:cs="Arial" w:eastAsia="Arial" w:hAnsi="Arial"/>
                <w:sz w:val="14"/>
                <w:szCs w:val="14"/>
                <w:color w:val="auto"/>
              </w:rPr>
              <w:t>2014 to 2015</w:t>
            </w:r>
          </w:p>
        </w:tc>
      </w:tr>
      <w:tr>
        <w:trPr>
          <w:trHeight w:val="121"/>
        </w:trPr>
        <w:tc>
          <w:tcPr>
            <w:tcW w:w="20" w:type="dxa"/>
            <w:vAlign w:val="bottom"/>
          </w:tcPr>
          <w:p>
            <w:pPr>
              <w:spacing w:after="0"/>
              <w:rPr>
                <w:sz w:val="10"/>
                <w:szCs w:val="10"/>
                <w:color w:val="auto"/>
              </w:rPr>
            </w:pPr>
          </w:p>
        </w:tc>
        <w:tc>
          <w:tcPr>
            <w:tcW w:w="3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4"/>
                <w:szCs w:val="14"/>
                <w:color w:val="auto"/>
              </w:rPr>
              <w:t>Pro Forma</w:t>
            </w:r>
          </w:p>
        </w:tc>
        <w:tc>
          <w:tcPr>
            <w:tcW w:w="900" w:type="dxa"/>
            <w:vAlign w:val="bottom"/>
            <w:tcBorders>
              <w:top w:val="single" w:sz="8" w:color="auto"/>
            </w:tcBorders>
            <w:gridSpan w:val="2"/>
          </w:tcPr>
          <w:p>
            <w:pPr>
              <w:jc w:val="right"/>
              <w:ind w:right="12"/>
              <w:spacing w:after="0" w:line="121" w:lineRule="exact"/>
              <w:rPr>
                <w:sz w:val="20"/>
                <w:szCs w:val="20"/>
                <w:color w:val="auto"/>
              </w:rPr>
            </w:pPr>
            <w:r>
              <w:rPr>
                <w:rFonts w:ascii="Arial" w:cs="Arial" w:eastAsia="Arial" w:hAnsi="Arial"/>
                <w:sz w:val="14"/>
                <w:szCs w:val="14"/>
                <w:color w:val="auto"/>
              </w:rPr>
              <w:t>Pro Forma</w:t>
            </w: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4"/>
                <w:szCs w:val="14"/>
                <w:color w:val="auto"/>
              </w:rPr>
              <w:t>Pro Forma</w:t>
            </w:r>
          </w:p>
        </w:tc>
        <w:tc>
          <w:tcPr>
            <w:tcW w:w="900" w:type="dxa"/>
            <w:vAlign w:val="bottom"/>
            <w:tcBorders>
              <w:top w:val="single" w:sz="8" w:color="auto"/>
            </w:tcBorders>
            <w:gridSpan w:val="2"/>
          </w:tcPr>
          <w:p>
            <w:pPr>
              <w:jc w:val="right"/>
              <w:ind w:right="32"/>
              <w:spacing w:after="0" w:line="121" w:lineRule="exact"/>
              <w:rPr>
                <w:sz w:val="20"/>
                <w:szCs w:val="20"/>
                <w:color w:val="auto"/>
              </w:rPr>
            </w:pPr>
            <w:r>
              <w:rPr>
                <w:rFonts w:ascii="Arial" w:cs="Arial" w:eastAsia="Arial" w:hAnsi="Arial"/>
                <w:sz w:val="14"/>
                <w:szCs w:val="14"/>
                <w:color w:val="auto"/>
              </w:rPr>
              <w:t>Pro Forma</w:t>
            </w: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9"/>
              <w:spacing w:after="0" w:line="121" w:lineRule="exact"/>
              <w:rPr>
                <w:sz w:val="20"/>
                <w:szCs w:val="20"/>
                <w:color w:val="auto"/>
              </w:rPr>
            </w:pPr>
            <w:r>
              <w:rPr>
                <w:rFonts w:ascii="Arial" w:cs="Arial" w:eastAsia="Arial" w:hAnsi="Arial"/>
                <w:sz w:val="14"/>
                <w:szCs w:val="14"/>
                <w:color w:val="auto"/>
              </w:rPr>
              <w:t>Pro Forma</w:t>
            </w:r>
          </w:p>
        </w:tc>
      </w:tr>
      <w:tr>
        <w:trPr>
          <w:trHeight w:val="169"/>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color w:val="auto"/>
              </w:rPr>
              <w:t>Actual</w:t>
            </w:r>
          </w:p>
        </w:tc>
        <w:tc>
          <w:tcPr>
            <w:tcW w:w="1040" w:type="dxa"/>
            <w:vAlign w:val="bottom"/>
            <w:gridSpan w:val="2"/>
          </w:tcPr>
          <w:p>
            <w:pPr>
              <w:ind w:left="80"/>
              <w:spacing w:after="0" w:line="170" w:lineRule="exact"/>
              <w:rPr>
                <w:sz w:val="20"/>
                <w:szCs w:val="20"/>
                <w:color w:val="auto"/>
              </w:rPr>
            </w:pPr>
            <w:r>
              <w:rPr>
                <w:rFonts w:ascii="Arial" w:cs="Arial" w:eastAsia="Arial" w:hAnsi="Arial"/>
                <w:sz w:val="12"/>
                <w:szCs w:val="12"/>
                <w:color w:val="auto"/>
              </w:rPr>
              <w:t>Adjustments</w:t>
            </w:r>
            <w:r>
              <w:rPr>
                <w:rFonts w:ascii="Arial" w:cs="Arial" w:eastAsia="Arial" w:hAnsi="Arial"/>
                <w:sz w:val="19"/>
                <w:szCs w:val="19"/>
                <w:color w:val="auto"/>
                <w:vertAlign w:val="superscript"/>
              </w:rPr>
              <w:t>(a)</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Actual</w:t>
            </w:r>
          </w:p>
        </w:tc>
        <w:tc>
          <w:tcPr>
            <w:tcW w:w="1040" w:type="dxa"/>
            <w:vAlign w:val="bottom"/>
            <w:gridSpan w:val="2"/>
          </w:tcPr>
          <w:p>
            <w:pPr>
              <w:ind w:left="80"/>
              <w:spacing w:after="0" w:line="170" w:lineRule="exact"/>
              <w:rPr>
                <w:sz w:val="20"/>
                <w:szCs w:val="20"/>
                <w:color w:val="auto"/>
              </w:rPr>
            </w:pPr>
            <w:r>
              <w:rPr>
                <w:rFonts w:ascii="Arial" w:cs="Arial" w:eastAsia="Arial" w:hAnsi="Arial"/>
                <w:sz w:val="12"/>
                <w:szCs w:val="12"/>
                <w:color w:val="auto"/>
              </w:rPr>
              <w:t>Adjustments</w:t>
            </w:r>
            <w:r>
              <w:rPr>
                <w:rFonts w:ascii="Arial" w:cs="Arial" w:eastAsia="Arial" w:hAnsi="Arial"/>
                <w:sz w:val="19"/>
                <w:szCs w:val="19"/>
                <w:color w:val="auto"/>
                <w:vertAlign w:val="superscript"/>
              </w:rPr>
              <w:t>(a)</w:t>
            </w: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Combined</w:t>
            </w:r>
          </w:p>
        </w:tc>
        <w:tc>
          <w:tcPr>
            <w:tcW w:w="760" w:type="dxa"/>
            <w:vAlign w:val="bottom"/>
          </w:tcPr>
          <w:p>
            <w:pPr>
              <w:jc w:val="right"/>
              <w:ind w:right="196"/>
              <w:spacing w:after="0"/>
              <w:rPr>
                <w:sz w:val="20"/>
                <w:szCs w:val="20"/>
                <w:color w:val="auto"/>
              </w:rPr>
            </w:pPr>
            <w:r>
              <w:rPr>
                <w:rFonts w:ascii="Arial" w:cs="Arial" w:eastAsia="Arial" w:hAnsi="Arial"/>
                <w:sz w:val="14"/>
                <w:szCs w:val="14"/>
                <w:color w:val="auto"/>
              </w:rPr>
              <w:t>Actual</w:t>
            </w:r>
          </w:p>
        </w:tc>
        <w:tc>
          <w:tcPr>
            <w:tcW w:w="920" w:type="dxa"/>
            <w:vAlign w:val="bottom"/>
          </w:tcPr>
          <w:p>
            <w:pPr>
              <w:jc w:val="right"/>
              <w:ind w:right="139"/>
              <w:spacing w:after="0"/>
              <w:rPr>
                <w:sz w:val="20"/>
                <w:szCs w:val="20"/>
                <w:color w:val="auto"/>
              </w:rPr>
            </w:pPr>
            <w:r>
              <w:rPr>
                <w:rFonts w:ascii="Arial" w:cs="Arial" w:eastAsia="Arial" w:hAnsi="Arial"/>
                <w:sz w:val="14"/>
                <w:szCs w:val="14"/>
                <w:color w:val="auto"/>
              </w:rPr>
              <w:t>Combined</w:t>
            </w:r>
          </w:p>
        </w:tc>
      </w:tr>
      <w:tr>
        <w:trPr>
          <w:trHeight w:val="199"/>
        </w:trPr>
        <w:tc>
          <w:tcPr>
            <w:tcW w:w="20" w:type="dxa"/>
            <w:vAlign w:val="bottom"/>
          </w:tcPr>
          <w:p>
            <w:pPr>
              <w:spacing w:after="0"/>
              <w:rPr>
                <w:sz w:val="17"/>
                <w:szCs w:val="17"/>
                <w:color w:val="auto"/>
              </w:rPr>
            </w:pPr>
          </w:p>
        </w:tc>
        <w:tc>
          <w:tcPr>
            <w:tcW w:w="37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9,628</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9,628</w:t>
            </w:r>
          </w:p>
        </w:tc>
        <w:tc>
          <w:tcPr>
            <w:tcW w:w="1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9,563</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9,563</w:t>
            </w:r>
          </w:p>
        </w:tc>
        <w:tc>
          <w:tcPr>
            <w:tcW w:w="140" w:type="dxa"/>
            <w:vAlign w:val="bottom"/>
          </w:tcPr>
          <w:p>
            <w:pPr>
              <w:spacing w:after="0"/>
              <w:rPr>
                <w:sz w:val="17"/>
                <w:szCs w:val="17"/>
                <w:color w:val="auto"/>
              </w:rPr>
            </w:pPr>
          </w:p>
        </w:tc>
        <w:tc>
          <w:tcPr>
            <w:tcW w:w="7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0.7%</w:t>
            </w: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8,530</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8,530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8,542</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8,542</w:t>
            </w:r>
          </w:p>
        </w:tc>
        <w:tc>
          <w:tcPr>
            <w:tcW w:w="140" w:type="dxa"/>
            <w:vAlign w:val="bottom"/>
          </w:tcPr>
          <w:p>
            <w:pPr>
              <w:spacing w:after="0"/>
              <w:rPr>
                <w:sz w:val="17"/>
                <w:szCs w:val="17"/>
                <w:color w:val="auto"/>
              </w:rPr>
            </w:pPr>
          </w:p>
        </w:tc>
        <w:tc>
          <w:tcPr>
            <w:tcW w:w="76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(0.1)</w:t>
            </w: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7,287</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7,287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5,008</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5,008</w:t>
            </w:r>
          </w:p>
        </w:tc>
        <w:tc>
          <w:tcPr>
            <w:tcW w:w="140" w:type="dxa"/>
            <w:vAlign w:val="bottom"/>
          </w:tcPr>
          <w:p>
            <w:pPr>
              <w:spacing w:after="0"/>
              <w:rPr>
                <w:sz w:val="17"/>
                <w:szCs w:val="17"/>
                <w:color w:val="auto"/>
              </w:rPr>
            </w:pPr>
          </w:p>
        </w:tc>
        <w:tc>
          <w:tcPr>
            <w:tcW w:w="7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45.5</w:t>
            </w: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3,339</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1,052</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2,623</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1,085</w:t>
            </w:r>
          </w:p>
        </w:tc>
        <w:tc>
          <w:tcPr>
            <w:tcW w:w="22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3,708</w:t>
            </w:r>
          </w:p>
        </w:tc>
        <w:tc>
          <w:tcPr>
            <w:tcW w:w="140" w:type="dxa"/>
            <w:vAlign w:val="bottom"/>
          </w:tcPr>
          <w:p>
            <w:pPr>
              <w:spacing w:after="0"/>
              <w:rPr>
                <w:sz w:val="17"/>
                <w:szCs w:val="17"/>
                <w:color w:val="auto"/>
              </w:rPr>
            </w:pPr>
          </w:p>
        </w:tc>
        <w:tc>
          <w:tcPr>
            <w:tcW w:w="7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27.3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r>
      <w:tr>
        <w:trPr>
          <w:trHeight w:val="199"/>
        </w:trPr>
        <w:tc>
          <w:tcPr>
            <w:tcW w:w="20" w:type="dxa"/>
            <w:vAlign w:val="bottom"/>
          </w:tcPr>
          <w:p>
            <w:pPr>
              <w:spacing w:after="0"/>
              <w:rPr>
                <w:sz w:val="17"/>
                <w:szCs w:val="17"/>
                <w:color w:val="auto"/>
              </w:rPr>
            </w:pPr>
          </w:p>
        </w:tc>
        <w:tc>
          <w:tcPr>
            <w:tcW w:w="37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Headquarters, other and eliminations</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(322)</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(308)</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(308)</w:t>
            </w: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ind w:right="196"/>
              <w:spacing w:after="0" w:line="200" w:lineRule="exact"/>
              <w:rPr>
                <w:sz w:val="20"/>
                <w:szCs w:val="20"/>
                <w:color w:val="auto"/>
              </w:rPr>
            </w:pPr>
            <w:r>
              <w:rPr>
                <w:rFonts w:ascii="Arial" w:cs="Arial" w:eastAsia="Arial" w:hAnsi="Arial"/>
                <w:sz w:val="18"/>
                <w:szCs w:val="18"/>
                <w:color w:val="auto"/>
              </w:rPr>
              <w:t>NM</w:t>
            </w:r>
          </w:p>
        </w:tc>
        <w:tc>
          <w:tcPr>
            <w:tcW w:w="9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28,462</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1,052</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29,514</w:t>
            </w:r>
          </w:p>
        </w:tc>
        <w:tc>
          <w:tcPr>
            <w:tcW w:w="160" w:type="dxa"/>
            <w:vAlign w:val="bottom"/>
          </w:tcPr>
          <w:p>
            <w:pPr>
              <w:spacing w:after="0"/>
              <w:rPr>
                <w:sz w:val="17"/>
                <w:szCs w:val="17"/>
                <w:color w:val="auto"/>
              </w:rPr>
            </w:pP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w w:val="98"/>
              </w:rPr>
              <w:t>25,428</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1,085</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color w:val="auto"/>
                <w:w w:val="98"/>
              </w:rPr>
              <w:t>26,513</w:t>
            </w:r>
          </w:p>
        </w:tc>
        <w:tc>
          <w:tcPr>
            <w:tcW w:w="140" w:type="dxa"/>
            <w:vAlign w:val="bottom"/>
          </w:tcPr>
          <w:p>
            <w:pPr>
              <w:spacing w:after="0"/>
              <w:rPr>
                <w:sz w:val="17"/>
                <w:szCs w:val="17"/>
                <w:color w:val="auto"/>
              </w:rPr>
            </w:pPr>
          </w:p>
        </w:tc>
        <w:tc>
          <w:tcPr>
            <w:tcW w:w="76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color w:val="auto"/>
              </w:rPr>
              <w:t>11.9%</w:t>
            </w:r>
          </w:p>
        </w:tc>
        <w:tc>
          <w:tcPr>
            <w:tcW w:w="9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77"/>
        </w:trPr>
        <w:tc>
          <w:tcPr>
            <w:tcW w:w="20" w:type="dxa"/>
            <w:vAlign w:val="bottom"/>
          </w:tcPr>
          <w:p>
            <w:pPr>
              <w:spacing w:after="0"/>
              <w:rPr>
                <w:sz w:val="15"/>
                <w:szCs w:val="15"/>
                <w:color w:val="auto"/>
              </w:rPr>
            </w:pPr>
          </w:p>
        </w:tc>
        <w:tc>
          <w:tcPr>
            <w:tcW w:w="372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 Before Depreciation and</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3720" w:type="dxa"/>
            <w:vAlign w:val="bottom"/>
          </w:tcPr>
          <w:p>
            <w:pPr>
              <w:ind w:left="20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3,499</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3,499</w:t>
            </w:r>
          </w:p>
        </w:tc>
        <w:tc>
          <w:tcPr>
            <w:tcW w:w="1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3,589</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3,589</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780</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780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734</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734</w:t>
            </w:r>
          </w:p>
        </w:tc>
        <w:tc>
          <w:tcPr>
            <w:tcW w:w="140" w:type="dxa"/>
            <w:vAlign w:val="bottom"/>
          </w:tcPr>
          <w:p>
            <w:pPr>
              <w:spacing w:after="0"/>
              <w:rPr>
                <w:sz w:val="17"/>
                <w:szCs w:val="17"/>
                <w:color w:val="auto"/>
              </w:rPr>
            </w:pPr>
          </w:p>
        </w:tc>
        <w:tc>
          <w:tcPr>
            <w:tcW w:w="7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6.3</w:t>
            </w: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1,234</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711</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711</w:t>
            </w:r>
          </w:p>
        </w:tc>
        <w:tc>
          <w:tcPr>
            <w:tcW w:w="140" w:type="dxa"/>
            <w:vAlign w:val="bottom"/>
          </w:tcPr>
          <w:p>
            <w:pPr>
              <w:spacing w:after="0"/>
              <w:rPr>
                <w:sz w:val="17"/>
                <w:szCs w:val="17"/>
                <w:color w:val="auto"/>
              </w:rPr>
            </w:pPr>
          </w:p>
        </w:tc>
        <w:tc>
          <w:tcPr>
            <w:tcW w:w="7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73.5</w:t>
            </w: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1,464</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22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1,096</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220" w:type="dxa"/>
            <w:vAlign w:val="bottom"/>
          </w:tcPr>
          <w:p>
            <w:pPr>
              <w:spacing w:after="0"/>
              <w:rPr>
                <w:sz w:val="17"/>
                <w:szCs w:val="17"/>
                <w:color w:val="auto"/>
              </w:rPr>
            </w:pPr>
          </w:p>
        </w:tc>
        <w:tc>
          <w:tcPr>
            <w:tcW w:w="6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1,547</w:t>
            </w:r>
          </w:p>
        </w:tc>
        <w:tc>
          <w:tcPr>
            <w:tcW w:w="140" w:type="dxa"/>
            <w:vAlign w:val="bottom"/>
          </w:tcPr>
          <w:p>
            <w:pPr>
              <w:spacing w:after="0"/>
              <w:rPr>
                <w:sz w:val="17"/>
                <w:szCs w:val="17"/>
                <w:color w:val="auto"/>
              </w:rPr>
            </w:pPr>
          </w:p>
        </w:tc>
        <w:tc>
          <w:tcPr>
            <w:tcW w:w="7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33.5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r>
      <w:tr>
        <w:trPr>
          <w:trHeight w:val="199"/>
        </w:trPr>
        <w:tc>
          <w:tcPr>
            <w:tcW w:w="20" w:type="dxa"/>
            <w:vAlign w:val="bottom"/>
          </w:tcPr>
          <w:p>
            <w:pPr>
              <w:spacing w:after="0"/>
              <w:rPr>
                <w:sz w:val="17"/>
                <w:szCs w:val="17"/>
                <w:color w:val="auto"/>
              </w:rPr>
            </w:pPr>
          </w:p>
        </w:tc>
        <w:tc>
          <w:tcPr>
            <w:tcW w:w="37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Headquarters, other and eliminations</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(625)</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(625)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(614)</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(614)</w:t>
            </w: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(1.8)</w:t>
            </w:r>
          </w:p>
        </w:tc>
        <w:tc>
          <w:tcPr>
            <w:tcW w:w="920" w:type="dxa"/>
            <w:vAlign w:val="bottom"/>
            <w:tcBorders>
              <w:bottom w:val="single" w:sz="8" w:color="auto"/>
            </w:tcBorders>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3720" w:type="dxa"/>
            <w:vAlign w:val="bottom"/>
          </w:tcPr>
          <w:p>
            <w:pPr>
              <w:spacing w:after="0" w:line="177" w:lineRule="exact"/>
              <w:rPr>
                <w:sz w:val="20"/>
                <w:szCs w:val="20"/>
                <w:color w:val="auto"/>
              </w:rPr>
            </w:pPr>
            <w:r>
              <w:rPr>
                <w:rFonts w:ascii="Arial" w:cs="Arial" w:eastAsia="Arial" w:hAnsi="Arial"/>
                <w:sz w:val="18"/>
                <w:szCs w:val="18"/>
                <w:b w:val="1"/>
                <w:bCs w:val="1"/>
                <w:color w:val="auto"/>
                <w:w w:val="99"/>
              </w:rPr>
              <w:t>Total operating income before depreciation</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72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and amortization</w:t>
            </w:r>
          </w:p>
        </w:tc>
        <w:tc>
          <w:tcPr>
            <w:tcW w:w="2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rPr>
                <w:sz w:val="20"/>
                <w:szCs w:val="20"/>
                <w:color w:val="auto"/>
              </w:rPr>
            </w:pPr>
            <w:r>
              <w:rPr>
                <w:rFonts w:ascii="Arial" w:cs="Arial" w:eastAsia="Arial" w:hAnsi="Arial"/>
                <w:sz w:val="18"/>
                <w:szCs w:val="18"/>
                <w:color w:val="auto"/>
              </w:rPr>
              <w:t>6,352</w:t>
            </w:r>
          </w:p>
        </w:tc>
        <w:tc>
          <w:tcPr>
            <w:tcW w:w="240" w:type="dxa"/>
            <w:vAlign w:val="bottom"/>
            <w:tcBorders>
              <w:bottom w:val="single" w:sz="8" w:color="0C6DFF"/>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color w:val="auto"/>
              </w:rPr>
              <w:t>6,840</w:t>
            </w:r>
          </w:p>
        </w:tc>
        <w:tc>
          <w:tcPr>
            <w:tcW w:w="160" w:type="dxa"/>
            <w:vAlign w:val="bottom"/>
          </w:tcPr>
          <w:p>
            <w:pPr>
              <w:spacing w:after="0"/>
              <w:rPr>
                <w:sz w:val="19"/>
                <w:szCs w:val="19"/>
                <w:color w:val="auto"/>
              </w:rPr>
            </w:pP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color w:val="auto"/>
              </w:rPr>
              <w:t>5,516</w:t>
            </w:r>
          </w:p>
        </w:tc>
        <w:tc>
          <w:tcPr>
            <w:tcW w:w="240" w:type="dxa"/>
            <w:vAlign w:val="bottom"/>
            <w:tcBorders>
              <w:bottom w:val="single" w:sz="8" w:color="0C6DFF"/>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color w:val="auto"/>
              </w:rPr>
              <w:t>5,967</w:t>
            </w:r>
          </w:p>
        </w:tc>
        <w:tc>
          <w:tcPr>
            <w:tcW w:w="140" w:type="dxa"/>
            <w:vAlign w:val="bottom"/>
          </w:tcPr>
          <w:p>
            <w:pPr>
              <w:spacing w:after="0"/>
              <w:rPr>
                <w:sz w:val="19"/>
                <w:szCs w:val="19"/>
                <w:color w:val="auto"/>
              </w:rPr>
            </w:pPr>
          </w:p>
        </w:tc>
        <w:tc>
          <w:tcPr>
            <w:tcW w:w="760" w:type="dxa"/>
            <w:vAlign w:val="bottom"/>
            <w:tcBorders>
              <w:bottom w:val="single" w:sz="8" w:color="0C6DFF"/>
            </w:tcBorders>
          </w:tcPr>
          <w:p>
            <w:pPr>
              <w:jc w:val="right"/>
              <w:ind w:right="36"/>
              <w:spacing w:after="0"/>
              <w:rPr>
                <w:sz w:val="20"/>
                <w:szCs w:val="20"/>
                <w:color w:val="auto"/>
              </w:rPr>
            </w:pPr>
            <w:r>
              <w:rPr>
                <w:rFonts w:ascii="Arial" w:cs="Arial" w:eastAsia="Arial" w:hAnsi="Arial"/>
                <w:sz w:val="18"/>
                <w:szCs w:val="18"/>
                <w:color w:val="auto"/>
              </w:rPr>
              <w:t>15.1%</w:t>
            </w:r>
          </w:p>
        </w:tc>
        <w:tc>
          <w:tcPr>
            <w:tcW w:w="9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14.6%</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5" w:lineRule="exact"/>
        <w:rPr>
          <w:sz w:val="20"/>
          <w:szCs w:val="20"/>
          <w:color w:val="auto"/>
        </w:rPr>
      </w:pPr>
    </w:p>
    <w:p>
      <w:pPr>
        <w:jc w:val="both"/>
        <w:ind w:left="300" w:hanging="292"/>
        <w:spacing w:after="0" w:line="226" w:lineRule="auto"/>
        <w:tabs>
          <w:tab w:leader="none" w:pos="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 forma adjustments are presented as if the acquisition of the 51% interest of Universal Studios Japan occurred on January 1, 2014. Pro forma information does not include adjustments for transaction-related costs, costs related to integration activities, or cost savings or synergies that have been or may be achieved by the combined businesses. The pro forma amounts are primarily based on historical results of operations, adjusted for the allocation of purchase price, and are not necessarily indicative of what our results would have been had we operated Universal Studios Japan since January 1, 2014, nor of our future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Networks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9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6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 to 2016</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2014 to 2015</w:t>
            </w:r>
          </w:p>
        </w:tc>
        <w:tc>
          <w:tcPr>
            <w:tcW w:w="0" w:type="dxa"/>
            <w:vAlign w:val="bottom"/>
          </w:tcPr>
          <w:p>
            <w:pPr>
              <w:spacing w:after="0"/>
              <w:rPr>
                <w:sz w:val="1"/>
                <w:szCs w:val="1"/>
                <w:color w:val="auto"/>
              </w:rPr>
            </w:pPr>
          </w:p>
        </w:tc>
      </w:tr>
      <w:tr>
        <w:trPr>
          <w:trHeight w:val="199"/>
        </w:trPr>
        <w:tc>
          <w:tcPr>
            <w:tcW w:w="62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6,078</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60" w:type="dxa"/>
            <w:vAlign w:val="bottom"/>
          </w:tcPr>
          <w:p>
            <w:pPr>
              <w:ind w:left="200"/>
              <w:spacing w:after="0" w:line="181" w:lineRule="exact"/>
              <w:rPr>
                <w:sz w:val="20"/>
                <w:szCs w:val="20"/>
                <w:color w:val="auto"/>
              </w:rPr>
            </w:pPr>
            <w:r>
              <w:rPr>
                <w:rFonts w:ascii="Arial" w:cs="Arial" w:eastAsia="Arial" w:hAnsi="Arial"/>
                <w:sz w:val="18"/>
                <w:szCs w:val="18"/>
                <w:color w:val="auto"/>
              </w:rPr>
              <w:t>Distribution</w:t>
            </w:r>
          </w:p>
        </w:tc>
        <w:tc>
          <w:tcPr>
            <w:tcW w:w="5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$ 5,461</w:t>
            </w:r>
          </w:p>
        </w:tc>
        <w:tc>
          <w:tcPr>
            <w:tcW w:w="820" w:type="dxa"/>
            <w:vAlign w:val="bottom"/>
          </w:tcPr>
          <w:p>
            <w:pPr>
              <w:jc w:val="right"/>
              <w:ind w:right="36"/>
              <w:spacing w:after="0" w:line="181" w:lineRule="exact"/>
              <w:rPr>
                <w:sz w:val="20"/>
                <w:szCs w:val="20"/>
                <w:color w:val="auto"/>
              </w:rPr>
            </w:pPr>
            <w:r>
              <w:rPr>
                <w:rFonts w:ascii="Arial" w:cs="Arial" w:eastAsia="Arial" w:hAnsi="Arial"/>
                <w:sz w:val="18"/>
                <w:szCs w:val="18"/>
                <w:color w:val="auto"/>
              </w:rPr>
              <w:t>$ 5,307</w:t>
            </w:r>
          </w:p>
        </w:tc>
        <w:tc>
          <w:tcPr>
            <w:tcW w:w="1140" w:type="dxa"/>
            <w:vAlign w:val="bottom"/>
            <w:vMerge w:val="continue"/>
          </w:tcPr>
          <w:p>
            <w:pPr>
              <w:spacing w:after="0"/>
              <w:rPr>
                <w:sz w:val="15"/>
                <w:szCs w:val="15"/>
                <w:color w:val="auto"/>
              </w:rPr>
            </w:pPr>
          </w:p>
        </w:tc>
        <w:tc>
          <w:tcPr>
            <w:tcW w:w="1140" w:type="dxa"/>
            <w:vAlign w:val="bottom"/>
          </w:tcPr>
          <w:p>
            <w:pPr>
              <w:jc w:val="right"/>
              <w:ind w:right="36"/>
              <w:spacing w:after="0" w:line="181"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56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3,566</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3,435</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3,494</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3.8</w:t>
            </w:r>
          </w:p>
        </w:tc>
        <w:tc>
          <w:tcPr>
            <w:tcW w:w="11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Content licensing and other</w:t>
            </w: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820</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732</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762</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11.9</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6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560" w:type="dxa"/>
            <w:vAlign w:val="bottom"/>
          </w:tcPr>
          <w:p>
            <w:pPr>
              <w:spacing w:after="0"/>
              <w:rPr>
                <w:sz w:val="15"/>
                <w:szCs w:val="15"/>
                <w:color w:val="auto"/>
              </w:rPr>
            </w:pPr>
          </w:p>
        </w:tc>
        <w:tc>
          <w:tcPr>
            <w:tcW w:w="68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w w:val="98"/>
              </w:rPr>
              <w:t>10,464</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9,628</w:t>
            </w:r>
          </w:p>
        </w:tc>
        <w:tc>
          <w:tcPr>
            <w:tcW w:w="820" w:type="dxa"/>
            <w:vAlign w:val="bottom"/>
          </w:tcPr>
          <w:p>
            <w:pPr>
              <w:jc w:val="right"/>
              <w:ind w:right="36"/>
              <w:spacing w:after="0" w:line="177" w:lineRule="exact"/>
              <w:rPr>
                <w:sz w:val="20"/>
                <w:szCs w:val="20"/>
                <w:color w:val="auto"/>
              </w:rPr>
            </w:pPr>
            <w:r>
              <w:rPr>
                <w:rFonts w:ascii="Arial" w:cs="Arial" w:eastAsia="Arial" w:hAnsi="Arial"/>
                <w:sz w:val="18"/>
                <w:szCs w:val="18"/>
                <w:color w:val="auto"/>
              </w:rPr>
              <w:t>9,563</w:t>
            </w:r>
          </w:p>
        </w:tc>
        <w:tc>
          <w:tcPr>
            <w:tcW w:w="114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8.7</w:t>
            </w:r>
          </w:p>
        </w:tc>
        <w:tc>
          <w:tcPr>
            <w:tcW w:w="1140" w:type="dxa"/>
            <w:vAlign w:val="bottom"/>
          </w:tcPr>
          <w:p>
            <w:pPr>
              <w:jc w:val="right"/>
              <w:ind w:right="176"/>
              <w:spacing w:after="0" w:line="177"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60" w:type="dxa"/>
            <w:vAlign w:val="bottom"/>
          </w:tcPr>
          <w:p>
            <w:pPr>
              <w:spacing w:after="0"/>
              <w:rPr>
                <w:sz w:val="19"/>
                <w:szCs w:val="19"/>
                <w:color w:val="auto"/>
              </w:rPr>
            </w:pPr>
          </w:p>
        </w:tc>
        <w:tc>
          <w:tcPr>
            <w:tcW w:w="6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4,932</w:t>
            </w: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14.2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6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5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4,319</w:t>
            </w:r>
          </w:p>
        </w:tc>
        <w:tc>
          <w:tcPr>
            <w:tcW w:w="820" w:type="dxa"/>
            <w:vAlign w:val="bottom"/>
          </w:tcPr>
          <w:p>
            <w:pPr>
              <w:jc w:val="right"/>
              <w:ind w:right="36"/>
              <w:spacing w:after="0" w:line="181" w:lineRule="exact"/>
              <w:rPr>
                <w:sz w:val="20"/>
                <w:szCs w:val="20"/>
                <w:color w:val="auto"/>
              </w:rPr>
            </w:pPr>
            <w:r>
              <w:rPr>
                <w:rFonts w:ascii="Arial" w:cs="Arial" w:eastAsia="Arial" w:hAnsi="Arial"/>
                <w:sz w:val="18"/>
                <w:szCs w:val="18"/>
                <w:color w:val="auto"/>
              </w:rPr>
              <w:t>4,241</w:t>
            </w:r>
          </w:p>
        </w:tc>
        <w:tc>
          <w:tcPr>
            <w:tcW w:w="1140" w:type="dxa"/>
            <w:vAlign w:val="bottom"/>
            <w:vMerge w:val="continue"/>
          </w:tcPr>
          <w:p>
            <w:pPr>
              <w:spacing w:after="0"/>
              <w:rPr>
                <w:sz w:val="15"/>
                <w:szCs w:val="15"/>
                <w:color w:val="auto"/>
              </w:rPr>
            </w:pPr>
          </w:p>
        </w:tc>
        <w:tc>
          <w:tcPr>
            <w:tcW w:w="1140" w:type="dxa"/>
            <w:vAlign w:val="bottom"/>
          </w:tcPr>
          <w:p>
            <w:pPr>
              <w:jc w:val="right"/>
              <w:ind w:right="176"/>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56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1,310</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1,270</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1,232</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3.2</w:t>
            </w:r>
          </w:p>
        </w:tc>
        <w:tc>
          <w:tcPr>
            <w:tcW w:w="11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513</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540</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501</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(5.1)</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5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6,755</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6,129</w:t>
            </w:r>
          </w:p>
        </w:tc>
        <w:tc>
          <w:tcPr>
            <w:tcW w:w="8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5,974</w:t>
            </w:r>
          </w:p>
        </w:tc>
        <w:tc>
          <w:tcPr>
            <w:tcW w:w="11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10.2</w:t>
            </w:r>
          </w:p>
        </w:tc>
        <w:tc>
          <w:tcPr>
            <w:tcW w:w="1140" w:type="dxa"/>
            <w:vAlign w:val="bottom"/>
            <w:tcBorders>
              <w:bottom w:val="single" w:sz="8" w:color="auto"/>
            </w:tcBorders>
          </w:tcPr>
          <w:p>
            <w:pPr>
              <w:jc w:val="right"/>
              <w:ind w:right="176"/>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2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3,709</w:t>
            </w:r>
          </w:p>
        </w:tc>
        <w:tc>
          <w:tcPr>
            <w:tcW w:w="8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$ 3,499</w:t>
            </w:r>
          </w:p>
        </w:tc>
        <w:tc>
          <w:tcPr>
            <w:tcW w:w="820" w:type="dxa"/>
            <w:vAlign w:val="bottom"/>
          </w:tcPr>
          <w:p>
            <w:pPr>
              <w:jc w:val="right"/>
              <w:ind w:right="36"/>
              <w:spacing w:after="0" w:line="196" w:lineRule="exact"/>
              <w:rPr>
                <w:sz w:val="20"/>
                <w:szCs w:val="20"/>
                <w:color w:val="auto"/>
              </w:rPr>
            </w:pPr>
            <w:r>
              <w:rPr>
                <w:rFonts w:ascii="Arial" w:cs="Arial" w:eastAsia="Arial" w:hAnsi="Arial"/>
                <w:sz w:val="18"/>
                <w:szCs w:val="18"/>
                <w:color w:val="auto"/>
              </w:rPr>
              <w:t>$ 3,589</w:t>
            </w: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6260" w:type="dxa"/>
            <w:vAlign w:val="bottom"/>
            <w:tcBorders>
              <w:top w:val="single" w:sz="8" w:color="0C6DFF"/>
            </w:tcBorders>
          </w:tcPr>
          <w:p>
            <w:pPr>
              <w:ind w:left="5660"/>
              <w:spacing w:after="0"/>
              <w:rPr>
                <w:sz w:val="20"/>
                <w:szCs w:val="20"/>
                <w:color w:val="auto"/>
              </w:rPr>
            </w:pPr>
            <w:r>
              <w:rPr>
                <w:rFonts w:ascii="Arial" w:cs="Arial" w:eastAsia="Arial" w:hAnsi="Arial"/>
                <w:sz w:val="14"/>
                <w:szCs w:val="14"/>
                <w:b w:val="1"/>
                <w:bCs w:val="1"/>
                <w:color w:val="auto"/>
              </w:rPr>
              <w:t>53</w:t>
            </w:r>
          </w:p>
        </w:tc>
        <w:tc>
          <w:tcPr>
            <w:tcW w:w="560" w:type="dxa"/>
            <w:vAlign w:val="bottom"/>
            <w:tcBorders>
              <w:top w:val="single" w:sz="8" w:color="0C6DFF"/>
            </w:tcBorders>
          </w:tcPr>
          <w:p>
            <w:pPr>
              <w:spacing w:after="0"/>
              <w:rPr>
                <w:sz w:val="24"/>
                <w:szCs w:val="24"/>
                <w:color w:val="auto"/>
              </w:rPr>
            </w:pPr>
          </w:p>
        </w:tc>
        <w:tc>
          <w:tcPr>
            <w:tcW w:w="680" w:type="dxa"/>
            <w:vAlign w:val="bottom"/>
            <w:tcBorders>
              <w:top w:val="single" w:sz="8" w:color="0C6DFF"/>
            </w:tcBorders>
          </w:tcPr>
          <w:p>
            <w:pPr>
              <w:spacing w:after="0"/>
              <w:rPr>
                <w:sz w:val="24"/>
                <w:szCs w:val="24"/>
                <w:color w:val="auto"/>
              </w:rPr>
            </w:pPr>
          </w:p>
        </w:tc>
        <w:tc>
          <w:tcPr>
            <w:tcW w:w="800" w:type="dxa"/>
            <w:vAlign w:val="bottom"/>
            <w:tcBorders>
              <w:top w:val="single" w:sz="8" w:color="0C6DFF"/>
            </w:tcBorders>
          </w:tcPr>
          <w:p>
            <w:pPr>
              <w:spacing w:after="0"/>
              <w:rPr>
                <w:sz w:val="24"/>
                <w:szCs w:val="24"/>
                <w:color w:val="auto"/>
              </w:rPr>
            </w:pPr>
          </w:p>
        </w:tc>
        <w:tc>
          <w:tcPr>
            <w:tcW w:w="3100" w:type="dxa"/>
            <w:vAlign w:val="bottom"/>
            <w:tcBorders>
              <w:top w:val="single" w:sz="8" w:color="0C6DFF"/>
            </w:tcBorders>
            <w:gridSpan w:val="3"/>
          </w:tcPr>
          <w:p>
            <w:pPr>
              <w:jc w:val="right"/>
              <w:spacing w:after="0"/>
              <w:rPr>
                <w:sz w:val="20"/>
                <w:szCs w:val="20"/>
                <w:color w:val="auto"/>
              </w:rPr>
            </w:pPr>
            <w:r>
              <w:rPr>
                <w:rFonts w:ascii="Arial" w:cs="Arial" w:eastAsia="Arial" w:hAnsi="Arial"/>
                <w:sz w:val="14"/>
                <w:szCs w:val="14"/>
                <w:color w:val="auto"/>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Distribution</w:t>
      </w:r>
    </w:p>
    <w:p>
      <w:pPr>
        <w:jc w:val="both"/>
        <w:ind w:right="20"/>
        <w:spacing w:after="0" w:line="239" w:lineRule="auto"/>
        <w:rPr>
          <w:sz w:val="20"/>
          <w:szCs w:val="20"/>
          <w:color w:val="auto"/>
        </w:rPr>
      </w:pPr>
      <w:r>
        <w:rPr>
          <w:rFonts w:ascii="Arial" w:cs="Arial" w:eastAsia="Arial" w:hAnsi="Arial"/>
          <w:sz w:val="18"/>
          <w:szCs w:val="18"/>
          <w:color w:val="auto"/>
        </w:rPr>
        <w:t>Distribution revenue is generated from the distribution of our cable network programming to multichannel video providers and is affected by the number of subscribers receiving our cable networks and the fees we charge per subscriber.</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Distribution revenue increased in 2016 primarily due to increases in the contractual rates charged under distribution agreements and contract renewals, as well as $298 million of revenue associated with our broadcast of the 2016 Rio Olympics, which were partially offset by a decline in the number of subscribers at some of our cable networks. Distribution revenue increased in 2015 primarily due to increases in the contractual rates charged under distribution agreements that were partially attributable to the premiere of NASCAR programming on the NBC Sports Network in 2015. The increases in 2015 were partially offset by a decrease in revenue from a decline in the number of subscribers at some of our cable networks and $177 million of revenue in 2014 associated with our broadcast of the 2014 Sochi Olympics. Excluding revenue associated with our broadcasts of the 2016 Rio Olympics and the 2014 Sochi Olympics, distribution revenue increased 5.8% and 6.5% in 2016 and 2015,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70" w:lineRule="auto"/>
        <w:rPr>
          <w:sz w:val="20"/>
          <w:szCs w:val="20"/>
          <w:color w:val="auto"/>
        </w:rPr>
      </w:pPr>
      <w:r>
        <w:rPr>
          <w:rFonts w:ascii="Arial" w:cs="Arial" w:eastAsia="Arial" w:hAnsi="Arial"/>
          <w:sz w:val="16"/>
          <w:szCs w:val="16"/>
          <w:color w:val="auto"/>
        </w:rPr>
        <w:t>Advertising revenue is generated from the sale of advertising units sold on our cable networks and related digital media properties. Advertising revenue is primarily based on the price we charge for each advertising unit, which is generally based on audience ratings, the value of our viewer demographics to advertisers and the number of advertising units we can place in our cable networks’ programming schedules. Advertising revenue is affected by the audience ratings of our programming, the strength of the national advertising market and general economic conditions. Audience ratings at our cable networks have declined, which has negatively affected advertising revenue in recent years, and may continue to decline as the number of programming choices, such as subscription video on demand services, continues to increase and as more viewers use DVRs and video on demand services to view our content outside of traditional audience ratings measurement periods.</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increased in 2016 primarily due to $134 million of revenue associated with our broadcast of the 2016 Rio Olympics. Also, higher prices for advertising units were offset by the impact of declining audience ratings. Advertising revenue decreased in 2015 primarily due to $80 million of revenue in 2014 associated with our broadcast of the 2014 Sochi Olympics. In addition, the impact of declining audience ratings in 2015 was partially offset by higher prices for, and an increase in the volume of, advertising units sold, as well as increased advertising revenue associated with the broadcast of NASCAR programming. Excluding revenue associated with our broadcasts of the 2016 Rio Olympics and the 2014 Sochi Olympics, advertising revenue decreased slightly in 2016 and increased slightly in 2015 due to the broadcast of NASCAR programming.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 and Other</w:t>
      </w:r>
    </w:p>
    <w:p>
      <w:pPr>
        <w:jc w:val="both"/>
        <w:spacing w:after="0" w:line="237" w:lineRule="auto"/>
        <w:rPr>
          <w:sz w:val="20"/>
          <w:szCs w:val="20"/>
          <w:color w:val="auto"/>
        </w:rPr>
      </w:pPr>
      <w:r>
        <w:rPr>
          <w:rFonts w:ascii="Arial" w:cs="Arial" w:eastAsia="Arial" w:hAnsi="Arial"/>
          <w:sz w:val="18"/>
          <w:szCs w:val="18"/>
          <w:color w:val="auto"/>
        </w:rPr>
        <w:t>Content licensing and other revenue is generated primarily from the licensing of our owned programming in the United States and internationally to cable and broadcast networks and subscription video on demand services, as well as from the sale of our owned programming on DVDs and through digital distribution services such as iTunes. In addition, our cable television studio production operations generate revenue from programming it produces for third-party networks and subscription video on demand services.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Content licensing and other revenue increased in 2016 and decreased in 2015 primarily due to the timing of content provided under our licensing agreements.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2016, 2015 and 2014, 14%, 13% and 12%, respectively, of our Cable Networks segment revenue was generated from our Cable Communications segment. These amounts are eliminated in Comcast’s consolidated financial statements but are included in the amounts presented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 Costs</w:t>
      </w:r>
    </w:p>
    <w:p>
      <w:pPr>
        <w:jc w:val="both"/>
        <w:spacing w:after="0" w:line="238" w:lineRule="auto"/>
        <w:rPr>
          <w:sz w:val="20"/>
          <w:szCs w:val="20"/>
          <w:color w:val="auto"/>
        </w:rPr>
      </w:pPr>
      <w:r>
        <w:rPr>
          <w:rFonts w:ascii="Arial" w:cs="Arial" w:eastAsia="Arial" w:hAnsi="Arial"/>
          <w:sz w:val="18"/>
          <w:szCs w:val="18"/>
          <w:color w:val="auto"/>
        </w:rPr>
        <w:t>Programming and production costs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Programming and production costs increased in 2016 primarily due to our broadcast of the 2016 Rio Olympics, as well as an increase in other sports programming rights costs. Programming and production costs increased in 2015 primarily due to our continued investment in programming, including the premiere of NASCAR programming and other sports programming rights costs. These increases in 2015 were partially offset by costs in 2014 associated with our broadcast of the 2014 Sochi Olympics.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 Costs and Expenses</w:t>
      </w:r>
    </w:p>
    <w:p>
      <w:pPr>
        <w:jc w:val="both"/>
        <w:spacing w:after="0" w:line="239" w:lineRule="auto"/>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 and these costs increased in 2016 and 2015 primarily due to increases in employee-related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8"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programming on our cable networks and related digital media properties. These expenses decreased in 2016 and increased in 2015 primarily due to increased spending on marketing in 2015 related to the launch of new programming on our cable networks.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Broadcast Television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9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6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 to 2016</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2014 to 2015</w:t>
            </w:r>
          </w:p>
        </w:tc>
        <w:tc>
          <w:tcPr>
            <w:tcW w:w="0" w:type="dxa"/>
            <w:vAlign w:val="bottom"/>
          </w:tcPr>
          <w:p>
            <w:pPr>
              <w:spacing w:after="0"/>
              <w:rPr>
                <w:sz w:val="1"/>
                <w:szCs w:val="1"/>
                <w:color w:val="auto"/>
              </w:rPr>
            </w:pPr>
          </w:p>
        </w:tc>
      </w:tr>
      <w:tr>
        <w:trPr>
          <w:trHeight w:val="199"/>
        </w:trPr>
        <w:tc>
          <w:tcPr>
            <w:tcW w:w="62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6,834</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60" w:type="dxa"/>
            <w:vAlign w:val="bottom"/>
          </w:tcPr>
          <w:p>
            <w:pPr>
              <w:ind w:left="200"/>
              <w:spacing w:after="0" w:line="181" w:lineRule="exact"/>
              <w:rPr>
                <w:sz w:val="20"/>
                <w:szCs w:val="20"/>
                <w:color w:val="auto"/>
              </w:rPr>
            </w:pPr>
            <w:r>
              <w:rPr>
                <w:rFonts w:ascii="Arial" w:cs="Arial" w:eastAsia="Arial" w:hAnsi="Arial"/>
                <w:sz w:val="18"/>
                <w:szCs w:val="18"/>
                <w:color w:val="auto"/>
              </w:rPr>
              <w:t>Advertising</w:t>
            </w:r>
          </w:p>
        </w:tc>
        <w:tc>
          <w:tcPr>
            <w:tcW w:w="5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5,747</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6"/>
              <w:spacing w:after="0" w:line="181" w:lineRule="exact"/>
              <w:rPr>
                <w:sz w:val="20"/>
                <w:szCs w:val="20"/>
                <w:color w:val="auto"/>
              </w:rPr>
            </w:pPr>
            <w:r>
              <w:rPr>
                <w:rFonts w:ascii="Arial" w:cs="Arial" w:eastAsia="Arial" w:hAnsi="Arial"/>
                <w:sz w:val="18"/>
                <w:szCs w:val="18"/>
                <w:color w:val="auto"/>
                <w:w w:val="97"/>
              </w:rPr>
              <w:t>5,888</w:t>
            </w:r>
          </w:p>
        </w:tc>
        <w:tc>
          <w:tcPr>
            <w:tcW w:w="1140" w:type="dxa"/>
            <w:vAlign w:val="bottom"/>
            <w:vMerge w:val="continue"/>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56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1,899</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1,784</w:t>
            </w:r>
          </w:p>
        </w:tc>
        <w:tc>
          <w:tcPr>
            <w:tcW w:w="240" w:type="dxa"/>
            <w:vAlign w:val="bottom"/>
          </w:tcPr>
          <w:p>
            <w:pPr>
              <w:spacing w:after="0"/>
              <w:rPr>
                <w:sz w:val="17"/>
                <w:szCs w:val="17"/>
                <w:color w:val="auto"/>
              </w:rPr>
            </w:pP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color w:val="auto"/>
                <w:w w:val="97"/>
              </w:rPr>
              <w:t>1,569</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6.4</w:t>
            </w:r>
          </w:p>
        </w:tc>
        <w:tc>
          <w:tcPr>
            <w:tcW w:w="11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Distribution and other</w:t>
            </w: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1,414</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999</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7"/>
              </w:rPr>
              <w:t>1,085</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41.5</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6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560" w:type="dxa"/>
            <w:vAlign w:val="bottom"/>
          </w:tcPr>
          <w:p>
            <w:pPr>
              <w:spacing w:after="0"/>
              <w:rPr>
                <w:sz w:val="15"/>
                <w:szCs w:val="15"/>
                <w:color w:val="auto"/>
              </w:rPr>
            </w:pPr>
          </w:p>
        </w:tc>
        <w:tc>
          <w:tcPr>
            <w:tcW w:w="68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w w:val="98"/>
              </w:rPr>
              <w:t>10,147</w:t>
            </w:r>
          </w:p>
        </w:tc>
        <w:tc>
          <w:tcPr>
            <w:tcW w:w="220" w:type="dxa"/>
            <w:vAlign w:val="bottom"/>
          </w:tcPr>
          <w:p>
            <w:pPr>
              <w:spacing w:after="0"/>
              <w:rPr>
                <w:sz w:val="15"/>
                <w:szCs w:val="15"/>
                <w:color w:val="auto"/>
              </w:rPr>
            </w:pPr>
          </w:p>
        </w:tc>
        <w:tc>
          <w:tcPr>
            <w:tcW w:w="5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8,530</w:t>
            </w:r>
          </w:p>
        </w:tc>
        <w:tc>
          <w:tcPr>
            <w:tcW w:w="240" w:type="dxa"/>
            <w:vAlign w:val="bottom"/>
          </w:tcPr>
          <w:p>
            <w:pPr>
              <w:spacing w:after="0"/>
              <w:rPr>
                <w:sz w:val="15"/>
                <w:szCs w:val="15"/>
                <w:color w:val="auto"/>
              </w:rPr>
            </w:pPr>
          </w:p>
        </w:tc>
        <w:tc>
          <w:tcPr>
            <w:tcW w:w="580" w:type="dxa"/>
            <w:vAlign w:val="bottom"/>
          </w:tcPr>
          <w:p>
            <w:pPr>
              <w:jc w:val="right"/>
              <w:ind w:right="36"/>
              <w:spacing w:after="0" w:line="177" w:lineRule="exact"/>
              <w:rPr>
                <w:sz w:val="20"/>
                <w:szCs w:val="20"/>
                <w:color w:val="auto"/>
              </w:rPr>
            </w:pPr>
            <w:r>
              <w:rPr>
                <w:rFonts w:ascii="Arial" w:cs="Arial" w:eastAsia="Arial" w:hAnsi="Arial"/>
                <w:sz w:val="18"/>
                <w:szCs w:val="18"/>
                <w:color w:val="auto"/>
                <w:w w:val="97"/>
              </w:rPr>
              <w:t>8,542</w:t>
            </w:r>
          </w:p>
        </w:tc>
        <w:tc>
          <w:tcPr>
            <w:tcW w:w="114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19.0</w:t>
            </w:r>
          </w:p>
        </w:tc>
        <w:tc>
          <w:tcPr>
            <w:tcW w:w="114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60" w:type="dxa"/>
            <w:vAlign w:val="bottom"/>
          </w:tcPr>
          <w:p>
            <w:pPr>
              <w:spacing w:after="0"/>
              <w:rPr>
                <w:sz w:val="19"/>
                <w:szCs w:val="19"/>
                <w:color w:val="auto"/>
              </w:rPr>
            </w:pPr>
          </w:p>
        </w:tc>
        <w:tc>
          <w:tcPr>
            <w:tcW w:w="6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6,984</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17.4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6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5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5,950</w:t>
            </w:r>
          </w:p>
        </w:tc>
        <w:tc>
          <w:tcPr>
            <w:tcW w:w="240" w:type="dxa"/>
            <w:vAlign w:val="bottom"/>
          </w:tcPr>
          <w:p>
            <w:pPr>
              <w:spacing w:after="0"/>
              <w:rPr>
                <w:sz w:val="15"/>
                <w:szCs w:val="15"/>
                <w:color w:val="auto"/>
              </w:rPr>
            </w:pPr>
          </w:p>
        </w:tc>
        <w:tc>
          <w:tcPr>
            <w:tcW w:w="580" w:type="dxa"/>
            <w:vAlign w:val="bottom"/>
          </w:tcPr>
          <w:p>
            <w:pPr>
              <w:jc w:val="right"/>
              <w:ind w:right="36"/>
              <w:spacing w:after="0" w:line="181" w:lineRule="exact"/>
              <w:rPr>
                <w:sz w:val="20"/>
                <w:szCs w:val="20"/>
                <w:color w:val="auto"/>
              </w:rPr>
            </w:pPr>
            <w:r>
              <w:rPr>
                <w:rFonts w:ascii="Arial" w:cs="Arial" w:eastAsia="Arial" w:hAnsi="Arial"/>
                <w:sz w:val="18"/>
                <w:szCs w:val="18"/>
                <w:color w:val="auto"/>
                <w:w w:val="97"/>
              </w:rPr>
              <w:t>6,127</w:t>
            </w:r>
          </w:p>
        </w:tc>
        <w:tc>
          <w:tcPr>
            <w:tcW w:w="1140" w:type="dxa"/>
            <w:vAlign w:val="bottom"/>
            <w:vMerge w:val="continue"/>
          </w:tcPr>
          <w:p>
            <w:pPr>
              <w:spacing w:after="0"/>
              <w:rPr>
                <w:sz w:val="15"/>
                <w:szCs w:val="15"/>
                <w:color w:val="auto"/>
              </w:rPr>
            </w:pPr>
          </w:p>
        </w:tc>
        <w:tc>
          <w:tcPr>
            <w:tcW w:w="114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56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1,381</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1,276</w:t>
            </w:r>
          </w:p>
        </w:tc>
        <w:tc>
          <w:tcPr>
            <w:tcW w:w="240" w:type="dxa"/>
            <w:vAlign w:val="bottom"/>
          </w:tcPr>
          <w:p>
            <w:pPr>
              <w:spacing w:after="0"/>
              <w:rPr>
                <w:sz w:val="17"/>
                <w:szCs w:val="17"/>
                <w:color w:val="auto"/>
              </w:rPr>
            </w:pP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color w:val="auto"/>
                <w:w w:val="97"/>
              </w:rPr>
              <w:t>1,199</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8.3</w:t>
            </w:r>
          </w:p>
        </w:tc>
        <w:tc>
          <w:tcPr>
            <w:tcW w:w="11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462</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524</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482</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(11.9)</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5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8,827</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7,750</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97"/>
              </w:rPr>
              <w:t>7,808</w:t>
            </w:r>
          </w:p>
        </w:tc>
        <w:tc>
          <w:tcPr>
            <w:tcW w:w="11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13.9</w:t>
            </w:r>
          </w:p>
        </w:tc>
        <w:tc>
          <w:tcPr>
            <w:tcW w:w="114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6"/>
        </w:trPr>
        <w:tc>
          <w:tcPr>
            <w:tcW w:w="62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1,320</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780</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6"/>
              <w:spacing w:after="0" w:line="196" w:lineRule="exact"/>
              <w:rPr>
                <w:sz w:val="20"/>
                <w:szCs w:val="20"/>
                <w:color w:val="auto"/>
              </w:rPr>
            </w:pPr>
            <w:r>
              <w:rPr>
                <w:rFonts w:ascii="Arial" w:cs="Arial" w:eastAsia="Arial" w:hAnsi="Arial"/>
                <w:sz w:val="18"/>
                <w:szCs w:val="18"/>
                <w:color w:val="auto"/>
              </w:rPr>
              <w:t>734</w:t>
            </w: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69.1%</w:t>
            </w:r>
          </w:p>
        </w:tc>
        <w:tc>
          <w:tcPr>
            <w:tcW w:w="1140" w:type="dxa"/>
            <w:vAlign w:val="bottom"/>
          </w:tcPr>
          <w:p>
            <w:pPr>
              <w:jc w:val="right"/>
              <w:ind w:right="36"/>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6260" w:type="dxa"/>
            <w:vAlign w:val="bottom"/>
            <w:tcBorders>
              <w:top w:val="single" w:sz="8" w:color="0C6DFF"/>
            </w:tcBorders>
          </w:tcPr>
          <w:p>
            <w:pPr>
              <w:ind w:left="5660"/>
              <w:spacing w:after="0"/>
              <w:rPr>
                <w:sz w:val="20"/>
                <w:szCs w:val="20"/>
                <w:color w:val="auto"/>
              </w:rPr>
            </w:pPr>
            <w:r>
              <w:rPr>
                <w:rFonts w:ascii="Arial" w:cs="Arial" w:eastAsia="Arial" w:hAnsi="Arial"/>
                <w:sz w:val="14"/>
                <w:szCs w:val="14"/>
                <w:b w:val="1"/>
                <w:bCs w:val="1"/>
                <w:color w:val="auto"/>
              </w:rPr>
              <w:t>55</w:t>
            </w:r>
          </w:p>
        </w:tc>
        <w:tc>
          <w:tcPr>
            <w:tcW w:w="560" w:type="dxa"/>
            <w:vAlign w:val="bottom"/>
            <w:tcBorders>
              <w:top w:val="single" w:sz="8" w:color="0C6DFF"/>
            </w:tcBorders>
          </w:tcPr>
          <w:p>
            <w:pPr>
              <w:spacing w:after="0"/>
              <w:rPr>
                <w:sz w:val="24"/>
                <w:szCs w:val="24"/>
                <w:color w:val="auto"/>
              </w:rPr>
            </w:pPr>
          </w:p>
        </w:tc>
        <w:tc>
          <w:tcPr>
            <w:tcW w:w="680" w:type="dxa"/>
            <w:vAlign w:val="bottom"/>
            <w:tcBorders>
              <w:top w:val="single" w:sz="8" w:color="0C6DFF"/>
            </w:tcBorders>
          </w:tcPr>
          <w:p>
            <w:pPr>
              <w:spacing w:after="0"/>
              <w:rPr>
                <w:sz w:val="24"/>
                <w:szCs w:val="24"/>
                <w:color w:val="auto"/>
              </w:rPr>
            </w:pPr>
          </w:p>
        </w:tc>
        <w:tc>
          <w:tcPr>
            <w:tcW w:w="220" w:type="dxa"/>
            <w:vAlign w:val="bottom"/>
            <w:tcBorders>
              <w:top w:val="single" w:sz="8" w:color="0C6DFF"/>
            </w:tcBorders>
          </w:tcPr>
          <w:p>
            <w:pPr>
              <w:spacing w:after="0"/>
              <w:rPr>
                <w:sz w:val="24"/>
                <w:szCs w:val="24"/>
                <w:color w:val="auto"/>
              </w:rPr>
            </w:pPr>
          </w:p>
        </w:tc>
        <w:tc>
          <w:tcPr>
            <w:tcW w:w="580" w:type="dxa"/>
            <w:vAlign w:val="bottom"/>
            <w:tcBorders>
              <w:top w:val="single" w:sz="8" w:color="0C6DFF"/>
            </w:tcBorders>
          </w:tcPr>
          <w:p>
            <w:pPr>
              <w:spacing w:after="0"/>
              <w:rPr>
                <w:sz w:val="24"/>
                <w:szCs w:val="24"/>
                <w:color w:val="auto"/>
              </w:rPr>
            </w:pPr>
          </w:p>
        </w:tc>
        <w:tc>
          <w:tcPr>
            <w:tcW w:w="240" w:type="dxa"/>
            <w:vAlign w:val="bottom"/>
            <w:tcBorders>
              <w:top w:val="single" w:sz="8" w:color="0C6DFF"/>
            </w:tcBorders>
          </w:tcPr>
          <w:p>
            <w:pPr>
              <w:spacing w:after="0"/>
              <w:rPr>
                <w:sz w:val="24"/>
                <w:szCs w:val="24"/>
                <w:color w:val="auto"/>
              </w:rPr>
            </w:pPr>
          </w:p>
        </w:tc>
        <w:tc>
          <w:tcPr>
            <w:tcW w:w="2860" w:type="dxa"/>
            <w:vAlign w:val="bottom"/>
            <w:tcBorders>
              <w:top w:val="single" w:sz="8" w:color="0C6DFF"/>
            </w:tcBorders>
            <w:gridSpan w:val="3"/>
          </w:tcPr>
          <w:p>
            <w:pPr>
              <w:jc w:val="right"/>
              <w:spacing w:after="0"/>
              <w:rPr>
                <w:sz w:val="20"/>
                <w:szCs w:val="20"/>
                <w:color w:val="auto"/>
              </w:rPr>
            </w:pPr>
            <w:r>
              <w:rPr>
                <w:rFonts w:ascii="Arial" w:cs="Arial" w:eastAsia="Arial" w:hAnsi="Arial"/>
                <w:sz w:val="14"/>
                <w:szCs w:val="14"/>
                <w:color w:val="auto"/>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Advertising revenue is generated from the sale of advertising units sold on our broadcast networks, owned local television stations and related digital media properties. Advertising revenue is primarily based on the price we charge for each advertising unit, which is generally based on audience ratings and the value of our viewer demographics to advertisers, and the number of advertising units we can place in our broadcast networks’ and owned local television stations’ programming schedules. Advertising revenue is affected by the strength of the national and local advertising markets, general economic conditions, cyclicality related to political campaigns and issue-oriented advertising, and the success and ratings of our programming.</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Advertising revenue increased in 2016 primarily due to $1.0 billion of revenue associated with our broadcast of the 2016 Rio Olympics. Advertising revenue also increased due to higher prices for advertising units sold, the premiere of </w:t>
      </w:r>
      <w:r>
        <w:rPr>
          <w:rFonts w:ascii="Arial" w:cs="Arial" w:eastAsia="Arial" w:hAnsi="Arial"/>
          <w:sz w:val="18"/>
          <w:szCs w:val="18"/>
          <w:i w:val="1"/>
          <w:iCs w:val="1"/>
          <w:color w:val="auto"/>
        </w:rPr>
        <w:t>Thursday Night Football</w:t>
      </w:r>
      <w:r>
        <w:rPr>
          <w:rFonts w:ascii="Arial" w:cs="Arial" w:eastAsia="Arial" w:hAnsi="Arial"/>
          <w:sz w:val="18"/>
          <w:szCs w:val="18"/>
          <w:color w:val="auto"/>
        </w:rPr>
        <w:t xml:space="preserve"> and higher political advertising, which was partially offset by revenue in 2015 associated with our broadcast of the 2015 Super Bowl and a decline in audience ratings. Advertising revenue decreased in 2015 primarily due to $730 million of revenue in 2014 associated with our broadcast of the 2014 Sochi Olympics, which was partially offset by $376 million of revenue in 2015 associated with our broadcast of the 2015 Super Bowl. Excluding revenue associated with our broadcasts of the 2016 Rio Olympics and the 2015 Super Bowl, revenue increased 7.7% in 2016. Excluding revenue associated with our broadcasts of the 2015 Super Bowl and the 2014 Sochi Olympics, revenue increased 4.1% in 2015 primarily due to higher prices for, and an increase in the volume of, advertising units sold.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w:t>
      </w:r>
    </w:p>
    <w:p>
      <w:pPr>
        <w:jc w:val="both"/>
        <w:spacing w:after="0" w:line="236" w:lineRule="auto"/>
        <w:rPr>
          <w:sz w:val="20"/>
          <w:szCs w:val="20"/>
          <w:color w:val="auto"/>
        </w:rPr>
      </w:pPr>
      <w:r>
        <w:rPr>
          <w:rFonts w:ascii="Arial" w:cs="Arial" w:eastAsia="Arial" w:hAnsi="Arial"/>
          <w:sz w:val="18"/>
          <w:szCs w:val="18"/>
          <w:color w:val="auto"/>
        </w:rPr>
        <w:t>Content licensing revenue is generated from the licensing of our owned programming in the United States and internationally to various distribution platforms, including to cable and broadcast networks, as well as to subscription video on demand services. In addition, our broadcast television studio production operations develop and produce original content that they license to broadcast networks, cable networks and local broadcast television stations owned by us and third parties, as well as to subscription video on demand services. The production and distribution costs related to our owned programming generally exceed the revenue generated from the initial network license, which means the subsequent licensing of our owned programming series following the initial network license is critical to their financial success.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Content licensing revenue increased in 2016 and 2015 primarily due to the timing of content provided under our licensing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Distribution and Other</w:t>
      </w:r>
    </w:p>
    <w:p>
      <w:pPr>
        <w:jc w:val="both"/>
        <w:spacing w:after="0" w:line="236" w:lineRule="auto"/>
        <w:rPr>
          <w:sz w:val="20"/>
          <w:szCs w:val="20"/>
          <w:color w:val="auto"/>
        </w:rPr>
      </w:pPr>
      <w:r>
        <w:rPr>
          <w:rFonts w:ascii="Arial" w:cs="Arial" w:eastAsia="Arial" w:hAnsi="Arial"/>
          <w:sz w:val="18"/>
          <w:szCs w:val="18"/>
          <w:color w:val="auto"/>
        </w:rPr>
        <w:t>We generate distribution and other revenue primarily from fees for retransmission consent of our owned local broadcast television stations and associated fees received from NBC-affiliated local broadcast television stations, as well as from the sale of our owned programming on DVDs and through digital distribution services. The sale of our owned programming is driven primarily by the popularity of our broadcast networks and programming series and therefore fluctuates based on consumer spending and acceptance. Distribution and other revenue also includes distribution revenue associated with our periodic broadcasts of the Olympic Games.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Distribution and other revenue increased in 2016 primarily due to increases in fees recognized under our retransmission consent agreements, as well as $140 million of distribution revenue associated with our broadcast of the 2016 Rio Olympics. Distribution and other revenue decreased in 2015 primarily due to $116 million of distribution revenue in 2014 that was associated with our broadcast of the 2014 Sochi Olympics. The decrease was partially offset by an increase in fees recognized under our retransmission consent agreements, as well as new syndication agreements entered into in 2015.</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 Costs</w:t>
      </w:r>
    </w:p>
    <w:p>
      <w:pPr>
        <w:jc w:val="both"/>
        <w:spacing w:after="0" w:line="237" w:lineRule="auto"/>
        <w:rPr>
          <w:sz w:val="20"/>
          <w:szCs w:val="20"/>
          <w:color w:val="auto"/>
        </w:rPr>
      </w:pPr>
      <w:r>
        <w:rPr>
          <w:rFonts w:ascii="Arial" w:cs="Arial" w:eastAsia="Arial" w:hAnsi="Arial"/>
          <w:sz w:val="18"/>
          <w:szCs w:val="18"/>
          <w:color w:val="auto"/>
        </w:rPr>
        <w:t>Programming and production costs relate to content originating on our broadcast networks and owned local broadcast television stations, as well as owned content that is licensed to third parties. These costs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Programming and production costs increased in 2016 primarily due to our broadcast of the 2016 Rio Olympics, as well as our broadcast of </w:t>
      </w:r>
      <w:r>
        <w:rPr>
          <w:rFonts w:ascii="Arial" w:cs="Arial" w:eastAsia="Arial" w:hAnsi="Arial"/>
          <w:sz w:val="18"/>
          <w:szCs w:val="18"/>
          <w:i w:val="1"/>
          <w:iCs w:val="1"/>
          <w:color w:val="auto"/>
        </w:rPr>
        <w:t>Thursday Night Football</w:t>
      </w:r>
      <w:r>
        <w:rPr>
          <w:rFonts w:ascii="Arial" w:cs="Arial" w:eastAsia="Arial" w:hAnsi="Arial"/>
          <w:sz w:val="18"/>
          <w:szCs w:val="18"/>
          <w:color w:val="auto"/>
        </w:rPr>
        <w:t>, which were partially offset by costs in 2015 associated with our broadcast of the 2015 Super Bowl. Programming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decreased in 2015 primarily due to costs in 2014 associated with our broadcast of the 2014 Sochi Olympics, which was partially offset by costs associated with our broadcast of the 2015 Super Bowl, the timing of content provided under our licensing agreements and higher studio production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 Costs and Expenses</w:t>
      </w:r>
    </w:p>
    <w:p>
      <w:pPr>
        <w:jc w:val="both"/>
        <w:spacing w:after="0" w:line="239" w:lineRule="auto"/>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 and these costs increased in 2016 and 2015 primarily due to increases in employee-related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8"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our owned and acquired television programming, as well as the marketing of DVDs and costs associated with our related digital media properties. These expenses decreased in 2016 and increased in 2015 primarily due to increased spending on marketing in 2015 associated with our NBC primetime lineup.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Filmed Entertainment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2014</w:t>
            </w: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 to 2016</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2014 to 2015</w:t>
            </w:r>
          </w:p>
        </w:tc>
        <w:tc>
          <w:tcPr>
            <w:tcW w:w="0" w:type="dxa"/>
            <w:vAlign w:val="bottom"/>
          </w:tcPr>
          <w:p>
            <w:pPr>
              <w:spacing w:after="0"/>
              <w:rPr>
                <w:sz w:val="1"/>
                <w:szCs w:val="1"/>
                <w:color w:val="auto"/>
              </w:rPr>
            </w:pPr>
          </w:p>
        </w:tc>
      </w:tr>
      <w:tr>
        <w:trPr>
          <w:trHeight w:val="199"/>
        </w:trPr>
        <w:tc>
          <w:tcPr>
            <w:tcW w:w="57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7"/>
              </w:rPr>
              <w:t>1,560</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Theatrical</w:t>
            </w:r>
          </w:p>
        </w:tc>
        <w:tc>
          <w:tcPr>
            <w:tcW w:w="1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$ 2,829</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1,101</w:t>
            </w:r>
          </w:p>
        </w:tc>
        <w:tc>
          <w:tcPr>
            <w:tcW w:w="120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w w:val="97"/>
              </w:rPr>
              <w:t>2,563</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1,923</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1,792</w:t>
            </w:r>
          </w:p>
        </w:tc>
        <w:tc>
          <w:tcPr>
            <w:tcW w:w="120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33.3</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Home entertainment</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w w:val="97"/>
              </w:rPr>
              <w:t>1,254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1,801</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1,457</w:t>
            </w:r>
          </w:p>
        </w:tc>
        <w:tc>
          <w:tcPr>
            <w:tcW w:w="120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(30.4)</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983</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734</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658</w:t>
            </w: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34.1</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220" w:type="dxa"/>
            <w:vAlign w:val="bottom"/>
          </w:tcPr>
          <w:p>
            <w:pPr>
              <w:spacing w:after="0"/>
              <w:rPr>
                <w:sz w:val="15"/>
                <w:szCs w:val="15"/>
                <w:color w:val="auto"/>
              </w:rPr>
            </w:pPr>
          </w:p>
        </w:tc>
        <w:tc>
          <w:tcPr>
            <w:tcW w:w="58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w w:val="97"/>
              </w:rPr>
              <w:t>6,360</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7,287</w:t>
            </w:r>
          </w:p>
        </w:tc>
        <w:tc>
          <w:tcPr>
            <w:tcW w:w="240" w:type="dxa"/>
            <w:vAlign w:val="bottom"/>
          </w:tcPr>
          <w:p>
            <w:pPr>
              <w:spacing w:after="0"/>
              <w:rPr>
                <w:sz w:val="15"/>
                <w:szCs w:val="15"/>
                <w:color w:val="auto"/>
              </w:rPr>
            </w:pPr>
          </w:p>
        </w:tc>
        <w:tc>
          <w:tcPr>
            <w:tcW w:w="580" w:type="dxa"/>
            <w:vAlign w:val="bottom"/>
          </w:tcPr>
          <w:p>
            <w:pPr>
              <w:jc w:val="right"/>
              <w:ind w:right="34"/>
              <w:spacing w:after="0" w:line="177" w:lineRule="exact"/>
              <w:rPr>
                <w:sz w:val="20"/>
                <w:szCs w:val="20"/>
                <w:color w:val="auto"/>
              </w:rPr>
            </w:pPr>
            <w:r>
              <w:rPr>
                <w:rFonts w:ascii="Arial" w:cs="Arial" w:eastAsia="Arial" w:hAnsi="Arial"/>
                <w:sz w:val="18"/>
                <w:szCs w:val="18"/>
                <w:color w:val="auto"/>
                <w:w w:val="97"/>
              </w:rPr>
              <w:t>5,008</w:t>
            </w:r>
          </w:p>
        </w:tc>
        <w:tc>
          <w:tcPr>
            <w:tcW w:w="120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(12.7)</w:t>
            </w:r>
          </w:p>
        </w:tc>
        <w:tc>
          <w:tcPr>
            <w:tcW w:w="108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5"/>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220" w:type="dxa"/>
            <w:vAlign w:val="bottom"/>
          </w:tcPr>
          <w:p>
            <w:pPr>
              <w:spacing w:after="0"/>
              <w:rPr>
                <w:sz w:val="19"/>
                <w:szCs w:val="19"/>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7"/>
              </w:rPr>
              <w:t>2,962</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(15.1)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3,488</w:t>
            </w:r>
          </w:p>
        </w:tc>
        <w:tc>
          <w:tcPr>
            <w:tcW w:w="240" w:type="dxa"/>
            <w:vAlign w:val="bottom"/>
          </w:tcPr>
          <w:p>
            <w:pPr>
              <w:spacing w:after="0"/>
              <w:rPr>
                <w:sz w:val="15"/>
                <w:szCs w:val="15"/>
                <w:color w:val="auto"/>
              </w:rPr>
            </w:pP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2,331</w:t>
            </w:r>
          </w:p>
        </w:tc>
        <w:tc>
          <w:tcPr>
            <w:tcW w:w="1200" w:type="dxa"/>
            <w:vAlign w:val="bottom"/>
            <w:vMerge w:val="continue"/>
          </w:tcPr>
          <w:p>
            <w:pPr>
              <w:spacing w:after="0"/>
              <w:rPr>
                <w:sz w:val="15"/>
                <w:szCs w:val="15"/>
                <w:color w:val="auto"/>
              </w:rPr>
            </w:pPr>
          </w:p>
        </w:tc>
        <w:tc>
          <w:tcPr>
            <w:tcW w:w="108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w w:val="97"/>
              </w:rPr>
              <w:t>1,101</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872</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849</w:t>
            </w:r>
          </w:p>
        </w:tc>
        <w:tc>
          <w:tcPr>
            <w:tcW w:w="120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26.3</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7"/>
              </w:rPr>
              <w:t>1,600</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1,693</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1,117</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(5.5)</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w w:val="97"/>
              </w:rPr>
              <w:t>5,663</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6,053</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w w:val="97"/>
              </w:rPr>
              <w:t>4,297</w:t>
            </w:r>
          </w:p>
        </w:tc>
        <w:tc>
          <w:tcPr>
            <w:tcW w:w="120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(6.4)</w:t>
            </w:r>
          </w:p>
        </w:tc>
        <w:tc>
          <w:tcPr>
            <w:tcW w:w="108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697</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$ 1,234</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711</w:t>
            </w:r>
          </w:p>
        </w:tc>
        <w:tc>
          <w:tcPr>
            <w:tcW w:w="1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(43.5)%</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Theatrical</w:t>
      </w:r>
    </w:p>
    <w:p>
      <w:pPr>
        <w:jc w:val="both"/>
        <w:spacing w:after="0" w:line="239" w:lineRule="auto"/>
        <w:rPr>
          <w:sz w:val="20"/>
          <w:szCs w:val="20"/>
          <w:color w:val="auto"/>
        </w:rPr>
      </w:pPr>
      <w:r>
        <w:rPr>
          <w:rFonts w:ascii="Arial" w:cs="Arial" w:eastAsia="Arial" w:hAnsi="Arial"/>
          <w:sz w:val="18"/>
          <w:szCs w:val="18"/>
          <w:color w:val="auto"/>
        </w:rPr>
        <w:t>Theatrical revenue is generated from the worldwide theatrical release of our owned and acquired films for exhibition in movie theaters and is significantly affected by the timing of each release and the number of films</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distribute, as well as their acceptance by audiences. Theatrical revenue is also affected by the number of exhibition screens, ticket prices, the percentage of ticket sale retention by the exhibitors and the popularity of competing films at the time our films are released. The success of a film in movie theaters is a significant factor in determining the revenue a film is likely to generate in succeeding distribution platforms.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Theatrical revenue decreased in 2016 and increased in 2015 primarily due to the strong performance of our larger 2015 film slate, including </w:t>
      </w:r>
      <w:r>
        <w:rPr>
          <w:rFonts w:ascii="Arial" w:cs="Arial" w:eastAsia="Arial" w:hAnsi="Arial"/>
          <w:sz w:val="18"/>
          <w:szCs w:val="18"/>
          <w:i w:val="1"/>
          <w:iCs w:val="1"/>
          <w:color w:val="auto"/>
        </w:rPr>
        <w:t>Furious 7</w:t>
      </w:r>
      <w:r>
        <w:rPr>
          <w:rFonts w:ascii="Arial" w:cs="Arial" w:eastAsia="Arial" w:hAnsi="Arial"/>
          <w:sz w:val="18"/>
          <w:szCs w:val="18"/>
          <w:color w:val="auto"/>
        </w:rPr>
        <w:t>,</w:t>
      </w:r>
      <w:r>
        <w:rPr>
          <w:rFonts w:ascii="Arial" w:cs="Arial" w:eastAsia="Arial" w:hAnsi="Arial"/>
          <w:sz w:val="18"/>
          <w:szCs w:val="18"/>
          <w:i w:val="1"/>
          <w:iCs w:val="1"/>
          <w:color w:val="auto"/>
        </w:rPr>
        <w:t xml:space="preserve"> Jurassic World </w:t>
      </w:r>
      <w:r>
        <w:rPr>
          <w:rFonts w:ascii="Arial" w:cs="Arial" w:eastAsia="Arial" w:hAnsi="Arial"/>
          <w:sz w:val="18"/>
          <w:szCs w:val="18"/>
          <w:color w:val="auto"/>
        </w:rPr>
        <w:t>and</w:t>
      </w:r>
      <w:r>
        <w:rPr>
          <w:rFonts w:ascii="Arial" w:cs="Arial" w:eastAsia="Arial" w:hAnsi="Arial"/>
          <w:sz w:val="18"/>
          <w:szCs w:val="18"/>
          <w:i w:val="1"/>
          <w:iCs w:val="1"/>
          <w:color w:val="auto"/>
        </w:rPr>
        <w:t xml:space="preserve"> Minions</w:t>
      </w:r>
      <w:r>
        <w:rPr>
          <w:rFonts w:ascii="Arial" w:cs="Arial" w:eastAsia="Arial" w:hAnsi="Arial"/>
          <w:sz w:val="18"/>
          <w:szCs w:val="18"/>
          <w:color w:val="auto"/>
        </w:rPr>
        <w:t>. The decrease in 2016 was partially offset by the strong performance of</w:t>
      </w:r>
      <w:r>
        <w:rPr>
          <w:rFonts w:ascii="Arial" w:cs="Arial" w:eastAsia="Arial" w:hAnsi="Arial"/>
          <w:sz w:val="18"/>
          <w:szCs w:val="18"/>
          <w:i w:val="1"/>
          <w:iCs w:val="1"/>
          <w:color w:val="auto"/>
        </w:rPr>
        <w:t xml:space="preserve"> The Secret Life of Pets </w:t>
      </w:r>
      <w:r>
        <w:rPr>
          <w:rFonts w:ascii="Arial" w:cs="Arial" w:eastAsia="Arial" w:hAnsi="Arial"/>
          <w:sz w:val="18"/>
          <w:szCs w:val="18"/>
          <w:color w:val="auto"/>
        </w:rPr>
        <w:t>and</w:t>
      </w:r>
      <w:r>
        <w:rPr>
          <w:rFonts w:ascii="Arial" w:cs="Arial" w:eastAsia="Arial" w:hAnsi="Arial"/>
          <w:sz w:val="18"/>
          <w:szCs w:val="18"/>
          <w:i w:val="1"/>
          <w:iCs w:val="1"/>
          <w:color w:val="auto"/>
        </w:rPr>
        <w:t xml:space="preserve"> Sing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w:t>
      </w:r>
    </w:p>
    <w:p>
      <w:pPr>
        <w:jc w:val="both"/>
        <w:ind w:right="20"/>
        <w:spacing w:after="0" w:line="239" w:lineRule="auto"/>
        <w:rPr>
          <w:sz w:val="20"/>
          <w:szCs w:val="20"/>
          <w:color w:val="auto"/>
        </w:rPr>
      </w:pPr>
      <w:r>
        <w:rPr>
          <w:rFonts w:ascii="Arial" w:cs="Arial" w:eastAsia="Arial" w:hAnsi="Arial"/>
          <w:sz w:val="18"/>
          <w:szCs w:val="18"/>
          <w:color w:val="auto"/>
        </w:rPr>
        <w:t>Content licensing revenue is generated primarily from the licensing of our owned and acquired films to cable, broadcast and premium networks, as well as to subscription video on demand services.</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Content licensing revenue increased in 2016 and 2015 primarily due to the timing of when content was made available under licensing agreements. The increase in 2016 was partially due to the timing of when content related to our 2015 film slate was made available under licensing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Home Entertainment</w:t>
      </w:r>
    </w:p>
    <w:p>
      <w:pPr>
        <w:jc w:val="both"/>
        <w:spacing w:after="0" w:line="236" w:lineRule="auto"/>
        <w:rPr>
          <w:sz w:val="20"/>
          <w:szCs w:val="20"/>
          <w:color w:val="auto"/>
        </w:rPr>
      </w:pPr>
      <w:r>
        <w:rPr>
          <w:rFonts w:ascii="Arial" w:cs="Arial" w:eastAsia="Arial" w:hAnsi="Arial"/>
          <w:sz w:val="18"/>
          <w:szCs w:val="18"/>
          <w:color w:val="auto"/>
        </w:rPr>
        <w:t>Home entertainment revenue is generated from the sale of our owned and acquired films on DVDs to retail stores, rental kiosks and subscription by mail services, and in digital formats. Home entertainment revenue is significantly affected by the timing and number of our releases and their acceptance by consumers. Release dates are determined by several factors, including the timing of the exhibition of a film in movie theaters, holiday periods and the timing of competitive releases. The overall DVD market continues to experience declines due to the maturation of the standard-definition DVD format, increasing shifts in consumer behavior toward digital distribution services, and subscription rental services, all of which generate less revenue per transaction than DVD sales, as well as due to piracy.</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Home entertainment revenue decreased in 2016 and increased in 2015 primarily due to the strong performance of our 2015 releases, including </w:t>
      </w:r>
      <w:r>
        <w:rPr>
          <w:rFonts w:ascii="Arial" w:cs="Arial" w:eastAsia="Arial" w:hAnsi="Arial"/>
          <w:sz w:val="18"/>
          <w:szCs w:val="18"/>
          <w:i w:val="1"/>
          <w:iCs w:val="1"/>
          <w:color w:val="auto"/>
        </w:rPr>
        <w:t xml:space="preserve">Minions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Jurassic World</w:t>
      </w:r>
      <w:r>
        <w:rPr>
          <w:rFonts w:ascii="Arial" w:cs="Arial" w:eastAsia="Arial" w:hAnsi="Arial"/>
          <w:sz w:val="18"/>
          <w:szCs w:val="18"/>
          <w:color w:val="auto"/>
        </w:rPr>
        <w:t>. The decrease in 2016 was partially offset by the home entertainment sales of</w:t>
      </w:r>
      <w:r>
        <w:rPr>
          <w:rFonts w:ascii="Arial" w:cs="Arial" w:eastAsia="Arial" w:hAnsi="Arial"/>
          <w:sz w:val="18"/>
          <w:szCs w:val="18"/>
          <w:i w:val="1"/>
          <w:iCs w:val="1"/>
          <w:color w:val="auto"/>
        </w:rPr>
        <w:t xml:space="preserve"> Jason Bourne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Secret Life of Pets</w:t>
      </w:r>
      <w:r>
        <w:rPr>
          <w:rFonts w:ascii="Arial" w:cs="Arial" w:eastAsia="Arial" w:hAnsi="Arial"/>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9" w:lineRule="auto"/>
        <w:rPr>
          <w:sz w:val="20"/>
          <w:szCs w:val="20"/>
          <w:color w:val="auto"/>
        </w:rPr>
      </w:pPr>
      <w:r>
        <w:rPr>
          <w:rFonts w:ascii="Arial" w:cs="Arial" w:eastAsia="Arial" w:hAnsi="Arial"/>
          <w:sz w:val="18"/>
          <w:szCs w:val="18"/>
          <w:color w:val="auto"/>
        </w:rPr>
        <w:t>We also generate revenue from producing and licensing live stage plays, from distributing filmed entertainment produced by third parties, from Fandango, our movie ticketing and entertainment business, and from the sale of consumer products.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in 2016 and 2015 primarily due to increases in revenue generated from Fandango.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 Costs</w:t>
      </w:r>
    </w:p>
    <w:p>
      <w:pPr>
        <w:jc w:val="both"/>
        <w:spacing w:after="0" w:line="236" w:lineRule="auto"/>
        <w:rPr>
          <w:sz w:val="20"/>
          <w:szCs w:val="20"/>
          <w:color w:val="auto"/>
        </w:rPr>
      </w:pPr>
      <w:r>
        <w:rPr>
          <w:rFonts w:ascii="Arial" w:cs="Arial" w:eastAsia="Arial" w:hAnsi="Arial"/>
          <w:sz w:val="18"/>
          <w:szCs w:val="18"/>
          <w:color w:val="auto"/>
        </w:rPr>
        <w:t>Programming and production costs include the amortization of capitalized film production and acquisition costs, residual and participation payments, and distribution expenses. Residual payments represent amounts payable to certain of our employees who are represented by labor unions or guilds, including freelance and temporary employees, and are based on post-theatrical revenue. Participation payments are primarily based on film performance and represent contingent consideration payable to creative talent, third parties that have entered into cofinancing agreements with us and other parties involved in the production of a film. The costs associated with producing films have generally increased in recent years and may continue to increase in the future.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 xml:space="preserve">Programming and production costs decreased in 2016 and increased in 2015 primarily due to higher amortization of film production costs in 2015 associated with our larger 2015 film slate, which included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and </w:t>
      </w:r>
      <w:r>
        <w:rPr>
          <w:rFonts w:ascii="Arial" w:cs="Arial" w:eastAsia="Arial" w:hAnsi="Arial"/>
          <w:sz w:val="18"/>
          <w:szCs w:val="18"/>
          <w:i w:val="1"/>
          <w:iCs w:val="1"/>
          <w:color w:val="auto"/>
        </w:rPr>
        <w:t>Minions</w:t>
      </w:r>
      <w:r>
        <w:rPr>
          <w:rFonts w:ascii="Arial" w:cs="Arial" w:eastAsia="Arial" w:hAnsi="Arial"/>
          <w:sz w:val="18"/>
          <w:szCs w:val="18"/>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 Costs and Expenses</w:t>
      </w: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and administrative expenses increased in 2016 primarily due to costs attributable to DreamWorks Animation, including $61 million of severance costs. Other operating and administrative expenses increased slightly in 2015 due to increased expenses associated with our larger film slate.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6" w:lineRule="auto"/>
        <w:rPr>
          <w:sz w:val="20"/>
          <w:szCs w:val="20"/>
          <w:color w:val="auto"/>
        </w:rPr>
      </w:pPr>
      <w:r>
        <w:rPr>
          <w:rFonts w:ascii="Arial" w:cs="Arial" w:eastAsia="Arial" w:hAnsi="Arial"/>
          <w:sz w:val="18"/>
          <w:szCs w:val="18"/>
          <w:color w:val="auto"/>
        </w:rPr>
        <w:t>Advertising, marketing and promotion expenses consist primarily of expenses associated with advertising for our theatrical releases and the marketing of our films on DVDs and in digital formats. We incur significant marketing expenses before and throughout the release of a film in movie theaters. As a result, we typically incur losses on a film prior to and during the film’s exhibition in movie theaters and may not realize profits, if any, until the film generates home entertainment and content licensing revenue. The costs associated with marketing films have generally increased in recent years and may continue to increase in the future.</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marketing and promotion expenses decreased in 2016 and increased in 2015 primarily due to higher promotional costs associated with our larger 2015 film slate. The decrease in 2016 was partially offset due to advertising in 2016 for our domestic and international film slate. Advertising, marketing and promotion expenses also increased in 2015 due to increased advertising expenses associated with Fandango.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Theme Parks Segment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Change</w:t>
            </w:r>
          </w:p>
        </w:tc>
      </w:tr>
      <w:tr>
        <w:trPr>
          <w:trHeight w:val="179"/>
        </w:trPr>
        <w:tc>
          <w:tcPr>
            <w:tcW w:w="3960" w:type="dxa"/>
            <w:vAlign w:val="bottom"/>
            <w:gridSpan w:val="2"/>
          </w:tcPr>
          <w:p>
            <w:pPr>
              <w:spacing w:after="0"/>
              <w:rPr>
                <w:sz w:val="20"/>
                <w:szCs w:val="20"/>
                <w:color w:val="auto"/>
              </w:rPr>
            </w:pPr>
            <w:r>
              <w:rPr>
                <w:rFonts w:ascii="Arial" w:cs="Arial" w:eastAsia="Arial" w:hAnsi="Arial"/>
                <w:sz w:val="14"/>
                <w:szCs w:val="14"/>
                <w:color w:val="auto"/>
              </w:rPr>
              <w:t>Year ended December 31 (in millions)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99"/>
              <w:spacing w:after="0"/>
              <w:rPr>
                <w:sz w:val="20"/>
                <w:szCs w:val="20"/>
                <w:color w:val="auto"/>
              </w:rPr>
            </w:pPr>
            <w:r>
              <w:rPr>
                <w:rFonts w:ascii="Arial" w:cs="Arial" w:eastAsia="Arial" w:hAnsi="Arial"/>
                <w:sz w:val="14"/>
                <w:szCs w:val="14"/>
                <w:color w:val="auto"/>
                <w:w w:val="96"/>
              </w:rPr>
              <w:t>2015</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2015 to 2016</w:t>
            </w:r>
          </w:p>
        </w:tc>
      </w:tr>
      <w:tr>
        <w:trPr>
          <w:trHeight w:val="125"/>
        </w:trPr>
        <w:tc>
          <w:tcPr>
            <w:tcW w:w="20" w:type="dxa"/>
            <w:vAlign w:val="bottom"/>
          </w:tcPr>
          <w:p>
            <w:pPr>
              <w:spacing w:after="0"/>
              <w:rPr>
                <w:sz w:val="10"/>
                <w:szCs w:val="10"/>
                <w:color w:val="auto"/>
              </w:rPr>
            </w:pPr>
          </w:p>
        </w:tc>
        <w:tc>
          <w:tcPr>
            <w:tcW w:w="39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160"/>
              <w:spacing w:after="0" w:line="125" w:lineRule="exact"/>
              <w:rPr>
                <w:sz w:val="20"/>
                <w:szCs w:val="20"/>
                <w:color w:val="auto"/>
              </w:rPr>
            </w:pPr>
            <w:r>
              <w:rPr>
                <w:rFonts w:ascii="Arial" w:cs="Arial" w:eastAsia="Arial" w:hAnsi="Arial"/>
                <w:sz w:val="14"/>
                <w:szCs w:val="14"/>
                <w:color w:val="auto"/>
              </w:rPr>
              <w:t>Pro Forma</w:t>
            </w:r>
          </w:p>
        </w:tc>
        <w:tc>
          <w:tcPr>
            <w:tcW w:w="800" w:type="dxa"/>
            <w:vAlign w:val="bottom"/>
            <w:tcBorders>
              <w:top w:val="single" w:sz="8" w:color="auto"/>
            </w:tcBorders>
            <w:gridSpan w:val="2"/>
          </w:tcPr>
          <w:p>
            <w:pPr>
              <w:jc w:val="right"/>
              <w:ind w:right="32"/>
              <w:spacing w:after="0" w:line="125" w:lineRule="exact"/>
              <w:rPr>
                <w:sz w:val="20"/>
                <w:szCs w:val="20"/>
                <w:color w:val="auto"/>
              </w:rPr>
            </w:pPr>
            <w:r>
              <w:rPr>
                <w:rFonts w:ascii="Arial" w:cs="Arial" w:eastAsia="Arial" w:hAnsi="Arial"/>
                <w:sz w:val="14"/>
                <w:szCs w:val="14"/>
                <w:color w:val="auto"/>
                <w:w w:val="99"/>
              </w:rPr>
              <w:t>Pro Forma</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40"/>
              <w:spacing w:after="0" w:line="125" w:lineRule="exact"/>
              <w:rPr>
                <w:sz w:val="20"/>
                <w:szCs w:val="20"/>
                <w:color w:val="auto"/>
              </w:rPr>
            </w:pPr>
            <w:r>
              <w:rPr>
                <w:rFonts w:ascii="Arial" w:cs="Arial" w:eastAsia="Arial" w:hAnsi="Arial"/>
                <w:sz w:val="14"/>
                <w:szCs w:val="14"/>
                <w:b w:val="1"/>
                <w:bCs w:val="1"/>
                <w:color w:val="auto"/>
                <w:w w:val="99"/>
              </w:rPr>
              <w:t>Pro Forma</w:t>
            </w:r>
          </w:p>
        </w:tc>
      </w:tr>
      <w:tr>
        <w:trPr>
          <w:trHeight w:val="165"/>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4"/>
          </w:tcPr>
          <w:p>
            <w:pPr>
              <w:ind w:left="24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4"/>
                <w:szCs w:val="14"/>
                <w:color w:val="auto"/>
              </w:rPr>
            </w:pPr>
          </w:p>
        </w:tc>
        <w:tc>
          <w:tcPr>
            <w:tcW w:w="720" w:type="dxa"/>
            <w:vAlign w:val="bottom"/>
          </w:tcPr>
          <w:p>
            <w:pPr>
              <w:jc w:val="right"/>
              <w:ind w:right="86"/>
              <w:spacing w:after="0"/>
              <w:rPr>
                <w:sz w:val="20"/>
                <w:szCs w:val="20"/>
                <w:color w:val="auto"/>
              </w:rPr>
            </w:pPr>
            <w:r>
              <w:rPr>
                <w:rFonts w:ascii="Arial" w:cs="Arial" w:eastAsia="Arial" w:hAnsi="Arial"/>
                <w:sz w:val="14"/>
                <w:szCs w:val="14"/>
                <w:color w:val="auto"/>
              </w:rPr>
              <w:t>Actual</w:t>
            </w: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Adjustments</w:t>
            </w:r>
          </w:p>
        </w:tc>
        <w:tc>
          <w:tcPr>
            <w:tcW w:w="980" w:type="dxa"/>
            <w:vAlign w:val="bottom"/>
            <w:gridSpan w:val="4"/>
          </w:tcPr>
          <w:p>
            <w:pPr>
              <w:jc w:val="right"/>
              <w:ind w:right="300"/>
              <w:spacing w:after="0"/>
              <w:rPr>
                <w:sz w:val="20"/>
                <w:szCs w:val="20"/>
                <w:color w:val="auto"/>
              </w:rPr>
            </w:pPr>
            <w:r>
              <w:rPr>
                <w:rFonts w:ascii="Arial" w:cs="Arial" w:eastAsia="Arial" w:hAnsi="Arial"/>
                <w:sz w:val="14"/>
                <w:szCs w:val="14"/>
                <w:color w:val="auto"/>
              </w:rPr>
              <w:t>Combined</w:t>
            </w:r>
          </w:p>
        </w:tc>
        <w:tc>
          <w:tcPr>
            <w:tcW w:w="8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Actual</w:t>
            </w:r>
          </w:p>
        </w:tc>
        <w:tc>
          <w:tcPr>
            <w:tcW w:w="940" w:type="dxa"/>
            <w:vAlign w:val="bottom"/>
          </w:tcPr>
          <w:p>
            <w:pPr>
              <w:jc w:val="right"/>
              <w:ind w:right="140"/>
              <w:spacing w:after="0"/>
              <w:rPr>
                <w:sz w:val="20"/>
                <w:szCs w:val="20"/>
                <w:color w:val="auto"/>
              </w:rPr>
            </w:pPr>
            <w:r>
              <w:rPr>
                <w:rFonts w:ascii="Arial" w:cs="Arial" w:eastAsia="Arial" w:hAnsi="Arial"/>
                <w:sz w:val="14"/>
                <w:szCs w:val="14"/>
                <w:b w:val="1"/>
                <w:bCs w:val="1"/>
                <w:color w:val="auto"/>
              </w:rPr>
              <w:t>Combined</w:t>
            </w:r>
          </w:p>
        </w:tc>
      </w:tr>
      <w:tr>
        <w:trPr>
          <w:trHeight w:val="177"/>
        </w:trPr>
        <w:tc>
          <w:tcPr>
            <w:tcW w:w="20" w:type="dxa"/>
            <w:vAlign w:val="bottom"/>
          </w:tcPr>
          <w:p>
            <w:pPr>
              <w:spacing w:after="0"/>
              <w:rPr>
                <w:sz w:val="15"/>
                <w:szCs w:val="15"/>
                <w:color w:val="auto"/>
              </w:rPr>
            </w:pPr>
          </w:p>
        </w:tc>
        <w:tc>
          <w:tcPr>
            <w:tcW w:w="39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ind w:right="17"/>
              <w:spacing w:after="0" w:line="177" w:lineRule="exact"/>
              <w:rPr>
                <w:sz w:val="20"/>
                <w:szCs w:val="20"/>
                <w:color w:val="auto"/>
              </w:rPr>
            </w:pPr>
            <w:r>
              <w:rPr>
                <w:rFonts w:ascii="Arial" w:cs="Arial" w:eastAsia="Arial" w:hAnsi="Arial"/>
                <w:sz w:val="18"/>
                <w:szCs w:val="18"/>
                <w:b w:val="1"/>
                <w:bCs w:val="1"/>
                <w:color w:val="auto"/>
              </w:rPr>
              <w:t>$ 4,946</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top w:val="single" w:sz="8" w:color="auto"/>
            </w:tcBorders>
            <w:gridSpan w:val="2"/>
          </w:tcPr>
          <w:p>
            <w:pPr>
              <w:jc w:val="right"/>
              <w:ind w:right="86"/>
              <w:spacing w:after="0" w:line="177" w:lineRule="exact"/>
              <w:rPr>
                <w:sz w:val="20"/>
                <w:szCs w:val="20"/>
                <w:color w:val="auto"/>
              </w:rPr>
            </w:pPr>
            <w:r>
              <w:rPr>
                <w:rFonts w:ascii="Arial" w:cs="Arial" w:eastAsia="Arial" w:hAnsi="Arial"/>
                <w:sz w:val="18"/>
                <w:szCs w:val="18"/>
                <w:color w:val="auto"/>
              </w:rPr>
              <w:t>$ 3,339</w:t>
            </w:r>
          </w:p>
        </w:tc>
        <w:tc>
          <w:tcPr>
            <w:tcW w:w="260" w:type="dxa"/>
            <w:vAlign w:val="bottom"/>
            <w:tcBorders>
              <w:top w:val="single" w:sz="8" w:color="auto"/>
            </w:tcBorders>
          </w:tcPr>
          <w:p>
            <w:pPr>
              <w:ind w:left="40"/>
              <w:spacing w:after="0" w:line="177"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79"/>
              <w:spacing w:after="0" w:line="177" w:lineRule="exact"/>
              <w:rPr>
                <w:sz w:val="20"/>
                <w:szCs w:val="20"/>
                <w:color w:val="auto"/>
              </w:rPr>
            </w:pPr>
            <w:r>
              <w:rPr>
                <w:rFonts w:ascii="Arial" w:cs="Arial" w:eastAsia="Arial" w:hAnsi="Arial"/>
                <w:sz w:val="18"/>
                <w:szCs w:val="18"/>
                <w:color w:val="auto"/>
              </w:rPr>
              <w:t>1,052</w:t>
            </w:r>
          </w:p>
        </w:tc>
        <w:tc>
          <w:tcPr>
            <w:tcW w:w="240" w:type="dxa"/>
            <w:vAlign w:val="bottom"/>
            <w:tcBorders>
              <w:top w:val="single" w:sz="8" w:color="auto"/>
            </w:tcBorders>
          </w:tcPr>
          <w:p>
            <w:pPr>
              <w:jc w:val="right"/>
              <w:ind w:right="22"/>
              <w:spacing w:after="0" w:line="177"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32"/>
              <w:spacing w:after="0" w:line="177" w:lineRule="exact"/>
              <w:rPr>
                <w:sz w:val="20"/>
                <w:szCs w:val="20"/>
                <w:color w:val="auto"/>
              </w:rPr>
            </w:pPr>
            <w:r>
              <w:rPr>
                <w:rFonts w:ascii="Arial" w:cs="Arial" w:eastAsia="Arial" w:hAnsi="Arial"/>
                <w:sz w:val="18"/>
                <w:szCs w:val="18"/>
                <w:color w:val="auto"/>
                <w:w w:val="93"/>
              </w:rPr>
              <w:t>4,391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top w:val="single" w:sz="8" w:color="auto"/>
            </w:tcBorders>
            <w:gridSpan w:val="2"/>
          </w:tcPr>
          <w:p>
            <w:pPr>
              <w:ind w:left="160"/>
              <w:spacing w:after="0" w:line="177" w:lineRule="exact"/>
              <w:rPr>
                <w:sz w:val="20"/>
                <w:szCs w:val="20"/>
                <w:color w:val="auto"/>
              </w:rPr>
            </w:pPr>
            <w:r>
              <w:rPr>
                <w:rFonts w:ascii="Arial" w:cs="Arial" w:eastAsia="Arial" w:hAnsi="Arial"/>
                <w:sz w:val="18"/>
                <w:szCs w:val="18"/>
                <w:b w:val="1"/>
                <w:bCs w:val="1"/>
                <w:color w:val="auto"/>
              </w:rPr>
              <w:t>48.2%</w:t>
            </w:r>
          </w:p>
        </w:tc>
        <w:tc>
          <w:tcPr>
            <w:tcW w:w="940" w:type="dxa"/>
            <w:vAlign w:val="bottom"/>
            <w:tcBorders>
              <w:top w:val="single" w:sz="8" w:color="auto"/>
            </w:tcBorders>
          </w:tcPr>
          <w:p>
            <w:pPr>
              <w:ind w:left="380"/>
              <w:spacing w:after="0" w:line="177" w:lineRule="exact"/>
              <w:rPr>
                <w:sz w:val="20"/>
                <w:szCs w:val="20"/>
                <w:color w:val="auto"/>
              </w:rPr>
            </w:pPr>
            <w:r>
              <w:rPr>
                <w:rFonts w:ascii="Arial" w:cs="Arial" w:eastAsia="Arial" w:hAnsi="Arial"/>
                <w:sz w:val="18"/>
                <w:szCs w:val="18"/>
                <w:b w:val="1"/>
                <w:bCs w:val="1"/>
                <w:color w:val="auto"/>
              </w:rPr>
              <w:t>12.7%</w:t>
            </w:r>
          </w:p>
        </w:tc>
      </w:tr>
      <w:tr>
        <w:trPr>
          <w:trHeight w:val="221"/>
        </w:trPr>
        <w:tc>
          <w:tcPr>
            <w:tcW w:w="39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2,756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ind w:right="86"/>
              <w:spacing w:after="0"/>
              <w:rPr>
                <w:sz w:val="20"/>
                <w:szCs w:val="20"/>
                <w:color w:val="auto"/>
              </w:rPr>
            </w:pPr>
            <w:r>
              <w:rPr>
                <w:rFonts w:ascii="Arial" w:cs="Arial" w:eastAsia="Arial" w:hAnsi="Arial"/>
                <w:sz w:val="18"/>
                <w:szCs w:val="18"/>
                <w:color w:val="auto"/>
              </w:rPr>
              <w:t>1,875</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2,439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b w:val="1"/>
                <w:bCs w:val="1"/>
                <w:color w:val="auto"/>
              </w:rPr>
              <w:t>47.0</w:t>
            </w:r>
          </w:p>
        </w:tc>
        <w:tc>
          <w:tcPr>
            <w:tcW w:w="940" w:type="dxa"/>
            <w:vAlign w:val="bottom"/>
          </w:tcPr>
          <w:p>
            <w:pPr>
              <w:ind w:left="380"/>
              <w:spacing w:after="0"/>
              <w:rPr>
                <w:sz w:val="20"/>
                <w:szCs w:val="20"/>
                <w:color w:val="auto"/>
              </w:rPr>
            </w:pPr>
            <w:r>
              <w:rPr>
                <w:rFonts w:ascii="Arial" w:cs="Arial" w:eastAsia="Arial" w:hAnsi="Arial"/>
                <w:sz w:val="18"/>
                <w:szCs w:val="18"/>
                <w:b w:val="1"/>
                <w:bCs w:val="1"/>
                <w:color w:val="auto"/>
              </w:rPr>
              <w:t>13.0</w:t>
            </w:r>
          </w:p>
        </w:tc>
      </w:tr>
      <w:tr>
        <w:trPr>
          <w:trHeight w:val="196"/>
        </w:trPr>
        <w:tc>
          <w:tcPr>
            <w:tcW w:w="20" w:type="dxa"/>
            <w:vAlign w:val="bottom"/>
          </w:tcPr>
          <w:p>
            <w:pPr>
              <w:spacing w:after="0"/>
              <w:rPr>
                <w:sz w:val="17"/>
                <w:szCs w:val="17"/>
                <w:color w:val="auto"/>
              </w:rPr>
            </w:pPr>
          </w:p>
        </w:tc>
        <w:tc>
          <w:tcPr>
            <w:tcW w:w="5060" w:type="dxa"/>
            <w:vAlign w:val="bottom"/>
            <w:tcBorders>
              <w:top w:val="single" w:sz="8" w:color="auto"/>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200" w:type="dxa"/>
            <w:vAlign w:val="bottom"/>
            <w:tcBorders>
              <w:top w:val="single" w:sz="8" w:color="auto"/>
              <w:bottom w:val="single" w:sz="8" w:color="0C6DFF"/>
            </w:tcBorders>
          </w:tcPr>
          <w:p>
            <w:pPr>
              <w:spacing w:after="0"/>
              <w:rPr>
                <w:sz w:val="17"/>
                <w:szCs w:val="17"/>
                <w:color w:val="auto"/>
              </w:rPr>
            </w:pPr>
          </w:p>
        </w:tc>
        <w:tc>
          <w:tcPr>
            <w:tcW w:w="680" w:type="dxa"/>
            <w:vAlign w:val="bottom"/>
            <w:tcBorders>
              <w:top w:val="single" w:sz="8" w:color="auto"/>
              <w:bottom w:val="single" w:sz="8" w:color="0C6DFF"/>
            </w:tcBorders>
          </w:tcPr>
          <w:p>
            <w:pPr>
              <w:spacing w:after="0"/>
              <w:rPr>
                <w:sz w:val="17"/>
                <w:szCs w:val="17"/>
                <w:color w:val="auto"/>
              </w:rPr>
            </w:pPr>
          </w:p>
        </w:tc>
        <w:tc>
          <w:tcPr>
            <w:tcW w:w="760" w:type="dxa"/>
            <w:vAlign w:val="bottom"/>
            <w:tcBorders>
              <w:top w:val="single" w:sz="8" w:color="auto"/>
              <w:bottom w:val="single" w:sz="8" w:color="0C6DFF"/>
            </w:tcBorders>
            <w:gridSpan w:val="2"/>
          </w:tcPr>
          <w:p>
            <w:pPr>
              <w:jc w:val="right"/>
              <w:ind w:right="17"/>
              <w:spacing w:after="0" w:line="196" w:lineRule="exact"/>
              <w:rPr>
                <w:sz w:val="20"/>
                <w:szCs w:val="20"/>
                <w:color w:val="auto"/>
              </w:rPr>
            </w:pPr>
            <w:r>
              <w:rPr>
                <w:rFonts w:ascii="Arial" w:cs="Arial" w:eastAsia="Arial" w:hAnsi="Arial"/>
                <w:sz w:val="18"/>
                <w:szCs w:val="18"/>
                <w:b w:val="1"/>
                <w:bCs w:val="1"/>
                <w:color w:val="auto"/>
              </w:rPr>
              <w:t>$ 2,190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bottom w:val="single" w:sz="8" w:color="0C6DFF"/>
            </w:tcBorders>
            <w:gridSpan w:val="2"/>
          </w:tcPr>
          <w:p>
            <w:pPr>
              <w:jc w:val="right"/>
              <w:ind w:right="86"/>
              <w:spacing w:after="0" w:line="196" w:lineRule="exact"/>
              <w:rPr>
                <w:sz w:val="20"/>
                <w:szCs w:val="20"/>
                <w:color w:val="auto"/>
              </w:rPr>
            </w:pPr>
            <w:r>
              <w:rPr>
                <w:rFonts w:ascii="Arial" w:cs="Arial" w:eastAsia="Arial" w:hAnsi="Arial"/>
                <w:sz w:val="18"/>
                <w:szCs w:val="18"/>
                <w:color w:val="auto"/>
              </w:rPr>
              <w:t>$ 1,464</w:t>
            </w:r>
          </w:p>
        </w:tc>
        <w:tc>
          <w:tcPr>
            <w:tcW w:w="260" w:type="dxa"/>
            <w:vAlign w:val="bottom"/>
            <w:tcBorders>
              <w:top w:val="single" w:sz="8" w:color="auto"/>
              <w:bottom w:val="single" w:sz="8" w:color="0C6DFF"/>
            </w:tcBorders>
          </w:tcPr>
          <w:p>
            <w:pPr>
              <w:ind w:left="4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0C6DFF"/>
            </w:tcBorders>
          </w:tcPr>
          <w:p>
            <w:pPr>
              <w:jc w:val="right"/>
              <w:ind w:right="79"/>
              <w:spacing w:after="0" w:line="196" w:lineRule="exact"/>
              <w:rPr>
                <w:sz w:val="20"/>
                <w:szCs w:val="20"/>
                <w:color w:val="auto"/>
              </w:rPr>
            </w:pPr>
            <w:r>
              <w:rPr>
                <w:rFonts w:ascii="Arial" w:cs="Arial" w:eastAsia="Arial" w:hAnsi="Arial"/>
                <w:sz w:val="18"/>
                <w:szCs w:val="18"/>
                <w:color w:val="auto"/>
              </w:rPr>
              <w:t>488</w:t>
            </w:r>
          </w:p>
        </w:tc>
        <w:tc>
          <w:tcPr>
            <w:tcW w:w="240" w:type="dxa"/>
            <w:vAlign w:val="bottom"/>
            <w:tcBorders>
              <w:top w:val="single" w:sz="8" w:color="auto"/>
              <w:bottom w:val="single" w:sz="8" w:color="0C6DFF"/>
            </w:tcBorders>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0C6DFF"/>
            </w:tcBorders>
          </w:tcPr>
          <w:p>
            <w:pPr>
              <w:jc w:val="right"/>
              <w:ind w:right="32"/>
              <w:spacing w:after="0" w:line="196" w:lineRule="exact"/>
              <w:rPr>
                <w:sz w:val="20"/>
                <w:szCs w:val="20"/>
                <w:color w:val="auto"/>
              </w:rPr>
            </w:pPr>
            <w:r>
              <w:rPr>
                <w:rFonts w:ascii="Arial" w:cs="Arial" w:eastAsia="Arial" w:hAnsi="Arial"/>
                <w:sz w:val="18"/>
                <w:szCs w:val="18"/>
                <w:color w:val="auto"/>
                <w:w w:val="93"/>
              </w:rPr>
              <w:t>1,952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bottom w:val="single" w:sz="8" w:color="0C6DFF"/>
            </w:tcBorders>
            <w:gridSpan w:val="2"/>
          </w:tcPr>
          <w:p>
            <w:pPr>
              <w:ind w:left="160"/>
              <w:spacing w:after="0" w:line="196" w:lineRule="exact"/>
              <w:rPr>
                <w:sz w:val="20"/>
                <w:szCs w:val="20"/>
                <w:color w:val="auto"/>
              </w:rPr>
            </w:pPr>
            <w:r>
              <w:rPr>
                <w:rFonts w:ascii="Arial" w:cs="Arial" w:eastAsia="Arial" w:hAnsi="Arial"/>
                <w:sz w:val="18"/>
                <w:szCs w:val="18"/>
                <w:b w:val="1"/>
                <w:bCs w:val="1"/>
                <w:color w:val="auto"/>
              </w:rPr>
              <w:t>49.6%</w:t>
            </w:r>
          </w:p>
        </w:tc>
        <w:tc>
          <w:tcPr>
            <w:tcW w:w="940" w:type="dxa"/>
            <w:vAlign w:val="bottom"/>
            <w:tcBorders>
              <w:top w:val="single" w:sz="8" w:color="auto"/>
              <w:bottom w:val="single" w:sz="8" w:color="0C6DFF"/>
            </w:tcBorders>
          </w:tcPr>
          <w:p>
            <w:pPr>
              <w:ind w:left="380"/>
              <w:spacing w:after="0" w:line="196" w:lineRule="exact"/>
              <w:rPr>
                <w:sz w:val="20"/>
                <w:szCs w:val="20"/>
                <w:color w:val="auto"/>
              </w:rPr>
            </w:pPr>
            <w:r>
              <w:rPr>
                <w:rFonts w:ascii="Arial" w:cs="Arial" w:eastAsia="Arial" w:hAnsi="Arial"/>
                <w:sz w:val="18"/>
                <w:szCs w:val="18"/>
                <w:b w:val="1"/>
                <w:bCs w:val="1"/>
                <w:color w:val="auto"/>
              </w:rPr>
              <w:t>12.2%</w:t>
            </w:r>
          </w:p>
        </w:tc>
      </w:tr>
      <w:tr>
        <w:trPr>
          <w:trHeight w:val="34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color w:val="auto"/>
              </w:rPr>
              <w:t>% Change</w:t>
            </w: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60"/>
              <w:spacing w:after="0" w:line="149" w:lineRule="exact"/>
              <w:rPr>
                <w:sz w:val="20"/>
                <w:szCs w:val="20"/>
                <w:color w:val="auto"/>
              </w:rPr>
            </w:pPr>
            <w:r>
              <w:rPr>
                <w:rFonts w:ascii="Arial" w:cs="Arial" w:eastAsia="Arial" w:hAnsi="Arial"/>
                <w:sz w:val="14"/>
                <w:szCs w:val="14"/>
                <w:color w:val="auto"/>
              </w:rPr>
              <w:t>2015</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179"/>
              <w:spacing w:after="0" w:line="149" w:lineRule="exact"/>
              <w:rPr>
                <w:sz w:val="20"/>
                <w:szCs w:val="20"/>
                <w:color w:val="auto"/>
              </w:rPr>
            </w:pPr>
            <w:r>
              <w:rPr>
                <w:rFonts w:ascii="Arial" w:cs="Arial" w:eastAsia="Arial" w:hAnsi="Arial"/>
                <w:sz w:val="14"/>
                <w:szCs w:val="14"/>
                <w:color w:val="auto"/>
              </w:rPr>
              <w:t>2014</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2014 to 2015</w:t>
            </w:r>
          </w:p>
        </w:tc>
      </w:tr>
      <w:tr>
        <w:trPr>
          <w:trHeight w:val="141"/>
        </w:trPr>
        <w:tc>
          <w:tcPr>
            <w:tcW w:w="20" w:type="dxa"/>
            <w:vAlign w:val="bottom"/>
          </w:tcPr>
          <w:p>
            <w:pPr>
              <w:spacing w:after="0"/>
              <w:rPr>
                <w:sz w:val="12"/>
                <w:szCs w:val="12"/>
                <w:color w:val="auto"/>
              </w:rPr>
            </w:pPr>
          </w:p>
        </w:tc>
        <w:tc>
          <w:tcPr>
            <w:tcW w:w="39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3"/>
              </w:rPr>
              <w:t>Pro Forma</w:t>
            </w:r>
          </w:p>
        </w:tc>
        <w:tc>
          <w:tcPr>
            <w:tcW w:w="900" w:type="dxa"/>
            <w:vAlign w:val="bottom"/>
            <w:tcBorders>
              <w:top w:val="single" w:sz="8" w:color="auto"/>
            </w:tcBorders>
            <w:gridSpan w:val="3"/>
          </w:tcPr>
          <w:p>
            <w:pPr>
              <w:jc w:val="right"/>
              <w:ind w:right="100"/>
              <w:spacing w:after="0" w:line="141" w:lineRule="exact"/>
              <w:rPr>
                <w:sz w:val="20"/>
                <w:szCs w:val="20"/>
                <w:color w:val="auto"/>
              </w:rPr>
            </w:pPr>
            <w:r>
              <w:rPr>
                <w:rFonts w:ascii="Arial" w:cs="Arial" w:eastAsia="Arial" w:hAnsi="Arial"/>
                <w:sz w:val="14"/>
                <w:szCs w:val="14"/>
                <w:color w:val="auto"/>
              </w:rPr>
              <w:t>Pro Forma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3"/>
              </w:rPr>
              <w:t>Pro Forma</w:t>
            </w:r>
          </w:p>
        </w:tc>
        <w:tc>
          <w:tcPr>
            <w:tcW w:w="900" w:type="dxa"/>
            <w:vAlign w:val="bottom"/>
            <w:tcBorders>
              <w:top w:val="single" w:sz="8" w:color="auto"/>
            </w:tcBorders>
            <w:gridSpan w:val="3"/>
          </w:tcPr>
          <w:p>
            <w:pPr>
              <w:jc w:val="right"/>
              <w:ind w:right="120"/>
              <w:spacing w:after="0" w:line="141" w:lineRule="exact"/>
              <w:rPr>
                <w:sz w:val="20"/>
                <w:szCs w:val="20"/>
                <w:color w:val="auto"/>
              </w:rPr>
            </w:pPr>
            <w:r>
              <w:rPr>
                <w:rFonts w:ascii="Arial" w:cs="Arial" w:eastAsia="Arial" w:hAnsi="Arial"/>
                <w:sz w:val="14"/>
                <w:szCs w:val="14"/>
                <w:color w:val="auto"/>
              </w:rPr>
              <w:t>Pro Forma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40"/>
              <w:spacing w:after="0" w:line="141" w:lineRule="exact"/>
              <w:rPr>
                <w:sz w:val="20"/>
                <w:szCs w:val="20"/>
                <w:color w:val="auto"/>
              </w:rPr>
            </w:pPr>
            <w:r>
              <w:rPr>
                <w:rFonts w:ascii="Arial" w:cs="Arial" w:eastAsia="Arial" w:hAnsi="Arial"/>
                <w:sz w:val="14"/>
                <w:szCs w:val="14"/>
                <w:color w:val="auto"/>
              </w:rPr>
              <w:t>Pro Forma</w:t>
            </w:r>
          </w:p>
        </w:tc>
      </w:tr>
      <w:tr>
        <w:trPr>
          <w:trHeight w:val="149"/>
        </w:trPr>
        <w:tc>
          <w:tcPr>
            <w:tcW w:w="20" w:type="dxa"/>
            <w:vAlign w:val="bottom"/>
          </w:tcPr>
          <w:p>
            <w:pPr>
              <w:spacing w:after="0"/>
              <w:rPr>
                <w:sz w:val="12"/>
                <w:szCs w:val="12"/>
                <w:color w:val="auto"/>
              </w:rPr>
            </w:pPr>
          </w:p>
        </w:tc>
        <w:tc>
          <w:tcPr>
            <w:tcW w:w="39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Actual</w:t>
            </w:r>
          </w:p>
        </w:tc>
        <w:tc>
          <w:tcPr>
            <w:tcW w:w="88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w w:val="98"/>
              </w:rPr>
              <w:t>Adjustments</w:t>
            </w:r>
          </w:p>
        </w:tc>
        <w:tc>
          <w:tcPr>
            <w:tcW w:w="900" w:type="dxa"/>
            <w:vAlign w:val="bottom"/>
            <w:tcBorders>
              <w:bottom w:val="single" w:sz="8" w:color="auto"/>
            </w:tcBorders>
            <w:gridSpan w:val="3"/>
          </w:tcPr>
          <w:p>
            <w:pPr>
              <w:jc w:val="right"/>
              <w:ind w:right="100"/>
              <w:spacing w:after="0" w:line="149" w:lineRule="exact"/>
              <w:rPr>
                <w:sz w:val="20"/>
                <w:szCs w:val="20"/>
                <w:color w:val="auto"/>
              </w:rPr>
            </w:pPr>
            <w:r>
              <w:rPr>
                <w:rFonts w:ascii="Arial" w:cs="Arial" w:eastAsia="Arial" w:hAnsi="Arial"/>
                <w:sz w:val="14"/>
                <w:szCs w:val="14"/>
                <w:color w:val="auto"/>
              </w:rPr>
              <w:t>Combined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Actual</w:t>
            </w:r>
          </w:p>
        </w:tc>
        <w:tc>
          <w:tcPr>
            <w:tcW w:w="960" w:type="dxa"/>
            <w:vAlign w:val="bottom"/>
            <w:tcBorders>
              <w:bottom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Adjustments</w:t>
            </w:r>
          </w:p>
        </w:tc>
        <w:tc>
          <w:tcPr>
            <w:tcW w:w="900" w:type="dxa"/>
            <w:vAlign w:val="bottom"/>
            <w:tcBorders>
              <w:bottom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color w:val="auto"/>
              </w:rPr>
              <w:t>Combined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Actual</w:t>
            </w:r>
          </w:p>
        </w:tc>
        <w:tc>
          <w:tcPr>
            <w:tcW w:w="940" w:type="dxa"/>
            <w:vAlign w:val="bottom"/>
            <w:tcBorders>
              <w:bottom w:val="single" w:sz="8" w:color="auto"/>
            </w:tcBorders>
          </w:tcPr>
          <w:p>
            <w:pPr>
              <w:jc w:val="right"/>
              <w:ind w:right="140"/>
              <w:spacing w:after="0" w:line="149" w:lineRule="exact"/>
              <w:rPr>
                <w:sz w:val="20"/>
                <w:szCs w:val="20"/>
                <w:color w:val="auto"/>
              </w:rPr>
            </w:pPr>
            <w:r>
              <w:rPr>
                <w:rFonts w:ascii="Arial" w:cs="Arial" w:eastAsia="Arial" w:hAnsi="Arial"/>
                <w:sz w:val="14"/>
                <w:szCs w:val="14"/>
                <w:color w:val="auto"/>
              </w:rPr>
              <w:t>Combined</w:t>
            </w:r>
          </w:p>
        </w:tc>
      </w:tr>
      <w:tr>
        <w:trPr>
          <w:trHeight w:val="199"/>
        </w:trPr>
        <w:tc>
          <w:tcPr>
            <w:tcW w:w="20" w:type="dxa"/>
            <w:vAlign w:val="bottom"/>
          </w:tcPr>
          <w:p>
            <w:pPr>
              <w:spacing w:after="0"/>
              <w:rPr>
                <w:sz w:val="17"/>
                <w:szCs w:val="17"/>
                <w:color w:val="auto"/>
              </w:rPr>
            </w:pPr>
          </w:p>
        </w:tc>
        <w:tc>
          <w:tcPr>
            <w:tcW w:w="3940" w:type="dxa"/>
            <w:vAlign w:val="bottom"/>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12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$ 3,339</w:t>
            </w:r>
          </w:p>
        </w:tc>
        <w:tc>
          <w:tcPr>
            <w:tcW w:w="200" w:type="dxa"/>
            <w:vAlign w:val="bottom"/>
          </w:tcPr>
          <w:p>
            <w:pPr>
              <w:ind w:left="80"/>
              <w:spacing w:after="0" w:line="200"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1,052</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4,391</w:t>
            </w:r>
          </w:p>
        </w:tc>
        <w:tc>
          <w:tcPr>
            <w:tcW w:w="40" w:type="dxa"/>
            <w:vAlign w:val="bottom"/>
          </w:tcPr>
          <w:p>
            <w:pPr>
              <w:spacing w:after="0"/>
              <w:rPr>
                <w:sz w:val="17"/>
                <w:szCs w:val="17"/>
                <w:color w:val="auto"/>
              </w:rPr>
            </w:pPr>
          </w:p>
        </w:tc>
        <w:tc>
          <w:tcPr>
            <w:tcW w:w="8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$ 2,623</w:t>
            </w:r>
          </w:p>
        </w:tc>
        <w:tc>
          <w:tcPr>
            <w:tcW w:w="260" w:type="dxa"/>
            <w:vAlign w:val="bottom"/>
          </w:tcPr>
          <w:p>
            <w:pPr>
              <w:ind w:left="140"/>
              <w:spacing w:after="0" w:line="200"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1,085</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3,708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27.3%</w:t>
            </w:r>
          </w:p>
        </w:tc>
        <w:tc>
          <w:tcPr>
            <w:tcW w:w="940" w:type="dxa"/>
            <w:vAlign w:val="bottom"/>
          </w:tcPr>
          <w:p>
            <w:pPr>
              <w:ind w:left="380"/>
              <w:spacing w:after="0" w:line="200" w:lineRule="exact"/>
              <w:rPr>
                <w:sz w:val="20"/>
                <w:szCs w:val="20"/>
                <w:color w:val="auto"/>
              </w:rPr>
            </w:pPr>
            <w:r>
              <w:rPr>
                <w:rFonts w:ascii="Arial" w:cs="Arial" w:eastAsia="Arial" w:hAnsi="Arial"/>
                <w:sz w:val="18"/>
                <w:szCs w:val="18"/>
                <w:color w:val="auto"/>
              </w:rPr>
              <w:t>18.4%</w:t>
            </w:r>
          </w:p>
        </w:tc>
      </w:tr>
      <w:tr>
        <w:trPr>
          <w:trHeight w:val="199"/>
        </w:trPr>
        <w:tc>
          <w:tcPr>
            <w:tcW w:w="3960" w:type="dxa"/>
            <w:vAlign w:val="bottom"/>
            <w:gridSpan w:val="2"/>
          </w:tcPr>
          <w:p>
            <w:pPr>
              <w:spacing w:after="0" w:line="200" w:lineRule="exact"/>
              <w:rPr>
                <w:sz w:val="20"/>
                <w:szCs w:val="20"/>
                <w:color w:val="auto"/>
              </w:rPr>
            </w:pPr>
            <w:r>
              <w:rPr>
                <w:rFonts w:ascii="Arial" w:cs="Arial" w:eastAsia="Arial" w:hAnsi="Arial"/>
                <w:sz w:val="18"/>
                <w:szCs w:val="18"/>
                <w:color w:val="auto"/>
              </w:rPr>
              <w:t>Operating costs and expenses</w:t>
            </w:r>
          </w:p>
        </w:tc>
        <w:tc>
          <w:tcPr>
            <w:tcW w:w="1120" w:type="dxa"/>
            <w:vAlign w:val="bottom"/>
          </w:tcPr>
          <w:p>
            <w:pPr>
              <w:jc w:val="right"/>
              <w:ind w:right="17"/>
              <w:spacing w:after="0" w:line="200" w:lineRule="exact"/>
              <w:rPr>
                <w:sz w:val="20"/>
                <w:szCs w:val="20"/>
                <w:color w:val="auto"/>
              </w:rPr>
            </w:pPr>
            <w:r>
              <w:rPr>
                <w:rFonts w:ascii="Arial" w:cs="Arial" w:eastAsia="Arial" w:hAnsi="Arial"/>
                <w:sz w:val="18"/>
                <w:szCs w:val="18"/>
                <w:color w:val="auto"/>
              </w:rPr>
              <w:t>1,875</w:t>
            </w:r>
          </w:p>
        </w:tc>
        <w:tc>
          <w:tcPr>
            <w:tcW w:w="20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564</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2,439</w:t>
            </w:r>
          </w:p>
        </w:tc>
        <w:tc>
          <w:tcPr>
            <w:tcW w:w="40" w:type="dxa"/>
            <w:vAlign w:val="bottom"/>
          </w:tcPr>
          <w:p>
            <w:pPr>
              <w:spacing w:after="0"/>
              <w:rPr>
                <w:sz w:val="17"/>
                <w:szCs w:val="17"/>
                <w:color w:val="auto"/>
              </w:rPr>
            </w:pPr>
          </w:p>
        </w:tc>
        <w:tc>
          <w:tcPr>
            <w:tcW w:w="8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1,527</w:t>
            </w:r>
          </w:p>
        </w:tc>
        <w:tc>
          <w:tcPr>
            <w:tcW w:w="26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634</w:t>
            </w:r>
          </w:p>
        </w:tc>
        <w:tc>
          <w:tcPr>
            <w:tcW w:w="24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2,161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22.8</w:t>
            </w:r>
          </w:p>
        </w:tc>
        <w:tc>
          <w:tcPr>
            <w:tcW w:w="940" w:type="dxa"/>
            <w:vAlign w:val="bottom"/>
          </w:tcPr>
          <w:p>
            <w:pPr>
              <w:ind w:left="380"/>
              <w:spacing w:after="0" w:line="200" w:lineRule="exact"/>
              <w:rPr>
                <w:sz w:val="20"/>
                <w:szCs w:val="20"/>
                <w:color w:val="auto"/>
              </w:rPr>
            </w:pPr>
            <w:r>
              <w:rPr>
                <w:rFonts w:ascii="Arial" w:cs="Arial" w:eastAsia="Arial" w:hAnsi="Arial"/>
                <w:sz w:val="18"/>
                <w:szCs w:val="18"/>
                <w:color w:val="auto"/>
              </w:rPr>
              <w:t>12.8</w:t>
            </w:r>
          </w:p>
        </w:tc>
      </w:tr>
      <w:tr>
        <w:trPr>
          <w:trHeight w:val="177"/>
        </w:trPr>
        <w:tc>
          <w:tcPr>
            <w:tcW w:w="20" w:type="dxa"/>
            <w:vAlign w:val="bottom"/>
          </w:tcPr>
          <w:p>
            <w:pPr>
              <w:spacing w:after="0"/>
              <w:rPr>
                <w:sz w:val="15"/>
                <w:szCs w:val="15"/>
                <w:color w:val="auto"/>
              </w:rPr>
            </w:pPr>
          </w:p>
        </w:tc>
        <w:tc>
          <w:tcPr>
            <w:tcW w:w="39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Operating income before depreciation and</w:t>
            </w: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1120" w:type="dxa"/>
            <w:vAlign w:val="bottom"/>
            <w:tcBorders>
              <w:bottom w:val="single" w:sz="8" w:color="0C6DFF"/>
            </w:tcBorders>
          </w:tcPr>
          <w:p>
            <w:pPr>
              <w:jc w:val="right"/>
              <w:ind w:right="17"/>
              <w:spacing w:after="0"/>
              <w:rPr>
                <w:sz w:val="20"/>
                <w:szCs w:val="20"/>
                <w:color w:val="auto"/>
              </w:rPr>
            </w:pPr>
            <w:r>
              <w:rPr>
                <w:rFonts w:ascii="Arial" w:cs="Arial" w:eastAsia="Arial" w:hAnsi="Arial"/>
                <w:sz w:val="18"/>
                <w:szCs w:val="18"/>
                <w:color w:val="auto"/>
              </w:rPr>
              <w:t>$ 1,464</w:t>
            </w:r>
          </w:p>
        </w:tc>
        <w:tc>
          <w:tcPr>
            <w:tcW w:w="200" w:type="dxa"/>
            <w:vAlign w:val="bottom"/>
            <w:tcBorders>
              <w:bottom w:val="single" w:sz="8" w:color="0C6DFF"/>
            </w:tcBorders>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488</w:t>
            </w:r>
          </w:p>
        </w:tc>
        <w:tc>
          <w:tcPr>
            <w:tcW w:w="3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gridSpan w:val="2"/>
          </w:tcPr>
          <w:p>
            <w:pPr>
              <w:jc w:val="right"/>
              <w:ind w:right="100"/>
              <w:spacing w:after="0"/>
              <w:rPr>
                <w:sz w:val="20"/>
                <w:szCs w:val="20"/>
                <w:color w:val="auto"/>
              </w:rPr>
            </w:pPr>
            <w:r>
              <w:rPr>
                <w:rFonts w:ascii="Arial" w:cs="Arial" w:eastAsia="Arial" w:hAnsi="Arial"/>
                <w:sz w:val="18"/>
                <w:szCs w:val="18"/>
                <w:color w:val="auto"/>
              </w:rPr>
              <w:t>1,952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$ 1,096</w:t>
            </w:r>
          </w:p>
        </w:tc>
        <w:tc>
          <w:tcPr>
            <w:tcW w:w="260" w:type="dxa"/>
            <w:vAlign w:val="bottom"/>
            <w:tcBorders>
              <w:bottom w:val="single" w:sz="8" w:color="0C6DFF"/>
            </w:tcBorders>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0C6DFF"/>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0C6DFF"/>
            </w:tcBorders>
          </w:tcPr>
          <w:p>
            <w:pPr>
              <w:ind w:left="140"/>
              <w:spacing w:after="0"/>
              <w:rPr>
                <w:sz w:val="20"/>
                <w:szCs w:val="20"/>
                <w:color w:val="auto"/>
              </w:rPr>
            </w:pPr>
            <w:r>
              <w:rPr>
                <w:rFonts w:ascii="Arial" w:cs="Arial" w:eastAsia="Arial" w:hAnsi="Arial"/>
                <w:sz w:val="18"/>
                <w:szCs w:val="18"/>
                <w:color w:val="auto"/>
              </w:rPr>
              <w:t>33.5%</w:t>
            </w:r>
          </w:p>
        </w:tc>
        <w:tc>
          <w:tcPr>
            <w:tcW w:w="940" w:type="dxa"/>
            <w:vAlign w:val="bottom"/>
            <w:tcBorders>
              <w:bottom w:val="single" w:sz="8" w:color="0C6DFF"/>
            </w:tcBorders>
          </w:tcPr>
          <w:p>
            <w:pPr>
              <w:ind w:left="380"/>
              <w:spacing w:after="0"/>
              <w:rPr>
                <w:sz w:val="20"/>
                <w:szCs w:val="20"/>
                <w:color w:val="auto"/>
              </w:rPr>
            </w:pPr>
            <w:r>
              <w:rPr>
                <w:rFonts w:ascii="Arial" w:cs="Arial" w:eastAsia="Arial" w:hAnsi="Arial"/>
                <w:sz w:val="18"/>
                <w:szCs w:val="18"/>
                <w:color w:val="auto"/>
              </w:rPr>
              <w:t>26.2%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Theme Parks segment revenue is generated primarily from ticket sales and guest spending at our Universal theme parks. Guest spending includes in-park spending on food, beverages and merchandise. Guest attendance at our theme parks and guest spending depend heavily on the general environment for travel and tourism, including consumer spending on travel and other recreational activities.</w:t>
      </w: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59</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Theme Parks segment revenue increased in 2016 compared to the pro forma combined revenue in 2015 primarily due to increases in guest spending and higher guest attendance driven by the successful opening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attraction in Hollywood in April 2016, as well as the positive impact of foreign currency translation due to the strengthening of the Japanese yen. The strengthening of the Japanese yen accounted for approximately one-third of the increase in revenue for 2016.</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Theme Parks segment pro forma combined revenue increased in 2015 compared to the pro forma combined revenue in 2014 primarily due to higher guest attendance and increases in guest spending at our Universal theme parks. The increase in 2015 was primarily due to the success of our attractions, including </w:t>
      </w:r>
      <w:r>
        <w:rPr>
          <w:rFonts w:ascii="Arial" w:cs="Arial" w:eastAsia="Arial" w:hAnsi="Arial"/>
          <w:sz w:val="18"/>
          <w:szCs w:val="18"/>
          <w:i w:val="1"/>
          <w:iCs w:val="1"/>
          <w:color w:val="auto"/>
        </w:rPr>
        <w:t>The Wizarding World of Harry Potter™ — Diagon Alley™</w:t>
      </w:r>
      <w:r>
        <w:rPr>
          <w:rFonts w:ascii="Arial" w:cs="Arial" w:eastAsia="Arial" w:hAnsi="Arial"/>
          <w:sz w:val="18"/>
          <w:szCs w:val="18"/>
          <w:color w:val="auto"/>
        </w:rPr>
        <w:t xml:space="preserve"> in Orlando, which opened in 2014, and the </w:t>
      </w:r>
      <w:r>
        <w:rPr>
          <w:rFonts w:ascii="Arial" w:cs="Arial" w:eastAsia="Arial" w:hAnsi="Arial"/>
          <w:sz w:val="18"/>
          <w:szCs w:val="18"/>
          <w:i w:val="1"/>
          <w:iCs w:val="1"/>
          <w:color w:val="auto"/>
        </w:rPr>
        <w:t>Fast &amp; Furious™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Supercharged™ </w:t>
      </w:r>
      <w:r>
        <w:rPr>
          <w:rFonts w:ascii="Arial" w:cs="Arial" w:eastAsia="Arial" w:hAnsi="Arial"/>
          <w:sz w:val="18"/>
          <w:szCs w:val="18"/>
          <w:color w:val="auto"/>
        </w:rPr>
        <w:t>studio tour and</w:t>
      </w:r>
      <w:r>
        <w:rPr>
          <w:rFonts w:ascii="Arial" w:cs="Arial" w:eastAsia="Arial" w:hAnsi="Arial"/>
          <w:sz w:val="18"/>
          <w:szCs w:val="18"/>
          <w:i w:val="1"/>
          <w:iCs w:val="1"/>
          <w:color w:val="auto"/>
        </w:rPr>
        <w:t xml:space="preserve"> The Simpson’s Springfield </w:t>
      </w:r>
      <w:r>
        <w:rPr>
          <w:rFonts w:ascii="Arial" w:cs="Arial" w:eastAsia="Arial" w:hAnsi="Arial"/>
          <w:sz w:val="18"/>
          <w:szCs w:val="18"/>
          <w:color w:val="auto"/>
        </w:rPr>
        <w:t>attraction in Hollywood, both of which opened in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food, beverage and merchandise costs; labor costs; and sales and marketing costs.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Theme Parks segment operating costs and expenses increased in 2016 compared to the pro forma combined operating costs and expenses in 2015 primarily due to additional costs associated with newer attractions, such as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attraction in Hollywood and </w:t>
      </w:r>
      <w:r>
        <w:rPr>
          <w:rFonts w:ascii="Arial" w:cs="Arial" w:eastAsia="Arial" w:hAnsi="Arial"/>
          <w:sz w:val="18"/>
          <w:szCs w:val="18"/>
          <w:i w:val="1"/>
          <w:iCs w:val="1"/>
          <w:color w:val="auto"/>
        </w:rPr>
        <w:t>Skull Island: Reign of Kong™</w:t>
      </w:r>
      <w:r>
        <w:rPr>
          <w:rFonts w:ascii="Arial" w:cs="Arial" w:eastAsia="Arial" w:hAnsi="Arial"/>
          <w:sz w:val="18"/>
          <w:szCs w:val="18"/>
          <w:color w:val="auto"/>
        </w:rPr>
        <w:t xml:space="preserve"> attraction in Orlando, as well as the impact of foreign currency translation due to the strengthening on the Japanese yen.</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Theme Parks segment pro forma combined operating costs and expenses in 2015 increased compared to the pro forma combined operating costs and expenses in 2014 primarily due to additional costs associated with newer attractions, such as the </w:t>
      </w:r>
      <w:r>
        <w:rPr>
          <w:rFonts w:ascii="Arial" w:cs="Arial" w:eastAsia="Arial" w:hAnsi="Arial"/>
          <w:sz w:val="18"/>
          <w:szCs w:val="18"/>
          <w:i w:val="1"/>
          <w:iCs w:val="1"/>
          <w:color w:val="auto"/>
        </w:rPr>
        <w:t>Fast &amp; Furious™ — Supercharged™</w:t>
      </w:r>
      <w:r>
        <w:rPr>
          <w:rFonts w:ascii="Arial" w:cs="Arial" w:eastAsia="Arial" w:hAnsi="Arial"/>
          <w:sz w:val="18"/>
          <w:szCs w:val="18"/>
          <w:color w:val="auto"/>
        </w:rPr>
        <w:t xml:space="preserve"> studio tour in Hollywood, and increases in food, beverage and merchandise costs associated with higher guest attendance.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strengthening of the Japanese yen accounted for approximately one-third of the increase in operating income before depreciation and amortization in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Headquarters and Other operating costs and expenses incurred by our NBCUniversal businesses include overhead, personnel costs and costs associated with corporate initiatives. Operating costs and expenses increased in 2016 and 2015 primarily due to higher employee-related costs.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200"/>
              <w:spacing w:after="0"/>
              <w:rPr>
                <w:sz w:val="20"/>
                <w:szCs w:val="20"/>
                <w:color w:val="auto"/>
              </w:rPr>
            </w:pPr>
            <w:r>
              <w:rPr>
                <w:rFonts w:ascii="Arial" w:cs="Arial" w:eastAsia="Arial" w:hAnsi="Arial"/>
                <w:sz w:val="14"/>
                <w:szCs w:val="14"/>
                <w:color w:val="auto"/>
              </w:rPr>
              <w:t>% Change</w:t>
            </w:r>
          </w:p>
        </w:tc>
      </w:tr>
      <w:tr>
        <w:trPr>
          <w:trHeight w:val="179"/>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2014</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 to 2016</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2014 to 2015</w:t>
            </w:r>
          </w:p>
        </w:tc>
      </w:tr>
      <w:tr>
        <w:trPr>
          <w:trHeight w:val="177"/>
        </w:trPr>
        <w:tc>
          <w:tcPr>
            <w:tcW w:w="556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3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750</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57"/>
              <w:spacing w:after="0" w:line="177" w:lineRule="exact"/>
              <w:rPr>
                <w:sz w:val="20"/>
                <w:szCs w:val="20"/>
                <w:color w:val="auto"/>
              </w:rPr>
            </w:pPr>
            <w:r>
              <w:rPr>
                <w:rFonts w:ascii="Arial" w:cs="Arial" w:eastAsia="Arial" w:hAnsi="Arial"/>
                <w:sz w:val="18"/>
                <w:szCs w:val="18"/>
                <w:color w:val="auto"/>
              </w:rPr>
              <w:t>713</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7"/>
              <w:spacing w:after="0" w:line="177" w:lineRule="exact"/>
              <w:rPr>
                <w:sz w:val="20"/>
                <w:szCs w:val="20"/>
                <w:color w:val="auto"/>
              </w:rPr>
            </w:pPr>
            <w:r>
              <w:rPr>
                <w:rFonts w:ascii="Arial" w:cs="Arial" w:eastAsia="Arial" w:hAnsi="Arial"/>
                <w:sz w:val="18"/>
                <w:szCs w:val="18"/>
                <w:color w:val="auto"/>
              </w:rPr>
              <w:t>683</w:t>
            </w:r>
          </w:p>
        </w:tc>
        <w:tc>
          <w:tcPr>
            <w:tcW w:w="1180" w:type="dxa"/>
            <w:vAlign w:val="bottom"/>
          </w:tcPr>
          <w:p>
            <w:pPr>
              <w:jc w:val="right"/>
              <w:ind w:right="60"/>
              <w:spacing w:after="0" w:line="177" w:lineRule="exact"/>
              <w:rPr>
                <w:sz w:val="20"/>
                <w:szCs w:val="20"/>
                <w:color w:val="auto"/>
              </w:rPr>
            </w:pPr>
            <w:r>
              <w:rPr>
                <w:rFonts w:ascii="Arial" w:cs="Arial" w:eastAsia="Arial" w:hAnsi="Arial"/>
                <w:sz w:val="18"/>
                <w:szCs w:val="18"/>
                <w:b w:val="1"/>
                <w:bCs w:val="1"/>
                <w:color w:val="auto"/>
              </w:rPr>
              <w:t>5.1%</w:t>
            </w:r>
          </w:p>
        </w:tc>
        <w:tc>
          <w:tcPr>
            <w:tcW w:w="1140" w:type="dxa"/>
            <w:vAlign w:val="bottom"/>
          </w:tcPr>
          <w:p>
            <w:pPr>
              <w:jc w:val="right"/>
              <w:ind w:right="40"/>
              <w:spacing w:after="0" w:line="177" w:lineRule="exact"/>
              <w:rPr>
                <w:sz w:val="20"/>
                <w:szCs w:val="20"/>
                <w:color w:val="auto"/>
              </w:rPr>
            </w:pPr>
            <w:r>
              <w:rPr>
                <w:rFonts w:ascii="Arial" w:cs="Arial" w:eastAsia="Arial" w:hAnsi="Arial"/>
                <w:sz w:val="18"/>
                <w:szCs w:val="18"/>
                <w:color w:val="auto"/>
              </w:rPr>
              <w:t>4.4%</w:t>
            </w:r>
          </w:p>
        </w:tc>
      </w:tr>
      <w:tr>
        <w:trPr>
          <w:trHeight w:val="22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1,624</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7"/>
              </w:rPr>
              <w:t>1,528</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1,446</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b w:val="1"/>
                <w:bCs w:val="1"/>
                <w:color w:val="auto"/>
              </w:rPr>
              <w:t>6.2</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5.7</w:t>
            </w:r>
          </w:p>
        </w:tc>
      </w:tr>
      <w:tr>
        <w:trPr>
          <w:trHeight w:val="196"/>
        </w:trPr>
        <w:tc>
          <w:tcPr>
            <w:tcW w:w="5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Operating loss before depreciation and amortization</w:t>
            </w:r>
          </w:p>
        </w:tc>
        <w:tc>
          <w:tcPr>
            <w:tcW w:w="1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(874)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(815)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(763)</w:t>
            </w:r>
          </w:p>
        </w:tc>
        <w:tc>
          <w:tcPr>
            <w:tcW w:w="1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(7.1)%</w:t>
            </w:r>
          </w:p>
        </w:tc>
        <w:tc>
          <w:tcPr>
            <w:tcW w:w="1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(6.9)%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revenue primarily relates to Comcast Spectacor, which owns the Philadelphia Flyers and the Wells Fargo Center arena in Philadelphia, Pennsylvania and operates arena management-related businesses.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revenue increased in 2016 primarily due to increases in revenue from several of our Comcast Spectacor businesses. Other revenue increased in 2015 primarily due to an increase in revenue from food and other services associated with new contracts entered into by one of our Comcast Spectacor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corporate initiatives and branding, and operating costs and expenses associated with Comcast Spectacor.</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Corporate and Other operating costs and expenses increased in 2016 due to an increase in expenses related to corporate activities and initiatives, including expenses associated with our anticipated wireless phone service offering. Corporate and Other operating costs and expenses increased in 2015 due to an increase in expenses related to corporate initiatives and an increase in operating costs and expenses at Comcast Spectacor that was primarily associated with new contracts entered into by one of its businesses. In addition, Corporate and Other operating costs and expenses in 2015 and 2014 included $178 million and $237 million, respectively, of transaction-related costs associated with the Time Warner Cable merger and related divestiture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Other Income (Expense)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2015</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77"/>
        </w:trPr>
        <w:tc>
          <w:tcPr>
            <w:tcW w:w="6240" w:type="dxa"/>
            <w:vAlign w:val="bottom"/>
          </w:tcPr>
          <w:p>
            <w:pPr>
              <w:spacing w:after="0" w:line="177" w:lineRule="exact"/>
              <w:rPr>
                <w:sz w:val="20"/>
                <w:szCs w:val="20"/>
                <w:color w:val="auto"/>
              </w:rPr>
            </w:pPr>
            <w:r>
              <w:rPr>
                <w:rFonts w:ascii="Arial" w:cs="Arial" w:eastAsia="Arial" w:hAnsi="Arial"/>
                <w:sz w:val="18"/>
                <w:szCs w:val="18"/>
                <w:color w:val="auto"/>
              </w:rPr>
              <w:t>Interest expense</w:t>
            </w:r>
          </w:p>
        </w:tc>
        <w:tc>
          <w:tcPr>
            <w:tcW w:w="34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(2,942)</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 (2,702)</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 (2,617)</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Investment income (loss), net</w:t>
            </w:r>
          </w:p>
        </w:tc>
        <w:tc>
          <w:tcPr>
            <w:tcW w:w="346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213</w:t>
            </w:r>
          </w:p>
        </w:tc>
        <w:tc>
          <w:tcPr>
            <w:tcW w:w="8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81</w:t>
            </w: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296</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97</w:t>
            </w:r>
          </w:p>
        </w:tc>
      </w:tr>
      <w:tr>
        <w:trPr>
          <w:trHeight w:val="221"/>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34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327</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196"/>
        </w:trPr>
        <w:tc>
          <w:tcPr>
            <w:tcW w:w="62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4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(2,506)</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(2,626)</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(2,439)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Interest expense increased in 2016 primarily due to higher levels of debt outstanding, including the Universal Studios Japan term loans. Interest expense increased in 2015 primarily due to higher levels of debt outstanding and $47 million of additional interest expense associated with the early redemption in June 2015 of our $750 million aggregate principal amount of 5.85% senior notes due November 2015 and our $1.0 billion aggregate principal amount of 5.90% senior notes due March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change in investment income (loss), net in 2016 was primarily due to an increase in income of certain investments and gains recorded on the sale of certain investments. The change in investment income (loss), net in 2015 was primarily due to a $154 million gain related to the sale of our shares of ARRIS Group, Inc. common stock in 2014. The components of investment income (loss), net are presented in a table in Note 7 to Comcast’s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changes in equity in net income (losses) of investees, net in 2016 and 2015 were primarily due to an impairment charge related to goodwill recorded by The Weather Channel in 2015. We recorded expenses of $333 million that represented NBCUniversal’s proportionate share of the impairment charge. In addition, the changes in 2016 and 2015 were also due to increases in our proportionate share of losses at Hulu, LLC, which were driven by Hulu’s higher programming and marketing costs. In 2016, 2015 and 2014, we recognized our proportionate share of losses at Hulu of $168 million, $106 million and $20 million respectively. The change in 2016 was also due to our proportionate share of losses at Atairos Group, Inc., which commenced operations in 2016.</w:t>
      </w:r>
    </w:p>
    <w:p>
      <w:pPr>
        <w:spacing w:after="0" w:line="32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income (expense), net for 2016 included $225 million recognized in connection with the settlement of amounts owed to us under an agency agreement that had provided for, among other things, Verizon Wireless’ sale of our cable services and $108 million related to the sale of our investment in The Weather Channel’s product and technology business to IBM.</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income (expense), net for 2015 included gains of $335 million on the sales of a business and an investment, $240 million recorded on the settlement of a contingent consideration liability with General Electric Company related to the acquisition of NBCUniversal, and $43 million related to an equity method investment. These gains were partially offset by $236 million of expenses related to fair value adjustments to a contractual obligation.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income (expense), net for 2014 included a $27 million favorable settlement of a contingency related to the AT&amp;T Broadband transaction in 2002, which was more than offset by $208 million of expenses related to fair value adjustments to a contractual obligation and $35 million of expenses related to an indemnification receivable associated with an adjustment to our accruals for uncertain tax positions.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Income tax expense reflects federal and state income taxes and adjustments associated with uncertain tax positions. Our effective income tax rate in 2016, 2015 and 2014 was 37.0%, 37.1% and 31.1%, respectively.</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we reduced our accruals for uncertain tax positions and the related accrued interest on these tax positions and, as a result, our income tax expense decreased by $759 million. See Note 14 to Comcast’s consolidated financial statements for additional information on the changes in our accruals for uncertain tax positions and related interest on these tax positions.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expect our 2017 annual effective tax rate to be in the range of 35% to 37%, absent changes in tax laws or significant changes in uncertain tax positions. The expected annual effective tax rate includes the impact of the adoption of the new accounting guidance related to share-based compensation (see Note 3 to Comcast’s consolidated financial statements). If significant tax legislation is enacted in 2017 that includes a change to the federal statutory rate, this could significantly impact our deferred income taxes. For example, using information as of December 31, 2016, for each 1% change in the federal statutory rate, our deferred income tax liability would change by $850 million, which would primarily result in a corresponding change to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Net (Income) Loss Attributable to Noncontrolling Interests and Redeemable Subsidiary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increases in net income attributable to noncontrolling interests and redeemable subsidiary preferred stock in 2016 and 2015 were primarily due to NBCUniversal’s acquisition of the 51% interest in Universal Studios Japan.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maintain significant availability under our lines of credit and our commercial paper programs to meet our short-term liquidity requirements. Our commercial paper programs provide a lower-cost source of borrowing to fund our short-term working capital requirements. See Note 10 and Note 19 to Comcast’s consolidated financial statements for additional information on the Comcast and NBCUniversal Enterprise revolving credit facilities and the related guarantees.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amounts available under our consolidated credit facilities, net of amounts outstanding under our commercial paper programs and outstanding letters of credit, totaled $5.5 billion, which included $460 million available under the NBCUniversal Enterprise revolving credit facility.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NBCUniversal and Comcast Cable Communications, LLC are subject to the covenants and restrictions set forth in the indentures governing our public debt securities and in the credit agreements governing the Comcast revolving credit facility. The only financial covenant is in the credit facility and pertains to leverage, which is the ratio of debt to operating income before depreciation and amortization, as defined in the credit facility. We test for compliance with this financial covenant on an ongoing basis. As of December 31, 2016, we met this financial covenant by a significant margin. We do not expect to have to reduce debt or improve operating results in order to continue to comply with this financial covenant. In addition, the Universal Studios Japan term loans contain certain financial covenants. As of December 31, 2016, Universal Studios Japan was in compliance with all of these covenants.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Net Cash Provided by Operating Activities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r>
      <w:tr>
        <w:trPr>
          <w:trHeight w:val="177"/>
        </w:trPr>
        <w:tc>
          <w:tcPr>
            <w:tcW w:w="6640" w:type="dxa"/>
            <w:vAlign w:val="bottom"/>
          </w:tcPr>
          <w:p>
            <w:pPr>
              <w:spacing w:after="0" w:line="177" w:lineRule="exact"/>
              <w:rPr>
                <w:sz w:val="20"/>
                <w:szCs w:val="20"/>
                <w:color w:val="auto"/>
              </w:rPr>
            </w:pPr>
            <w:r>
              <w:rPr>
                <w:rFonts w:ascii="Arial" w:cs="Arial" w:eastAsia="Arial" w:hAnsi="Arial"/>
                <w:sz w:val="18"/>
                <w:szCs w:val="18"/>
                <w:color w:val="auto"/>
              </w:rPr>
              <w:t>Operating income</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$ 16,859</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$ 15,998</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$ 14,904</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2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9,558</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8,680</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8,019</w:t>
            </w:r>
          </w:p>
        </w:tc>
      </w:tr>
      <w:tr>
        <w:trPr>
          <w:trHeight w:val="177"/>
        </w:trPr>
        <w:tc>
          <w:tcPr>
            <w:tcW w:w="6640" w:type="dxa"/>
            <w:vAlign w:val="bottom"/>
          </w:tcPr>
          <w:p>
            <w:pPr>
              <w:ind w:left="220"/>
              <w:spacing w:after="0" w:line="177" w:lineRule="exact"/>
              <w:rPr>
                <w:sz w:val="20"/>
                <w:szCs w:val="20"/>
                <w:color w:val="auto"/>
              </w:rPr>
            </w:pPr>
            <w:r>
              <w:rPr>
                <w:rFonts w:ascii="Arial" w:cs="Arial" w:eastAsia="Arial" w:hAnsi="Arial"/>
                <w:sz w:val="18"/>
                <w:szCs w:val="18"/>
                <w:color w:val="auto"/>
              </w:rPr>
              <w:t>Operating income before depreciation and amortization</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26,417</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24,678</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22,923</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Noncash share-based compensation</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640</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567</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513</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operating assets and liabilities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177"/>
        </w:trPr>
        <w:tc>
          <w:tcPr>
            <w:tcW w:w="6640" w:type="dxa"/>
            <w:vAlign w:val="bottom"/>
          </w:tcPr>
          <w:p>
            <w:pPr>
              <w:ind w:left="220"/>
              <w:spacing w:after="0" w:line="177" w:lineRule="exact"/>
              <w:rPr>
                <w:sz w:val="20"/>
                <w:szCs w:val="20"/>
                <w:color w:val="auto"/>
              </w:rPr>
            </w:pPr>
            <w:r>
              <w:rPr>
                <w:rFonts w:ascii="Arial" w:cs="Arial" w:eastAsia="Arial" w:hAnsi="Arial"/>
                <w:sz w:val="18"/>
                <w:szCs w:val="18"/>
                <w:color w:val="auto"/>
              </w:rPr>
              <w:t>Cash basis operating income</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25,275</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24,978</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23,079</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(2,565)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(2,443)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(2,389)</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Payments of income taxes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(3,693)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(3,726)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(3,668)</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Proceeds from investments and other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456</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251</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190</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benefits under share-based compensation</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196"/>
        </w:trPr>
        <w:tc>
          <w:tcPr>
            <w:tcW w:w="66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9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$ 19,240</w:t>
            </w:r>
          </w:p>
        </w:tc>
        <w:tc>
          <w:tcPr>
            <w:tcW w:w="9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$ 18,778</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$ 16,945</w:t>
            </w:r>
          </w:p>
        </w:tc>
      </w:tr>
    </w:tbl>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variance in changes in operating assets and liabilities in 2016 compared to 2015 was primarily due to the timing of film and television production spending and related costs, net of amortization, including certain sports programming obligations; the recognition of deferred revenue associated with the broadcast of the 2016 Rio Olympics; an increase in certain benefit payments; and the payment of a tax receivable agreement that DreamWorks Animation entered into with one of its former stockholders prior to our acquisition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variance in changes in operating assets and liabilities in 2015 compared to 2014 was primarily related to the timing of film and television production spending and related costs, net of amortization; the timing of payments related to our accounts payable and accrued expenses related to trade creditors; and increases in deferred revenue associated with our Olympics broadcasts, which were partially offset by the timing of collections on our receivables.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interest payments in 2016 and 2015 were primarily due to higher levels of debt outstanding.</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decrease in income tax payments in 2016 was primarily due to taxable losses in 2016 related to the sale of certain investments as well as taxable gains in 2015 related to the sale of a business and investments partially offset by higher taxable income from operations. The increase in income tax payments in 2015 was primarily due to higher taxable income from operations offset by the timing of certain tax deductions. We expect income tax payments to increase in 2017 primarily due to higher taxable income from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cash used in investing activities in 2016 consisted primarily of cash paid for capital expenditures, acquisitions, deposits, purchases of investments and intangible assets. Net cash used in investing activities in 2015 consisted primarily of cash paid for capital expenditures, acquisitions, intangible assets and purchases of investments, which was partially offset by proceeds from the sales of businesses and investments. Net cash used in investing activities in 2014 consisted primarily of cash paid for capital expenditures and intangible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Capital Expenditures</w:t>
      </w:r>
    </w:p>
    <w:p>
      <w:pPr>
        <w:jc w:val="both"/>
        <w:spacing w:after="0" w:line="238" w:lineRule="auto"/>
        <w:rPr>
          <w:sz w:val="20"/>
          <w:szCs w:val="20"/>
          <w:color w:val="auto"/>
        </w:rPr>
      </w:pPr>
      <w:r>
        <w:rPr>
          <w:rFonts w:ascii="Arial" w:cs="Arial" w:eastAsia="Arial" w:hAnsi="Arial"/>
          <w:sz w:val="18"/>
          <w:szCs w:val="18"/>
          <w:color w:val="auto"/>
        </w:rPr>
        <w:t>Our most significant recurring investing activity has been capital expenditures in our Cable Communications segment, and we expect that this will continue in the future. The table below summarizes the capital expenditures we incurred in our Cable Communications segment in 2016, 2015 and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2015</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77"/>
        </w:trPr>
        <w:tc>
          <w:tcPr>
            <w:tcW w:w="5680" w:type="dxa"/>
            <w:vAlign w:val="bottom"/>
          </w:tcPr>
          <w:p>
            <w:pPr>
              <w:spacing w:after="0" w:line="177" w:lineRule="exact"/>
              <w:rPr>
                <w:sz w:val="20"/>
                <w:szCs w:val="20"/>
                <w:color w:val="auto"/>
              </w:rPr>
            </w:pPr>
            <w:r>
              <w:rPr>
                <w:rFonts w:ascii="Arial" w:cs="Arial" w:eastAsia="Arial" w:hAnsi="Arial"/>
                <w:sz w:val="18"/>
                <w:szCs w:val="18"/>
                <w:color w:val="auto"/>
              </w:rPr>
              <w:t>Customer premise equipment</w:t>
            </w:r>
          </w:p>
        </w:tc>
        <w:tc>
          <w:tcPr>
            <w:tcW w:w="4100" w:type="dxa"/>
            <w:vAlign w:val="bottom"/>
          </w:tcPr>
          <w:p>
            <w:pPr>
              <w:jc w:val="right"/>
              <w:ind w:right="36"/>
              <w:spacing w:after="0" w:line="177" w:lineRule="exact"/>
              <w:rPr>
                <w:sz w:val="20"/>
                <w:szCs w:val="20"/>
                <w:color w:val="auto"/>
              </w:rPr>
            </w:pPr>
            <w:r>
              <w:rPr>
                <w:rFonts w:ascii="Arial" w:cs="Arial" w:eastAsia="Arial" w:hAnsi="Arial"/>
                <w:sz w:val="18"/>
                <w:szCs w:val="18"/>
                <w:b w:val="1"/>
                <w:bCs w:val="1"/>
                <w:color w:val="auto"/>
              </w:rPr>
              <w:t>$ 3,665</w:t>
            </w:r>
          </w:p>
        </w:tc>
        <w:tc>
          <w:tcPr>
            <w:tcW w:w="820" w:type="dxa"/>
            <w:vAlign w:val="bottom"/>
          </w:tcPr>
          <w:p>
            <w:pPr>
              <w:jc w:val="right"/>
              <w:ind w:right="36"/>
              <w:spacing w:after="0" w:line="177" w:lineRule="exact"/>
              <w:rPr>
                <w:sz w:val="20"/>
                <w:szCs w:val="20"/>
                <w:color w:val="auto"/>
              </w:rPr>
            </w:pPr>
            <w:r>
              <w:rPr>
                <w:rFonts w:ascii="Arial" w:cs="Arial" w:eastAsia="Arial" w:hAnsi="Arial"/>
                <w:sz w:val="18"/>
                <w:szCs w:val="18"/>
                <w:color w:val="auto"/>
              </w:rPr>
              <w:t>$ 3,698</w:t>
            </w:r>
          </w:p>
        </w:tc>
        <w:tc>
          <w:tcPr>
            <w:tcW w:w="82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$ 3,397</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Scalable infrastructure</w:t>
            </w:r>
          </w:p>
        </w:tc>
        <w:tc>
          <w:tcPr>
            <w:tcW w:w="41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1,827</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1,539</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1,375</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Line extensions</w:t>
            </w:r>
          </w:p>
        </w:tc>
        <w:tc>
          <w:tcPr>
            <w:tcW w:w="41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1,208</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886</w:t>
            </w: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673</w:t>
            </w:r>
          </w:p>
        </w:tc>
      </w:tr>
      <w:tr>
        <w:trPr>
          <w:trHeight w:val="221"/>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Support capital</w:t>
            </w:r>
          </w:p>
        </w:tc>
        <w:tc>
          <w:tcPr>
            <w:tcW w:w="4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896</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917</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711</w:t>
            </w:r>
          </w:p>
        </w:tc>
      </w:tr>
      <w:tr>
        <w:trPr>
          <w:trHeight w:val="196"/>
        </w:trPr>
        <w:tc>
          <w:tcPr>
            <w:tcW w:w="56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10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$ 7,596</w:t>
            </w:r>
          </w:p>
        </w:tc>
        <w:tc>
          <w:tcPr>
            <w:tcW w:w="82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color w:val="auto"/>
              </w:rPr>
              <w:t>$ 7,040</w:t>
            </w:r>
          </w:p>
        </w:tc>
        <w:tc>
          <w:tcPr>
            <w:tcW w:w="8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$ 6,156</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Cable Communications capital expenditures increased in 2016 and 2015 primarily due to increased investment in line extensions and increased spending in scalable infrastructure to increase network capacity, as well as continued spending on customer premise equipment related to the deployment of our X1 platform and wireless gateways.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Capital expenditures in our NBCUniversal segments increased 4.8% to $1.5 billion in 2016 and 13.5% to $1.4 billion in 2015 primarily due to continued investment in our Universal theme parks, including Universal Studios Japan and a purchase of land in 2015.</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capital expenditures for 2017 are focused on continued investment in scalable infrastructure to increase network capacity; increased investment in line extensions primarily for the expansion of business services; and the continued deployment of wireless gateways, our X1 platform, and cloud DVR technology. In addition, we expect to continue to invest in existing and new attractions at our Universal theme parks. Capital expenditures for subsequent years will depend on numerous factors, including acquisitions, competition, changes in technology, regulatory changes, the timing and rate of deployment of new services, the capacity required for existing services, and the timing of new attractions at our theme parks. We are developing a Universal theme park in Beijing, China, and we expect to continue to develop this park throughout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C6DFF"/>
        </w:rPr>
        <w:t>Cash Paid for Intangible Assets</w:t>
      </w:r>
    </w:p>
    <w:p>
      <w:pPr>
        <w:spacing w:after="0"/>
        <w:rPr>
          <w:sz w:val="20"/>
          <w:szCs w:val="20"/>
          <w:color w:val="auto"/>
        </w:rPr>
      </w:pPr>
      <w:r>
        <w:rPr>
          <w:rFonts w:ascii="Arial" w:cs="Arial" w:eastAsia="Arial" w:hAnsi="Arial"/>
          <w:sz w:val="16"/>
          <w:szCs w:val="16"/>
          <w:color w:val="auto"/>
        </w:rPr>
        <w:t>In 2016, 2015 and 2014, cash paid for intangible assets consisted primarily of expenditures for software in our Cable Communications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C6DFF"/>
        </w:rPr>
        <w:t>Acquisitions and Construction of Real Estate Properties</w:t>
      </w:r>
    </w:p>
    <w:p>
      <w:pPr>
        <w:jc w:val="both"/>
        <w:spacing w:after="0" w:line="239" w:lineRule="auto"/>
        <w:rPr>
          <w:sz w:val="20"/>
          <w:szCs w:val="20"/>
          <w:color w:val="auto"/>
        </w:rPr>
      </w:pPr>
      <w:r>
        <w:rPr>
          <w:rFonts w:ascii="Arial" w:cs="Arial" w:eastAsia="Arial" w:hAnsi="Arial"/>
          <w:sz w:val="18"/>
          <w:szCs w:val="18"/>
          <w:color w:val="auto"/>
        </w:rPr>
        <w:t>Acquisitions and construction of real estate properties in 2016 and 2015 primarily included our investment in the construction of the Comcast Technology Center in Philadelphia, Pennsylvania.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Acquisitions, Net of Cash Acquired</w:t>
      </w:r>
    </w:p>
    <w:p>
      <w:pPr>
        <w:jc w:val="both"/>
        <w:spacing w:after="0" w:line="239" w:lineRule="auto"/>
        <w:rPr>
          <w:sz w:val="20"/>
          <w:szCs w:val="20"/>
          <w:color w:val="auto"/>
        </w:rPr>
      </w:pPr>
      <w:r>
        <w:rPr>
          <w:rFonts w:ascii="Arial" w:cs="Arial" w:eastAsia="Arial" w:hAnsi="Arial"/>
          <w:sz w:val="18"/>
          <w:szCs w:val="18"/>
          <w:color w:val="auto"/>
        </w:rPr>
        <w:t>In August 2016, we acquired all of the outstanding stock of DreamWorks Animation. In November 2015, NBCUniversal acquired a 51% interest in Universal Studios Japan.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Proceeds from Sales of Businesses and Investments</w:t>
      </w:r>
    </w:p>
    <w:p>
      <w:pPr>
        <w:jc w:val="both"/>
        <w:spacing w:after="0" w:line="236" w:lineRule="auto"/>
        <w:rPr>
          <w:sz w:val="20"/>
          <w:szCs w:val="20"/>
          <w:color w:val="auto"/>
        </w:rPr>
      </w:pPr>
      <w:r>
        <w:rPr>
          <w:rFonts w:ascii="Arial" w:cs="Arial" w:eastAsia="Arial" w:hAnsi="Arial"/>
          <w:sz w:val="18"/>
          <w:szCs w:val="18"/>
          <w:color w:val="auto"/>
        </w:rPr>
        <w:t>Proceeds from sales of businesses and investments in 2016 were primarily related to the sale of our investment in The Weather Channel’s product and technology business to IBM. Proceeds from sales of businesses and investments in 2015 were primarily related to the sale of our investment in TV One, LLC and the sale of a business, CTI Towers Assets I, LLC. Proceeds from sales of businesses and investments in 2014 were primarily related to the sale of our investment in Arris Group and the sale of equity securities following the settlement of certain of our prepaid forward sale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Purchases of Investments</w:t>
      </w:r>
    </w:p>
    <w:p>
      <w:pPr>
        <w:jc w:val="both"/>
        <w:spacing w:after="0" w:line="238" w:lineRule="auto"/>
        <w:rPr>
          <w:sz w:val="20"/>
          <w:szCs w:val="20"/>
          <w:color w:val="auto"/>
        </w:rPr>
      </w:pPr>
      <w:r>
        <w:rPr>
          <w:rFonts w:ascii="Arial" w:cs="Arial" w:eastAsia="Arial" w:hAnsi="Arial"/>
          <w:sz w:val="18"/>
          <w:szCs w:val="18"/>
          <w:color w:val="auto"/>
        </w:rPr>
        <w:t>Purchases of investments in 2016 were primarily related to capital contributions to Atairos and NBCUniversal’s additional investment in BuzzFeed, Inc. Purchases of investments in 2015 were primarily related to NBCUniversal’s investments in Vox Media, Inc. and BuzzFeed. Purchases of investments in 2014 were not significant.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cash provided by financing activities in 2016 consisted primarily of proceeds from new borrowings, which were partially offset by repurchases of our common stock, repayments of debt, dividend payments and our purchase of the remaining noncontrolling interest in Comcast Spectacor. Net cash used in financing activities in 2015 and 2014 consisted primarily of repurchases of our common stock, repayments of debt and dividend payments, which were partially offset by proceeds from new borrowings. Proceeds from borrowings fluctuate from year to year based on the amounts paid to fund acquisitions and debt repayments.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10 to Comcast’s consolidated financial statements for additional information on our financing activities, including details of our debt repayments and borrowings.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 and Dividends</w:t>
      </w:r>
    </w:p>
    <w:p>
      <w:pPr>
        <w:jc w:val="both"/>
        <w:spacing w:after="0" w:line="237" w:lineRule="auto"/>
        <w:rPr>
          <w:sz w:val="20"/>
          <w:szCs w:val="20"/>
          <w:color w:val="auto"/>
        </w:rPr>
      </w:pPr>
      <w:r>
        <w:rPr>
          <w:rFonts w:ascii="Arial" w:cs="Arial" w:eastAsia="Arial" w:hAnsi="Arial"/>
          <w:sz w:val="18"/>
          <w:szCs w:val="18"/>
          <w:color w:val="auto"/>
        </w:rPr>
        <w:t>In 2016, we repurchased a total of 81 million shares of our Class A common stock for $5.0 billion. Effective January 1, 2017, our Board of Directors increased our share repurchase program authorization to a total of $12 billion, which does not have an expiration date. Under the authorization, we may repurchase shares in the open market or in private transactions. We expect to repurchase $5.0 billion of our Class A common stock during 2017, subject to market conditions.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declared quarterly dividends totaling $2.7 billion in 2016. We paid dividends of $2.6 billion in 2016. In January 2017, our Board of Directors approved a 15% increase in our dividend to $1.26 per share on an annualized, pre-split basis, or $0.63 per share on an annualized, post-split basis. In addition, the Board of Directors approved our first quarter dividend of $0.1575 a share on a post-split basis to be paid in April 2017. We expect to continue to pay quarterly dividends, although each dividend is subject to approval by our Board of Directors.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on our share repurchases and dividends paid in 2016,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5145405" cy="1783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spacing w:after="0"/>
              <w:rPr>
                <w:sz w:val="20"/>
                <w:szCs w:val="20"/>
                <w:color w:val="auto"/>
              </w:rPr>
            </w:pPr>
            <w:r>
              <w:rPr>
                <w:rFonts w:ascii="Arial" w:cs="Arial" w:eastAsia="Arial" w:hAnsi="Arial"/>
                <w:sz w:val="14"/>
                <w:szCs w:val="14"/>
                <w:color w:val="auto"/>
              </w:rPr>
              <w:t>As of December 31, 2016 (in millions)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Payment Due by Period</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Year 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92"/>
              </w:rPr>
              <w:t>Years 2-3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92"/>
              </w:rPr>
              <w:t>Years 4-5</w:t>
            </w:r>
          </w:p>
        </w:tc>
        <w:tc>
          <w:tcPr>
            <w:tcW w:w="9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More than 5</w:t>
            </w:r>
          </w:p>
        </w:tc>
        <w:tc>
          <w:tcPr>
            <w:tcW w:w="0" w:type="dxa"/>
            <w:vAlign w:val="bottom"/>
          </w:tcPr>
          <w:p>
            <w:pPr>
              <w:spacing w:after="0"/>
              <w:rPr>
                <w:sz w:val="1"/>
                <w:szCs w:val="1"/>
                <w:color w:val="auto"/>
              </w:rPr>
            </w:pPr>
          </w:p>
        </w:tc>
      </w:tr>
      <w:tr>
        <w:trPr>
          <w:trHeight w:val="199"/>
        </w:trPr>
        <w:tc>
          <w:tcPr>
            <w:tcW w:w="672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61,133</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7"/>
              <w:spacing w:after="0" w:line="200" w:lineRule="exact"/>
              <w:rPr>
                <w:sz w:val="20"/>
                <w:szCs w:val="20"/>
                <w:color w:val="auto"/>
              </w:rPr>
            </w:pPr>
            <w:r>
              <w:rPr>
                <w:rFonts w:ascii="Arial" w:cs="Arial" w:eastAsia="Arial" w:hAnsi="Arial"/>
                <w:sz w:val="18"/>
                <w:szCs w:val="18"/>
                <w:color w:val="auto"/>
              </w:rPr>
              <w:t>5,454</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6,604</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8,189</w:t>
            </w:r>
          </w:p>
        </w:tc>
        <w:tc>
          <w:tcPr>
            <w:tcW w:w="24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40,886</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238</w:t>
            </w:r>
          </w:p>
        </w:tc>
        <w:tc>
          <w:tcPr>
            <w:tcW w:w="240" w:type="dxa"/>
            <w:vAlign w:val="bottom"/>
          </w:tcPr>
          <w:p>
            <w:pPr>
              <w:spacing w:after="0"/>
              <w:rPr>
                <w:sz w:val="17"/>
                <w:szCs w:val="17"/>
                <w:color w:val="auto"/>
              </w:rPr>
            </w:pPr>
          </w:p>
        </w:tc>
        <w:tc>
          <w:tcPr>
            <w:tcW w:w="6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71</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4,007</w:t>
            </w:r>
          </w:p>
        </w:tc>
        <w:tc>
          <w:tcPr>
            <w:tcW w:w="240" w:type="dxa"/>
            <w:vAlign w:val="bottom"/>
          </w:tcPr>
          <w:p>
            <w:pPr>
              <w:spacing w:after="0"/>
              <w:rPr>
                <w:sz w:val="17"/>
                <w:szCs w:val="17"/>
                <w:color w:val="auto"/>
              </w:rPr>
            </w:pPr>
          </w:p>
        </w:tc>
        <w:tc>
          <w:tcPr>
            <w:tcW w:w="6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517</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918</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699</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3"/>
        </w:trPr>
        <w:tc>
          <w:tcPr>
            <w:tcW w:w="672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2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51,649</w:t>
            </w:r>
          </w:p>
        </w:tc>
        <w:tc>
          <w:tcPr>
            <w:tcW w:w="240" w:type="dxa"/>
            <w:vAlign w:val="bottom"/>
          </w:tcPr>
          <w:p>
            <w:pPr>
              <w:spacing w:after="0"/>
              <w:rPr>
                <w:sz w:val="17"/>
                <w:szCs w:val="17"/>
                <w:color w:val="auto"/>
              </w:rPr>
            </w:pPr>
          </w:p>
        </w:tc>
        <w:tc>
          <w:tcPr>
            <w:tcW w:w="6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9,978</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11,404</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8,538</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21,729</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2"/>
                <w:szCs w:val="22"/>
                <w:color w:val="auto"/>
                <w:vertAlign w:val="superscript"/>
              </w:rPr>
              <w:t>(c)</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5,928</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336</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1,262</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2,316</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0C6DFF"/>
            </w:tcBorders>
          </w:tcPr>
          <w:p>
            <w:pPr>
              <w:spacing w:after="0" w:line="197" w:lineRule="exact"/>
              <w:rPr>
                <w:sz w:val="20"/>
                <w:szCs w:val="20"/>
                <w:color w:val="auto"/>
              </w:rPr>
            </w:pPr>
            <w:r>
              <w:rPr>
                <w:rFonts w:ascii="Arial" w:cs="Arial" w:eastAsia="Arial" w:hAnsi="Arial"/>
                <w:sz w:val="22"/>
                <w:szCs w:val="22"/>
                <w:color w:val="auto"/>
                <w:vertAlign w:val="subscript"/>
              </w:rPr>
              <w:t>Total</w:t>
            </w:r>
            <w:r>
              <w:rPr>
                <w:rFonts w:ascii="Arial" w:cs="Arial" w:eastAsia="Arial" w:hAnsi="Arial"/>
                <w:sz w:val="9"/>
                <w:szCs w:val="9"/>
                <w:color w:val="auto"/>
              </w:rPr>
              <w:t>(d)(e)</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122,955</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color w:val="auto"/>
              </w:rPr>
              <w:t>16,314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20,253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19,813</w:t>
            </w:r>
          </w:p>
        </w:tc>
        <w:tc>
          <w:tcPr>
            <w:tcW w:w="24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66,575</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10 and Note 16 to Comcast’s consolidated financial statements.</w:t>
      </w:r>
    </w:p>
    <w:p>
      <w:pPr>
        <w:spacing w:after="0" w:line="55"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55" w:lineRule="exact"/>
        <w:rPr>
          <w:rFonts w:ascii="Arial" w:cs="Arial" w:eastAsia="Arial" w:hAnsi="Arial"/>
          <w:sz w:val="14"/>
          <w:szCs w:val="14"/>
          <w:color w:val="auto"/>
        </w:rPr>
      </w:pPr>
    </w:p>
    <w:p>
      <w:pPr>
        <w:jc w:val="both"/>
        <w:ind w:left="300" w:hanging="292"/>
        <w:spacing w:after="0" w:line="223"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Purchase obligations consist of agreements to purchase goods and services that are legally binding on us and specify all significant terms, including fixed or minimum quantities to be purchased and price provisions. Our purchase obligations related to our Cable Communications segment and other activities include programming contracts with cable networks and local broadcast television stations; contracts with customer premise equipment manufacturers; communications vendors and multichannel video providers for which we provide advertising sales representation; contracts to acquire handsets and other equipment; and other contracts entered into in the normal course of business. Cable Communications programming contracts in the table above include amounts payable under fixed or minimum guaranteed commitments and do not represent the total fees that are expected to be paid under programming contracts, which we expect to be significantly higher because these contracts are generally based on the number of subscribers receiving the programming. Our purchase obligations related to our NBCUniversal segments consist primarily of commitments to acquire film and television programming, including U.S. broadcast rights to future Olympic Games through 2032, </w:t>
      </w:r>
      <w:r>
        <w:rPr>
          <w:rFonts w:ascii="Arial" w:cs="Arial" w:eastAsia="Arial" w:hAnsi="Arial"/>
          <w:sz w:val="14"/>
          <w:szCs w:val="14"/>
          <w:i w:val="1"/>
          <w:iCs w:val="1"/>
          <w:color w:val="auto"/>
        </w:rPr>
        <w:t>Sunday Night Football</w:t>
      </w:r>
      <w:r>
        <w:rPr>
          <w:rFonts w:ascii="Arial" w:cs="Arial" w:eastAsia="Arial" w:hAnsi="Arial"/>
          <w:sz w:val="14"/>
          <w:szCs w:val="14"/>
          <w:color w:val="auto"/>
        </w:rPr>
        <w:t xml:space="preserve"> through the 2022-23 season, including the Super Bowl in 2018 and 2021, </w:t>
      </w:r>
      <w:r>
        <w:rPr>
          <w:rFonts w:ascii="Arial" w:cs="Arial" w:eastAsia="Arial" w:hAnsi="Arial"/>
          <w:sz w:val="14"/>
          <w:szCs w:val="14"/>
          <w:i w:val="1"/>
          <w:iCs w:val="1"/>
          <w:color w:val="auto"/>
        </w:rPr>
        <w:t>Thursday Night Football</w:t>
      </w:r>
      <w:r>
        <w:rPr>
          <w:rFonts w:ascii="Arial" w:cs="Arial" w:eastAsia="Arial" w:hAnsi="Arial"/>
          <w:sz w:val="14"/>
          <w:szCs w:val="14"/>
          <w:color w:val="auto"/>
        </w:rPr>
        <w:t xml:space="preserve"> through the 2017-18 season, NHL games through the 2020-21 season, Spanish-language U.S. broadcast rights to FIFA World Cup games through 2022, U.S broadcast rights to English Premier League soccer games through the 2021-22 season, certain PGA TOUR and other golf events through 2030, and certain NASCAR events through 2024, as well as obligations under various creative talent agreements, including obligations to actors, producers and television personalities, and various other television commitments. Purchase obligations do not include contracts with immaterial future commitments.</w:t>
      </w:r>
    </w:p>
    <w:p>
      <w:pPr>
        <w:spacing w:after="0" w:line="55" w:lineRule="exact"/>
        <w:rPr>
          <w:rFonts w:ascii="Arial" w:cs="Arial" w:eastAsia="Arial" w:hAnsi="Arial"/>
          <w:sz w:val="14"/>
          <w:szCs w:val="14"/>
          <w:color w:val="auto"/>
        </w:rPr>
      </w:pPr>
    </w:p>
    <w:p>
      <w:pPr>
        <w:jc w:val="both"/>
        <w:ind w:left="280" w:hanging="272"/>
        <w:spacing w:after="0" w:line="223" w:lineRule="auto"/>
        <w:tabs>
          <w:tab w:leader="none" w:pos="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long-term liabilities reflected on the balance sheet consist primarily of subsidiary preferred shares; deferred compensation obligations; and postretirement, pension and postemployment benefit obligations. A contractual obligation with a carrying value of $1.1 billion is not included in the table above because it is uncertain if the arrangement will be settled. The contractual obligation involves an interest held by a third party in the revenue of certain theme parks. The arrangement provides the counterparty with the right to periodic payments associated with current period revenue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the carrying value. If the option had been exercisable as of December 31, 2016, the estimated value of the contractual obligation would have been approximately $1.4 billion, based on inputs to the contractual formula as of that date. See Note 16 to Comcast’s consolidated financial statements for additional information related to this arrangement. Reserves for uncertain tax positions of $1.1 billion are not included in the table above because it is uncertain if or when these reserves will become payable. Payments of $2.4 billion of participations and residuals are also not included in the table above because we cannot make a reliable estimate of the period in which these obligations will be settled.</w:t>
      </w:r>
    </w:p>
    <w:p>
      <w:pPr>
        <w:spacing w:after="0" w:line="58"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contractual obligations do not include our commitment to invest up to $4 billion at any one time as an investor in Atairos due to our inability to estimate the timing of this funding. As of December 31, 2016, our remaining commitment is $2.4 billion based on the capital</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spacing w:after="0" w:line="228" w:lineRule="auto"/>
        <w:rPr>
          <w:sz w:val="20"/>
          <w:szCs w:val="20"/>
          <w:color w:val="auto"/>
        </w:rPr>
      </w:pPr>
      <w:r>
        <w:rPr>
          <w:rFonts w:ascii="Arial" w:cs="Arial" w:eastAsia="Arial" w:hAnsi="Arial"/>
          <w:sz w:val="14"/>
          <w:szCs w:val="14"/>
          <w:color w:val="auto"/>
        </w:rPr>
        <w:t>calls received as of that date (see Note 7 to Comcast’s consolidated financial statements). In addition, our contractual obligations do not include any future expenditures related to the construction and development of the proposed Universal Studios theme park in Beijing, China or the Comcast Technology Center, as we do not currently have any obligation to fund either initiative.</w:t>
      </w:r>
    </w:p>
    <w:p>
      <w:pPr>
        <w:spacing w:after="0" w:line="54" w:lineRule="exact"/>
        <w:rPr>
          <w:sz w:val="20"/>
          <w:szCs w:val="20"/>
          <w:color w:val="auto"/>
        </w:rPr>
      </w:pPr>
    </w:p>
    <w:p>
      <w:pPr>
        <w:ind w:left="240" w:right="6920" w:hanging="232"/>
        <w:spacing w:after="0" w:line="357" w:lineRule="auto"/>
        <w:tabs>
          <w:tab w:leader="none" w:pos="294"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contractual obligations are made up of the following components. (in millions)</w:t>
      </w:r>
    </w:p>
    <w:tbl>
      <w:tblPr>
        <w:tblLayout w:type="fixed"/>
        <w:tblInd w:w="240" w:type="dxa"/>
        <w:tblCellMar>
          <w:top w:w="0" w:type="dxa"/>
          <w:left w:w="0" w:type="dxa"/>
          <w:bottom w:w="0" w:type="dxa"/>
          <w:right w:w="0" w:type="dxa"/>
        </w:tblCellMar>
      </w:tblPr>
      <w:tr>
        <w:trPr>
          <w:trHeight w:val="122"/>
        </w:trPr>
        <w:tc>
          <w:tcPr>
            <w:tcW w:w="67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Liabilities recorded on the balance sheet</w:t>
            </w:r>
          </w:p>
        </w:tc>
        <w:tc>
          <w:tcPr>
            <w:tcW w:w="38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4"/>
                <w:szCs w:val="14"/>
                <w:color w:val="auto"/>
              </w:rPr>
              <w:t>68,694</w:t>
            </w:r>
          </w:p>
        </w:tc>
      </w:tr>
      <w:tr>
        <w:trPr>
          <w:trHeight w:val="149"/>
        </w:trPr>
        <w:tc>
          <w:tcPr>
            <w:tcW w:w="6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Commitments not recorded on the balance sheet</w:t>
            </w:r>
          </w:p>
        </w:tc>
        <w:tc>
          <w:tcPr>
            <w:tcW w:w="38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54,261</w:t>
            </w:r>
          </w:p>
        </w:tc>
      </w:tr>
      <w:tr>
        <w:trPr>
          <w:trHeight w:val="142"/>
        </w:trPr>
        <w:tc>
          <w:tcPr>
            <w:tcW w:w="6700" w:type="dxa"/>
            <w:vAlign w:val="bottom"/>
            <w:tcBorders>
              <w:bottom w:val="single" w:sz="8" w:color="0C6DFF"/>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388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C6DFF"/>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8"/>
              </w:rPr>
              <w:t>122,955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2016, we did not have any material off-balance sheet arrangements that are reasonably likely to have a current or future effect on our financial condition, results of operations, liquidity, capital expenditures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 3 to each of Comcast’s and NBCUniversal’s consolidated financial statements for additional information related to 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film and television costs are critical in the preparation of our consolidated financial statements. Management has discussed the development and selection of these critical accounting judgments and estimates with the Audit Committee of our Board of Directors, and the Audit Committee has reviewed our disclosures relating to them, which are presented below. See Notes 9 and 6 to Comcast’s consolidated financial statements for a discussion of our accounting policies with respect to these items.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such as advanced video services and high-speed Internet and voice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the fair value (“impairment testing”).</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67</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purpose of our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annual impairment test for indefinite-lived intangibles allows for the option to first assess qualitative factors to determine whether it is more likely than not that the fair value of an indefinite-lived intangible is less than its carrying amount. An entity may choose to perform the qualitative assessment or an entity may bypass the qualitative assessment and proceed directly to the quantitative impairment test. If it is determined, on the basis of qualitative factors, that the fair value of the indefinite-lived intangible asset is, more likely than not, less than its carrying value, the quantitative impairment test is required. When performing a quantitative assessment,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2016, we performed a qualitative assessment of our cable franchise rights. At the time of our previous quantitative assessment in 2014, the estimated fair values of our franchise rights exceeded the carrying value in our three Cable Communications divisions by 26%, 42% and 50%, respectively. We also considered various factors that would affect the estimated fair values of our cable franchise rights in our qualitative assessment in 2016, including changes in our projected future cash flows associated with our Cable Communications segment; market transactions and macroeconomic conditions; weighted-average cost of capital; and an increase in our market capitalization. Based on this assessment, we concluded that it was more likely than not that the estimated fair values of our cable franchise rights were higher than the carrying values and that the performance of a quantitative impairment test was not required.</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Since the adoption of the accounting guidance related to goodwill and intangible assets in 2002, we have not recorded any significant impairment charges to cable franchise rights as a result of our impairment testing.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could record impairment charges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results of any qualitative assessment and the valuations used in future annual quantitative impairment testing and result in a reduction in the fair values of our cable franchise rights. In addition, a future change in the unit of account could result in the recognition of an impairment charge.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using the ratio of the current period’s revenue to estimated total remaining revenue from all sources (“ultimate revenue”). Estimates of ultimate revenue have a significant impact on how quickly capitalized costs are amortized and, therefore, are updated regularly.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markets, including from content licensing across multiple platforms and home entertainment sales, are revised based on historical relationships and an analysis of current market trends.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television series or other owned television programming can be licensed for subsequent platforms, revenue estimates for these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made available for use. We amortize capitalized programming costs as the associated programs are broadcast. We generally amortize multiyear, live-event sports programming rights using the ratio of the current period revenue to the estimated ultimate revenue or under the terms of the contract.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Capitalized film and television costs, as well as stage play production costs, are subject to impairment testing when certain triggering events are identified. If the fair value of a production were to fall below its unamortized cost, we would record an adjustment for the amount by which the unamortized capitalized costs exceed the production’s fair value. The fair value assessment is generally based on estimated future discounted cash flows, which are supported by our internal forecasts. Adjustments to capitalized film and stage play production costs of $14 million, $42 million and $26 million were recorded in 2016, 2015 and 2014, respectively.</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0C6DFF"/>
        </w:rPr>
        <w:t>Item 7A: Quantitative and Qualitative Disclosures About Market Risk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monitor our exposure to the risk of adverse changes in interest rates through the use of techniques that include market value and sensitivity analyses. We do not engage in any speculative or leveraged derivative transactions.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interest rate derivative financial instruments, which may include swaps, rate locks, caps and collars, represent an integral part of our interest rate risk management program. Comcast’s interest rate derivative financial instruments reduced the portion of Comcast’s total consolidated debt at fixed rates as of December 31, 2016 to 85.3% from 88.9%. As of December 31, 2016, NBCUniversal had no outstanding interest rate derivative financial instruments.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2015 and 2014, the effect of our interest rate derivative financial instruments was to decrease Comcast’s consolidated interest expense by $36 million, $62 million and $66 million, respectively. The effect</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of NBCUniversal’s interest rate derivative financial instruments was not material to NBCUniversal’s consolidated financial statements for all periods presented. Interest rate derivative financial instruments may have a significant effect on Comcast’s interest expense in the future.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as of December 31, 2016 by contractual year of maturity the principal cash flows, notional amounts, fair values and contract terms of financial instruments subject to interest rate risk maintained by 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color w:val="auto"/>
              </w:rPr>
              <w:t>Estimated</w:t>
            </w:r>
          </w:p>
        </w:tc>
      </w:tr>
      <w:tr>
        <w:trPr>
          <w:trHeight w:val="149"/>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Fair Value as of</w:t>
            </w:r>
          </w:p>
        </w:tc>
      </w:tr>
      <w:tr>
        <w:trPr>
          <w:trHeight w:val="149"/>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2"/>
              <w:spacing w:after="0" w:line="149" w:lineRule="exact"/>
              <w:rPr>
                <w:sz w:val="20"/>
                <w:szCs w:val="20"/>
                <w:color w:val="auto"/>
              </w:rPr>
            </w:pPr>
            <w:r>
              <w:rPr>
                <w:rFonts w:ascii="Arial" w:cs="Arial" w:eastAsia="Arial" w:hAnsi="Arial"/>
                <w:sz w:val="14"/>
                <w:szCs w:val="14"/>
                <w:color w:val="auto"/>
                <w:w w:val="95"/>
              </w:rPr>
              <w:t>December 31,</w:t>
            </w:r>
          </w:p>
        </w:tc>
      </w:tr>
      <w:tr>
        <w:trPr>
          <w:trHeight w:val="163"/>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2021</w:t>
            </w:r>
          </w:p>
        </w:tc>
        <w:tc>
          <w:tcPr>
            <w:tcW w:w="9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2016</w:t>
            </w:r>
          </w:p>
        </w:tc>
      </w:tr>
      <w:tr>
        <w:trPr>
          <w:trHeight w:val="199"/>
        </w:trPr>
        <w:tc>
          <w:tcPr>
            <w:tcW w:w="3040" w:type="dxa"/>
            <w:vAlign w:val="bottom"/>
          </w:tcPr>
          <w:p>
            <w:pPr>
              <w:spacing w:after="0" w:line="200" w:lineRule="exact"/>
              <w:rPr>
                <w:sz w:val="20"/>
                <w:szCs w:val="20"/>
                <w:color w:val="auto"/>
              </w:rPr>
            </w:pPr>
            <w:r>
              <w:rPr>
                <w:rFonts w:ascii="Arial" w:cs="Arial" w:eastAsia="Arial" w:hAnsi="Arial"/>
                <w:sz w:val="18"/>
                <w:szCs w:val="18"/>
                <w:b w:val="1"/>
                <w:bCs w:val="1"/>
                <w:color w:val="auto"/>
              </w:rPr>
              <w:t>Debt</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2,589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3,346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2,234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3,429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2,043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40,959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8"/>
              </w:rPr>
              <w:t>54,600</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59,561</w:t>
            </w: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2,894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857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232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2,788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6,771</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6,777</w:t>
            </w:r>
          </w:p>
        </w:tc>
      </w:tr>
      <w:tr>
        <w:trPr>
          <w:trHeight w:val="181"/>
        </w:trPr>
        <w:tc>
          <w:tcPr>
            <w:tcW w:w="3040" w:type="dxa"/>
            <w:vAlign w:val="bottom"/>
          </w:tcPr>
          <w:p>
            <w:pPr>
              <w:ind w:left="220"/>
              <w:spacing w:after="0" w:line="181" w:lineRule="exact"/>
              <w:rPr>
                <w:sz w:val="20"/>
                <w:szCs w:val="20"/>
                <w:color w:val="auto"/>
              </w:rPr>
            </w:pPr>
            <w:r>
              <w:rPr>
                <w:rFonts w:ascii="Arial" w:cs="Arial" w:eastAsia="Arial" w:hAnsi="Arial"/>
                <w:sz w:val="18"/>
                <w:szCs w:val="18"/>
                <w:color w:val="auto"/>
              </w:rPr>
              <w:t>Average interest rate</w:t>
            </w:r>
          </w:p>
        </w:tc>
        <w:tc>
          <w:tcPr>
            <w:tcW w:w="104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00" w:type="dxa"/>
            <w:vAlign w:val="bottom"/>
          </w:tcPr>
          <w:p>
            <w:pPr>
              <w:ind w:left="400"/>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5"/>
        </w:trPr>
        <w:tc>
          <w:tcPr>
            <w:tcW w:w="3040" w:type="dxa"/>
            <w:vAlign w:val="bottom"/>
          </w:tcPr>
          <w:p>
            <w:pPr>
              <w:spacing w:after="0"/>
              <w:rPr>
                <w:sz w:val="20"/>
                <w:szCs w:val="20"/>
                <w:color w:val="auto"/>
              </w:rPr>
            </w:pPr>
            <w:r>
              <w:rPr>
                <w:rFonts w:ascii="Arial" w:cs="Arial" w:eastAsia="Arial" w:hAnsi="Arial"/>
                <w:sz w:val="18"/>
                <w:szCs w:val="18"/>
                <w:b w:val="1"/>
                <w:bCs w:val="1"/>
                <w:color w:val="auto"/>
              </w:rPr>
              <w:t>Interest Rate Instruments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1,600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2,200</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34</w:t>
            </w: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30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0"/>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5.9%</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notional amount of each interest rate derivative financial instrument to calculate the interest to be paid or received. The notional amounts do not represent our exposure to credit loss. The estimated fair value approximates the amount of payments to be made or proceeds to be received to settle the outstanding contracts, including accrued interest. We estimate interest rates on variable rate debt and swaps using the relevant average implied forward rates through the year of maturity based on the yield curve in effect on December 31, 2016, plus the applicable borrowing margin on December 31, 2016.</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 2 to each of Comcast’s and NBCUniversal’s consolidated financial statements for additional information on our accounting policies for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has significant operations in a number of countries outside the United States, and certain of NBCUniversal’s operations are conducted in foreign currencies. The value of these currencies fluctuates relative to the U.S. dollar. These changes could adversely affect the U.S. dollar equivalent value of our non-U.S. dollar revenue and operating costs and expenses and reduce international demand for our content, all of which could negatively affect our business, financial condition and results of operations in a given period or in specific territories.</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part of our overall strategy to manage the level of exposure to the risk of foreign exchange rate fluctuations, NBCUniversal enters into derivative financial instruments related to a significant portion of its foreign currency exposure, which is a result of transactions denominated in other than the functional currency. NBCUniversal enters into foreign currency forward contracts that change in value as currency exchange rates fluctuate to protect the U.S. dollar equivalent value of its non-U.S. dollar assets, liabilities, commitments, and forecasted foreign currency revenue and expenses. In accordance with our policy, NBCUniversal hedges forecasted foreign currency transactions for periods generally not to exceed 18 months. In certain circumstances, NBCUniversal enters into foreign exchange contracts with initial maturities in excess of 18 months. As of December 31, 2016 and 2015, NBCUniversal had foreign exchange contracts with a total notional value of $1.5 billion and $998 million, respectively. As of December 31, 2016 and 2015, the aggregate estimated fair value of these foreign exchange contracts was not material.</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analyzed our foreign currency exposure related to NBCUniversal’s operations as of December 31, 2016, including our hedging contracts, to identify assets and liabilities denominated in a currency other than their functional currency. For those assets and liabilities, we then evaluated the effect of a 10% shift in currency exchange rates between the functional currency and the U.S. dollar. Our analysis of such a shift in exchange rates indicated that there would be an immaterial effect on our 2016 income. In addition, the impact of fluctuations in currencies relative to the U.S. dollar for our non-U.S. dollar functional currency operations did not have a material impact on our financial condition or results of operations in 2016.</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Comcast is also exposed to the market risks associated with fluctuations in currency exchange rates as they relate to its foreign currency denominated debt obligations. We use cross-currency swaps for foreign currency denominated debt obligations when those obligations are denominated in a currency other than the functional currency. Cross-currency swaps effectively convert fixed-rate foreign currency denominated debt to fixed-rate U.S. dollar denominated debt in order to hedge the risk that the cash flows related to annual interest payments and the payment of principal at maturity may be adversely affected by fluctuations in currency exchange rates. The gains and losses on the cross-currency swaps offset changes in the U.S. dollar equivalent value of the related exposures. As of December 31, 2016 and 2015, the fair value of our cross-currency swaps on our £625 million principal amount of 5.50% senior notes due 2029 was a liability of $189 million and $71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and NBCUniversal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Comcast has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2016 and 2015, Comcast was not required to post collateral under the terms of these agreements. As of December 31, 2016 and 2015, we did not hold any collateral under the terms of these agreements.</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8: Comcast Corporation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Index</w:t>
            </w:r>
          </w:p>
        </w:tc>
        <w:tc>
          <w:tcPr>
            <w:tcW w:w="6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4500" w:type="dxa"/>
            <w:vAlign w:val="bottom"/>
            <w:gridSpan w:val="8"/>
          </w:tcPr>
          <w:p>
            <w:pPr>
              <w:spacing w:after="0" w:line="170" w:lineRule="exact"/>
              <w:rPr>
                <w:rFonts w:ascii="Arial" w:cs="Arial" w:eastAsia="Arial" w:hAnsi="Arial"/>
                <w:sz w:val="18"/>
                <w:szCs w:val="18"/>
                <w:color w:val="0000EE"/>
              </w:rPr>
            </w:pPr>
            <w:hyperlink w:anchor="page76">
              <w:r>
                <w:rPr>
                  <w:rFonts w:ascii="Arial" w:cs="Arial" w:eastAsia="Arial" w:hAnsi="Arial"/>
                  <w:sz w:val="18"/>
                  <w:szCs w:val="18"/>
                  <w:color w:val="0000EE"/>
                </w:rPr>
                <w:t>Report of Management</w:t>
              </w:r>
            </w:hyperlink>
          </w:p>
        </w:tc>
        <w:tc>
          <w:tcPr>
            <w:tcW w:w="6920" w:type="dxa"/>
            <w:vAlign w:val="bottom"/>
          </w:tcPr>
          <w:p>
            <w:pPr>
              <w:jc w:val="right"/>
              <w:spacing w:after="0" w:line="170" w:lineRule="exact"/>
              <w:rPr>
                <w:sz w:val="20"/>
                <w:szCs w:val="20"/>
                <w:color w:val="auto"/>
              </w:rPr>
            </w:pPr>
            <w:r>
              <w:rPr>
                <w:rFonts w:ascii="Arial" w:cs="Arial" w:eastAsia="Arial" w:hAnsi="Arial"/>
                <w:sz w:val="18"/>
                <w:szCs w:val="18"/>
                <w:color w:val="auto"/>
              </w:rPr>
              <w:t>73</w:t>
            </w:r>
          </w:p>
        </w:tc>
      </w:tr>
      <w:tr>
        <w:trPr>
          <w:trHeight w:val="20"/>
        </w:trPr>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04"/>
        </w:trPr>
        <w:tc>
          <w:tcPr>
            <w:tcW w:w="45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Report of Independent Registered Public Accounting Firm</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4500" w:type="dxa"/>
            <w:vAlign w:val="bottom"/>
            <w:gridSpan w:val="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Balance Sheet</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22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04"/>
        </w:trPr>
        <w:tc>
          <w:tcPr>
            <w:tcW w:w="4500" w:type="dxa"/>
            <w:vAlign w:val="bottom"/>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 of Income</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04"/>
        </w:trPr>
        <w:tc>
          <w:tcPr>
            <w:tcW w:w="39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80">
              <w:r>
                <w:rPr>
                  <w:rFonts w:ascii="Arial" w:cs="Arial" w:eastAsia="Arial" w:hAnsi="Arial"/>
                  <w:sz w:val="18"/>
                  <w:szCs w:val="18"/>
                  <w:color w:val="0000EE"/>
                  <w:w w:val="97"/>
                </w:rPr>
                <w:t>Consolidated Statement of Comprehensive Income</w:t>
              </w:r>
            </w:hyperlink>
          </w:p>
        </w:tc>
        <w:tc>
          <w:tcPr>
            <w:tcW w:w="520" w:type="dxa"/>
            <w:vAlign w:val="bottom"/>
          </w:tcPr>
          <w:p>
            <w:pPr>
              <w:spacing w:after="0"/>
              <w:rPr>
                <w:sz w:val="24"/>
                <w:szCs w:val="24"/>
                <w:color w:val="auto"/>
              </w:rPr>
            </w:pPr>
          </w:p>
        </w:tc>
        <w:tc>
          <w:tcPr>
            <w:tcW w:w="6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4500" w:type="dxa"/>
            <w:vAlign w:val="bottom"/>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 of Cash Flows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3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04"/>
        </w:trPr>
        <w:tc>
          <w:tcPr>
            <w:tcW w:w="35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82">
              <w:r>
                <w:rPr>
                  <w:rFonts w:ascii="Arial" w:cs="Arial" w:eastAsia="Arial" w:hAnsi="Arial"/>
                  <w:sz w:val="18"/>
                  <w:szCs w:val="18"/>
                  <w:color w:val="0000EE"/>
                  <w:w w:val="97"/>
                </w:rPr>
                <w:t>Consolidated Statement of Changes in Equity</w:t>
              </w:r>
            </w:hyperlink>
          </w:p>
        </w:tc>
        <w:tc>
          <w:tcPr>
            <w:tcW w:w="940" w:type="dxa"/>
            <w:vAlign w:val="bottom"/>
            <w:gridSpan w:val="2"/>
          </w:tcPr>
          <w:p>
            <w:pPr>
              <w:spacing w:after="0"/>
              <w:rPr>
                <w:sz w:val="24"/>
                <w:szCs w:val="24"/>
                <w:color w:val="auto"/>
              </w:rPr>
            </w:pPr>
          </w:p>
        </w:tc>
        <w:tc>
          <w:tcPr>
            <w:tcW w:w="6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4500" w:type="dxa"/>
            <w:vAlign w:val="bottom"/>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
        </w:trPr>
        <w:tc>
          <w:tcPr>
            <w:tcW w:w="18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9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See Index to NBCUniversal Media, LLC Financial Statements and Supplemental Data on page 137.</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Comcast’s consolidated financial statements, including estimates and judgments. The consolidated financial statements presented in this report have been prepared in accordance with accounting principles generally accepted in the United States. Our management believes the Comcast consolidated financial statements and other financial information included in this report fairly present, in all material respects, Comcast’s financial condition, results of operations and cash flows as of and for the periods presented in this report. The Comcast consolidated financial statements have been audited by Deloitte &amp; Touche LLP, an independent registered public accounting firm, as stated in their report, which is included herein.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63" w:lineRule="exact"/>
        <w:rPr>
          <w:sz w:val="20"/>
          <w:szCs w:val="20"/>
          <w:color w:val="auto"/>
        </w:rPr>
      </w:pPr>
    </w:p>
    <w:p>
      <w:pPr>
        <w:ind w:left="1020" w:right="1260" w:hanging="215"/>
        <w:spacing w:after="0" w:line="23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60" w:lineRule="exact"/>
        <w:rPr>
          <w:rFonts w:ascii="Arial" w:cs="Arial" w:eastAsia="Arial" w:hAnsi="Arial"/>
          <w:sz w:val="18"/>
          <w:szCs w:val="18"/>
          <w:color w:val="auto"/>
        </w:rPr>
      </w:pPr>
    </w:p>
    <w:p>
      <w:pPr>
        <w:jc w:val="both"/>
        <w:ind w:left="1020" w:right="1260" w:hanging="215"/>
        <w:spacing w:after="0" w:line="281"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29" w:lineRule="exact"/>
        <w:rPr>
          <w:rFonts w:ascii="Arial" w:cs="Arial" w:eastAsia="Arial" w:hAnsi="Arial"/>
          <w:sz w:val="16"/>
          <w:szCs w:val="16"/>
          <w:color w:val="auto"/>
        </w:rPr>
      </w:pPr>
    </w:p>
    <w:p>
      <w:pPr>
        <w:ind w:left="1020" w:right="1260" w:hanging="215"/>
        <w:spacing w:after="0" w:line="23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8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evaluation, our management concluded that Comcast’s system of internal control over financial reporting was effective as of December 31, 2016. Our assessment of the effectiveness of internal control over financial reporting as of December 31, 2016 did not include the internal controls of DreamWorks Animation, which we acquired on August 22, 2016, as permitted by Securities and Exchange Commission guidelines that allow companies to exclude certain acquisitions from their assessment of internal control over financial reporting during the first year of an acquisition. The total assets and total revenues of DreamWorks Animation represented approximately 2% of our total assets as of December 31, 2016, and less than 1% of our total revenues for the year ended December 31, 2016. The effectiveness of Comcast’s internal controls over financial reporting of Comcast has been audited by Deloitte &amp; Touche LLP, an independent registered public accounting firm, as stated in their report, which is included herein.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Comcast’s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Comcast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329055"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29055" cy="24003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62230</wp:posOffset>
            </wp:positionV>
            <wp:extent cx="943610" cy="3771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3610" cy="3771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62230</wp:posOffset>
            </wp:positionV>
            <wp:extent cx="977900"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779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40" w:type="dxa"/>
            <w:vAlign w:val="bottom"/>
          </w:tcPr>
          <w:p>
            <w:pPr>
              <w:spacing w:after="0"/>
              <w:rPr>
                <w:sz w:val="20"/>
                <w:szCs w:val="20"/>
                <w:color w:val="auto"/>
              </w:rPr>
            </w:pPr>
            <w:r>
              <w:rPr>
                <w:rFonts w:ascii="Arial" w:cs="Arial" w:eastAsia="Arial" w:hAnsi="Arial"/>
                <w:sz w:val="18"/>
                <w:szCs w:val="18"/>
                <w:b w:val="1"/>
                <w:bCs w:val="1"/>
                <w:color w:val="auto"/>
              </w:rPr>
              <w:t>Brian L. Roberts</w:t>
            </w:r>
          </w:p>
        </w:tc>
        <w:tc>
          <w:tcPr>
            <w:tcW w:w="4580" w:type="dxa"/>
            <w:vAlign w:val="bottom"/>
          </w:tcPr>
          <w:p>
            <w:pPr>
              <w:ind w:left="1060"/>
              <w:spacing w:after="0"/>
              <w:rPr>
                <w:sz w:val="20"/>
                <w:szCs w:val="20"/>
                <w:color w:val="auto"/>
              </w:rPr>
            </w:pPr>
            <w:r>
              <w:rPr>
                <w:rFonts w:ascii="Arial" w:cs="Arial" w:eastAsia="Arial" w:hAnsi="Arial"/>
                <w:sz w:val="18"/>
                <w:szCs w:val="18"/>
                <w:b w:val="1"/>
                <w:bCs w:val="1"/>
                <w:color w:val="auto"/>
              </w:rPr>
              <w:t>Michael J. Cavanagh</w:t>
            </w:r>
          </w:p>
        </w:tc>
        <w:tc>
          <w:tcPr>
            <w:tcW w:w="4000" w:type="dxa"/>
            <w:vAlign w:val="bottom"/>
          </w:tcPr>
          <w:p>
            <w:pPr>
              <w:ind w:left="700"/>
              <w:spacing w:after="0"/>
              <w:rPr>
                <w:sz w:val="20"/>
                <w:szCs w:val="20"/>
                <w:color w:val="auto"/>
              </w:rPr>
            </w:pPr>
            <w:r>
              <w:rPr>
                <w:rFonts w:ascii="Arial" w:cs="Arial" w:eastAsia="Arial" w:hAnsi="Arial"/>
                <w:sz w:val="18"/>
                <w:szCs w:val="18"/>
                <w:b w:val="1"/>
                <w:bCs w:val="1"/>
                <w:color w:val="auto"/>
              </w:rPr>
              <w:t>Lawrence J. Salva</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Chairman and</w:t>
            </w:r>
          </w:p>
        </w:tc>
        <w:tc>
          <w:tcPr>
            <w:tcW w:w="4580" w:type="dxa"/>
            <w:vAlign w:val="bottom"/>
          </w:tcPr>
          <w:p>
            <w:pPr>
              <w:ind w:left="1060"/>
              <w:spacing w:after="0" w:line="202" w:lineRule="exact"/>
              <w:rPr>
                <w:sz w:val="20"/>
                <w:szCs w:val="20"/>
                <w:color w:val="auto"/>
              </w:rPr>
            </w:pPr>
            <w:r>
              <w:rPr>
                <w:rFonts w:ascii="Arial" w:cs="Arial" w:eastAsia="Arial" w:hAnsi="Arial"/>
                <w:sz w:val="18"/>
                <w:szCs w:val="18"/>
                <w:color w:val="auto"/>
              </w:rPr>
              <w:t>Senior Executive Vice President and</w:t>
            </w:r>
          </w:p>
        </w:tc>
        <w:tc>
          <w:tcPr>
            <w:tcW w:w="4000" w:type="dxa"/>
            <w:vAlign w:val="bottom"/>
          </w:tcPr>
          <w:p>
            <w:pPr>
              <w:ind w:left="700"/>
              <w:spacing w:after="0" w:line="202" w:lineRule="exact"/>
              <w:rPr>
                <w:sz w:val="20"/>
                <w:szCs w:val="20"/>
                <w:color w:val="auto"/>
              </w:rPr>
            </w:pPr>
            <w:r>
              <w:rPr>
                <w:rFonts w:ascii="Arial" w:cs="Arial" w:eastAsia="Arial" w:hAnsi="Arial"/>
                <w:sz w:val="18"/>
                <w:szCs w:val="18"/>
                <w:color w:val="auto"/>
              </w:rPr>
              <w:t>Executive Vice President</w:t>
            </w:r>
          </w:p>
        </w:tc>
      </w:tr>
      <w:tr>
        <w:trPr>
          <w:trHeight w:val="211"/>
        </w:trPr>
        <w:tc>
          <w:tcPr>
            <w:tcW w:w="2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580" w:type="dxa"/>
            <w:vAlign w:val="bottom"/>
          </w:tcPr>
          <w:p>
            <w:pPr>
              <w:ind w:left="1060"/>
              <w:spacing w:after="0"/>
              <w:rPr>
                <w:sz w:val="20"/>
                <w:szCs w:val="20"/>
                <w:color w:val="auto"/>
              </w:rPr>
            </w:pPr>
            <w:r>
              <w:rPr>
                <w:rFonts w:ascii="Arial" w:cs="Arial" w:eastAsia="Arial" w:hAnsi="Arial"/>
                <w:sz w:val="18"/>
                <w:szCs w:val="18"/>
                <w:color w:val="auto"/>
              </w:rPr>
              <w:t>Chief Financial Officer</w:t>
            </w:r>
          </w:p>
        </w:tc>
        <w:tc>
          <w:tcPr>
            <w:tcW w:w="4000" w:type="dxa"/>
            <w:vAlign w:val="bottom"/>
          </w:tcPr>
          <w:p>
            <w:pPr>
              <w:ind w:left="700"/>
              <w:spacing w:after="0"/>
              <w:rPr>
                <w:sz w:val="20"/>
                <w:szCs w:val="20"/>
                <w:color w:val="auto"/>
              </w:rPr>
            </w:pPr>
            <w:r>
              <w:rPr>
                <w:rFonts w:ascii="Arial" w:cs="Arial" w:eastAsia="Arial" w:hAnsi="Arial"/>
                <w:sz w:val="18"/>
                <w:szCs w:val="18"/>
                <w:color w:val="auto"/>
              </w:rPr>
              <w:t>and Chief Accounting Officer</w:t>
            </w:r>
          </w:p>
        </w:tc>
      </w:tr>
      <w:tr>
        <w:trPr>
          <w:trHeight w:val="515"/>
        </w:trPr>
        <w:tc>
          <w:tcPr>
            <w:tcW w:w="2840" w:type="dxa"/>
            <w:vAlign w:val="bottom"/>
          </w:tcPr>
          <w:p>
            <w:pPr>
              <w:spacing w:after="0"/>
              <w:rPr>
                <w:sz w:val="24"/>
                <w:szCs w:val="24"/>
                <w:color w:val="auto"/>
              </w:rPr>
            </w:pPr>
          </w:p>
        </w:tc>
        <w:tc>
          <w:tcPr>
            <w:tcW w:w="4580" w:type="dxa"/>
            <w:vAlign w:val="bottom"/>
          </w:tcPr>
          <w:p>
            <w:pPr>
              <w:jc w:val="right"/>
              <w:ind w:right="1497"/>
              <w:spacing w:after="0"/>
              <w:rPr>
                <w:sz w:val="20"/>
                <w:szCs w:val="20"/>
                <w:color w:val="auto"/>
              </w:rPr>
            </w:pPr>
            <w:r>
              <w:rPr>
                <w:rFonts w:ascii="Arial" w:cs="Arial" w:eastAsia="Arial" w:hAnsi="Arial"/>
                <w:sz w:val="14"/>
                <w:szCs w:val="14"/>
                <w:b w:val="1"/>
                <w:bCs w:val="1"/>
                <w:color w:val="auto"/>
              </w:rPr>
              <w:t>73</w:t>
            </w:r>
          </w:p>
        </w:tc>
        <w:tc>
          <w:tcPr>
            <w:tcW w:w="4000" w:type="dxa"/>
            <w:vAlign w:val="bottom"/>
          </w:tcPr>
          <w:p>
            <w:pPr>
              <w:ind w:left="1360"/>
              <w:spacing w:after="0"/>
              <w:rPr>
                <w:sz w:val="20"/>
                <w:szCs w:val="20"/>
                <w:color w:val="auto"/>
              </w:rPr>
            </w:pPr>
            <w:r>
              <w:rPr>
                <w:rFonts w:ascii="Arial" w:cs="Arial" w:eastAsia="Arial" w:hAnsi="Arial"/>
                <w:sz w:val="14"/>
                <w:szCs w:val="14"/>
                <w:color w:val="auto"/>
                <w:w w:val="95"/>
              </w:rPr>
              <w:t>Comcast 2016 Annual Report on Form 10-K</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5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We have audited the accompanying consolidated balance sheets of Comcast Corporation and subsidiaries (the “Company”) as of December 31, 2016 and 2015, and the related consolidated statements of income, comprehensive income, cash flows and changes in equity for each of the three years in the period ended December 31, 2016. We also have audited the Company’s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As described in the Report of Management on Internal Control over Financial Reporting, management excluded from its assessment the internal control over financial reporting at DreamWorks Animation, acquired on August 22, 2016 and whose financial statements constitute approximately 2% of total assets as of December 31, 2016 and less than 1% of total revenue for the year ended December 31, 2016. Accordingly, our audit did not include the internal control over financial reporting at DreamWorks Animation. 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Comcast’s 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Over Financial Reporting</w:t>
      </w:r>
      <w:r>
        <w:rPr>
          <w:rFonts w:ascii="Arial" w:cs="Arial" w:eastAsia="Arial" w:hAnsi="Arial"/>
          <w:sz w:val="18"/>
          <w:szCs w:val="18"/>
          <w:color w:val="auto"/>
        </w:rPr>
        <w:t>. Our responsibility is to express an opinion on these financial statements and an opinion on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based on our audits.</w:t>
      </w:r>
    </w:p>
    <w:p>
      <w:pPr>
        <w:spacing w:after="0" w:line="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Comcast Corporation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r>
        <w:rPr>
          <w:rFonts w:ascii="Arial" w:cs="Arial" w:eastAsia="Arial" w:hAnsi="Arial"/>
          <w:sz w:val="18"/>
          <w:szCs w:val="18"/>
          <w:i w:val="1"/>
          <w:iCs w:val="1"/>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3, 2017</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 except share data)</w:t>
            </w:r>
          </w:p>
        </w:tc>
        <w:tc>
          <w:tcPr>
            <w:tcW w:w="8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99"/>
        </w:trPr>
        <w:tc>
          <w:tcPr>
            <w:tcW w:w="872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3,301</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2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8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7,955</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1,250</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Deposits</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1,772</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2,083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177"/>
        </w:trPr>
        <w:tc>
          <w:tcPr>
            <w:tcW w:w="872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5"/>
                <w:szCs w:val="15"/>
                <w:color w:val="auto"/>
              </w:rPr>
            </w:pPr>
          </w:p>
        </w:tc>
        <w:tc>
          <w:tcPr>
            <w:tcW w:w="8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16,361</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12,303</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7,252</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5,247</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36,253</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33,665</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59,364</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35,980</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32,945</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17,274</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16,946</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2,769</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w w:val="98"/>
              </w:rPr>
              <w:t>180,500</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166,574</w:t>
            </w:r>
          </w:p>
        </w:tc>
        <w:tc>
          <w:tcPr>
            <w:tcW w:w="0" w:type="dxa"/>
            <w:vAlign w:val="bottom"/>
          </w:tcPr>
          <w:p>
            <w:pPr>
              <w:spacing w:after="0"/>
              <w:rPr>
                <w:sz w:val="1"/>
                <w:szCs w:val="1"/>
                <w:color w:val="auto"/>
              </w:rPr>
            </w:pPr>
          </w:p>
        </w:tc>
      </w:tr>
      <w:tr>
        <w:trPr>
          <w:trHeight w:val="199"/>
        </w:trPr>
        <w:tc>
          <w:tcPr>
            <w:tcW w:w="872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6,915</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2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8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1,726</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1,132</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6,282</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5,480</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177"/>
        </w:trPr>
        <w:tc>
          <w:tcPr>
            <w:tcW w:w="872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5"/>
                <w:szCs w:val="15"/>
                <w:color w:val="auto"/>
              </w:rPr>
            </w:pPr>
          </w:p>
        </w:tc>
        <w:tc>
          <w:tcPr>
            <w:tcW w:w="8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21,535</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18,178</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55,566</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48,994</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34,854</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33,566</w:t>
            </w:r>
          </w:p>
        </w:tc>
        <w:tc>
          <w:tcPr>
            <w:tcW w:w="0" w:type="dxa"/>
            <w:vAlign w:val="bottom"/>
          </w:tcPr>
          <w:p>
            <w:pPr>
              <w:spacing w:after="0"/>
              <w:rPr>
                <w:sz w:val="1"/>
                <w:szCs w:val="1"/>
                <w:color w:val="auto"/>
              </w:rPr>
            </w:pPr>
          </w:p>
        </w:tc>
      </w:tr>
      <w:tr>
        <w:trPr>
          <w:trHeight w:val="225"/>
        </w:trPr>
        <w:tc>
          <w:tcPr>
            <w:tcW w:w="87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2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b w:val="1"/>
                <w:bCs w:val="1"/>
                <w:color w:val="auto"/>
              </w:rPr>
              <w:t>10,925</w:t>
            </w:r>
          </w:p>
        </w:tc>
        <w:tc>
          <w:tcPr>
            <w:tcW w:w="26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16)</w:t>
            </w:r>
          </w:p>
        </w:tc>
        <w:tc>
          <w:tcPr>
            <w:tcW w:w="82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1,446</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 and redeemable subsidiary preferred stock</w:t>
            </w:r>
          </w:p>
        </w:tc>
        <w:tc>
          <w:tcPr>
            <w:tcW w:w="8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82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Preferred stock—authorized, 20,000,000 shares; issued, zero</w:t>
            </w:r>
          </w:p>
        </w:tc>
        <w:tc>
          <w:tcPr>
            <w:tcW w:w="8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Class A common stock, $0.01 par value—authorized, 7,500,000,000 shares; issued, 2,802,752,832 and</w:t>
            </w:r>
          </w:p>
        </w:tc>
        <w:tc>
          <w:tcPr>
            <w:tcW w:w="82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20" w:type="dxa"/>
            <w:vAlign w:val="bottom"/>
          </w:tcPr>
          <w:p>
            <w:pPr>
              <w:ind w:left="440"/>
              <w:spacing w:after="0" w:line="181" w:lineRule="exact"/>
              <w:rPr>
                <w:sz w:val="20"/>
                <w:szCs w:val="20"/>
                <w:color w:val="auto"/>
              </w:rPr>
            </w:pPr>
            <w:r>
              <w:rPr>
                <w:rFonts w:ascii="Arial" w:cs="Arial" w:eastAsia="Arial" w:hAnsi="Arial"/>
                <w:sz w:val="18"/>
                <w:szCs w:val="18"/>
                <w:color w:val="auto"/>
              </w:rPr>
              <w:t>2,869,349,502; outstanding, 2,366,357,318 and 2,432,953,988</w:t>
            </w:r>
          </w:p>
        </w:tc>
        <w:tc>
          <w:tcPr>
            <w:tcW w:w="8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w w:val="98"/>
              </w:rPr>
              <w:t>Class B common stock, $0.01 par value—authorized, 75,000,000 shares; issued and outstanding, 9,444,375</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38,258</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38,518</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82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23,076</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21,413</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Treasury stock, 436,395,514 Class A common shares</w:t>
            </w:r>
          </w:p>
        </w:tc>
        <w:tc>
          <w:tcPr>
            <w:tcW w:w="82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(7,517)</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98</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77"/>
        </w:trPr>
        <w:tc>
          <w:tcPr>
            <w:tcW w:w="8720" w:type="dxa"/>
            <w:vAlign w:val="bottom"/>
          </w:tcPr>
          <w:p>
            <w:pPr>
              <w:spacing w:after="0" w:line="177" w:lineRule="exact"/>
              <w:rPr>
                <w:sz w:val="20"/>
                <w:szCs w:val="20"/>
                <w:color w:val="auto"/>
              </w:rPr>
            </w:pPr>
            <w:r>
              <w:rPr>
                <w:rFonts w:ascii="Arial" w:cs="Arial" w:eastAsia="Arial" w:hAnsi="Arial"/>
                <w:sz w:val="18"/>
                <w:szCs w:val="18"/>
                <w:color w:val="auto"/>
              </w:rPr>
              <w:t>Total Comcast Corporation shareholders’ equity</w:t>
            </w:r>
          </w:p>
        </w:tc>
        <w:tc>
          <w:tcPr>
            <w:tcW w:w="820" w:type="dxa"/>
            <w:vAlign w:val="bottom"/>
          </w:tcPr>
          <w:p>
            <w:pPr>
              <w:spacing w:after="0"/>
              <w:rPr>
                <w:sz w:val="15"/>
                <w:szCs w:val="15"/>
                <w:color w:val="auto"/>
              </w:rPr>
            </w:pPr>
          </w:p>
        </w:tc>
        <w:tc>
          <w:tcPr>
            <w:tcW w:w="8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53,943</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52,269</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2,231</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56,174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53,978</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w w:val="98"/>
              </w:rPr>
              <w:t>180,500</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166,574</w:t>
            </w:r>
          </w:p>
        </w:tc>
        <w:tc>
          <w:tcPr>
            <w:tcW w:w="0" w:type="dxa"/>
            <w:vAlign w:val="bottom"/>
          </w:tcPr>
          <w:p>
            <w:pPr>
              <w:spacing w:after="0"/>
              <w:rPr>
                <w:sz w:val="1"/>
                <w:szCs w:val="1"/>
                <w:color w:val="auto"/>
              </w:rPr>
            </w:pPr>
          </w:p>
        </w:tc>
      </w:tr>
      <w:tr>
        <w:trPr>
          <w:trHeight w:val="209"/>
        </w:trPr>
        <w:tc>
          <w:tcPr>
            <w:tcW w:w="872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8720" w:type="dxa"/>
            <w:vAlign w:val="bottom"/>
          </w:tcPr>
          <w:p>
            <w:pPr>
              <w:ind w:left="5680"/>
              <w:spacing w:after="0"/>
              <w:rPr>
                <w:sz w:val="20"/>
                <w:szCs w:val="20"/>
                <w:color w:val="auto"/>
              </w:rPr>
            </w:pPr>
            <w:r>
              <w:rPr>
                <w:rFonts w:ascii="Arial" w:cs="Arial" w:eastAsia="Arial" w:hAnsi="Arial"/>
                <w:sz w:val="14"/>
                <w:szCs w:val="14"/>
                <w:b w:val="1"/>
                <w:bCs w:val="1"/>
                <w:color w:val="auto"/>
              </w:rPr>
              <w:t>75</w:t>
            </w:r>
          </w:p>
        </w:tc>
        <w:tc>
          <w:tcPr>
            <w:tcW w:w="2700" w:type="dxa"/>
            <w:vAlign w:val="bottom"/>
            <w:gridSpan w:val="4"/>
          </w:tcPr>
          <w:p>
            <w:pPr>
              <w:jc w:val="right"/>
              <w:spacing w:after="0"/>
              <w:rPr>
                <w:sz w:val="20"/>
                <w:szCs w:val="20"/>
                <w:color w:val="auto"/>
              </w:rPr>
            </w:pPr>
            <w:r>
              <w:rPr>
                <w:rFonts w:ascii="Arial" w:cs="Arial" w:eastAsia="Arial" w:hAnsi="Arial"/>
                <w:sz w:val="14"/>
                <w:szCs w:val="14"/>
                <w:color w:val="auto"/>
                <w:w w:val="98"/>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3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48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44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80,403</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74,510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68,775</w:t>
            </w: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24,463</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4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3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22,550</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23,409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21,319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6,114</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5,963</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7,464</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6,781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3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2,094</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1,899</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63,544</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58,512</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53,871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4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16,859</w:t>
            </w:r>
          </w:p>
        </w:tc>
        <w:tc>
          <w:tcPr>
            <w:tcW w:w="2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15,998</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(2,942)</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4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3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(2,702)</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213</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3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327</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(2,506)</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(2,626)</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177"/>
        </w:trPr>
        <w:tc>
          <w:tcPr>
            <w:tcW w:w="486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3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14,353</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13,372</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12,465</w:t>
            </w:r>
          </w:p>
        </w:tc>
        <w:tc>
          <w:tcPr>
            <w:tcW w:w="0" w:type="dxa"/>
            <w:vAlign w:val="bottom"/>
          </w:tcPr>
          <w:p>
            <w:pPr>
              <w:spacing w:after="0"/>
              <w:rPr>
                <w:sz w:val="1"/>
                <w:szCs w:val="1"/>
                <w:color w:val="auto"/>
              </w:rPr>
            </w:pPr>
          </w:p>
        </w:tc>
      </w:tr>
      <w:tr>
        <w:trPr>
          <w:trHeight w:val="221"/>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3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(5,308)</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177"/>
        </w:trPr>
        <w:tc>
          <w:tcPr>
            <w:tcW w:w="486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3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9,045</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8,413</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3440" w:type="dxa"/>
            <w:vAlign w:val="bottom"/>
            <w:tcBorders>
              <w:bottom w:val="single" w:sz="8" w:color="0C6DFF"/>
            </w:tcBorders>
          </w:tcPr>
          <w:p>
            <w:pPr>
              <w:spacing w:after="0"/>
              <w:rPr>
                <w:sz w:val="17"/>
                <w:szCs w:val="17"/>
                <w:color w:val="auto"/>
              </w:rPr>
            </w:pP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8,695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8,163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177"/>
        </w:trPr>
        <w:tc>
          <w:tcPr>
            <w:tcW w:w="830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6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3.61</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3.28</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3.57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3.24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b w:val="1"/>
                <w:bCs w:val="1"/>
                <w:color w:val="auto"/>
              </w:rPr>
              <w:t>1.10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304"/>
        </w:trPr>
        <w:tc>
          <w:tcPr>
            <w:tcW w:w="20" w:type="dxa"/>
            <w:vAlign w:val="bottom"/>
            <w:tcBorders>
              <w:bottom w:val="single" w:sz="8" w:color="0C6DFF"/>
            </w:tcBorders>
          </w:tcPr>
          <w:p>
            <w:pPr>
              <w:spacing w:after="0"/>
              <w:rPr>
                <w:sz w:val="24"/>
                <w:szCs w:val="24"/>
                <w:color w:val="auto"/>
              </w:rPr>
            </w:pPr>
          </w:p>
        </w:tc>
        <w:tc>
          <w:tcPr>
            <w:tcW w:w="4840" w:type="dxa"/>
            <w:vAlign w:val="bottom"/>
            <w:tcBorders>
              <w:top w:val="single" w:sz="8" w:color="0C6DFF"/>
              <w:bottom w:val="single" w:sz="8" w:color="0C6DFF"/>
            </w:tcBorders>
          </w:tcPr>
          <w:p>
            <w:pPr>
              <w:spacing w:after="0"/>
              <w:rPr>
                <w:sz w:val="24"/>
                <w:szCs w:val="24"/>
                <w:color w:val="auto"/>
              </w:rPr>
            </w:pPr>
          </w:p>
        </w:tc>
        <w:tc>
          <w:tcPr>
            <w:tcW w:w="3440" w:type="dxa"/>
            <w:vAlign w:val="bottom"/>
            <w:tcBorders>
              <w:top w:val="single" w:sz="8" w:color="0C6DFF"/>
              <w:bottom w:val="single" w:sz="8" w:color="0C6DFF"/>
            </w:tcBorders>
          </w:tcPr>
          <w:p>
            <w:pPr>
              <w:spacing w:after="0"/>
              <w:rPr>
                <w:sz w:val="24"/>
                <w:szCs w:val="24"/>
                <w:color w:val="auto"/>
              </w:rPr>
            </w:pPr>
          </w:p>
        </w:tc>
        <w:tc>
          <w:tcPr>
            <w:tcW w:w="600" w:type="dxa"/>
            <w:vAlign w:val="bottom"/>
            <w:tcBorders>
              <w:top w:val="single" w:sz="8" w:color="0C6DFF"/>
              <w:bottom w:val="single" w:sz="8" w:color="0C6DFF"/>
            </w:tcBorders>
          </w:tcPr>
          <w:p>
            <w:pPr>
              <w:spacing w:after="0"/>
              <w:rPr>
                <w:sz w:val="24"/>
                <w:szCs w:val="24"/>
                <w:color w:val="auto"/>
              </w:rPr>
            </w:pPr>
          </w:p>
        </w:tc>
        <w:tc>
          <w:tcPr>
            <w:tcW w:w="720" w:type="dxa"/>
            <w:vAlign w:val="bottom"/>
            <w:tcBorders>
              <w:top w:val="single" w:sz="8" w:color="0C6DFF"/>
              <w:bottom w:val="single" w:sz="8" w:color="0C6DFF"/>
            </w:tcBorders>
          </w:tcPr>
          <w:p>
            <w:pPr>
              <w:spacing w:after="0"/>
              <w:rPr>
                <w:sz w:val="24"/>
                <w:szCs w:val="24"/>
                <w:color w:val="auto"/>
              </w:rPr>
            </w:pPr>
          </w:p>
        </w:tc>
        <w:tc>
          <w:tcPr>
            <w:tcW w:w="200" w:type="dxa"/>
            <w:vAlign w:val="bottom"/>
            <w:tcBorders>
              <w:top w:val="single" w:sz="8" w:color="0C6DFF"/>
              <w:bottom w:val="single" w:sz="8" w:color="0C6DFF"/>
            </w:tcBorders>
          </w:tcPr>
          <w:p>
            <w:pPr>
              <w:spacing w:after="0"/>
              <w:rPr>
                <w:sz w:val="24"/>
                <w:szCs w:val="24"/>
                <w:color w:val="auto"/>
              </w:rPr>
            </w:pPr>
          </w:p>
        </w:tc>
        <w:tc>
          <w:tcPr>
            <w:tcW w:w="720" w:type="dxa"/>
            <w:vAlign w:val="bottom"/>
            <w:tcBorders>
              <w:top w:val="single" w:sz="8" w:color="0C6DFF"/>
              <w:bottom w:val="single" w:sz="8" w:color="0C6DFF"/>
            </w:tcBorders>
          </w:tcPr>
          <w:p>
            <w:pPr>
              <w:spacing w:after="0"/>
              <w:rPr>
                <w:sz w:val="24"/>
                <w:szCs w:val="24"/>
                <w:color w:val="auto"/>
              </w:rPr>
            </w:pPr>
          </w:p>
        </w:tc>
        <w:tc>
          <w:tcPr>
            <w:tcW w:w="200" w:type="dxa"/>
            <w:vAlign w:val="bottom"/>
            <w:tcBorders>
              <w:top w:val="single" w:sz="8" w:color="0C6DFF"/>
              <w:bottom w:val="single" w:sz="8" w:color="0C6DFF"/>
            </w:tcBorders>
          </w:tcPr>
          <w:p>
            <w:pPr>
              <w:spacing w:after="0"/>
              <w:rPr>
                <w:sz w:val="24"/>
                <w:szCs w:val="24"/>
                <w:color w:val="auto"/>
              </w:rPr>
            </w:pPr>
          </w:p>
        </w:tc>
        <w:tc>
          <w:tcPr>
            <w:tcW w:w="680" w:type="dxa"/>
            <w:vAlign w:val="bottom"/>
            <w:tcBorders>
              <w:top w:val="single" w:sz="8" w:color="0C6DFF"/>
              <w:bottom w:val="single" w:sz="8" w:color="0C6DFF"/>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30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Unaudited pro forma diluted earnings per common share attributable to Comcast Corporation</w:t>
            </w: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80" w:type="dxa"/>
            <w:vAlign w:val="bottom"/>
            <w:tcBorders>
              <w:bottom w:val="single" w:sz="8" w:color="0C6DFF"/>
            </w:tcBorders>
            <w:gridSpan w:val="2"/>
          </w:tcPr>
          <w:p>
            <w:pPr>
              <w:ind w:left="200"/>
              <w:spacing w:after="0"/>
              <w:rPr>
                <w:sz w:val="20"/>
                <w:szCs w:val="20"/>
                <w:color w:val="auto"/>
              </w:rPr>
            </w:pPr>
            <w:r>
              <w:rPr>
                <w:rFonts w:ascii="Arial" w:cs="Arial" w:eastAsia="Arial" w:hAnsi="Arial"/>
                <w:sz w:val="18"/>
                <w:szCs w:val="18"/>
                <w:b w:val="1"/>
                <w:bCs w:val="1"/>
                <w:color w:val="auto"/>
              </w:rPr>
              <w:t>shareholders, adjusted for the two-for-one stock split. See Note 1.</w:t>
            </w:r>
          </w:p>
        </w:tc>
        <w:tc>
          <w:tcPr>
            <w:tcW w:w="6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1.78</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9"/>
        </w:trPr>
        <w:tc>
          <w:tcPr>
            <w:tcW w:w="486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860" w:type="dxa"/>
            <w:vAlign w:val="bottom"/>
            <w:gridSpan w:val="2"/>
          </w:tcPr>
          <w:p>
            <w:pPr>
              <w:spacing w:after="0"/>
              <w:rPr>
                <w:sz w:val="20"/>
                <w:szCs w:val="20"/>
                <w:color w:val="auto"/>
              </w:rPr>
            </w:pPr>
            <w:r>
              <w:rPr>
                <w:rFonts w:ascii="Arial" w:cs="Arial" w:eastAsia="Arial" w:hAnsi="Arial"/>
                <w:sz w:val="14"/>
                <w:szCs w:val="14"/>
                <w:color w:val="auto"/>
              </w:rPr>
              <w:t>Comcast 2016 Annual Report on Form 10-K</w:t>
            </w:r>
          </w:p>
        </w:tc>
        <w:tc>
          <w:tcPr>
            <w:tcW w:w="3440" w:type="dxa"/>
            <w:vAlign w:val="bottom"/>
          </w:tcPr>
          <w:p>
            <w:pPr>
              <w:jc w:val="right"/>
              <w:ind w:right="2392"/>
              <w:spacing w:after="0"/>
              <w:rPr>
                <w:sz w:val="20"/>
                <w:szCs w:val="20"/>
                <w:color w:val="auto"/>
              </w:rPr>
            </w:pPr>
            <w:r>
              <w:rPr>
                <w:rFonts w:ascii="Arial" w:cs="Arial" w:eastAsia="Arial" w:hAnsi="Arial"/>
                <w:sz w:val="14"/>
                <w:szCs w:val="14"/>
                <w:b w:val="1"/>
                <w:bCs w:val="1"/>
                <w:color w:val="auto"/>
              </w:rPr>
              <w:t>76</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8380" w:type="dxa"/>
            <w:vAlign w:val="bottom"/>
          </w:tcPr>
          <w:p>
            <w:pPr>
              <w:spacing w:after="0" w:line="177" w:lineRule="exact"/>
              <w:rPr>
                <w:sz w:val="20"/>
                <w:szCs w:val="20"/>
                <w:color w:val="auto"/>
              </w:rPr>
            </w:pPr>
            <w:r>
              <w:rPr>
                <w:rFonts w:ascii="Arial" w:cs="Arial" w:eastAsia="Arial" w:hAnsi="Arial"/>
                <w:sz w:val="18"/>
                <w:szCs w:val="18"/>
                <w:color w:val="auto"/>
              </w:rPr>
              <w:t>Net income</w:t>
            </w:r>
          </w:p>
        </w:tc>
        <w:tc>
          <w:tcPr>
            <w:tcW w:w="14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$ 9,045</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$ 8,413</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$ 8,592</w:t>
            </w:r>
          </w:p>
        </w:tc>
        <w:tc>
          <w:tcPr>
            <w:tcW w:w="0" w:type="dxa"/>
            <w:vAlign w:val="bottom"/>
          </w:tcPr>
          <w:p>
            <w:pPr>
              <w:spacing w:after="0"/>
              <w:rPr>
                <w:sz w:val="1"/>
                <w:szCs w:val="1"/>
                <w:color w:val="auto"/>
              </w:rPr>
            </w:pP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Unrealized gains (losses) on marketable securities, net of deferred taxes of $(1), $(1) and $(19)</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5"/>
        </w:trPr>
        <w:tc>
          <w:tcPr>
            <w:tcW w:w="8380" w:type="dxa"/>
            <w:vAlign w:val="bottom"/>
          </w:tcPr>
          <w:p>
            <w:pPr>
              <w:spacing w:after="0"/>
              <w:rPr>
                <w:sz w:val="20"/>
                <w:szCs w:val="20"/>
                <w:color w:val="auto"/>
              </w:rPr>
            </w:pPr>
            <w:r>
              <w:rPr>
                <w:rFonts w:ascii="Arial" w:cs="Arial" w:eastAsia="Arial" w:hAnsi="Arial"/>
                <w:sz w:val="18"/>
                <w:szCs w:val="18"/>
                <w:color w:val="auto"/>
              </w:rPr>
              <w:t>Deferred gains (losses) on cash flow hedges, net of deferred taxes of $35, $62 and $3</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Amounts reclassified to net income:</w:t>
            </w: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80" w:type="dxa"/>
            <w:vAlign w:val="bottom"/>
          </w:tcPr>
          <w:p>
            <w:pPr>
              <w:ind w:left="220"/>
              <w:spacing w:after="0" w:line="181" w:lineRule="exact"/>
              <w:rPr>
                <w:sz w:val="20"/>
                <w:szCs w:val="20"/>
                <w:color w:val="auto"/>
              </w:rPr>
            </w:pPr>
            <w:r>
              <w:rPr>
                <w:rFonts w:ascii="Arial" w:cs="Arial" w:eastAsia="Arial" w:hAnsi="Arial"/>
                <w:sz w:val="18"/>
                <w:szCs w:val="18"/>
                <w:color w:val="auto"/>
              </w:rPr>
              <w:t>Realized (gains) losses on marketable securities, net of deferred taxes of $1, $1 and $59</w:t>
            </w:r>
          </w:p>
        </w:tc>
        <w:tc>
          <w:tcPr>
            <w:tcW w:w="1420" w:type="dxa"/>
            <w:vAlign w:val="bottom"/>
            <w:vMerge w:val="continue"/>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8380" w:type="dxa"/>
            <w:vAlign w:val="bottom"/>
          </w:tcPr>
          <w:p>
            <w:pPr>
              <w:ind w:left="220"/>
              <w:spacing w:after="0" w:line="202" w:lineRule="exact"/>
              <w:rPr>
                <w:sz w:val="20"/>
                <w:szCs w:val="20"/>
                <w:color w:val="auto"/>
              </w:rPr>
            </w:pPr>
            <w:r>
              <w:rPr>
                <w:rFonts w:ascii="Arial" w:cs="Arial" w:eastAsia="Arial" w:hAnsi="Arial"/>
                <w:sz w:val="18"/>
                <w:szCs w:val="18"/>
                <w:color w:val="auto"/>
              </w:rPr>
              <w:t>Realized (gains) losses on cash flow hedges, net of deferred taxes of $(54), $(38) and $(27)</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92</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 of deferred taxes of $(125), $(43) and $82</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213</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$(14), $34 and $23</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7"/>
        </w:trPr>
        <w:tc>
          <w:tcPr>
            <w:tcW w:w="838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14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9,391</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8,356</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Comcast Corporation</w:t>
            </w:r>
          </w:p>
        </w:tc>
        <w:tc>
          <w:tcPr>
            <w:tcW w:w="14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$ 8,967</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$ 8,135</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$ 8,178</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77</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2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2015</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26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9,045</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26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8,413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203"/>
        </w:trPr>
        <w:tc>
          <w:tcPr>
            <w:tcW w:w="8220" w:type="dxa"/>
            <w:vAlign w:val="bottom"/>
            <w:gridSpan w:val="3"/>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tcPr>
          <w:p>
            <w:pPr>
              <w:spacing w:after="0"/>
              <w:rPr>
                <w:sz w:val="17"/>
                <w:szCs w:val="17"/>
                <w:color w:val="auto"/>
              </w:rPr>
            </w:pPr>
          </w:p>
        </w:tc>
        <w:tc>
          <w:tcPr>
            <w:tcW w:w="7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9,558</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2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3"/>
              <w:spacing w:after="0" w:line="181" w:lineRule="exact"/>
              <w:rPr>
                <w:sz w:val="20"/>
                <w:szCs w:val="20"/>
                <w:color w:val="auto"/>
              </w:rPr>
            </w:pPr>
            <w:r>
              <w:rPr>
                <w:rFonts w:ascii="Arial" w:cs="Arial" w:eastAsia="Arial" w:hAnsi="Arial"/>
                <w:sz w:val="18"/>
                <w:szCs w:val="18"/>
                <w:color w:val="auto"/>
              </w:rPr>
              <w:t>8,680</w:t>
            </w:r>
          </w:p>
        </w:tc>
        <w:tc>
          <w:tcPr>
            <w:tcW w:w="180" w:type="dxa"/>
            <w:vAlign w:val="bottom"/>
          </w:tcPr>
          <w:p>
            <w:pPr>
              <w:spacing w:after="0"/>
              <w:rPr>
                <w:sz w:val="15"/>
                <w:szCs w:val="15"/>
                <w:color w:val="auto"/>
              </w:rPr>
            </w:pPr>
          </w:p>
        </w:tc>
        <w:tc>
          <w:tcPr>
            <w:tcW w:w="660" w:type="dxa"/>
            <w:vAlign w:val="bottom"/>
          </w:tcPr>
          <w:p>
            <w:pPr>
              <w:jc w:val="right"/>
              <w:ind w:right="13"/>
              <w:spacing w:after="0" w:line="181" w:lineRule="exact"/>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640</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567</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 (income), net</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230</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205</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104</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325</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85</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168</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b w:val="1"/>
                <w:bCs w:val="1"/>
                <w:color w:val="auto"/>
              </w:rPr>
              <w:t>1,444</w:t>
            </w:r>
          </w:p>
        </w:tc>
        <w:tc>
          <w:tcPr>
            <w:tcW w:w="180" w:type="dxa"/>
            <w:vAlign w:val="bottom"/>
          </w:tcPr>
          <w:p>
            <w:pPr>
              <w:spacing w:after="0"/>
              <w:rPr>
                <w:sz w:val="19"/>
                <w:szCs w:val="19"/>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03"/>
        </w:trPr>
        <w:tc>
          <w:tcPr>
            <w:tcW w:w="8220" w:type="dxa"/>
            <w:vAlign w:val="bottom"/>
            <w:gridSpan w:val="3"/>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6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(782)</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tcPr>
          <w:p>
            <w:pPr>
              <w:ind w:left="200"/>
              <w:spacing w:after="0" w:line="181" w:lineRule="exact"/>
              <w:rPr>
                <w:sz w:val="20"/>
                <w:szCs w:val="20"/>
                <w:color w:val="auto"/>
              </w:rPr>
            </w:pPr>
            <w:r>
              <w:rPr>
                <w:rFonts w:ascii="Arial" w:cs="Arial" w:eastAsia="Arial" w:hAnsi="Arial"/>
                <w:sz w:val="18"/>
                <w:szCs w:val="18"/>
                <w:color w:val="auto"/>
              </w:rPr>
              <w:t>Current and noncurrent receivables, net</w:t>
            </w:r>
          </w:p>
        </w:tc>
        <w:tc>
          <w:tcPr>
            <w:tcW w:w="2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(708)</w:t>
            </w:r>
          </w:p>
        </w:tc>
        <w:tc>
          <w:tcPr>
            <w:tcW w:w="18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Film and television costs, net</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(495)</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374</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384</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operating assets and liabilities</w:t>
            </w:r>
          </w:p>
        </w:tc>
        <w:tc>
          <w:tcPr>
            <w:tcW w:w="2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(794)</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403</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2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19,240</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18,778</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16,945</w:t>
            </w:r>
          </w:p>
        </w:tc>
        <w:tc>
          <w:tcPr>
            <w:tcW w:w="0" w:type="dxa"/>
            <w:vAlign w:val="bottom"/>
          </w:tcPr>
          <w:p>
            <w:pPr>
              <w:spacing w:after="0"/>
              <w:rPr>
                <w:sz w:val="1"/>
                <w:szCs w:val="1"/>
                <w:color w:val="auto"/>
              </w:rPr>
            </w:pP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(9,135)</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2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(8,499)</w:t>
            </w:r>
          </w:p>
        </w:tc>
        <w:tc>
          <w:tcPr>
            <w:tcW w:w="18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(1,686)</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(1,370)</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(428)</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(3,929)</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218</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433</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(1,697)</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Deposits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(1,749)</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21</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2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8"/>
              </w:rPr>
              <w:t>(18,385)</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(11,964)</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1,790</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tcPr>
          <w:p>
            <w:pPr>
              <w:ind w:left="20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2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135</w:t>
            </w:r>
          </w:p>
        </w:tc>
        <w:tc>
          <w:tcPr>
            <w:tcW w:w="18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9,231</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5,486</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(3,052)</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(4,378)</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(5,000)</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(6,750)</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(2,601)</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(2,437)</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36</w:t>
            </w:r>
          </w:p>
        </w:tc>
        <w:tc>
          <w:tcPr>
            <w:tcW w:w="18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(253)</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2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151</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(8,429)</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177"/>
        </w:trPr>
        <w:tc>
          <w:tcPr>
            <w:tcW w:w="554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2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1,006</w:t>
            </w:r>
          </w:p>
        </w:tc>
        <w:tc>
          <w:tcPr>
            <w:tcW w:w="18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(1,615)</w:t>
            </w:r>
          </w:p>
        </w:tc>
        <w:tc>
          <w:tcPr>
            <w:tcW w:w="180" w:type="dxa"/>
            <w:vAlign w:val="bottom"/>
          </w:tcPr>
          <w:p>
            <w:pPr>
              <w:spacing w:after="0"/>
              <w:rPr>
                <w:sz w:val="15"/>
                <w:szCs w:val="15"/>
                <w:color w:val="auto"/>
              </w:rPr>
            </w:pPr>
          </w:p>
        </w:tc>
        <w:tc>
          <w:tcPr>
            <w:tcW w:w="6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2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2,295</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3,910</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680" w:type="dxa"/>
            <w:vAlign w:val="bottom"/>
            <w:tcBorders>
              <w:bottom w:val="single" w:sz="8" w:color="0C6DFF"/>
            </w:tcBorders>
          </w:tcPr>
          <w:p>
            <w:pPr>
              <w:spacing w:after="0"/>
              <w:rPr>
                <w:sz w:val="17"/>
                <w:szCs w:val="17"/>
                <w:color w:val="auto"/>
              </w:rPr>
            </w:pPr>
          </w:p>
        </w:tc>
        <w:tc>
          <w:tcPr>
            <w:tcW w:w="6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3,301</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2,295</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09"/>
        </w:trPr>
        <w:tc>
          <w:tcPr>
            <w:tcW w:w="554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540" w:type="dxa"/>
            <w:vAlign w:val="bottom"/>
            <w:gridSpan w:val="2"/>
          </w:tcPr>
          <w:p>
            <w:pPr>
              <w:spacing w:after="0"/>
              <w:rPr>
                <w:sz w:val="20"/>
                <w:szCs w:val="20"/>
                <w:color w:val="auto"/>
              </w:rPr>
            </w:pPr>
            <w:r>
              <w:rPr>
                <w:rFonts w:ascii="Arial" w:cs="Arial" w:eastAsia="Arial" w:hAnsi="Arial"/>
                <w:sz w:val="14"/>
                <w:szCs w:val="14"/>
                <w:color w:val="auto"/>
              </w:rPr>
              <w:t>Comcast 2016 Annual Report on Form 10-K</w:t>
            </w:r>
          </w:p>
        </w:tc>
        <w:tc>
          <w:tcPr>
            <w:tcW w:w="2680" w:type="dxa"/>
            <w:vAlign w:val="bottom"/>
          </w:tcPr>
          <w:p>
            <w:pPr>
              <w:jc w:val="right"/>
              <w:ind w:right="2312"/>
              <w:spacing w:after="0"/>
              <w:rPr>
                <w:sz w:val="20"/>
                <w:szCs w:val="20"/>
                <w:color w:val="auto"/>
              </w:rPr>
            </w:pPr>
            <w:r>
              <w:rPr>
                <w:rFonts w:ascii="Arial" w:cs="Arial" w:eastAsia="Arial" w:hAnsi="Arial"/>
                <w:sz w:val="14"/>
                <w:szCs w:val="14"/>
                <w:b w:val="1"/>
                <w:bCs w:val="1"/>
                <w:color w:val="auto"/>
              </w:rPr>
              <w:t>78</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right w:val="single" w:sz="8" w:color="auto"/>
            </w:tcBorders>
          </w:tcPr>
          <w:p>
            <w:pPr>
              <w:jc w:val="right"/>
              <w:ind w:right="232"/>
              <w:spacing w:after="0"/>
              <w:rPr>
                <w:sz w:val="20"/>
                <w:szCs w:val="20"/>
                <w:color w:val="auto"/>
              </w:rPr>
            </w:pPr>
            <w:r>
              <w:rPr>
                <w:rFonts w:ascii="Arial" w:cs="Arial" w:eastAsia="Arial" w:hAnsi="Arial"/>
                <w:sz w:val="14"/>
                <w:szCs w:val="14"/>
                <w:color w:val="auto"/>
                <w:w w:val="98"/>
              </w:rPr>
              <w:t>Redeemable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232"/>
              <w:spacing w:after="0" w:line="149" w:lineRule="exact"/>
              <w:rPr>
                <w:sz w:val="20"/>
                <w:szCs w:val="20"/>
                <w:color w:val="auto"/>
              </w:rPr>
            </w:pPr>
            <w:r>
              <w:rPr>
                <w:rFonts w:ascii="Arial" w:cs="Arial" w:eastAsia="Arial" w:hAnsi="Arial"/>
                <w:sz w:val="14"/>
                <w:szCs w:val="14"/>
                <w:color w:val="auto"/>
              </w:rPr>
              <w:t>Noncontrolling</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w w:val="96"/>
              </w:rPr>
              <w:t>Interests and</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w w:val="98"/>
              </w:rPr>
              <w:t>Redeemable</w:t>
            </w:r>
          </w:p>
        </w:tc>
        <w:tc>
          <w:tcPr>
            <w:tcW w:w="200" w:type="dxa"/>
            <w:vAlign w:val="bottom"/>
          </w:tcPr>
          <w:p>
            <w:pPr>
              <w:spacing w:after="0"/>
              <w:rPr>
                <w:sz w:val="12"/>
                <w:szCs w:val="12"/>
                <w:color w:val="auto"/>
              </w:rPr>
            </w:pPr>
          </w:p>
        </w:tc>
        <w:tc>
          <w:tcPr>
            <w:tcW w:w="1480" w:type="dxa"/>
            <w:vAlign w:val="bottom"/>
            <w:gridSpan w:val="4"/>
          </w:tcPr>
          <w:p>
            <w:pPr>
              <w:jc w:val="right"/>
              <w:ind w:right="212"/>
              <w:spacing w:after="0" w:line="149" w:lineRule="exact"/>
              <w:rPr>
                <w:sz w:val="20"/>
                <w:szCs w:val="20"/>
                <w:color w:val="auto"/>
              </w:rPr>
            </w:pPr>
            <w:r>
              <w:rPr>
                <w:rFonts w:ascii="Arial" w:cs="Arial" w:eastAsia="Arial" w:hAnsi="Arial"/>
                <w:sz w:val="14"/>
                <w:szCs w:val="14"/>
                <w:color w:val="auto"/>
              </w:rPr>
              <w:t>Common Stock</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3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Borders>
              <w:right w:val="single" w:sz="8" w:color="auto"/>
            </w:tcBorders>
            <w:vMerge w:val="restart"/>
          </w:tcPr>
          <w:p>
            <w:pPr>
              <w:jc w:val="right"/>
              <w:ind w:right="232"/>
              <w:spacing w:after="0" w:line="149" w:lineRule="exact"/>
              <w:rPr>
                <w:sz w:val="20"/>
                <w:szCs w:val="20"/>
                <w:color w:val="auto"/>
              </w:rPr>
            </w:pPr>
            <w:r>
              <w:rPr>
                <w:rFonts w:ascii="Arial" w:cs="Arial" w:eastAsia="Arial" w:hAnsi="Arial"/>
                <w:sz w:val="14"/>
                <w:szCs w:val="14"/>
                <w:color w:val="auto"/>
              </w:rPr>
              <w:t>Subsidiary</w:t>
            </w:r>
          </w:p>
        </w:tc>
        <w:tc>
          <w:tcPr>
            <w:tcW w:w="200" w:type="dxa"/>
            <w:vAlign w:val="bottom"/>
            <w:vMerge w:val="restart"/>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gridSpan w:val="2"/>
            <w:vMerge w:val="restart"/>
          </w:tcPr>
          <w:p>
            <w:pPr>
              <w:jc w:val="right"/>
              <w:ind w:right="32"/>
              <w:spacing w:after="0" w:line="149" w:lineRule="exact"/>
              <w:rPr>
                <w:sz w:val="20"/>
                <w:szCs w:val="20"/>
                <w:color w:val="auto"/>
              </w:rPr>
            </w:pPr>
            <w:r>
              <w:rPr>
                <w:rFonts w:ascii="Arial" w:cs="Arial" w:eastAsia="Arial" w:hAnsi="Arial"/>
                <w:sz w:val="14"/>
                <w:szCs w:val="14"/>
                <w:color w:val="auto"/>
              </w:rPr>
              <w:t>Additional</w:t>
            </w:r>
          </w:p>
        </w:tc>
        <w:tc>
          <w:tcPr>
            <w:tcW w:w="740" w:type="dxa"/>
            <w:vAlign w:val="bottom"/>
          </w:tcPr>
          <w:p>
            <w:pPr>
              <w:spacing w:after="0"/>
              <w:rPr>
                <w:sz w:val="4"/>
                <w:szCs w:val="4"/>
                <w:color w:val="auto"/>
              </w:rPr>
            </w:pPr>
          </w:p>
        </w:tc>
        <w:tc>
          <w:tcPr>
            <w:tcW w:w="680" w:type="dxa"/>
            <w:vAlign w:val="bottom"/>
            <w:gridSpan w:val="2"/>
            <w:vMerge w:val="restart"/>
          </w:tcPr>
          <w:p>
            <w:pPr>
              <w:jc w:val="right"/>
              <w:ind w:right="12"/>
              <w:spacing w:after="0" w:line="149" w:lineRule="exact"/>
              <w:rPr>
                <w:sz w:val="20"/>
                <w:szCs w:val="20"/>
                <w:color w:val="auto"/>
              </w:rPr>
            </w:pPr>
            <w:r>
              <w:rPr>
                <w:rFonts w:ascii="Arial" w:cs="Arial" w:eastAsia="Arial" w:hAnsi="Arial"/>
                <w:sz w:val="14"/>
                <w:szCs w:val="14"/>
                <w:color w:val="auto"/>
              </w:rPr>
              <w:t>Treasury</w:t>
            </w:r>
          </w:p>
        </w:tc>
        <w:tc>
          <w:tcPr>
            <w:tcW w:w="180" w:type="dxa"/>
            <w:vAlign w:val="bottom"/>
          </w:tcPr>
          <w:p>
            <w:pPr>
              <w:spacing w:after="0"/>
              <w:rPr>
                <w:sz w:val="4"/>
                <w:szCs w:val="4"/>
                <w:color w:val="auto"/>
              </w:rPr>
            </w:pPr>
          </w:p>
        </w:tc>
        <w:tc>
          <w:tcPr>
            <w:tcW w:w="980" w:type="dxa"/>
            <w:vAlign w:val="bottom"/>
            <w:vMerge w:val="restart"/>
          </w:tcPr>
          <w:p>
            <w:pPr>
              <w:jc w:val="right"/>
              <w:ind w:right="32"/>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4"/>
                <w:szCs w:val="4"/>
                <w:color w:val="auto"/>
              </w:rPr>
            </w:pPr>
          </w:p>
        </w:tc>
        <w:tc>
          <w:tcPr>
            <w:tcW w:w="640" w:type="dxa"/>
            <w:vAlign w:val="bottom"/>
            <w:vMerge w:val="restart"/>
          </w:tcPr>
          <w:p>
            <w:pPr>
              <w:jc w:val="right"/>
              <w:ind w:right="52"/>
              <w:spacing w:after="0" w:line="149" w:lineRule="exact"/>
              <w:rPr>
                <w:sz w:val="20"/>
                <w:szCs w:val="20"/>
                <w:color w:val="auto"/>
              </w:rPr>
            </w:pPr>
            <w:r>
              <w:rPr>
                <w:rFonts w:ascii="Arial" w:cs="Arial" w:eastAsia="Arial" w:hAnsi="Arial"/>
                <w:sz w:val="14"/>
                <w:szCs w:val="14"/>
                <w:color w:val="auto"/>
              </w:rPr>
              <w:t>Non-</w:t>
            </w: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Preferred</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Paid-In</w:t>
            </w:r>
          </w:p>
        </w:tc>
        <w:tc>
          <w:tcPr>
            <w:tcW w:w="7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Retained</w:t>
            </w:r>
          </w:p>
        </w:tc>
        <w:tc>
          <w:tcPr>
            <w:tcW w:w="6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Stock at</w:t>
            </w:r>
          </w:p>
        </w:tc>
        <w:tc>
          <w:tcPr>
            <w:tcW w:w="11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Comprehensive</w:t>
            </w:r>
          </w:p>
        </w:tc>
        <w:tc>
          <w:tcPr>
            <w:tcW w:w="80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controlling</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4"/>
                <w:szCs w:val="14"/>
                <w:color w:val="auto"/>
              </w:rPr>
              <w:t>Stock</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A</w:t>
            </w: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Special</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B</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Capital</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Cost</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6"/>
              </w:rPr>
              <w:t>Income (Loss)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3"/>
              </w:rPr>
              <w:t>Interests</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1"/>
        </w:trPr>
        <w:tc>
          <w:tcPr>
            <w:tcW w:w="3640" w:type="dxa"/>
            <w:vAlign w:val="bottom"/>
          </w:tcPr>
          <w:p>
            <w:pPr>
              <w:spacing w:after="0" w:line="141" w:lineRule="exact"/>
              <w:rPr>
                <w:sz w:val="20"/>
                <w:szCs w:val="20"/>
                <w:color w:val="auto"/>
              </w:rPr>
            </w:pPr>
            <w:r>
              <w:rPr>
                <w:rFonts w:ascii="Arial" w:cs="Arial" w:eastAsia="Arial" w:hAnsi="Arial"/>
                <w:sz w:val="14"/>
                <w:szCs w:val="14"/>
                <w:color w:val="auto"/>
              </w:rPr>
              <w:t>Balance, December 31, 2013</w:t>
            </w:r>
          </w:p>
        </w:tc>
        <w:tc>
          <w:tcPr>
            <w:tcW w:w="14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232"/>
              <w:spacing w:after="0" w:line="141" w:lineRule="exact"/>
              <w:rPr>
                <w:sz w:val="20"/>
                <w:szCs w:val="20"/>
                <w:color w:val="auto"/>
              </w:rPr>
            </w:pPr>
            <w:r>
              <w:rPr>
                <w:rFonts w:ascii="Arial" w:cs="Arial" w:eastAsia="Arial" w:hAnsi="Arial"/>
                <w:sz w:val="14"/>
                <w:szCs w:val="14"/>
                <w:color w:val="auto"/>
              </w:rPr>
              <w:t>957</w:t>
            </w:r>
          </w:p>
        </w:tc>
        <w:tc>
          <w:tcPr>
            <w:tcW w:w="200" w:type="dxa"/>
            <w:vAlign w:val="bottom"/>
          </w:tcPr>
          <w:p>
            <w:pPr>
              <w:spacing w:after="0"/>
              <w:rPr>
                <w:sz w:val="12"/>
                <w:szCs w:val="12"/>
                <w:color w:val="auto"/>
              </w:rPr>
            </w:pPr>
          </w:p>
        </w:tc>
        <w:tc>
          <w:tcPr>
            <w:tcW w:w="4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$ 25</w:t>
            </w:r>
          </w:p>
        </w:tc>
        <w:tc>
          <w:tcPr>
            <w:tcW w:w="140" w:type="dxa"/>
            <w:vAlign w:val="bottom"/>
          </w:tcPr>
          <w:p>
            <w:pPr>
              <w:ind w:left="60"/>
              <w:spacing w:after="0" w:line="141"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5</w:t>
            </w:r>
          </w:p>
        </w:tc>
        <w:tc>
          <w:tcPr>
            <w:tcW w:w="4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 —</w:t>
            </w:r>
          </w:p>
        </w:tc>
        <w:tc>
          <w:tcPr>
            <w:tcW w:w="2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38,890</w:t>
            </w:r>
          </w:p>
        </w:tc>
        <w:tc>
          <w:tcPr>
            <w:tcW w:w="7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$ 19,235</w:t>
            </w:r>
          </w:p>
        </w:tc>
        <w:tc>
          <w:tcPr>
            <w:tcW w:w="1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1" w:lineRule="exact"/>
              <w:rPr>
                <w:sz w:val="20"/>
                <w:szCs w:val="20"/>
                <w:color w:val="auto"/>
              </w:rPr>
            </w:pPr>
            <w:r>
              <w:rPr>
                <w:rFonts w:ascii="Arial" w:cs="Arial" w:eastAsia="Arial" w:hAnsi="Arial"/>
                <w:sz w:val="14"/>
                <w:szCs w:val="14"/>
                <w:color w:val="auto"/>
                <w:w w:val="99"/>
              </w:rPr>
              <w:t>(7,517)</w:t>
            </w:r>
          </w:p>
        </w:tc>
        <w:tc>
          <w:tcPr>
            <w:tcW w:w="1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2"/>
              <w:spacing w:after="0" w:line="141" w:lineRule="exact"/>
              <w:rPr>
                <w:sz w:val="20"/>
                <w:szCs w:val="20"/>
                <w:color w:val="auto"/>
              </w:rPr>
            </w:pPr>
            <w:r>
              <w:rPr>
                <w:rFonts w:ascii="Arial" w:cs="Arial" w:eastAsia="Arial" w:hAnsi="Arial"/>
                <w:sz w:val="14"/>
                <w:szCs w:val="14"/>
                <w:color w:val="auto"/>
              </w:rPr>
              <w:t>56</w:t>
            </w:r>
          </w:p>
        </w:tc>
        <w:tc>
          <w:tcPr>
            <w:tcW w:w="1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364</w:t>
            </w:r>
          </w:p>
        </w:tc>
        <w:tc>
          <w:tcPr>
            <w:tcW w:w="7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$ 51,058</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732</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(433)</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(928)</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(3,323)</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(4,251)</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118</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(2,320)</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Issuance of subsidiary shares to noncontrolling interests</w:t>
            </w: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85</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w w:val="97"/>
              </w:rPr>
              <w:t>Contributions from (distributions to) noncontrolling interests,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(33)</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36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8,380</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136</w:t>
            </w: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8,516</w:t>
            </w:r>
          </w:p>
        </w:tc>
        <w:tc>
          <w:tcPr>
            <w:tcW w:w="0" w:type="dxa"/>
            <w:vAlign w:val="bottom"/>
          </w:tcPr>
          <w:p>
            <w:pPr>
              <w:spacing w:after="0"/>
              <w:rPr>
                <w:sz w:val="1"/>
                <w:szCs w:val="1"/>
                <w:color w:val="auto"/>
              </w:rPr>
            </w:pPr>
          </w:p>
        </w:tc>
      </w:tr>
      <w:tr>
        <w:trPr>
          <w:trHeight w:val="141"/>
        </w:trPr>
        <w:tc>
          <w:tcPr>
            <w:tcW w:w="3640" w:type="dxa"/>
            <w:vAlign w:val="bottom"/>
          </w:tcPr>
          <w:p>
            <w:pPr>
              <w:spacing w:after="0" w:line="141" w:lineRule="exact"/>
              <w:rPr>
                <w:sz w:val="20"/>
                <w:szCs w:val="20"/>
                <w:color w:val="auto"/>
              </w:rPr>
            </w:pPr>
            <w:r>
              <w:rPr>
                <w:rFonts w:ascii="Arial" w:cs="Arial" w:eastAsia="Arial" w:hAnsi="Arial"/>
                <w:sz w:val="14"/>
                <w:szCs w:val="14"/>
                <w:color w:val="auto"/>
              </w:rPr>
              <w:t>Balance, December 31, 2014</w:t>
            </w: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232"/>
              <w:spacing w:after="0" w:line="141" w:lineRule="exact"/>
              <w:rPr>
                <w:sz w:val="20"/>
                <w:szCs w:val="20"/>
                <w:color w:val="auto"/>
              </w:rPr>
            </w:pPr>
            <w:r>
              <w:rPr>
                <w:rFonts w:ascii="Arial" w:cs="Arial" w:eastAsia="Arial" w:hAnsi="Arial"/>
                <w:sz w:val="14"/>
                <w:szCs w:val="14"/>
                <w:color w:val="auto"/>
              </w:rPr>
              <w:t>1,066</w:t>
            </w:r>
          </w:p>
        </w:tc>
        <w:tc>
          <w:tcPr>
            <w:tcW w:w="200" w:type="dxa"/>
            <w:vAlign w:val="bottom"/>
          </w:tcPr>
          <w:p>
            <w:pPr>
              <w:spacing w:after="0"/>
              <w:rPr>
                <w:sz w:val="12"/>
                <w:szCs w:val="12"/>
                <w:color w:val="auto"/>
              </w:rPr>
            </w:pPr>
          </w:p>
        </w:tc>
        <w:tc>
          <w:tcPr>
            <w:tcW w:w="4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4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5</w:t>
            </w:r>
          </w:p>
        </w:tc>
        <w:tc>
          <w:tcPr>
            <w:tcW w:w="4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38,805</w:t>
            </w:r>
          </w:p>
        </w:tc>
        <w:tc>
          <w:tcPr>
            <w:tcW w:w="7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21,539</w:t>
            </w:r>
          </w:p>
        </w:tc>
        <w:tc>
          <w:tcPr>
            <w:tcW w:w="1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4"/>
                <w:szCs w:val="14"/>
                <w:color w:val="auto"/>
                <w:w w:val="99"/>
              </w:rPr>
              <w:t>(7,517)</w:t>
            </w:r>
          </w:p>
        </w:tc>
        <w:tc>
          <w:tcPr>
            <w:tcW w:w="18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4"/>
                <w:szCs w:val="14"/>
                <w:color w:val="auto"/>
              </w:rPr>
              <w:t>(146)</w:t>
            </w:r>
          </w:p>
        </w:tc>
        <w:tc>
          <w:tcPr>
            <w:tcW w:w="160" w:type="dxa"/>
            <w:vAlign w:val="bottom"/>
          </w:tcPr>
          <w:p>
            <w:pPr>
              <w:spacing w:after="0"/>
              <w:rPr>
                <w:sz w:val="12"/>
                <w:szCs w:val="12"/>
                <w:color w:val="auto"/>
              </w:rPr>
            </w:pPr>
          </w:p>
        </w:tc>
        <w:tc>
          <w:tcPr>
            <w:tcW w:w="6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357</w:t>
            </w:r>
          </w:p>
        </w:tc>
        <w:tc>
          <w:tcPr>
            <w:tcW w:w="7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53,068</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739</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(402)</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(1,345)</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(5,404)</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136</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(2,483)</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(2,483)</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w w:val="97"/>
              </w:rPr>
              <w:t>Contributions from (distributions to) noncontrolling interests,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Reclassification of Class A Special common stock</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Universal Studios Japan</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1,440</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183</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36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86</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8,163</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164</w:t>
            </w:r>
          </w:p>
        </w:tc>
        <w:tc>
          <w:tcPr>
            <w:tcW w:w="7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8,327</w:t>
            </w:r>
          </w:p>
        </w:tc>
        <w:tc>
          <w:tcPr>
            <w:tcW w:w="0" w:type="dxa"/>
            <w:vAlign w:val="bottom"/>
          </w:tcPr>
          <w:p>
            <w:pPr>
              <w:spacing w:after="0"/>
              <w:rPr>
                <w:sz w:val="1"/>
                <w:szCs w:val="1"/>
                <w:color w:val="auto"/>
              </w:rPr>
            </w:pPr>
          </w:p>
        </w:tc>
      </w:tr>
      <w:tr>
        <w:trPr>
          <w:trHeight w:val="125"/>
        </w:trPr>
        <w:tc>
          <w:tcPr>
            <w:tcW w:w="3640" w:type="dxa"/>
            <w:vAlign w:val="bottom"/>
          </w:tcPr>
          <w:p>
            <w:pPr>
              <w:spacing w:after="0" w:line="125" w:lineRule="exact"/>
              <w:rPr>
                <w:sz w:val="20"/>
                <w:szCs w:val="20"/>
                <w:color w:val="auto"/>
              </w:rPr>
            </w:pPr>
            <w:r>
              <w:rPr>
                <w:rFonts w:ascii="Arial" w:cs="Arial" w:eastAsia="Arial" w:hAnsi="Arial"/>
                <w:sz w:val="14"/>
                <w:szCs w:val="14"/>
                <w:color w:val="auto"/>
              </w:rPr>
              <w:t>Balance, December 31, 2015</w:t>
            </w:r>
          </w:p>
        </w:tc>
        <w:tc>
          <w:tcPr>
            <w:tcW w:w="140" w:type="dxa"/>
            <w:vAlign w:val="bottom"/>
          </w:tcPr>
          <w:p>
            <w:pPr>
              <w:spacing w:after="0"/>
              <w:rPr>
                <w:sz w:val="10"/>
                <w:szCs w:val="10"/>
                <w:color w:val="auto"/>
              </w:rPr>
            </w:pPr>
          </w:p>
        </w:tc>
        <w:tc>
          <w:tcPr>
            <w:tcW w:w="1100" w:type="dxa"/>
            <w:vAlign w:val="bottom"/>
            <w:tcBorders>
              <w:right w:val="single" w:sz="8" w:color="auto"/>
            </w:tcBorders>
          </w:tcPr>
          <w:p>
            <w:pPr>
              <w:jc w:val="right"/>
              <w:ind w:right="232"/>
              <w:spacing w:after="0" w:line="125" w:lineRule="exact"/>
              <w:rPr>
                <w:sz w:val="20"/>
                <w:szCs w:val="20"/>
                <w:color w:val="auto"/>
              </w:rPr>
            </w:pPr>
            <w:r>
              <w:rPr>
                <w:rFonts w:ascii="Arial" w:cs="Arial" w:eastAsia="Arial" w:hAnsi="Arial"/>
                <w:sz w:val="14"/>
                <w:szCs w:val="14"/>
                <w:color w:val="auto"/>
              </w:rPr>
              <w:t>1,221</w:t>
            </w:r>
          </w:p>
        </w:tc>
        <w:tc>
          <w:tcPr>
            <w:tcW w:w="200" w:type="dxa"/>
            <w:vAlign w:val="bottom"/>
          </w:tcPr>
          <w:p>
            <w:pPr>
              <w:spacing w:after="0"/>
              <w:rPr>
                <w:sz w:val="10"/>
                <w:szCs w:val="10"/>
                <w:color w:val="auto"/>
              </w:rPr>
            </w:pPr>
          </w:p>
        </w:tc>
        <w:tc>
          <w:tcPr>
            <w:tcW w:w="460" w:type="dxa"/>
            <w:vAlign w:val="bottom"/>
          </w:tcPr>
          <w:p>
            <w:pPr>
              <w:jc w:val="right"/>
              <w:ind w:right="52"/>
              <w:spacing w:after="0" w:line="125"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0"/>
                <w:szCs w:val="10"/>
                <w:color w:val="auto"/>
              </w:rPr>
            </w:pPr>
          </w:p>
        </w:tc>
        <w:tc>
          <w:tcPr>
            <w:tcW w:w="480" w:type="dxa"/>
            <w:vAlign w:val="bottom"/>
          </w:tcPr>
          <w:p>
            <w:pPr>
              <w:jc w:val="right"/>
              <w:ind w:right="52"/>
              <w:spacing w:after="0" w:line="125"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1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80" w:type="dxa"/>
            <w:vAlign w:val="bottom"/>
          </w:tcPr>
          <w:p>
            <w:pPr>
              <w:jc w:val="right"/>
              <w:ind w:right="32"/>
              <w:spacing w:after="0" w:line="125" w:lineRule="exact"/>
              <w:rPr>
                <w:sz w:val="20"/>
                <w:szCs w:val="20"/>
                <w:color w:val="auto"/>
              </w:rPr>
            </w:pPr>
            <w:r>
              <w:rPr>
                <w:rFonts w:ascii="Arial" w:cs="Arial" w:eastAsia="Arial" w:hAnsi="Arial"/>
                <w:sz w:val="14"/>
                <w:szCs w:val="14"/>
                <w:color w:val="auto"/>
              </w:rPr>
              <w:t>38,518</w:t>
            </w:r>
          </w:p>
        </w:tc>
        <w:tc>
          <w:tcPr>
            <w:tcW w:w="740" w:type="dxa"/>
            <w:vAlign w:val="bottom"/>
          </w:tcPr>
          <w:p>
            <w:pPr>
              <w:jc w:val="right"/>
              <w:ind w:right="52"/>
              <w:spacing w:after="0" w:line="125" w:lineRule="exact"/>
              <w:rPr>
                <w:sz w:val="20"/>
                <w:szCs w:val="20"/>
                <w:color w:val="auto"/>
              </w:rPr>
            </w:pPr>
            <w:r>
              <w:rPr>
                <w:rFonts w:ascii="Arial" w:cs="Arial" w:eastAsia="Arial" w:hAnsi="Arial"/>
                <w:sz w:val="14"/>
                <w:szCs w:val="14"/>
                <w:color w:val="auto"/>
              </w:rPr>
              <w:t>21,413</w:t>
            </w:r>
          </w:p>
        </w:tc>
        <w:tc>
          <w:tcPr>
            <w:tcW w:w="18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4"/>
                <w:szCs w:val="14"/>
                <w:color w:val="auto"/>
                <w:w w:val="99"/>
              </w:rPr>
              <w:t>(7,517)</w:t>
            </w:r>
          </w:p>
        </w:tc>
        <w:tc>
          <w:tcPr>
            <w:tcW w:w="180" w:type="dxa"/>
            <w:vAlign w:val="bottom"/>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Arial" w:cs="Arial" w:eastAsia="Arial" w:hAnsi="Arial"/>
                <w:sz w:val="14"/>
                <w:szCs w:val="14"/>
                <w:color w:val="auto"/>
              </w:rPr>
              <w:t>(174)</w:t>
            </w:r>
          </w:p>
        </w:tc>
        <w:tc>
          <w:tcPr>
            <w:tcW w:w="160" w:type="dxa"/>
            <w:vAlign w:val="bottom"/>
          </w:tcPr>
          <w:p>
            <w:pPr>
              <w:spacing w:after="0"/>
              <w:rPr>
                <w:sz w:val="10"/>
                <w:szCs w:val="10"/>
                <w:color w:val="auto"/>
              </w:rPr>
            </w:pPr>
          </w:p>
        </w:tc>
        <w:tc>
          <w:tcPr>
            <w:tcW w:w="640" w:type="dxa"/>
            <w:vAlign w:val="bottom"/>
          </w:tcPr>
          <w:p>
            <w:pPr>
              <w:jc w:val="right"/>
              <w:ind w:right="52"/>
              <w:spacing w:after="0" w:line="125" w:lineRule="exact"/>
              <w:rPr>
                <w:sz w:val="20"/>
                <w:szCs w:val="20"/>
                <w:color w:val="auto"/>
              </w:rPr>
            </w:pPr>
            <w:r>
              <w:rPr>
                <w:rFonts w:ascii="Arial" w:cs="Arial" w:eastAsia="Arial" w:hAnsi="Arial"/>
                <w:sz w:val="14"/>
                <w:szCs w:val="14"/>
                <w:color w:val="auto"/>
              </w:rPr>
              <w:t>1,709</w:t>
            </w:r>
          </w:p>
        </w:tc>
        <w:tc>
          <w:tcPr>
            <w:tcW w:w="700" w:type="dxa"/>
            <w:vAlign w:val="bottom"/>
          </w:tcPr>
          <w:p>
            <w:pPr>
              <w:jc w:val="right"/>
              <w:ind w:right="32"/>
              <w:spacing w:after="0" w:line="125" w:lineRule="exact"/>
              <w:rPr>
                <w:sz w:val="20"/>
                <w:szCs w:val="20"/>
                <w:color w:val="auto"/>
              </w:rPr>
            </w:pPr>
            <w:r>
              <w:rPr>
                <w:rFonts w:ascii="Arial" w:cs="Arial" w:eastAsia="Arial" w:hAnsi="Arial"/>
                <w:sz w:val="14"/>
                <w:szCs w:val="14"/>
                <w:color w:val="auto"/>
              </w:rPr>
              <w:t>53,978</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Stock compensation plans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720</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(326)</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394</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Repurchases and retirements of common stock</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(949)</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(4,050)</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(5,000)</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Employee stock purchase plans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156</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Dividends declared</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(2,656)</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(2,656)</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272</w:t>
            </w:r>
          </w:p>
        </w:tc>
        <w:tc>
          <w:tcPr>
            <w:tcW w:w="16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74</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346</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Contributions from (distributions to) noncontrolling</w:t>
            </w:r>
          </w:p>
        </w:tc>
        <w:tc>
          <w:tcPr>
            <w:tcW w:w="14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interests, net</w:t>
            </w: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(16)</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0" w:type="dxa"/>
            <w:vAlign w:val="bottom"/>
          </w:tcPr>
          <w:p>
            <w:pPr>
              <w:spacing w:after="0"/>
              <w:rPr>
                <w:sz w:val="1"/>
                <w:szCs w:val="1"/>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0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b w:val="1"/>
                <w:bCs w:val="1"/>
                <w:color w:val="auto"/>
              </w:rPr>
              <w:t>148</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(187)</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325</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16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93</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8,695</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257</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8,952</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0C6DFF"/>
            </w:tcBorders>
          </w:tcPr>
          <w:p>
            <w:pPr>
              <w:spacing w:after="0" w:line="142" w:lineRule="exact"/>
              <w:rPr>
                <w:sz w:val="20"/>
                <w:szCs w:val="20"/>
                <w:color w:val="auto"/>
              </w:rPr>
            </w:pPr>
            <w:r>
              <w:rPr>
                <w:rFonts w:ascii="Arial" w:cs="Arial" w:eastAsia="Arial" w:hAnsi="Arial"/>
                <w:sz w:val="14"/>
                <w:szCs w:val="14"/>
                <w:b w:val="1"/>
                <w:bCs w:val="1"/>
                <w:color w:val="auto"/>
              </w:rPr>
              <w:t>Balance, December 31, 2016</w:t>
            </w:r>
          </w:p>
        </w:tc>
        <w:tc>
          <w:tcPr>
            <w:tcW w:w="14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C6DFF"/>
              <w:right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1,446</w:t>
            </w:r>
          </w:p>
        </w:tc>
        <w:tc>
          <w:tcPr>
            <w:tcW w:w="200" w:type="dxa"/>
            <w:vAlign w:val="bottom"/>
            <w:tcBorders>
              <w:bottom w:val="single" w:sz="8" w:color="0C6DFF"/>
            </w:tcBorders>
          </w:tcPr>
          <w:p>
            <w:pPr>
              <w:spacing w:after="0"/>
              <w:rPr>
                <w:sz w:val="12"/>
                <w:szCs w:val="12"/>
                <w:color w:val="auto"/>
              </w:rPr>
            </w:pPr>
          </w:p>
        </w:tc>
        <w:tc>
          <w:tcPr>
            <w:tcW w:w="460" w:type="dxa"/>
            <w:vAlign w:val="bottom"/>
            <w:tcBorders>
              <w:bottom w:val="single" w:sz="8" w:color="0C6DF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$ 28</w:t>
            </w:r>
          </w:p>
        </w:tc>
        <w:tc>
          <w:tcPr>
            <w:tcW w:w="140" w:type="dxa"/>
            <w:vAlign w:val="bottom"/>
            <w:tcBorders>
              <w:bottom w:val="single" w:sz="8" w:color="0C6DFF"/>
            </w:tcBorders>
          </w:tcPr>
          <w:p>
            <w:pPr>
              <w:ind w:left="60"/>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0C6DF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0C6DFF"/>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C6DF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38,258</w:t>
            </w:r>
          </w:p>
        </w:tc>
        <w:tc>
          <w:tcPr>
            <w:tcW w:w="740" w:type="dxa"/>
            <w:vAlign w:val="bottom"/>
            <w:tcBorders>
              <w:bottom w:val="single" w:sz="8" w:color="0C6DF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$ 23,076</w:t>
            </w:r>
          </w:p>
        </w:tc>
        <w:tc>
          <w:tcPr>
            <w:tcW w:w="18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w w:val="99"/>
              </w:rPr>
              <w:t>(7,517)</w:t>
            </w:r>
          </w:p>
        </w:tc>
        <w:tc>
          <w:tcPr>
            <w:tcW w:w="18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C6DF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98</w:t>
            </w:r>
          </w:p>
        </w:tc>
        <w:tc>
          <w:tcPr>
            <w:tcW w:w="16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C6DF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2,231</w:t>
            </w:r>
          </w:p>
        </w:tc>
        <w:tc>
          <w:tcPr>
            <w:tcW w:w="700" w:type="dxa"/>
            <w:vAlign w:val="bottom"/>
            <w:tcBorders>
              <w:bottom w:val="single" w:sz="8" w:color="0C6DF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$ 56,174</w:t>
            </w:r>
          </w:p>
        </w:tc>
        <w:tc>
          <w:tcPr>
            <w:tcW w:w="0" w:type="dxa"/>
            <w:vAlign w:val="bottom"/>
          </w:tcPr>
          <w:p>
            <w:pPr>
              <w:spacing w:after="0"/>
              <w:rPr>
                <w:sz w:val="1"/>
                <w:szCs w:val="1"/>
                <w:color w:val="auto"/>
              </w:rPr>
            </w:pPr>
          </w:p>
        </w:tc>
      </w:tr>
      <w:tr>
        <w:trPr>
          <w:trHeight w:val="209"/>
        </w:trPr>
        <w:tc>
          <w:tcPr>
            <w:tcW w:w="3780" w:type="dxa"/>
            <w:vAlign w:val="bottom"/>
            <w:gridSpan w:val="2"/>
          </w:tcPr>
          <w:p>
            <w:pPr>
              <w:spacing w:after="0"/>
              <w:rPr>
                <w:sz w:val="20"/>
                <w:szCs w:val="20"/>
                <w:color w:val="auto"/>
              </w:rPr>
            </w:pPr>
            <w:r>
              <w:rPr>
                <w:rFonts w:ascii="Arial" w:cs="Arial" w:eastAsia="Arial" w:hAnsi="Arial"/>
                <w:sz w:val="14"/>
                <w:szCs w:val="14"/>
                <w:color w:val="auto"/>
                <w:w w:val="97"/>
              </w:rPr>
              <w:t>See accompanying notes to consolidated financial statements.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ind w:right="252"/>
              <w:spacing w:after="0"/>
              <w:rPr>
                <w:sz w:val="20"/>
                <w:szCs w:val="20"/>
                <w:color w:val="auto"/>
              </w:rPr>
            </w:pPr>
            <w:r>
              <w:rPr>
                <w:rFonts w:ascii="Arial" w:cs="Arial" w:eastAsia="Arial" w:hAnsi="Arial"/>
                <w:sz w:val="14"/>
                <w:szCs w:val="14"/>
                <w:b w:val="1"/>
                <w:bCs w:val="1"/>
                <w:color w:val="auto"/>
                <w:w w:val="89"/>
              </w:rPr>
              <w:t>79</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60" w:type="dxa"/>
            <w:vAlign w:val="bottom"/>
            <w:gridSpan w:val="5"/>
          </w:tcPr>
          <w:p>
            <w:pPr>
              <w:jc w:val="right"/>
              <w:spacing w:after="0"/>
              <w:rPr>
                <w:sz w:val="20"/>
                <w:szCs w:val="20"/>
                <w:color w:val="auto"/>
              </w:rPr>
            </w:pPr>
            <w:r>
              <w:rPr>
                <w:rFonts w:ascii="Arial" w:cs="Arial" w:eastAsia="Arial" w:hAnsi="Arial"/>
                <w:sz w:val="14"/>
                <w:szCs w:val="14"/>
                <w:color w:val="auto"/>
                <w:w w:val="96"/>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w:t>
      </w:r>
    </w:p>
    <w:p>
      <w:pPr>
        <w:spacing w:after="0" w:line="1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 See Note 17 for additional information on our reportable business segments.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Communications segment primarily manages and operates cable systems that serve residential and business customers in the United States. As of December 31, 2016, our cable systems had 28.6 million total customer relationships and served 22.5 million video customers, 24.7 million high-speed Internet customers and 11.7 million voice customers.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and our cable television studio production operations.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owned NBC and Telemundo local broadcast television stations, the NBC Universo national cable network, and our broadcast television studio production operations.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Illumination and Focus Features names and in August 2016, we acquired DreamWorks Animation. See Note 5 for additional information on the acquisition.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and our 51% interest in the Universal Studios theme park in Osaka, Japan (“Universal Studios Japan”), which we acquired in November 2015. See Note 5 for additional information on the acquisition.</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other business interests, which are included in Corporate and Other, consist primarily of Comcast Spectacor, which owns the Philadelphia Flyers and the Wells Fargo Center arena in Philadelphia, Pennsylvania and operates arena management-related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operations where the functional currency is the local currency, primarily the Japanese yen, euro and British pound,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 w:lineRule="exact"/>
        <w:rPr>
          <w:sz w:val="20"/>
          <w:szCs w:val="20"/>
          <w:color w:val="auto"/>
        </w:rPr>
      </w:pPr>
    </w:p>
    <w:p>
      <w:pPr>
        <w:ind w:right="880"/>
        <w:spacing w:after="0" w:line="328" w:lineRule="auto"/>
        <w:rPr>
          <w:sz w:val="20"/>
          <w:szCs w:val="20"/>
          <w:color w:val="auto"/>
        </w:rPr>
      </w:pPr>
      <w:r>
        <w:rPr>
          <w:rFonts w:ascii="Arial" w:cs="Arial" w:eastAsia="Arial" w:hAnsi="Arial"/>
          <w:sz w:val="18"/>
          <w:szCs w:val="18"/>
          <w:color w:val="auto"/>
        </w:rPr>
        <w:t xml:space="preserve">Reclassifications have been made to our consolidated financial statements for the prior years to conform to classifications used in 2016. </w:t>
      </w:r>
      <w:r>
        <w:rPr>
          <w:rFonts w:ascii="Arial" w:cs="Arial" w:eastAsia="Arial" w:hAnsi="Arial"/>
          <w:sz w:val="18"/>
          <w:szCs w:val="18"/>
          <w:b w:val="1"/>
          <w:bCs w:val="1"/>
          <w:color w:val="auto"/>
        </w:rPr>
        <w:t>Stock Split</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January 24, 2017, our Board of Directors approved a two-for-one stock split in the form of a 100% stock dividend (the “Stock Split”) payable on February 17, 2017 to shareholders of record as of February 8, 2017. The Stock Split will be in the form of one additional share for every share held and will be payable in shares of Class A common stock on the outstanding Class A common stock and Class B common stock. The pro forma diluted earnings per common share attributable to Comcast Corporation shareholders in our consolidated statement of income has been adjusted to reflect the Stock Split for all periods presented. All other share-based data, including the number of shares outstanding and related prices, per share amounts, and share authorizations and conversions have not been adjusted to reflect the Stock Split for any of the periods presented.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valuation and impairment testing of cable franchise rights (see Note 9)</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film and television costs (see Note 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industries in which we operate:</w:t>
      </w:r>
    </w:p>
    <w:p>
      <w:pPr>
        <w:spacing w:after="0" w:line="117" w:lineRule="exact"/>
        <w:rPr>
          <w:sz w:val="20"/>
          <w:szCs w:val="20"/>
          <w:color w:val="auto"/>
        </w:rPr>
      </w:pPr>
    </w:p>
    <w:p>
      <w:pPr>
        <w:ind w:left="1020" w:hanging="215"/>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6)</w:t>
      </w:r>
    </w:p>
    <w:p>
      <w:pPr>
        <w:spacing w:after="0" w:line="117"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installation revenue and costs for connecting customers to our cable systems (see revenue recognition below and Note 8)</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our other accounting policies and methods that are used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Communications Segment</w:t>
      </w:r>
    </w:p>
    <w:p>
      <w:pPr>
        <w:jc w:val="both"/>
        <w:spacing w:after="0" w:line="236" w:lineRule="auto"/>
        <w:rPr>
          <w:sz w:val="20"/>
          <w:szCs w:val="20"/>
          <w:color w:val="auto"/>
        </w:rPr>
      </w:pPr>
      <w:r>
        <w:rPr>
          <w:rFonts w:ascii="Arial" w:cs="Arial" w:eastAsia="Arial" w:hAnsi="Arial"/>
          <w:sz w:val="18"/>
          <w:szCs w:val="18"/>
          <w:color w:val="auto"/>
        </w:rPr>
        <w:t>Our Cable Communications segment generates revenue primarily from subscriptions to our video, high-speed Internet and voice services (“cable services”) and from the sale of advertising. We recognize revenue from cable services as each service is provided. Customers are typically billed in advance on a monthly basis based on the services and features they receive and the type of equipment they use. Since installation revenue obtained from the connection of customers to our cable systems is less than the related direct selling costs, we recognize revenue as connections are completed.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we sell through our advertising business, Spotlight, to local, regional and national advertisers. We recognize advertising revenue when the advertising is aired or viewed.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Since we are acting as the principal in these arrangements, we record the advertising that is sold in revenue and the fees paid to representation firms and multichannel video providers in other operating and administrative expenses.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earned from other sources, such as our home security and automation services, is recognized when services are provided or events occur. Under the terms of our cable franchise agreements, we are generally required to pay to the cable franchising authority an amount based on our gross video revenue. We pass these fees through to our cable services customers and classify the fees as a component of revenue with the corresponding costs included in other operating and administrative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 Segments</w:t>
      </w:r>
    </w:p>
    <w:p>
      <w:pPr>
        <w:jc w:val="both"/>
        <w:spacing w:after="0" w:line="235"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from the sale of advertising on our cable networks and related digital media properties, from the licensing of our owned programming to cable and broadcast networks and subscription video on demand services, from the sale of our owned programming on standard-definition digital video discs and Blu-ray discs (together, “DVDs”) and through digital distribution services such as iTunes, and from the sale of programming by our cable television studio production operations to third-party networks and subscription video on demand services. Our Broadcast Television segment generates revenue primarily from the sale of advertising on our broadcast networks, owned local broadcast television stations and related digital media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for our Cable Networks and Broadcast Television segments is recognized in the period in which commercials are aired or viewed. In some instances, we guarantee audience ratings for the commercials. To the extent there is a shortfall in the ratings that were guaranteed, a portion of the revenue is deferred until the shortfall is settled, primarily by providing additional advertising units. We recognize revenue from the licensing of our owned programming and programming produced by our studios for third parties when the content is made available for use by the licensee, and when certain other conditions are met. When license fees include advertising time, we recognize the component of revenue associated with the advertisements when they are aired or viewed.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 Segment</w:t>
      </w:r>
    </w:p>
    <w:p>
      <w:pPr>
        <w:jc w:val="both"/>
        <w:spacing w:after="0" w:line="238"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from the licensing of our owned and acquired films through various distribution platforms, and from the sale of our owned and acquired films on DVDs and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through digital distribution services. Our Filmed Entertainment segment also generates revenue from producing and licensing live stage plays, from the distribution of filmed entertainment produced by third parties, and from Fandango, our movie ticketing and entertainment business. We recognize revenue from the distribution of films to movie theaters when the films are exhibited. We recognize revenue from the licensing of a film when the film is available for use by the licensee, and when certain other conditions are met. We recognize revenue from the sale of DVDs, net of estimated returns and customer incentives, on the date that the DVDs are delivered to and made available for sale by retailers.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Theme Parks Segment</w:t>
      </w: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ticket sales and guest spending at our Universal theme parks. We recognize revenue from advance theme park ticket sales when the tickets are used. For annual passes, we recognize revenue on a straight-line basis over the period following the activation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Programming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Communications programming expenses are the fees we pay to license the programming we distribute to our video customers. Programming is generally acquired under multiyear distribution agreements, with rates typically based on the number of customers that receive the programming, channel positioning and the extent of distribution. From time to time, these contracts expire and programming continues to be provided under interim arrangements while the parties negotiate new contract terms, sometimes with effective dates that affect prior periods. While payments are typically made under the prior contract’s terms, the amount of programming expenses recorded during the interim arrangement is based on our estimate of the ultimate contract terms expected to be negotiated. Differences between actual amounts determined upon resolution of negotiations and amounts recorded during these interim arrangements are recorded in the period of resolution.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our Cable Communications segment receives incentives from a cable network for the licensing of its programming, we defer a portion of these incentives, which are included in other current and noncurrent liabilities, and recognize them over the term of the contract as a reduction to programming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carrying amounts of our cash equivalents approximate their fair values. Our cash equivalents consist primarily of money market funds and U.S. government obligations, as well as commercial paper and certificates of deposit with maturities of three months or less when purchased.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derivative financial instruments are recorded in our consolidated balance sheet at fair value. The impact of our derivative financial instruments on our consolidated financial statements was not material in any of the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valuation techniques (market approach, income approach and cost approach). The levels of the hierarchy are described below.</w:t>
      </w:r>
    </w:p>
    <w:p>
      <w:pPr>
        <w:spacing w:after="0" w:line="117" w:lineRule="exact"/>
        <w:rPr>
          <w:sz w:val="20"/>
          <w:szCs w:val="20"/>
          <w:color w:val="auto"/>
        </w:rPr>
      </w:pPr>
    </w:p>
    <w:p>
      <w:pPr>
        <w:ind w:left="1020" w:hanging="21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Values are determined using quoted prices for similar financial instruments and valuation models whose inputs are observable</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 these levels of hierarchy for the measurement of fair value related to acquisitions, investments, long-term debt, redeemable subsidiary preferred stock and impairment testing, among others. Our assessment of the significance of a particular input to the fair value measurement requires judgment and may affect the valuation and classification within the fair value hierarchy. Our financial instruments that are accounted for at fair value on a recurring basis were not material as of December 31, 2016 and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We do not have any significant liabilities related to asset retirements recorded in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a majority of our revenue arrangements and expect our review to be completed in the second quarter of 2017. As a result of our review, we do not expect any material impact on our consolidated financial statements. However, we do expect that the new standard will impact the timing of recognition for (1) our Cable Communications segment’s installation revenue and commission expenses, which upon adoption will be recognized as revenue and costs over a period of time instead of immediately, and (2) our Cable Networks, Broadcast Television and Filmed Entertainment segments’ content licensing revenue associated with renewals or extensions of existing program licensing agreements, which upon adoption will be recognized as revenue when the licensed content becomes available under the renewal or extension instead of when the agreement is renewed or extended.</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guidance provides companies with alternative methods of adoption and we are in the process of determining our method of adoption, which depends in part upon our completion of the evaluation of our remaining revenue arrangements.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and voting interest entity models. The updated accounting guidance modifies the consolidation guidance for VIEs, limited partnerships and similar legal entities. We have adopted this guidance as of January 1, 2016 and it did not have a material impact on our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with certain exceptions, a cumulative effect adjustment to beginning retained earnings when the guidance is adopted. We are currently in the process of determining the impact that the updated accounting guidance will have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 See Note 16 for a summary of our undiscounted minimum rental commitments under operating leases as of December 31,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are under the current guidance. In addition, the updated guidance requires when an employer withholds shares upon exercise of options or the vesting of restricted stock for the purpose of meeting withholding tax requirements, that the cash paid for withholding taxes be classified as a financing activity. We currently record these amounts within operating activities.</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will adopt the updated guidance in the first quarter of 2017. As required under the updated guidance, we will prospectively adopt the provisions of this guidance that relate to the recognition of the excess income tax benefits or deficiencies in the statement of income. If we had adopted the updated guidance in 2016, our income tax expense and effective tax rate would have decreased by $233 million and 1.6%, respectively, and</w:t>
      </w:r>
    </w:p>
    <w:p>
      <w:pPr>
        <w:spacing w:after="0" w:line="29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85</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diluted earnings per common share attributable to Comcast Corporation shareholders in 2016 would have increased by $0.08.</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upon adoption we will retrospectively adopt the provisions of this guidance related to changes to the statement of cash flows in any of the periods presented. The table below presents the effect on our consolidated statement of cash flows for each of the years ended December 31, 2016, 2015 and 2014. These amounts are not necessarily indicative of amounts that we will recognize in future years related to the excess income tax benefits or deficiencies nor the cash paid for withholding taxes.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940" w:type="dxa"/>
            <w:vAlign w:val="bottom"/>
            <w:tcBorders>
              <w:bottom w:val="single" w:sz="8" w:color="auto"/>
            </w:tcBorders>
            <w:gridSpan w:val="2"/>
          </w:tcPr>
          <w:p>
            <w:pPr>
              <w:ind w:left="2060"/>
              <w:spacing w:after="0"/>
              <w:rPr>
                <w:sz w:val="20"/>
                <w:szCs w:val="20"/>
                <w:color w:val="auto"/>
              </w:rPr>
            </w:pPr>
            <w:r>
              <w:rPr>
                <w:rFonts w:ascii="Arial" w:cs="Arial" w:eastAsia="Arial" w:hAnsi="Arial"/>
                <w:sz w:val="14"/>
                <w:szCs w:val="14"/>
                <w:color w:val="auto"/>
              </w:rPr>
              <w:t>As Reported</w:t>
            </w: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Effect of Adoption</w:t>
            </w: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Upon Adoption</w:t>
            </w:r>
          </w:p>
        </w:tc>
      </w:tr>
      <w:tr>
        <w:trPr>
          <w:trHeight w:val="199"/>
        </w:trPr>
        <w:tc>
          <w:tcPr>
            <w:tcW w:w="6120" w:type="dxa"/>
            <w:vAlign w:val="bottom"/>
          </w:tcPr>
          <w:p>
            <w:pPr>
              <w:spacing w:after="0" w:line="200" w:lineRule="exact"/>
              <w:rPr>
                <w:sz w:val="20"/>
                <w:szCs w:val="20"/>
                <w:color w:val="auto"/>
              </w:rPr>
            </w:pPr>
            <w:r>
              <w:rPr>
                <w:rFonts w:ascii="Arial" w:cs="Arial" w:eastAsia="Arial" w:hAnsi="Arial"/>
                <w:sz w:val="18"/>
                <w:szCs w:val="18"/>
                <w:color w:val="auto"/>
              </w:rPr>
              <w:t>2016</w:t>
            </w:r>
          </w:p>
        </w:tc>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200" w:type="dxa"/>
            <w:vAlign w:val="bottom"/>
          </w:tcPr>
          <w:p>
            <w:pPr>
              <w:ind w:left="20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19,240</w:t>
            </w:r>
          </w:p>
        </w:tc>
        <w:tc>
          <w:tcPr>
            <w:tcW w:w="4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585</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19,825</w:t>
            </w: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2200" w:type="dxa"/>
            <w:vAlign w:val="bottom"/>
          </w:tcPr>
          <w:p>
            <w:pPr>
              <w:ind w:left="20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151</w:t>
            </w:r>
          </w:p>
        </w:tc>
        <w:tc>
          <w:tcPr>
            <w:tcW w:w="4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(585)</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(434)</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200" w:type="dxa"/>
            <w:vAlign w:val="bottom"/>
          </w:tcPr>
          <w:p>
            <w:pPr>
              <w:ind w:left="20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18,778</w:t>
            </w:r>
          </w:p>
        </w:tc>
        <w:tc>
          <w:tcPr>
            <w:tcW w:w="4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708</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19,486</w:t>
            </w: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2200" w:type="dxa"/>
            <w:vAlign w:val="bottom"/>
          </w:tcPr>
          <w:p>
            <w:pPr>
              <w:ind w:left="20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(8,429)</w:t>
            </w:r>
          </w:p>
        </w:tc>
        <w:tc>
          <w:tcPr>
            <w:tcW w:w="4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(708)</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(9,137)</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200" w:type="dxa"/>
            <w:vAlign w:val="bottom"/>
          </w:tcPr>
          <w:p>
            <w:pPr>
              <w:ind w:left="20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16,945</w:t>
            </w:r>
          </w:p>
        </w:tc>
        <w:tc>
          <w:tcPr>
            <w:tcW w:w="4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652</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17,597</w:t>
            </w:r>
          </w:p>
        </w:tc>
      </w:tr>
      <w:tr>
        <w:trPr>
          <w:trHeight w:val="199"/>
        </w:trPr>
        <w:tc>
          <w:tcPr>
            <w:tcW w:w="6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Net cash provided by (used in) financing activities</w:t>
            </w:r>
          </w:p>
        </w:tc>
        <w:tc>
          <w:tcPr>
            <w:tcW w:w="2200" w:type="dxa"/>
            <w:vAlign w:val="bottom"/>
            <w:tcBorders>
              <w:bottom w:val="single" w:sz="8" w:color="auto"/>
            </w:tcBorders>
          </w:tcPr>
          <w:p>
            <w:pPr>
              <w:ind w:left="2040"/>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(6,020)</w:t>
            </w:r>
          </w:p>
        </w:tc>
        <w:tc>
          <w:tcPr>
            <w:tcW w:w="48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(652)</w:t>
            </w:r>
          </w:p>
        </w:tc>
        <w:tc>
          <w:tcPr>
            <w:tcW w:w="30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(6,672)</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960" w:type="dxa"/>
            <w:vAlign w:val="bottom"/>
            <w:gridSpan w:val="2"/>
          </w:tcPr>
          <w:p>
            <w:pPr>
              <w:jc w:val="right"/>
              <w:ind w:right="12"/>
              <w:spacing w:after="0" w:line="125" w:lineRule="exact"/>
              <w:rPr>
                <w:sz w:val="20"/>
                <w:szCs w:val="20"/>
                <w:color w:val="auto"/>
              </w:rPr>
            </w:pPr>
            <w:r>
              <w:rPr>
                <w:rFonts w:ascii="Arial" w:cs="Arial" w:eastAsia="Arial" w:hAnsi="Arial"/>
                <w:sz w:val="14"/>
                <w:szCs w:val="14"/>
                <w:b w:val="1"/>
                <w:bCs w:val="1"/>
                <w:color w:val="auto"/>
              </w:rPr>
              <w:t>Net Income</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jc w:val="right"/>
              <w:ind w:right="32"/>
              <w:spacing w:after="0" w:line="125"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jc w:val="right"/>
              <w:ind w:right="32"/>
              <w:spacing w:after="0" w:line="125"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9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Attributable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Attributable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Attributable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220" w:type="dxa"/>
            <w:vAlign w:val="bottom"/>
          </w:tcPr>
          <w:p>
            <w:pPr>
              <w:spacing w:after="0" w:line="152" w:lineRule="exact"/>
              <w:rPr>
                <w:sz w:val="20"/>
                <w:szCs w:val="20"/>
                <w:color w:val="auto"/>
              </w:rPr>
            </w:pPr>
            <w:r>
              <w:rPr>
                <w:rFonts w:ascii="Arial" w:cs="Arial" w:eastAsia="Arial" w:hAnsi="Arial"/>
                <w:sz w:val="14"/>
                <w:szCs w:val="14"/>
                <w:color w:val="auto"/>
              </w:rPr>
              <w:t>Year ended December 31</w:t>
            </w:r>
          </w:p>
        </w:tc>
        <w:tc>
          <w:tcPr>
            <w:tcW w:w="960" w:type="dxa"/>
            <w:vAlign w:val="bottom"/>
            <w:gridSpan w:val="2"/>
          </w:tcPr>
          <w:p>
            <w:pPr>
              <w:jc w:val="right"/>
              <w:ind w:right="12"/>
              <w:spacing w:after="0" w:line="152" w:lineRule="exact"/>
              <w:rPr>
                <w:sz w:val="20"/>
                <w:szCs w:val="20"/>
                <w:color w:val="auto"/>
              </w:rPr>
            </w:pPr>
            <w:r>
              <w:rPr>
                <w:rFonts w:ascii="Arial" w:cs="Arial" w:eastAsia="Arial" w:hAnsi="Arial"/>
                <w:sz w:val="14"/>
                <w:szCs w:val="14"/>
                <w:b w:val="1"/>
                <w:bCs w:val="1"/>
                <w:color w:val="auto"/>
              </w:rPr>
              <w:t>to Comcast</w:t>
            </w:r>
          </w:p>
        </w:tc>
        <w:tc>
          <w:tcPr>
            <w:tcW w:w="660" w:type="dxa"/>
            <w:vAlign w:val="bottom"/>
          </w:tcPr>
          <w:p>
            <w:pPr>
              <w:spacing w:after="0"/>
              <w:rPr>
                <w:sz w:val="13"/>
                <w:szCs w:val="13"/>
                <w:color w:val="auto"/>
              </w:rPr>
            </w:pPr>
          </w:p>
        </w:tc>
        <w:tc>
          <w:tcPr>
            <w:tcW w:w="800" w:type="dxa"/>
            <w:vAlign w:val="bottom"/>
            <w:gridSpan w:val="2"/>
          </w:tcPr>
          <w:p>
            <w:pPr>
              <w:jc w:val="right"/>
              <w:spacing w:after="0" w:line="152" w:lineRule="exact"/>
              <w:rPr>
                <w:sz w:val="20"/>
                <w:szCs w:val="20"/>
                <w:color w:val="auto"/>
              </w:rPr>
            </w:pPr>
            <w:r>
              <w:rPr>
                <w:rFonts w:ascii="Arial" w:cs="Arial" w:eastAsia="Arial" w:hAnsi="Arial"/>
                <w:sz w:val="14"/>
                <w:szCs w:val="14"/>
                <w:b w:val="1"/>
                <w:bCs w:val="1"/>
                <w:color w:val="auto"/>
              </w:rPr>
              <w:t>Per Share</w:t>
            </w:r>
          </w:p>
        </w:tc>
        <w:tc>
          <w:tcPr>
            <w:tcW w:w="920" w:type="dxa"/>
            <w:vAlign w:val="bottom"/>
            <w:gridSpan w:val="2"/>
          </w:tcPr>
          <w:p>
            <w:pPr>
              <w:jc w:val="right"/>
              <w:ind w:right="32"/>
              <w:spacing w:after="0" w:line="152" w:lineRule="exact"/>
              <w:rPr>
                <w:sz w:val="20"/>
                <w:szCs w:val="20"/>
                <w:color w:val="auto"/>
              </w:rPr>
            </w:pPr>
            <w:r>
              <w:rPr>
                <w:rFonts w:ascii="Arial" w:cs="Arial" w:eastAsia="Arial" w:hAnsi="Arial"/>
                <w:sz w:val="14"/>
                <w:szCs w:val="14"/>
                <w:color w:val="auto"/>
              </w:rPr>
              <w:t>to Comcast</w:t>
            </w:r>
          </w:p>
        </w:tc>
        <w:tc>
          <w:tcPr>
            <w:tcW w:w="660" w:type="dxa"/>
            <w:vAlign w:val="bottom"/>
          </w:tcPr>
          <w:p>
            <w:pPr>
              <w:spacing w:after="0"/>
              <w:rPr>
                <w:sz w:val="13"/>
                <w:szCs w:val="13"/>
                <w:color w:val="auto"/>
              </w:rPr>
            </w:pPr>
          </w:p>
        </w:tc>
        <w:tc>
          <w:tcPr>
            <w:tcW w:w="78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Per Share</w:t>
            </w:r>
          </w:p>
        </w:tc>
        <w:tc>
          <w:tcPr>
            <w:tcW w:w="940" w:type="dxa"/>
            <w:vAlign w:val="bottom"/>
            <w:gridSpan w:val="2"/>
          </w:tcPr>
          <w:p>
            <w:pPr>
              <w:jc w:val="right"/>
              <w:ind w:right="32"/>
              <w:spacing w:after="0" w:line="152" w:lineRule="exact"/>
              <w:rPr>
                <w:sz w:val="20"/>
                <w:szCs w:val="20"/>
                <w:color w:val="auto"/>
              </w:rPr>
            </w:pPr>
            <w:r>
              <w:rPr>
                <w:rFonts w:ascii="Arial" w:cs="Arial" w:eastAsia="Arial" w:hAnsi="Arial"/>
                <w:sz w:val="14"/>
                <w:szCs w:val="14"/>
                <w:color w:val="auto"/>
              </w:rPr>
              <w:t>to Comcast</w:t>
            </w:r>
          </w:p>
        </w:tc>
        <w:tc>
          <w:tcPr>
            <w:tcW w:w="660" w:type="dxa"/>
            <w:vAlign w:val="bottom"/>
          </w:tcPr>
          <w:p>
            <w:pPr>
              <w:spacing w:after="0"/>
              <w:rPr>
                <w:sz w:val="13"/>
                <w:szCs w:val="13"/>
                <w:color w:val="auto"/>
              </w:rPr>
            </w:pPr>
          </w:p>
        </w:tc>
        <w:tc>
          <w:tcPr>
            <w:tcW w:w="820" w:type="dxa"/>
            <w:vAlign w:val="bottom"/>
            <w:gridSpan w:val="2"/>
          </w:tcPr>
          <w:p>
            <w:pPr>
              <w:jc w:val="right"/>
              <w:ind w:right="19"/>
              <w:spacing w:after="0" w:line="152"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76"/>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Amount</w:t>
            </w:r>
          </w:p>
        </w:tc>
        <w:tc>
          <w:tcPr>
            <w:tcW w:w="9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99"/>
        </w:trPr>
        <w:tc>
          <w:tcPr>
            <w:tcW w:w="4220" w:type="dxa"/>
            <w:vAlign w:val="bottom"/>
          </w:tcPr>
          <w:p>
            <w:pPr>
              <w:spacing w:after="0" w:line="200" w:lineRule="exact"/>
              <w:rPr>
                <w:sz w:val="20"/>
                <w:szCs w:val="20"/>
                <w:color w:val="auto"/>
              </w:rPr>
            </w:pPr>
            <w:r>
              <w:rPr>
                <w:rFonts w:ascii="Arial" w:cs="Arial" w:eastAsia="Arial" w:hAnsi="Arial"/>
                <w:sz w:val="18"/>
                <w:szCs w:val="18"/>
                <w:color w:val="auto"/>
              </w:rPr>
              <w:t>Basic EPS attributable to Comcast Corporation</w:t>
            </w:r>
          </w:p>
        </w:tc>
        <w:tc>
          <w:tcPr>
            <w:tcW w:w="300" w:type="dxa"/>
            <w:vAlign w:val="bottom"/>
            <w:vMerge w:val="restart"/>
          </w:tcPr>
          <w:p>
            <w:pPr>
              <w:jc w:val="right"/>
              <w:ind w:right="66"/>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8,695</w:t>
            </w:r>
          </w:p>
        </w:tc>
        <w:tc>
          <w:tcPr>
            <w:tcW w:w="6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2,410</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3.61</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3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8,163</w:t>
            </w:r>
          </w:p>
        </w:tc>
        <w:tc>
          <w:tcPr>
            <w:tcW w:w="6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2,486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28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8,380</w:t>
            </w:r>
          </w:p>
        </w:tc>
        <w:tc>
          <w:tcPr>
            <w:tcW w:w="6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2,583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7"/>
              </w:rPr>
              <w:t>Assumed exercise or issuance of shares relating to</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28</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stock plans</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line="200" w:lineRule="exact"/>
              <w:rPr>
                <w:sz w:val="20"/>
                <w:szCs w:val="20"/>
                <w:color w:val="auto"/>
              </w:rPr>
            </w:pPr>
            <w:r>
              <w:rPr>
                <w:rFonts w:ascii="Arial" w:cs="Arial" w:eastAsia="Arial" w:hAnsi="Arial"/>
                <w:sz w:val="18"/>
                <w:szCs w:val="18"/>
                <w:color w:val="auto"/>
              </w:rPr>
              <w:t>Diluted EPS attributable to</w:t>
            </w:r>
          </w:p>
        </w:tc>
        <w:tc>
          <w:tcPr>
            <w:tcW w:w="300" w:type="dxa"/>
            <w:vAlign w:val="bottom"/>
            <w:vMerge w:val="restart"/>
          </w:tcPr>
          <w:p>
            <w:pPr>
              <w:jc w:val="right"/>
              <w:ind w:right="66"/>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8,695</w:t>
            </w:r>
          </w:p>
        </w:tc>
        <w:tc>
          <w:tcPr>
            <w:tcW w:w="6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2,438</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3.57</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20" w:type="dxa"/>
            <w:vAlign w:val="bottom"/>
            <w:tcBorders>
              <w:bottom w:val="single" w:sz="8" w:color="0C6DFF"/>
            </w:tcBorders>
          </w:tcPr>
          <w:p>
            <w:pPr>
              <w:spacing w:after="0"/>
              <w:rPr>
                <w:sz w:val="20"/>
                <w:szCs w:val="20"/>
                <w:color w:val="auto"/>
              </w:rPr>
            </w:pPr>
            <w:r>
              <w:rPr>
                <w:rFonts w:ascii="Arial" w:cs="Arial" w:eastAsia="Arial" w:hAnsi="Arial"/>
                <w:sz w:val="18"/>
                <w:szCs w:val="18"/>
                <w:color w:val="auto"/>
              </w:rPr>
              <w:t>Comcast Corporation shareholders</w:t>
            </w:r>
          </w:p>
        </w:tc>
        <w:tc>
          <w:tcPr>
            <w:tcW w:w="300" w:type="dxa"/>
            <w:vAlign w:val="bottom"/>
            <w:tcBorders>
              <w:bottom w:val="single" w:sz="8" w:color="0C6DFF"/>
            </w:tcBorders>
            <w:vMerge w:val="continue"/>
          </w:tcPr>
          <w:p>
            <w:pPr>
              <w:spacing w:after="0"/>
              <w:rPr>
                <w:sz w:val="18"/>
                <w:szCs w:val="18"/>
                <w:color w:val="auto"/>
              </w:rPr>
            </w:pPr>
          </w:p>
        </w:tc>
        <w:tc>
          <w:tcPr>
            <w:tcW w:w="660" w:type="dxa"/>
            <w:vAlign w:val="bottom"/>
            <w:tcBorders>
              <w:bottom w:val="single" w:sz="8" w:color="0C6DFF"/>
            </w:tcBorders>
            <w:vMerge w:val="continue"/>
          </w:tcPr>
          <w:p>
            <w:pPr>
              <w:spacing w:after="0"/>
              <w:rPr>
                <w:sz w:val="18"/>
                <w:szCs w:val="18"/>
                <w:color w:val="auto"/>
              </w:rPr>
            </w:pPr>
          </w:p>
        </w:tc>
        <w:tc>
          <w:tcPr>
            <w:tcW w:w="660" w:type="dxa"/>
            <w:vAlign w:val="bottom"/>
            <w:tcBorders>
              <w:bottom w:val="single" w:sz="8" w:color="0C6DFF"/>
            </w:tcBorders>
            <w:vMerge w:val="continue"/>
          </w:tcPr>
          <w:p>
            <w:pPr>
              <w:spacing w:after="0"/>
              <w:rPr>
                <w:sz w:val="18"/>
                <w:szCs w:val="18"/>
                <w:color w:val="auto"/>
              </w:rPr>
            </w:pPr>
          </w:p>
        </w:tc>
        <w:tc>
          <w:tcPr>
            <w:tcW w:w="200" w:type="dxa"/>
            <w:vAlign w:val="bottom"/>
            <w:tcBorders>
              <w:bottom w:val="single" w:sz="8" w:color="0C6DFF"/>
            </w:tcBorders>
            <w:vMerge w:val="continue"/>
          </w:tcPr>
          <w:p>
            <w:pPr>
              <w:spacing w:after="0"/>
              <w:rPr>
                <w:sz w:val="18"/>
                <w:szCs w:val="18"/>
                <w:color w:val="auto"/>
              </w:rPr>
            </w:pPr>
          </w:p>
        </w:tc>
        <w:tc>
          <w:tcPr>
            <w:tcW w:w="600" w:type="dxa"/>
            <w:vAlign w:val="bottom"/>
            <w:tcBorders>
              <w:bottom w:val="single" w:sz="8" w:color="0C6DFF"/>
            </w:tcBorders>
            <w:vMerge w:val="continue"/>
          </w:tcPr>
          <w:p>
            <w:pPr>
              <w:spacing w:after="0"/>
              <w:rPr>
                <w:sz w:val="18"/>
                <w:szCs w:val="18"/>
                <w:color w:val="auto"/>
              </w:rPr>
            </w:pPr>
          </w:p>
        </w:tc>
        <w:tc>
          <w:tcPr>
            <w:tcW w:w="280" w:type="dxa"/>
            <w:vAlign w:val="bottom"/>
            <w:tcBorders>
              <w:bottom w:val="single" w:sz="8" w:color="0C6DFF"/>
            </w:tcBorders>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color w:val="auto"/>
              </w:rPr>
              <w:t>8,163</w:t>
            </w:r>
          </w:p>
        </w:tc>
        <w:tc>
          <w:tcPr>
            <w:tcW w:w="660" w:type="dxa"/>
            <w:vAlign w:val="bottom"/>
            <w:tcBorders>
              <w:bottom w:val="single" w:sz="8" w:color="0C6DFF"/>
            </w:tcBorders>
          </w:tcPr>
          <w:p>
            <w:pPr>
              <w:jc w:val="right"/>
              <w:ind w:right="20"/>
              <w:spacing w:after="0"/>
              <w:rPr>
                <w:sz w:val="20"/>
                <w:szCs w:val="20"/>
                <w:color w:val="auto"/>
              </w:rPr>
            </w:pPr>
            <w:r>
              <w:rPr>
                <w:rFonts w:ascii="Arial" w:cs="Arial" w:eastAsia="Arial" w:hAnsi="Arial"/>
                <w:sz w:val="18"/>
                <w:szCs w:val="18"/>
                <w:color w:val="auto"/>
              </w:rPr>
              <w:t>2,518</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Borders>
              <w:bottom w:val="single" w:sz="8" w:color="0C6DFF"/>
            </w:tcBorders>
          </w:tcPr>
          <w:p>
            <w:pPr>
              <w:jc w:val="right"/>
              <w:ind w:right="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color w:val="auto"/>
              </w:rPr>
              <w:t>8,380</w:t>
            </w:r>
          </w:p>
        </w:tc>
        <w:tc>
          <w:tcPr>
            <w:tcW w:w="660" w:type="dxa"/>
            <w:vAlign w:val="bottom"/>
            <w:tcBorders>
              <w:bottom w:val="single" w:sz="8" w:color="0C6DFF"/>
            </w:tcBorders>
          </w:tcPr>
          <w:p>
            <w:pPr>
              <w:jc w:val="right"/>
              <w:ind w:right="20"/>
              <w:spacing w:after="0"/>
              <w:rPr>
                <w:sz w:val="20"/>
                <w:szCs w:val="20"/>
                <w:color w:val="auto"/>
              </w:rPr>
            </w:pPr>
            <w:r>
              <w:rPr>
                <w:rFonts w:ascii="Arial" w:cs="Arial" w:eastAsia="Arial" w:hAnsi="Arial"/>
                <w:sz w:val="18"/>
                <w:szCs w:val="18"/>
                <w:color w:val="auto"/>
              </w:rPr>
              <w:t>2,620</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tcPr>
          <w:p>
            <w:pPr>
              <w:jc w:val="right"/>
              <w:ind w:right="19"/>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amount of potential common shares related to our share-based compensation plans that were excluded from diluted EPS because their effect would have been antidilutive was not material in any of the periods presented.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5: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DreamWorks Animation</w:t>
      </w:r>
    </w:p>
    <w:p>
      <w:pPr>
        <w:jc w:val="both"/>
        <w:spacing w:after="0" w:line="237" w:lineRule="auto"/>
        <w:rPr>
          <w:sz w:val="20"/>
          <w:szCs w:val="20"/>
          <w:color w:val="auto"/>
        </w:rPr>
      </w:pPr>
      <w:r>
        <w:rPr>
          <w:rFonts w:ascii="Arial" w:cs="Arial" w:eastAsia="Arial" w:hAnsi="Arial"/>
          <w:sz w:val="18"/>
          <w:szCs w:val="18"/>
          <w:color w:val="auto"/>
        </w:rPr>
        <w:t>On August 22, 2016, we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 The results of operations for DreamWorks Animation are reported in our Filmed Entertainment segment following the acquisition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Preliminary Allocation of Purchase Price</w:t>
      </w:r>
    </w:p>
    <w:p>
      <w:pPr>
        <w:spacing w:after="0" w:line="1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preliminary valuation analyses. In valuing acquired assets and liabilities, fair value estimates are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Further, we recorded the deferred income taxes based on our estimates of the tax basis of the acquired net assets and the valuation allowances based on the expected use of net operating loss carryforwards. The goodwill is not deductible for tax purposes. We will adjust the assets and liabilities as valuations are completed and we obtain information necessary to complete the analyses, but no later than one year from the acquisition date.</w:t>
      </w:r>
    </w:p>
    <w:p>
      <w:pPr>
        <w:spacing w:after="0" w:line="136" w:lineRule="exact"/>
        <w:rPr>
          <w:sz w:val="20"/>
          <w:szCs w:val="20"/>
          <w:color w:val="auto"/>
        </w:rPr>
      </w:pPr>
    </w:p>
    <w:p>
      <w:pPr>
        <w:ind w:right="1520"/>
        <w:spacing w:after="0" w:line="420" w:lineRule="auto"/>
        <w:rPr>
          <w:sz w:val="20"/>
          <w:szCs w:val="20"/>
          <w:color w:val="auto"/>
        </w:rPr>
      </w:pPr>
      <w:r>
        <w:rPr>
          <w:rFonts w:ascii="Arial" w:cs="Arial" w:eastAsia="Arial" w:hAnsi="Arial"/>
          <w:sz w:val="18"/>
          <w:szCs w:val="18"/>
          <w:color w:val="auto"/>
        </w:rPr>
        <w:t xml:space="preserve">The table below presents the preliminary allocation of the purchase price to the assets and liabilities of DreamWorks Animation. </w:t>
      </w:r>
      <w:r>
        <w:rPr>
          <w:rFonts w:ascii="Arial" w:cs="Arial" w:eastAsia="Arial" w:hAnsi="Arial"/>
          <w:sz w:val="18"/>
          <w:szCs w:val="18"/>
          <w:color w:val="0C6DFF"/>
        </w:rPr>
        <w:t>Preliminary 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Film and television costs (see Note 6)</w:t>
            </w:r>
          </w:p>
        </w:tc>
        <w:tc>
          <w:tcPr>
            <w:tcW w:w="38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854</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Intangible assets (see Note 9)</w:t>
            </w:r>
          </w:p>
        </w:tc>
        <w:tc>
          <w:tcPr>
            <w:tcW w:w="38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164</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8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248</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Debt (see Note 10)</w:t>
            </w:r>
          </w:p>
        </w:tc>
        <w:tc>
          <w:tcPr>
            <w:tcW w:w="38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Tax receivable agreement</w:t>
            </w:r>
          </w:p>
        </w:tc>
        <w:tc>
          <w:tcPr>
            <w:tcW w:w="38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Deferred income taxes (see Note 14)</w:t>
            </w:r>
          </w:p>
        </w:tc>
        <w:tc>
          <w:tcPr>
            <w:tcW w:w="38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366</w:t>
            </w:r>
          </w:p>
        </w:tc>
      </w:tr>
      <w:tr>
        <w:trPr>
          <w:trHeight w:val="199"/>
        </w:trPr>
        <w:tc>
          <w:tcPr>
            <w:tcW w:w="6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and liabilities</w:t>
            </w:r>
          </w:p>
        </w:tc>
        <w:tc>
          <w:tcPr>
            <w:tcW w:w="3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137</w:t>
            </w:r>
          </w:p>
        </w:tc>
      </w:tr>
      <w:tr>
        <w:trPr>
          <w:trHeight w:val="199"/>
        </w:trPr>
        <w:tc>
          <w:tcPr>
            <w:tcW w:w="6980" w:type="dxa"/>
            <w:vAlign w:val="bottom"/>
          </w:tcPr>
          <w:p>
            <w:pPr>
              <w:spacing w:after="0" w:line="200" w:lineRule="exact"/>
              <w:rPr>
                <w:sz w:val="20"/>
                <w:szCs w:val="20"/>
                <w:color w:val="auto"/>
              </w:rPr>
            </w:pPr>
            <w:r>
              <w:rPr>
                <w:rFonts w:ascii="Arial" w:cs="Arial" w:eastAsia="Arial" w:hAnsi="Arial"/>
                <w:sz w:val="18"/>
                <w:szCs w:val="18"/>
                <w:color w:val="auto"/>
              </w:rPr>
              <w:t>Identifiable net assets (liabilities) acquired</w:t>
            </w:r>
          </w:p>
        </w:tc>
        <w:tc>
          <w:tcPr>
            <w:tcW w:w="3860" w:type="dxa"/>
            <w:vAlign w:val="bottom"/>
          </w:tcPr>
          <w:p>
            <w:pPr>
              <w:spacing w:after="0"/>
              <w:rPr>
                <w:sz w:val="17"/>
                <w:szCs w:val="17"/>
                <w:color w:val="auto"/>
              </w:rPr>
            </w:pPr>
          </w:p>
        </w:tc>
        <w:tc>
          <w:tcPr>
            <w:tcW w:w="5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1,242</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38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r>
      <w:tr>
        <w:trPr>
          <w:trHeight w:val="199"/>
        </w:trPr>
        <w:tc>
          <w:tcPr>
            <w:tcW w:w="6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 (see Note 9)</w:t>
            </w:r>
          </w:p>
        </w:tc>
        <w:tc>
          <w:tcPr>
            <w:tcW w:w="3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2,620</w:t>
            </w:r>
          </w:p>
        </w:tc>
      </w:tr>
      <w:tr>
        <w:trPr>
          <w:trHeight w:val="196"/>
        </w:trPr>
        <w:tc>
          <w:tcPr>
            <w:tcW w:w="69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Cash consideration transferred</w:t>
            </w:r>
          </w:p>
        </w:tc>
        <w:tc>
          <w:tcPr>
            <w:tcW w:w="3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3,773</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tax receivable agreement was settled immediately following the acquisition and the payment was recorded as an operating activity in our consolidated statement of cash flows. In addition, we repaid all of the assumed debt of DreamWorks Animation.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Revenue and net income attributable to the acquisition of DreamWorks Animation were not material for 2016.</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87</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Universal Studios Japan</w:t>
      </w:r>
    </w:p>
    <w:p>
      <w:pPr>
        <w:spacing w:after="0"/>
        <w:rPr>
          <w:sz w:val="20"/>
          <w:szCs w:val="20"/>
          <w:color w:val="auto"/>
        </w:rPr>
      </w:pPr>
      <w:r>
        <w:rPr>
          <w:rFonts w:ascii="Arial" w:cs="Arial" w:eastAsia="Arial" w:hAnsi="Arial"/>
          <w:sz w:val="18"/>
          <w:szCs w:val="18"/>
          <w:color w:val="auto"/>
        </w:rPr>
        <w:t>On November 13, 2015, NBCUniversal acquired a 51% economic interest in Universal Studios Japan for $1.5 billion.</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since we have the power to direct activities that most significantly impact its economic performance. There are no liquidity arrangements, guarantees or other financial commitments between us and Universal Studios Japan, and therefore our maximum risk of financial loss is NBCUniversal’s 51% interest. Universal Studios Japan’s results of operations are reported in our Theme Parks segment following the acquisition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Allocation of Purchase Price</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transaction was accounted for under the acquisition method of accounting and, accordingly, the acquired assets and liabilities and the 49% noncontrolling interest were recorded at their estimated fair values. In 2016, we updated the allocation of the purchase price for Universal Studios Japan based on final valuation analyses, which primarily resulted in increases to property and equipment and intangible assets and a decrease in goodwill. The changes did not have a material impact on our consolidated financial statements. The goodwill is not deductible for tax purposes.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allocation of the purchase price to the assets and liabilities of Universal Studios Japan.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69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Property and equipment (see Note 8)</w:t>
            </w:r>
          </w:p>
        </w:tc>
        <w:tc>
          <w:tcPr>
            <w:tcW w:w="38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780</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Intangible assets (see Note 9)</w:t>
            </w:r>
          </w:p>
        </w:tc>
        <w:tc>
          <w:tcPr>
            <w:tcW w:w="3820" w:type="dxa"/>
            <w:vAlign w:val="bottom"/>
          </w:tcPr>
          <w:p>
            <w:pPr>
              <w:spacing w:after="0"/>
              <w:rPr>
                <w:sz w:val="17"/>
                <w:szCs w:val="17"/>
                <w:color w:val="auto"/>
              </w:rPr>
            </w:pP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323</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8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Debt (see Note 10)</w:t>
            </w:r>
          </w:p>
        </w:tc>
        <w:tc>
          <w:tcPr>
            <w:tcW w:w="38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(3,271)</w:t>
            </w:r>
          </w:p>
        </w:tc>
      </w:tr>
      <w:tr>
        <w:trPr>
          <w:trHeight w:val="199"/>
        </w:trPr>
        <w:tc>
          <w:tcPr>
            <w:tcW w:w="6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and liabilities</w:t>
            </w:r>
          </w:p>
        </w:tc>
        <w:tc>
          <w:tcPr>
            <w:tcW w:w="38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17</w:t>
            </w:r>
          </w:p>
        </w:tc>
      </w:tr>
      <w:tr>
        <w:trPr>
          <w:trHeight w:val="199"/>
        </w:trPr>
        <w:tc>
          <w:tcPr>
            <w:tcW w:w="6980" w:type="dxa"/>
            <w:vAlign w:val="bottom"/>
          </w:tcPr>
          <w:p>
            <w:pPr>
              <w:spacing w:after="0" w:line="200" w:lineRule="exact"/>
              <w:rPr>
                <w:sz w:val="20"/>
                <w:szCs w:val="20"/>
                <w:color w:val="auto"/>
              </w:rPr>
            </w:pPr>
            <w:r>
              <w:rPr>
                <w:rFonts w:ascii="Arial" w:cs="Arial" w:eastAsia="Arial" w:hAnsi="Arial"/>
                <w:sz w:val="18"/>
                <w:szCs w:val="18"/>
                <w:color w:val="auto"/>
              </w:rPr>
              <w:t>Identifiable net assets (liabilities) acquired</w:t>
            </w:r>
          </w:p>
        </w:tc>
        <w:tc>
          <w:tcPr>
            <w:tcW w:w="382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w w:val="98"/>
              </w:rPr>
              <w:t>(2,184)</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38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(1,440)</w:t>
            </w:r>
          </w:p>
        </w:tc>
      </w:tr>
      <w:tr>
        <w:trPr>
          <w:trHeight w:val="199"/>
        </w:trPr>
        <w:tc>
          <w:tcPr>
            <w:tcW w:w="6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 (see Note 9)</w:t>
            </w:r>
          </w:p>
        </w:tc>
        <w:tc>
          <w:tcPr>
            <w:tcW w:w="38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5,123</w:t>
            </w:r>
          </w:p>
        </w:tc>
      </w:tr>
      <w:tr>
        <w:trPr>
          <w:trHeight w:val="196"/>
        </w:trPr>
        <w:tc>
          <w:tcPr>
            <w:tcW w:w="69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Cash consideration transferred</w:t>
            </w:r>
          </w:p>
        </w:tc>
        <w:tc>
          <w:tcPr>
            <w:tcW w:w="3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1,499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Actual and Unaudited Pro Forma Results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revenue in 2016 and 2015 included $1.4 billion and $169 million, respectively, from the acquisition of Universal Studios Japan. Our net income attributable to Comcast Corporation in 2016 and 2015 included $124 million and $18 million, respectively, from the acquisition of Universal Studios Japan.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unaudited pro forma information has been presented as if the acquisition of Universal Studios Japan occurred on January 1, 2014. This information is primarily based on historical results of operations, adjusted for the allocation of purchase price, and is not necessarily indicative of what our results would have been had we operated Universal Studios Japan since January 1, 2014. No pro forma adjustments have been made for our transaction-related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amounts)</w:t>
            </w:r>
          </w:p>
        </w:tc>
        <w:tc>
          <w:tcPr>
            <w:tcW w:w="1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99"/>
        </w:trPr>
        <w:tc>
          <w:tcPr>
            <w:tcW w:w="814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15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line="200" w:lineRule="exact"/>
              <w:rPr>
                <w:sz w:val="20"/>
                <w:szCs w:val="20"/>
                <w:color w:val="auto"/>
              </w:rPr>
            </w:pPr>
            <w:r>
              <w:rPr>
                <w:rFonts w:ascii="Arial" w:cs="Arial" w:eastAsia="Arial" w:hAnsi="Arial"/>
                <w:sz w:val="18"/>
                <w:szCs w:val="18"/>
                <w:color w:val="auto"/>
              </w:rPr>
              <w:t>75,563</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69,860</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8,591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8,704</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8,253</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8,435</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3.32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3.27</w:t>
            </w:r>
          </w:p>
        </w:tc>
      </w:tr>
      <w:tr>
        <w:trPr>
          <w:trHeight w:val="199"/>
        </w:trPr>
        <w:tc>
          <w:tcPr>
            <w:tcW w:w="81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3.28</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3.22</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Time Warner Cable Merger and Related Divestiture Transactions</w:t>
      </w:r>
    </w:p>
    <w:p>
      <w:pPr>
        <w:jc w:val="both"/>
        <w:spacing w:after="0" w:line="236" w:lineRule="auto"/>
        <w:rPr>
          <w:sz w:val="20"/>
          <w:szCs w:val="20"/>
          <w:color w:val="auto"/>
        </w:rPr>
      </w:pPr>
      <w:r>
        <w:rPr>
          <w:rFonts w:ascii="Arial" w:cs="Arial" w:eastAsia="Arial" w:hAnsi="Arial"/>
          <w:sz w:val="18"/>
          <w:szCs w:val="18"/>
          <w:color w:val="auto"/>
        </w:rPr>
        <w:t>On April 24, 2015, we and Time Warner Cable Inc. terminated our planned merger, and we terminated our related agreement with Charter Communications, Inc. to spin off, exchange and sell certain cable systems. In connection with these proposed transactions, we incurred incremental transaction-related expenses of $198 million and $237 million in 2015 and 2014, respectively. The transaction-related expenses are included primarily in other operating and administrative expenses, with $20 million recorded in depreciation and amortization expenses associated with the write-off of certain capitalized costs in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6: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99"/>
        </w:trPr>
        <w:tc>
          <w:tcPr>
            <w:tcW w:w="660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$ 1,750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$ 1,275</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39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50</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1,310</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6"/>
        </w:trPr>
        <w:tc>
          <w:tcPr>
            <w:tcW w:w="660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3940" w:type="dxa"/>
            <w:vAlign w:val="bottom"/>
          </w:tcPr>
          <w:p>
            <w:pPr>
              <w:jc w:val="right"/>
              <w:ind w:right="54"/>
              <w:spacing w:after="0"/>
              <w:rPr>
                <w:sz w:val="20"/>
                <w:szCs w:val="20"/>
                <w:color w:val="auto"/>
              </w:rPr>
            </w:pPr>
            <w:r>
              <w:rPr>
                <w:rFonts w:ascii="Arial" w:cs="Arial" w:eastAsia="Arial" w:hAnsi="Arial"/>
                <w:sz w:val="18"/>
                <w:szCs w:val="18"/>
                <w:b w:val="1"/>
                <w:bCs w:val="1"/>
                <w:color w:val="auto"/>
              </w:rPr>
              <w:t>3,110</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175"/>
        </w:trPr>
        <w:tc>
          <w:tcPr>
            <w:tcW w:w="6600" w:type="dxa"/>
            <w:vAlign w:val="bottom"/>
            <w:vMerge w:val="continue"/>
          </w:tcPr>
          <w:p>
            <w:pPr>
              <w:spacing w:after="0"/>
              <w:rPr>
                <w:sz w:val="15"/>
                <w:szCs w:val="15"/>
                <w:color w:val="auto"/>
              </w:rPr>
            </w:pP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1,953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853</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2,806</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2,586</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8,502</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1,250</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Film and television costs</w:t>
            </w:r>
          </w:p>
        </w:tc>
        <w:tc>
          <w:tcPr>
            <w:tcW w:w="39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$ 7,252</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$ 5,855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Based on our current estimates of the total remaining revenue from all sources (“ultimate revenue”), in 2017 we expect to amortize approximately $1.9 billion of film and television costs associated with our original film and television productions that have been released, or are completed and have not been released. Through 2019, we expect to amortize approximately 88% of unamortized film and television costs for our released productions, excluding amounts allocated to acquired libraries.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acquired film and television libraries, which are included within the “released, less amortization” captions in the table above, had remaining unamortized costs of $596 million. These costs are generally amortized over a period not to exceed 20 years, and approximately 45% of these costs are expected to be amortized through 2019.</w:t>
      </w: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89</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in the same ratio as the associated ultimate revenue. Estimates of ultimate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in movie theaters or the licensing or sale of a film or television production, which are primarily costs associated with the marketing and distribution of them.</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determining the method of amortization and estimated life of an acquired film or television library, we generally use the method and the life that most closely follow the undiscounted cash flows over the estimated life of the asset.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 The estimated fair value of a production is based on Level 3 inputs that primarily use an analysis of future expected cash flows. Adjustments to capitalized film and stage play production costs of $14 million, $42 million and $26 million were recorded in 2016, 2015 and 2014, respectively.</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the full risks and rewards for the portion of the film acquired in these arrangements. We account for the proceeds received from a third-party investor under these arrangements as a reduction to our capitalized film costs. Under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made available for use. We amortize capitalized programming costs as the associated programs are broadcast. We generally amortize multiyear, live-event sports programming rights using the ratio of the current period revenue to the estimated ultimate revenue or under the terms of the contract.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our Cable Networks segment is primarily tested on a channel basis for impairment, whereas programming acquired by our Broadcast Television segment is tested on a daypart basis. If we determine that the estimates of future cash flows are insufficient or if there is no plan to broadcast certain programming, we recognize an impairment charge to programming and production expenses.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7: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99"/>
        </w:trPr>
        <w:tc>
          <w:tcPr>
            <w:tcW w:w="942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660" w:type="dxa"/>
            <w:vAlign w:val="bottom"/>
          </w:tcPr>
          <w:p>
            <w:pPr>
              <w:jc w:val="right"/>
              <w:ind w:right="114"/>
              <w:spacing w:after="0" w:line="200" w:lineRule="exact"/>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w w:val="99"/>
              </w:rPr>
              <w:t>198</w:t>
            </w:r>
          </w:p>
        </w:tc>
        <w:tc>
          <w:tcPr>
            <w:tcW w:w="280" w:type="dxa"/>
            <w:vAlign w:val="bottom"/>
          </w:tcPr>
          <w:p>
            <w:pPr>
              <w:spacing w:after="0"/>
              <w:rPr>
                <w:sz w:val="17"/>
                <w:szCs w:val="17"/>
                <w:color w:val="auto"/>
              </w:rPr>
            </w:pPr>
          </w:p>
        </w:tc>
        <w:tc>
          <w:tcPr>
            <w:tcW w:w="72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167</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1,601</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420" w:type="dxa"/>
            <w:vAlign w:val="bottom"/>
          </w:tcPr>
          <w:p>
            <w:pPr>
              <w:ind w:left="220"/>
              <w:spacing w:after="0" w:line="181" w:lineRule="exact"/>
              <w:rPr>
                <w:sz w:val="20"/>
                <w:szCs w:val="20"/>
                <w:color w:val="auto"/>
              </w:rPr>
            </w:pPr>
            <w:r>
              <w:rPr>
                <w:rFonts w:ascii="Arial" w:cs="Arial" w:eastAsia="Arial" w:hAnsi="Arial"/>
                <w:sz w:val="18"/>
                <w:szCs w:val="18"/>
                <w:color w:val="auto"/>
              </w:rPr>
              <w:t>Atairos</w:t>
            </w: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420" w:type="dxa"/>
            <w:vAlign w:val="bottom"/>
          </w:tcPr>
          <w:p>
            <w:pPr>
              <w:ind w:left="220"/>
              <w:spacing w:after="0" w:line="202" w:lineRule="exact"/>
              <w:rPr>
                <w:sz w:val="20"/>
                <w:szCs w:val="20"/>
                <w:color w:val="auto"/>
              </w:rPr>
            </w:pPr>
            <w:r>
              <w:rPr>
                <w:rFonts w:ascii="Arial" w:cs="Arial" w:eastAsia="Arial" w:hAnsi="Arial"/>
                <w:sz w:val="18"/>
                <w:szCs w:val="18"/>
                <w:color w:val="auto"/>
              </w:rPr>
              <w:t>Hulu</w:t>
            </w:r>
          </w:p>
        </w:tc>
        <w:tc>
          <w:tcPr>
            <w:tcW w:w="6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225</w:t>
            </w:r>
          </w:p>
        </w:tc>
        <w:tc>
          <w:tcPr>
            <w:tcW w:w="28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1"/>
        </w:trPr>
        <w:tc>
          <w:tcPr>
            <w:tcW w:w="9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550</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6"/>
        </w:trPr>
        <w:tc>
          <w:tcPr>
            <w:tcW w:w="942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2,376</w:t>
            </w:r>
          </w:p>
        </w:tc>
        <w:tc>
          <w:tcPr>
            <w:tcW w:w="2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75"/>
        </w:trPr>
        <w:tc>
          <w:tcPr>
            <w:tcW w:w="9420" w:type="dxa"/>
            <w:vAlign w:val="bottom"/>
            <w:vMerge w:val="continue"/>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1,599</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420" w:type="dxa"/>
            <w:vAlign w:val="bottom"/>
          </w:tcPr>
          <w:p>
            <w:pPr>
              <w:ind w:left="220"/>
              <w:spacing w:after="0" w:line="181" w:lineRule="exact"/>
              <w:rPr>
                <w:sz w:val="20"/>
                <w:szCs w:val="20"/>
                <w:color w:val="auto"/>
              </w:rPr>
            </w:pPr>
            <w:r>
              <w:rPr>
                <w:rFonts w:ascii="Arial" w:cs="Arial" w:eastAsia="Arial" w:hAnsi="Arial"/>
                <w:sz w:val="18"/>
                <w:szCs w:val="18"/>
                <w:color w:val="auto"/>
              </w:rPr>
              <w:t>AirTouch</w:t>
            </w: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3"/>
        </w:trPr>
        <w:tc>
          <w:tcPr>
            <w:tcW w:w="9420" w:type="dxa"/>
            <w:vAlign w:val="bottom"/>
          </w:tcPr>
          <w:p>
            <w:pPr>
              <w:ind w:left="220"/>
              <w:spacing w:after="0" w:line="202" w:lineRule="exact"/>
              <w:rPr>
                <w:sz w:val="20"/>
                <w:szCs w:val="20"/>
                <w:color w:val="auto"/>
              </w:rPr>
            </w:pPr>
            <w:r>
              <w:rPr>
                <w:rFonts w:ascii="Arial" w:cs="Arial" w:eastAsia="Arial" w:hAnsi="Arial"/>
                <w:sz w:val="18"/>
                <w:szCs w:val="18"/>
                <w:color w:val="auto"/>
              </w:rPr>
              <w:t>BuzzFeed</w:t>
            </w:r>
          </w:p>
        </w:tc>
        <w:tc>
          <w:tcPr>
            <w:tcW w:w="6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400</w:t>
            </w:r>
          </w:p>
        </w:tc>
        <w:tc>
          <w:tcPr>
            <w:tcW w:w="28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1"/>
        </w:trPr>
        <w:tc>
          <w:tcPr>
            <w:tcW w:w="9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771</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2,770</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177"/>
        </w:trPr>
        <w:tc>
          <w:tcPr>
            <w:tcW w:w="9420" w:type="dxa"/>
            <w:vAlign w:val="bottom"/>
          </w:tcPr>
          <w:p>
            <w:pPr>
              <w:spacing w:after="0" w:line="177" w:lineRule="exact"/>
              <w:rPr>
                <w:sz w:val="20"/>
                <w:szCs w:val="20"/>
                <w:color w:val="auto"/>
              </w:rPr>
            </w:pPr>
            <w:r>
              <w:rPr>
                <w:rFonts w:ascii="Arial" w:cs="Arial" w:eastAsia="Arial" w:hAnsi="Arial"/>
                <w:sz w:val="18"/>
                <w:szCs w:val="18"/>
                <w:color w:val="auto"/>
              </w:rPr>
              <w:t>Total investments</w:t>
            </w:r>
          </w:p>
        </w:tc>
        <w:tc>
          <w:tcPr>
            <w:tcW w:w="100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rPr>
              <w:t>5,344</w:t>
            </w:r>
          </w:p>
        </w:tc>
        <w:tc>
          <w:tcPr>
            <w:tcW w:w="280" w:type="dxa"/>
            <w:vAlign w:val="bottom"/>
          </w:tcPr>
          <w:p>
            <w:pPr>
              <w:spacing w:after="0"/>
              <w:rPr>
                <w:sz w:val="15"/>
                <w:szCs w:val="15"/>
                <w:color w:val="auto"/>
              </w:rPr>
            </w:pPr>
          </w:p>
        </w:tc>
        <w:tc>
          <w:tcPr>
            <w:tcW w:w="7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21"/>
        </w:trPr>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Noncurrent investments</w:t>
            </w:r>
          </w:p>
        </w:tc>
        <w:tc>
          <w:tcPr>
            <w:tcW w:w="100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$ 5,247</w:t>
            </w:r>
          </w:p>
        </w:tc>
        <w:tc>
          <w:tcPr>
            <w:tcW w:w="280" w:type="dxa"/>
            <w:vAlign w:val="bottom"/>
            <w:tcBorders>
              <w:bottom w:val="single" w:sz="8" w:color="0C6DFF"/>
            </w:tcBorders>
          </w:tcPr>
          <w:p>
            <w:pPr>
              <w:spacing w:after="0"/>
              <w:rPr>
                <w:sz w:val="17"/>
                <w:szCs w:val="17"/>
                <w:color w:val="auto"/>
              </w:rPr>
            </w:pPr>
          </w:p>
        </w:tc>
        <w:tc>
          <w:tcPr>
            <w:tcW w:w="7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w w:val="99"/>
              </w:rPr>
              <w:t>$ 3,224</w:t>
            </w:r>
          </w:p>
        </w:tc>
        <w:tc>
          <w:tcPr>
            <w:tcW w:w="0" w:type="dxa"/>
            <w:vAlign w:val="bottom"/>
          </w:tcPr>
          <w:p>
            <w:pPr>
              <w:spacing w:after="0"/>
              <w:rPr>
                <w:sz w:val="1"/>
                <w:szCs w:val="1"/>
                <w:color w:val="auto"/>
              </w:rPr>
            </w:pPr>
          </w:p>
        </w:tc>
      </w:tr>
      <w:tr>
        <w:trPr>
          <w:trHeight w:val="370"/>
        </w:trPr>
        <w:tc>
          <w:tcPr>
            <w:tcW w:w="9420" w:type="dxa"/>
            <w:vAlign w:val="bottom"/>
          </w:tcPr>
          <w:p>
            <w:pPr>
              <w:spacing w:after="0"/>
              <w:rPr>
                <w:sz w:val="20"/>
                <w:szCs w:val="20"/>
                <w:color w:val="auto"/>
              </w:rPr>
            </w:pPr>
            <w:r>
              <w:rPr>
                <w:rFonts w:ascii="Arial" w:cs="Arial" w:eastAsia="Arial" w:hAnsi="Arial"/>
                <w:sz w:val="18"/>
                <w:szCs w:val="18"/>
                <w:color w:val="0C6DFF"/>
              </w:rPr>
              <w:t>Investment Income (Loss), Net</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4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9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2015</w:t>
            </w:r>
          </w:p>
        </w:tc>
        <w:tc>
          <w:tcPr>
            <w:tcW w:w="7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9420" w:type="dxa"/>
            <w:vAlign w:val="bottom"/>
          </w:tcPr>
          <w:p>
            <w:pPr>
              <w:spacing w:after="0" w:line="177" w:lineRule="exact"/>
              <w:rPr>
                <w:sz w:val="20"/>
                <w:szCs w:val="20"/>
                <w:color w:val="auto"/>
              </w:rPr>
            </w:pPr>
            <w:r>
              <w:rPr>
                <w:rFonts w:ascii="Arial" w:cs="Arial" w:eastAsia="Arial" w:hAnsi="Arial"/>
                <w:sz w:val="18"/>
                <w:szCs w:val="18"/>
                <w:color w:val="auto"/>
              </w:rPr>
              <w:t>Gains on sales and exchanges of investments, net</w:t>
            </w:r>
          </w:p>
        </w:tc>
        <w:tc>
          <w:tcPr>
            <w:tcW w:w="6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46</w:t>
            </w:r>
          </w:p>
        </w:tc>
        <w:tc>
          <w:tcPr>
            <w:tcW w:w="340" w:type="dxa"/>
            <w:vAlign w:val="bottom"/>
          </w:tcPr>
          <w:p>
            <w:pPr>
              <w:jc w:val="right"/>
              <w:ind w:right="15"/>
              <w:spacing w:after="0" w:line="177"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77" w:lineRule="exact"/>
              <w:rPr>
                <w:sz w:val="20"/>
                <w:szCs w:val="20"/>
                <w:color w:val="auto"/>
              </w:rPr>
            </w:pPr>
            <w:r>
              <w:rPr>
                <w:rFonts w:ascii="Arial" w:cs="Arial" w:eastAsia="Arial" w:hAnsi="Arial"/>
                <w:sz w:val="18"/>
                <w:szCs w:val="18"/>
                <w:color w:val="auto"/>
                <w:w w:val="99"/>
              </w:rPr>
              <w:t>12</w:t>
            </w:r>
          </w:p>
        </w:tc>
        <w:tc>
          <w:tcPr>
            <w:tcW w:w="7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$ 192</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Investment impairment losses</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Unrealized gains on securities underlying prepaid forward sale agreements</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9"/>
              </w:rPr>
              <w:t>42</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w w:val="98"/>
              </w:rPr>
              <w:t>Mark to market adjustments on derivative component of prepaid forward sale agreements and indexed debt instruments</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942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1"/>
        </w:trPr>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4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$ 213</w:t>
            </w:r>
          </w:p>
        </w:tc>
        <w:tc>
          <w:tcPr>
            <w:tcW w:w="34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9"/>
              </w:rPr>
              <w:t>81</w:t>
            </w:r>
          </w:p>
        </w:tc>
        <w:tc>
          <w:tcPr>
            <w:tcW w:w="7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$ 296</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classify publicly traded investments that are not accounted for under the equity method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the purpose for which they were acquired.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or in which we hold a significant partnership or LLC interest.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 (4) impairments resulting from other-than-temporary declines in fair value.</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91</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some investments, we record our share of the investee’s net income or loss one quarter in arrears due to the timing of our receipt of such information. Gains or losses on the sale of equity method investments are recorded to other income (expense), net. If an equity method investee were to issue additional securities that would change our proportionate share of the entity, we would recognize the change, if any, as a gain or loss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Atairos</w:t>
      </w:r>
    </w:p>
    <w:p>
      <w:pPr>
        <w:jc w:val="both"/>
        <w:spacing w:after="0" w:line="235" w:lineRule="auto"/>
        <w:rPr>
          <w:sz w:val="20"/>
          <w:szCs w:val="20"/>
          <w:color w:val="auto"/>
        </w:rPr>
      </w:pPr>
      <w:r>
        <w:rPr>
          <w:rFonts w:ascii="Arial" w:cs="Arial" w:eastAsia="Arial" w:hAnsi="Arial"/>
          <w:sz w:val="18"/>
          <w:szCs w:val="18"/>
          <w:color w:val="auto"/>
        </w:rPr>
        <w:t>In 2015, we entered into an agreement to establish Atairos Group, Inc., a strategic company focused on investing in and operating companies in a range of industries and business sectors, both domestically and internationally. The agreement became effective as of January 1, 2016. Atairos has a term of up to 12 years and is controlled by management companies led by our former CFO through interests that carry all of the voting rights. We are the only investor other than our former CFO and the other management company employees. We have committed to fund Atairos up to $4 billion in the aggregate at any one time, subject to certain offsets, and $40 million annually for a management fee, subject to certain adjustments, while the management company investors have committed to fund up to $100 million, with at least $40 million to be funded by our former CFO, subject to his continued role with Atairos. Our economic interests do not carry voting rights and obligate us to absorb approximately 99% of any losses and they provide us the right to receive approximately 86.5% of any residual returns in Atairos, in either case on a cumulative basis.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There are no other liquidity arrangements, guarantees or other financial commitments between Comcast and Atairos, and therefore our maximum risk of financial loss is our investment balance and remaining unfunded capital commitment.</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we made cash capital contributions totaling $1.2 billion to Atairos. In addition, we recorded capital contributions of $447 million that were accrued in 2016 and paid in January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Hulu</w:t>
      </w:r>
    </w:p>
    <w:p>
      <w:pPr>
        <w:jc w:val="both"/>
        <w:spacing w:after="0" w:line="236" w:lineRule="auto"/>
        <w:rPr>
          <w:sz w:val="20"/>
          <w:szCs w:val="20"/>
          <w:color w:val="auto"/>
        </w:rPr>
      </w:pPr>
      <w:r>
        <w:rPr>
          <w:rFonts w:ascii="Arial" w:cs="Arial" w:eastAsia="Arial" w:hAnsi="Arial"/>
          <w:sz w:val="18"/>
          <w:szCs w:val="18"/>
          <w:color w:val="auto"/>
        </w:rPr>
        <w:t>In August 2016, Time Warner Inc. acquired a 10% interest in Hulu, LLC, which diluted our interest in Hulu from 33% to 30%. For a period not to exceed 3 years, Time Warner may put its shares to Hulu or Hulu may call Time Warner’s shares under certain limited circumstances arising from regulatory review. Given the contingent nature of the put and call options, we recorded a deferred gain of $159 million and a corresponding increase to our investment in Hulu as a result of the dilution. The deferred gain will be recognized in other income (expense), net if and when the options expire unexercised.</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2015 and 2014, we recognized our proportionate share of losses of $168 million, $106 million and $20 million, respectively, related to our investment in Hulu.</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The Weather Channel</w:t>
      </w:r>
    </w:p>
    <w:p>
      <w:pPr>
        <w:jc w:val="both"/>
        <w:spacing w:after="0" w:line="237"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and December 2015, The Weather Channel recorded impairment charges related to goodwill. In 2015, we recorded expenses of $333 million that represented NBCUniversal’s proportionate share of these impairment charges in equity in net income (losses) of investees, net in our consolidated statement of income.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 use the cost method to account for investments not accounted for under the fair value method or the equity method.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AirTouch</w:t>
      </w:r>
    </w:p>
    <w:p>
      <w:pPr>
        <w:jc w:val="both"/>
        <w:spacing w:after="0" w:line="238" w:lineRule="auto"/>
        <w:rPr>
          <w:sz w:val="20"/>
          <w:szCs w:val="20"/>
          <w:color w:val="auto"/>
        </w:rPr>
      </w:pPr>
      <w:r>
        <w:rPr>
          <w:rFonts w:ascii="Arial" w:cs="Arial" w:eastAsia="Arial" w:hAnsi="Arial"/>
          <w:sz w:val="18"/>
          <w:szCs w:val="18"/>
          <w:color w:val="auto"/>
        </w:rPr>
        <w:t>We hold two series of preferred stock of Verizon Americas, Inc., formerly known as AirTouch Communications, Inc., a subsidiary of Verizon Communications Inc., which are redeemable in April 2020. As of both December 31, 2016 and 2015, the estimated fair value of the AirTouch preferred stock was $1.7 billion.</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AirTouch preferred stock is redeemable in April 2020 at a redemption value of $1.65 billion. As of both December 31, 2016 and 2015, the two series of redeemable subsidiary preferred shares were recorded at $1.6 billion, and those amounts are included in other noncurrent liabilities. As of both December 31, 2016 and 2015, the liability related to the redeemable subsidiary preferred shares had an aggregate estimated fair value of $1.7 billion. The estimated fair values of the AirTouch preferred stock and redeemable subsidiary preferred shares are based on Level 2 inputs that use pricing models whose inputs are derived primarily from or corroborated by observable market data through correlation or other means for substantially the full term of the financial instrument. The one series of nonredeemable subsidiary preferred shares was recorded at $100 million as of both December 31, 2016 and 2015, and those amounts are included in noncontrolling interests in our consolidated balance sheet. The carrying amount of the nonredeemable subsidiary preferred stock approximates its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BuzzFeed and Vox Media</w:t>
      </w:r>
    </w:p>
    <w:p>
      <w:pPr>
        <w:jc w:val="both"/>
        <w:spacing w:after="0" w:line="281" w:lineRule="auto"/>
        <w:rPr>
          <w:sz w:val="20"/>
          <w:szCs w:val="20"/>
          <w:color w:val="auto"/>
        </w:rPr>
      </w:pPr>
      <w:r>
        <w:rPr>
          <w:rFonts w:ascii="Arial" w:cs="Arial" w:eastAsia="Arial" w:hAnsi="Arial"/>
          <w:sz w:val="16"/>
          <w:szCs w:val="16"/>
          <w:color w:val="auto"/>
        </w:rPr>
        <w:t>In September 2015, NBCUniversal acquired an interest in BuzzFeed, Inc. and made an additional investment in Vox Media, Inc. for $200 million each in cash. In November 2016, NBCUniversal made an additional investment of $200 million in BuzzFeed. BuzzFeed is a global media company that produces and distributes original news, entertainment and videos. Vox Media is a digital media company comprised of eight distinct brands.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securities and our cost method investments, we record the impairment to investment income (loss), net. For our equity method investments, we record the impairment to other income (expense), net.</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100" w:type="dxa"/>
            <w:vAlign w:val="bottom"/>
          </w:tcPr>
          <w:p>
            <w:pPr>
              <w:jc w:val="right"/>
              <w:ind w:right="20"/>
              <w:spacing w:after="0"/>
              <w:rPr>
                <w:sz w:val="20"/>
                <w:szCs w:val="20"/>
                <w:color w:val="auto"/>
              </w:rPr>
            </w:pPr>
            <w:r>
              <w:rPr>
                <w:rFonts w:ascii="Arial" w:cs="Arial" w:eastAsia="Arial" w:hAnsi="Arial"/>
                <w:sz w:val="14"/>
                <w:szCs w:val="14"/>
                <w:color w:val="auto"/>
              </w:rPr>
              <w:t>Weighted-Average</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4100" w:type="dxa"/>
            <w:vAlign w:val="bottom"/>
          </w:tcPr>
          <w:p>
            <w:pPr>
              <w:jc w:val="right"/>
              <w:ind w:right="20"/>
              <w:spacing w:after="0" w:line="149" w:lineRule="exact"/>
              <w:rPr>
                <w:sz w:val="20"/>
                <w:szCs w:val="20"/>
                <w:color w:val="auto"/>
              </w:rPr>
            </w:pPr>
            <w:r>
              <w:rPr>
                <w:rFonts w:ascii="Arial" w:cs="Arial" w:eastAsia="Arial" w:hAnsi="Arial"/>
                <w:sz w:val="14"/>
                <w:szCs w:val="14"/>
                <w:color w:val="auto"/>
              </w:rPr>
              <w:t>Original Useful Life</w:t>
            </w:r>
          </w:p>
        </w:tc>
        <w:tc>
          <w:tcPr>
            <w:tcW w:w="9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1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As of December 31, 2016</w:t>
            </w: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4100" w:type="dxa"/>
            <w:vAlign w:val="bottom"/>
          </w:tcPr>
          <w:p>
            <w:pPr>
              <w:jc w:val="right"/>
              <w:ind w:right="20"/>
              <w:spacing w:after="0" w:line="177" w:lineRule="exact"/>
              <w:rPr>
                <w:sz w:val="20"/>
                <w:szCs w:val="20"/>
                <w:color w:val="auto"/>
              </w:rPr>
            </w:pPr>
            <w:r>
              <w:rPr>
                <w:rFonts w:ascii="Arial" w:cs="Arial" w:eastAsia="Arial" w:hAnsi="Arial"/>
                <w:sz w:val="18"/>
                <w:szCs w:val="18"/>
                <w:color w:val="auto"/>
              </w:rPr>
              <w:t>11 years</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$ 34,028</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$ 32,586</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Customer premise equipment</w:t>
            </w:r>
          </w:p>
        </w:tc>
        <w:tc>
          <w:tcPr>
            <w:tcW w:w="4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28,621</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28,559</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4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8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9,475</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4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29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12,550</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41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N/A</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1,273</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100" w:type="dxa"/>
            <w:vAlign w:val="bottom"/>
          </w:tcPr>
          <w:p>
            <w:pPr>
              <w:spacing w:after="0"/>
              <w:rPr>
                <w:sz w:val="15"/>
                <w:szCs w:val="15"/>
                <w:color w:val="auto"/>
              </w:rPr>
            </w:pP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85,947</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81,765</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49,694</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48,100</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100" w:type="dxa"/>
            <w:vAlign w:val="bottom"/>
            <w:tcBorders>
              <w:bottom w:val="single" w:sz="8" w:color="0C6DFF"/>
            </w:tcBorders>
          </w:tcPr>
          <w:p>
            <w:pPr>
              <w:spacing w:after="0"/>
              <w:rPr>
                <w:sz w:val="17"/>
                <w:szCs w:val="17"/>
                <w:color w:val="auto"/>
              </w:rPr>
            </w:pPr>
          </w:p>
        </w:tc>
        <w:tc>
          <w:tcPr>
            <w:tcW w:w="9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$ 36,253</w:t>
            </w:r>
          </w:p>
        </w:tc>
        <w:tc>
          <w:tcPr>
            <w:tcW w:w="9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$ 33,665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accordance with the accounting guidance related to cable television companies, we capitalize the costs associated with the construction of and improvements to our cable transmission and distribution facilities, including scalable infrastructure and line extensions; costs associated with acquiring and deploying new customer premise equipment; and costs associated with installation of our services. Costs capitalized include all direct costs for labor and materials, as well as various indirect costs. Costs incurred in connection with subsequent disconnects and reconnects are expensed as they are incurred.</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94</w:t>
            </w: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color w:val="auto"/>
              </w:rPr>
              <w:t>Cable</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w w:val="95"/>
              </w:rPr>
              <w:t>NBCUniversal</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color w:val="auto"/>
              </w:rPr>
              <w:t>Corporate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tcPr>
          <w:p>
            <w:pPr>
              <w:jc w:val="right"/>
              <w:ind w:right="36"/>
              <w:spacing w:after="0" w:line="141" w:lineRule="exact"/>
              <w:rPr>
                <w:sz w:val="20"/>
                <w:szCs w:val="20"/>
                <w:color w:val="auto"/>
              </w:rPr>
            </w:pPr>
            <w:r>
              <w:rPr>
                <w:rFonts w:ascii="Arial" w:cs="Arial" w:eastAsia="Arial" w:hAnsi="Arial"/>
                <w:sz w:val="14"/>
                <w:szCs w:val="14"/>
                <w:color w:val="auto"/>
              </w:rPr>
              <w:t>Cable</w:t>
            </w:r>
          </w:p>
        </w:tc>
        <w:tc>
          <w:tcPr>
            <w:tcW w:w="80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Broadcast</w:t>
            </w:r>
          </w:p>
        </w:tc>
        <w:tc>
          <w:tcPr>
            <w:tcW w:w="500" w:type="dxa"/>
            <w:vAlign w:val="bottom"/>
          </w:tcPr>
          <w:p>
            <w:pPr>
              <w:spacing w:after="0"/>
              <w:rPr>
                <w:sz w:val="12"/>
                <w:szCs w:val="12"/>
                <w:color w:val="auto"/>
              </w:rPr>
            </w:pPr>
          </w:p>
        </w:tc>
        <w:tc>
          <w:tcPr>
            <w:tcW w:w="580" w:type="dxa"/>
            <w:vAlign w:val="bottom"/>
          </w:tcPr>
          <w:p>
            <w:pPr>
              <w:jc w:val="right"/>
              <w:ind w:right="54"/>
              <w:spacing w:after="0" w:line="141" w:lineRule="exact"/>
              <w:rPr>
                <w:sz w:val="20"/>
                <w:szCs w:val="20"/>
                <w:color w:val="auto"/>
              </w:rPr>
            </w:pPr>
            <w:r>
              <w:rPr>
                <w:rFonts w:ascii="Arial" w:cs="Arial" w:eastAsia="Arial" w:hAnsi="Arial"/>
                <w:sz w:val="14"/>
                <w:szCs w:val="14"/>
                <w:color w:val="auto"/>
                <w:w w:val="99"/>
              </w:rPr>
              <w:t>Filmed</w:t>
            </w:r>
          </w:p>
        </w:tc>
        <w:tc>
          <w:tcPr>
            <w:tcW w:w="180" w:type="dxa"/>
            <w:vAlign w:val="bottom"/>
          </w:tcPr>
          <w:p>
            <w:pPr>
              <w:spacing w:after="0"/>
              <w:rPr>
                <w:sz w:val="12"/>
                <w:szCs w:val="12"/>
                <w:color w:val="auto"/>
              </w:rPr>
            </w:pPr>
          </w:p>
        </w:tc>
        <w:tc>
          <w:tcPr>
            <w:tcW w:w="600" w:type="dxa"/>
            <w:vAlign w:val="bottom"/>
          </w:tcPr>
          <w:p>
            <w:pPr>
              <w:jc w:val="right"/>
              <w:ind w:right="36"/>
              <w:spacing w:after="0" w:line="141" w:lineRule="exact"/>
              <w:rPr>
                <w:sz w:val="20"/>
                <w:szCs w:val="20"/>
                <w:color w:val="auto"/>
              </w:rPr>
            </w:pPr>
            <w:r>
              <w:rPr>
                <w:rFonts w:ascii="Arial" w:cs="Arial" w:eastAsia="Arial" w:hAnsi="Arial"/>
                <w:sz w:val="14"/>
                <w:szCs w:val="14"/>
                <w:color w:val="auto"/>
              </w:rPr>
              <w:t>Theme</w:t>
            </w:r>
          </w:p>
        </w:tc>
        <w:tc>
          <w:tcPr>
            <w:tcW w:w="8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6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color w:val="auto"/>
              </w:rPr>
              <w:t>Communications</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Networks</w:t>
            </w: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Television</w:t>
            </w: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Entertainment</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Parks</w:t>
            </w: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and Other</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3720" w:type="dxa"/>
            <w:vAlign w:val="bottom"/>
          </w:tcPr>
          <w:p>
            <w:pPr>
              <w:spacing w:after="0" w:line="200" w:lineRule="exact"/>
              <w:rPr>
                <w:sz w:val="20"/>
                <w:szCs w:val="20"/>
                <w:color w:val="auto"/>
              </w:rPr>
            </w:pPr>
            <w:r>
              <w:rPr>
                <w:rFonts w:ascii="Arial" w:cs="Arial" w:eastAsia="Arial" w:hAnsi="Arial"/>
                <w:sz w:val="18"/>
                <w:szCs w:val="18"/>
                <w:color w:val="auto"/>
              </w:rPr>
              <w:t>Balance, December 31, 2014</w:t>
            </w:r>
          </w:p>
        </w:tc>
        <w:tc>
          <w:tcPr>
            <w:tcW w:w="1620" w:type="dxa"/>
            <w:vAlign w:val="bottom"/>
          </w:tcPr>
          <w:p>
            <w:pPr>
              <w:ind w:left="134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12,217</w:t>
            </w:r>
          </w:p>
        </w:tc>
        <w:tc>
          <w:tcPr>
            <w:tcW w:w="900" w:type="dxa"/>
            <w:vAlign w:val="bottom"/>
          </w:tcPr>
          <w:p>
            <w:pPr>
              <w:jc w:val="right"/>
              <w:ind w:right="36"/>
              <w:spacing w:after="0" w:line="200" w:lineRule="exact"/>
              <w:rPr>
                <w:sz w:val="20"/>
                <w:szCs w:val="20"/>
                <w:color w:val="auto"/>
              </w:rPr>
            </w:pPr>
            <w:r>
              <w:rPr>
                <w:rFonts w:ascii="Arial" w:cs="Arial" w:eastAsia="Arial" w:hAnsi="Arial"/>
                <w:sz w:val="18"/>
                <w:szCs w:val="18"/>
                <w:color w:val="auto"/>
              </w:rPr>
              <w:t>$ 12,948</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line="200" w:lineRule="exact"/>
              <w:rPr>
                <w:sz w:val="20"/>
                <w:szCs w:val="20"/>
                <w:color w:val="auto"/>
              </w:rPr>
            </w:pPr>
            <w:r>
              <w:rPr>
                <w:rFonts w:ascii="Arial" w:cs="Arial" w:eastAsia="Arial" w:hAnsi="Arial"/>
                <w:sz w:val="18"/>
                <w:szCs w:val="18"/>
                <w:color w:val="auto"/>
              </w:rPr>
              <w:t>767</w:t>
            </w:r>
          </w:p>
        </w:tc>
        <w:tc>
          <w:tcPr>
            <w:tcW w:w="50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211</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6"/>
              <w:spacing w:after="0" w:line="200" w:lineRule="exact"/>
              <w:rPr>
                <w:sz w:val="20"/>
                <w:szCs w:val="20"/>
                <w:color w:val="auto"/>
              </w:rPr>
            </w:pPr>
            <w:r>
              <w:rPr>
                <w:rFonts w:ascii="Arial" w:cs="Arial" w:eastAsia="Arial" w:hAnsi="Arial"/>
                <w:sz w:val="18"/>
                <w:szCs w:val="18"/>
                <w:color w:val="auto"/>
              </w:rPr>
              <w:t>982</w:t>
            </w:r>
          </w:p>
        </w:tc>
        <w:tc>
          <w:tcPr>
            <w:tcW w:w="2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191</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$ 27,316</w:t>
            </w:r>
          </w:p>
        </w:tc>
        <w:tc>
          <w:tcPr>
            <w:tcW w:w="0" w:type="dxa"/>
            <w:vAlign w:val="bottom"/>
          </w:tcPr>
          <w:p>
            <w:pPr>
              <w:spacing w:after="0"/>
              <w:rPr>
                <w:sz w:val="1"/>
                <w:szCs w:val="1"/>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color w:val="auto"/>
                <w:vertAlign w:val="superscript"/>
              </w:rPr>
              <w:t>(a)</w:t>
            </w:r>
          </w:p>
        </w:tc>
        <w:tc>
          <w:tcPr>
            <w:tcW w:w="162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173</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39</w:t>
            </w:r>
          </w:p>
        </w:tc>
        <w:tc>
          <w:tcPr>
            <w:tcW w:w="500" w:type="dxa"/>
            <w:vAlign w:val="bottom"/>
          </w:tcPr>
          <w:p>
            <w:pPr>
              <w:spacing w:after="0"/>
              <w:rPr>
                <w:sz w:val="17"/>
                <w:szCs w:val="17"/>
                <w:color w:val="auto"/>
              </w:rPr>
            </w:pPr>
          </w:p>
        </w:tc>
        <w:tc>
          <w:tcPr>
            <w:tcW w:w="5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58</w:t>
            </w:r>
          </w:p>
        </w:tc>
        <w:tc>
          <w:tcPr>
            <w:tcW w:w="180" w:type="dxa"/>
            <w:vAlign w:val="bottom"/>
          </w:tcPr>
          <w:p>
            <w:pPr>
              <w:spacing w:after="0"/>
              <w:rPr>
                <w:sz w:val="17"/>
                <w:szCs w:val="17"/>
                <w:color w:val="auto"/>
              </w:rPr>
            </w:pPr>
          </w:p>
        </w:tc>
        <w:tc>
          <w:tcPr>
            <w:tcW w:w="6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5,373</w:t>
            </w:r>
          </w:p>
        </w:tc>
        <w:tc>
          <w:tcPr>
            <w:tcW w:w="24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6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5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9"/>
        </w:trPr>
        <w:tc>
          <w:tcPr>
            <w:tcW w:w="37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Foreign currency translation</w:t>
            </w:r>
          </w:p>
        </w:tc>
        <w:tc>
          <w:tcPr>
            <w:tcW w:w="1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7"/>
        </w:trPr>
        <w:tc>
          <w:tcPr>
            <w:tcW w:w="3720" w:type="dxa"/>
            <w:vAlign w:val="bottom"/>
          </w:tcPr>
          <w:p>
            <w:pPr>
              <w:spacing w:after="0" w:line="177" w:lineRule="exact"/>
              <w:rPr>
                <w:sz w:val="20"/>
                <w:szCs w:val="20"/>
                <w:color w:val="auto"/>
              </w:rPr>
            </w:pPr>
            <w:r>
              <w:rPr>
                <w:rFonts w:ascii="Arial" w:cs="Arial" w:eastAsia="Arial" w:hAnsi="Arial"/>
                <w:sz w:val="18"/>
                <w:szCs w:val="18"/>
                <w:color w:val="auto"/>
              </w:rPr>
              <w:t>Balance, December 31, 2015</w:t>
            </w:r>
          </w:p>
        </w:tc>
        <w:tc>
          <w:tcPr>
            <w:tcW w:w="1620" w:type="dxa"/>
            <w:vAlign w:val="bottom"/>
          </w:tcPr>
          <w:p>
            <w:pPr>
              <w:spacing w:after="0"/>
              <w:rPr>
                <w:sz w:val="15"/>
                <w:szCs w:val="15"/>
                <w:color w:val="auto"/>
              </w:rPr>
            </w:pPr>
          </w:p>
        </w:tc>
        <w:tc>
          <w:tcPr>
            <w:tcW w:w="84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12,389</w:t>
            </w:r>
          </w:p>
        </w:tc>
        <w:tc>
          <w:tcPr>
            <w:tcW w:w="900" w:type="dxa"/>
            <w:vAlign w:val="bottom"/>
          </w:tcPr>
          <w:p>
            <w:pPr>
              <w:jc w:val="right"/>
              <w:ind w:right="36"/>
              <w:spacing w:after="0" w:line="177" w:lineRule="exact"/>
              <w:rPr>
                <w:sz w:val="20"/>
                <w:szCs w:val="20"/>
                <w:color w:val="auto"/>
              </w:rPr>
            </w:pPr>
            <w:r>
              <w:rPr>
                <w:rFonts w:ascii="Arial" w:cs="Arial" w:eastAsia="Arial" w:hAnsi="Arial"/>
                <w:sz w:val="18"/>
                <w:szCs w:val="18"/>
                <w:color w:val="auto"/>
              </w:rPr>
              <w:t>12,947</w:t>
            </w:r>
          </w:p>
        </w:tc>
        <w:tc>
          <w:tcPr>
            <w:tcW w:w="280" w:type="dxa"/>
            <w:vAlign w:val="bottom"/>
          </w:tcPr>
          <w:p>
            <w:pPr>
              <w:spacing w:after="0"/>
              <w:rPr>
                <w:sz w:val="15"/>
                <w:szCs w:val="15"/>
                <w:color w:val="auto"/>
              </w:rPr>
            </w:pPr>
          </w:p>
        </w:tc>
        <w:tc>
          <w:tcPr>
            <w:tcW w:w="5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806</w:t>
            </w:r>
          </w:p>
        </w:tc>
        <w:tc>
          <w:tcPr>
            <w:tcW w:w="500" w:type="dxa"/>
            <w:vAlign w:val="bottom"/>
          </w:tcPr>
          <w:p>
            <w:pPr>
              <w:spacing w:after="0"/>
              <w:rPr>
                <w:sz w:val="15"/>
                <w:szCs w:val="15"/>
                <w:color w:val="auto"/>
              </w:rPr>
            </w:pPr>
          </w:p>
        </w:tc>
        <w:tc>
          <w:tcPr>
            <w:tcW w:w="58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267</w:t>
            </w:r>
          </w:p>
        </w:tc>
        <w:tc>
          <w:tcPr>
            <w:tcW w:w="180" w:type="dxa"/>
            <w:vAlign w:val="bottom"/>
          </w:tcPr>
          <w:p>
            <w:pPr>
              <w:spacing w:after="0"/>
              <w:rPr>
                <w:sz w:val="15"/>
                <w:szCs w:val="15"/>
                <w:color w:val="auto"/>
              </w:rPr>
            </w:pPr>
          </w:p>
        </w:tc>
        <w:tc>
          <w:tcPr>
            <w:tcW w:w="600" w:type="dxa"/>
            <w:vAlign w:val="bottom"/>
          </w:tcPr>
          <w:p>
            <w:pPr>
              <w:jc w:val="right"/>
              <w:ind w:right="36"/>
              <w:spacing w:after="0" w:line="177" w:lineRule="exact"/>
              <w:rPr>
                <w:sz w:val="20"/>
                <w:szCs w:val="20"/>
                <w:color w:val="auto"/>
              </w:rPr>
            </w:pPr>
            <w:r>
              <w:rPr>
                <w:rFonts w:ascii="Arial" w:cs="Arial" w:eastAsia="Arial" w:hAnsi="Arial"/>
                <w:sz w:val="18"/>
                <w:szCs w:val="18"/>
                <w:color w:val="auto"/>
              </w:rPr>
              <w:t>6,344</w:t>
            </w:r>
          </w:p>
        </w:tc>
        <w:tc>
          <w:tcPr>
            <w:tcW w:w="240" w:type="dxa"/>
            <w:vAlign w:val="bottom"/>
          </w:tcPr>
          <w:p>
            <w:pPr>
              <w:spacing w:after="0"/>
              <w:rPr>
                <w:sz w:val="15"/>
                <w:szCs w:val="15"/>
                <w:color w:val="auto"/>
              </w:rPr>
            </w:pPr>
          </w:p>
        </w:tc>
        <w:tc>
          <w:tcPr>
            <w:tcW w:w="560" w:type="dxa"/>
            <w:vAlign w:val="bottom"/>
          </w:tcPr>
          <w:p>
            <w:pPr>
              <w:jc w:val="right"/>
              <w:ind w:right="32"/>
              <w:spacing w:after="0" w:line="177" w:lineRule="exact"/>
              <w:rPr>
                <w:sz w:val="20"/>
                <w:szCs w:val="20"/>
                <w:color w:val="auto"/>
              </w:rPr>
            </w:pPr>
            <w:r>
              <w:rPr>
                <w:rFonts w:ascii="Arial" w:cs="Arial" w:eastAsia="Arial" w:hAnsi="Arial"/>
                <w:sz w:val="18"/>
                <w:szCs w:val="18"/>
                <w:color w:val="auto"/>
              </w:rPr>
              <w:t>192</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32,945</w:t>
            </w:r>
          </w:p>
        </w:tc>
        <w:tc>
          <w:tcPr>
            <w:tcW w:w="0" w:type="dxa"/>
            <w:vAlign w:val="bottom"/>
          </w:tcPr>
          <w:p>
            <w:pPr>
              <w:spacing w:after="0"/>
              <w:rPr>
                <w:sz w:val="1"/>
                <w:szCs w:val="1"/>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b w:val="1"/>
                <w:bCs w:val="1"/>
                <w:color w:val="auto"/>
              </w:rPr>
              <w:t>Acquisitions</w:t>
            </w:r>
            <w:r>
              <w:rPr>
                <w:rFonts w:ascii="Arial" w:cs="Arial" w:eastAsia="Arial" w:hAnsi="Arial"/>
                <w:sz w:val="22"/>
                <w:szCs w:val="22"/>
                <w:b w:val="1"/>
                <w:bCs w:val="1"/>
                <w:color w:val="auto"/>
                <w:vertAlign w:val="superscript"/>
              </w:rPr>
              <w:t>(b)</w:t>
            </w:r>
          </w:p>
        </w:tc>
        <w:tc>
          <w:tcPr>
            <w:tcW w:w="162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82</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232</w:t>
            </w:r>
          </w:p>
        </w:tc>
        <w:tc>
          <w:tcPr>
            <w:tcW w:w="280" w:type="dxa"/>
            <w:vAlign w:val="bottom"/>
          </w:tcPr>
          <w:p>
            <w:pPr>
              <w:spacing w:after="0"/>
              <w:rPr>
                <w:sz w:val="17"/>
                <w:szCs w:val="17"/>
                <w:color w:val="auto"/>
              </w:rPr>
            </w:pP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7"/>
                <w:szCs w:val="17"/>
                <w:color w:val="auto"/>
              </w:rPr>
            </w:pPr>
          </w:p>
        </w:tc>
        <w:tc>
          <w:tcPr>
            <w:tcW w:w="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w w:val="93"/>
              </w:rPr>
              <w:t>2,717</w:t>
            </w:r>
          </w:p>
        </w:tc>
        <w:tc>
          <w:tcPr>
            <w:tcW w:w="180" w:type="dxa"/>
            <w:vAlign w:val="bottom"/>
          </w:tcPr>
          <w:p>
            <w:pPr>
              <w:spacing w:after="0"/>
              <w:rPr>
                <w:sz w:val="17"/>
                <w:szCs w:val="17"/>
                <w:color w:val="auto"/>
              </w:rPr>
            </w:pPr>
          </w:p>
        </w:tc>
        <w:tc>
          <w:tcPr>
            <w:tcW w:w="6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3,032</w:t>
            </w:r>
          </w:p>
        </w:tc>
        <w:tc>
          <w:tcPr>
            <w:tcW w:w="0" w:type="dxa"/>
            <w:vAlign w:val="bottom"/>
          </w:tcPr>
          <w:p>
            <w:pPr>
              <w:spacing w:after="0"/>
              <w:rPr>
                <w:sz w:val="1"/>
                <w:szCs w:val="1"/>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22"/>
                <w:szCs w:val="22"/>
                <w:b w:val="1"/>
                <w:bCs w:val="1"/>
                <w:color w:val="auto"/>
                <w:vertAlign w:val="superscript"/>
              </w:rPr>
              <w:t>(c)</w:t>
            </w:r>
          </w:p>
        </w:tc>
        <w:tc>
          <w:tcPr>
            <w:tcW w:w="162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174</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7"/>
                <w:szCs w:val="17"/>
                <w:color w:val="auto"/>
              </w:rPr>
            </w:pPr>
          </w:p>
        </w:tc>
        <w:tc>
          <w:tcPr>
            <w:tcW w:w="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(250)</w:t>
            </w:r>
          </w:p>
        </w:tc>
        <w:tc>
          <w:tcPr>
            <w:tcW w:w="2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(181)</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(257)</w:t>
            </w:r>
          </w:p>
        </w:tc>
        <w:tc>
          <w:tcPr>
            <w:tcW w:w="0" w:type="dxa"/>
            <w:vAlign w:val="bottom"/>
          </w:tcPr>
          <w:p>
            <w:pPr>
              <w:spacing w:after="0"/>
              <w:rPr>
                <w:sz w:val="1"/>
                <w:szCs w:val="1"/>
                <w:color w:val="auto"/>
              </w:rPr>
            </w:pPr>
          </w:p>
        </w:tc>
      </w:tr>
      <w:tr>
        <w:trPr>
          <w:trHeight w:val="221"/>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Foreign currency translation</w:t>
            </w:r>
          </w:p>
        </w:tc>
        <w:tc>
          <w:tcPr>
            <w:tcW w:w="1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247</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2016</w:t>
            </w:r>
          </w:p>
        </w:tc>
        <w:tc>
          <w:tcPr>
            <w:tcW w:w="1620" w:type="dxa"/>
            <w:vAlign w:val="bottom"/>
            <w:tcBorders>
              <w:bottom w:val="single" w:sz="8" w:color="0C6DFF"/>
            </w:tcBorders>
          </w:tcPr>
          <w:p>
            <w:pPr>
              <w:ind w:left="134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12,645</w:t>
            </w:r>
          </w:p>
        </w:tc>
        <w:tc>
          <w:tcPr>
            <w:tcW w:w="90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$ 13,183</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806</w:t>
            </w:r>
          </w:p>
        </w:tc>
        <w:tc>
          <w:tcPr>
            <w:tcW w:w="5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w w:val="93"/>
              </w:rPr>
              <w:t>2,993</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6,341</w:t>
            </w:r>
          </w:p>
        </w:tc>
        <w:tc>
          <w:tcPr>
            <w:tcW w:w="24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12</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$ 35,980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Acquisitions in 2015 in our Theme Parks segment included the Universal Studios Japan transaction (see Note 5 for additional information).</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Acquisitions in 2016 in our Filmed Entertainment segment primarily included the DreamWorks Animation acquisition (see Note 5 for additional information).</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Adjustments in 2016 primarily included the updated allocation of the purchase price for Universal Studios Japan in our Theme Parks segment (see Note 5 for additional information) and the reclassification of certain operations and businesses from Corporate and Other to our Cable Communications segment.</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five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 We did not recognize any impairment charges in any of the periods presented.</w:t>
      </w:r>
    </w:p>
    <w:p>
      <w:pPr>
        <w:spacing w:after="0" w:line="33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95</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Pr>
          <w:p>
            <w:pPr>
              <w:spacing w:after="0"/>
              <w:rPr>
                <w:sz w:val="14"/>
                <w:szCs w:val="14"/>
                <w:color w:val="auto"/>
              </w:rPr>
            </w:pPr>
          </w:p>
        </w:tc>
        <w:tc>
          <w:tcPr>
            <w:tcW w:w="2060" w:type="dxa"/>
            <w:vAlign w:val="bottom"/>
            <w:vMerge w:val="restart"/>
          </w:tcPr>
          <w:p>
            <w:pPr>
              <w:jc w:val="right"/>
              <w:ind w:right="18"/>
              <w:spacing w:after="0"/>
              <w:rPr>
                <w:sz w:val="20"/>
                <w:szCs w:val="20"/>
                <w:color w:val="auto"/>
              </w:rPr>
            </w:pPr>
            <w:r>
              <w:rPr>
                <w:rFonts w:ascii="Arial" w:cs="Arial" w:eastAsia="Arial" w:hAnsi="Arial"/>
                <w:sz w:val="14"/>
                <w:szCs w:val="14"/>
                <w:color w:val="auto"/>
              </w:rPr>
              <w:t>Weighted-Average</w:t>
            </w: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color w:val="auto"/>
              </w:rPr>
              <w:t>2015</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5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jc w:val="right"/>
              <w:ind w:right="18"/>
              <w:spacing w:after="0" w:line="125" w:lineRule="exact"/>
              <w:rPr>
                <w:sz w:val="20"/>
                <w:szCs w:val="20"/>
                <w:color w:val="auto"/>
              </w:rPr>
            </w:pPr>
            <w:r>
              <w:rPr>
                <w:rFonts w:ascii="Arial" w:cs="Arial" w:eastAsia="Arial" w:hAnsi="Arial"/>
                <w:sz w:val="14"/>
                <w:szCs w:val="14"/>
                <w:color w:val="auto"/>
              </w:rPr>
              <w:t>Gross</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060" w:type="dxa"/>
            <w:vAlign w:val="bottom"/>
          </w:tcPr>
          <w:p>
            <w:pPr>
              <w:jc w:val="right"/>
              <w:ind w:right="18"/>
              <w:spacing w:after="0" w:line="149" w:lineRule="exact"/>
              <w:rPr>
                <w:sz w:val="20"/>
                <w:szCs w:val="20"/>
                <w:color w:val="auto"/>
              </w:rPr>
            </w:pPr>
            <w:r>
              <w:rPr>
                <w:rFonts w:ascii="Arial" w:cs="Arial" w:eastAsia="Arial" w:hAnsi="Arial"/>
                <w:sz w:val="14"/>
                <w:szCs w:val="14"/>
                <w:color w:val="auto"/>
              </w:rPr>
              <w:t>Original Useful Life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color w:val="auto"/>
              </w:rPr>
              <w:t>Carrying</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79"/>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0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as of December 31, 2016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Amount</w:t>
            </w:r>
          </w:p>
        </w:tc>
        <w:tc>
          <w:tcPr>
            <w:tcW w:w="1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5520" w:type="dxa"/>
            <w:vAlign w:val="bottom"/>
          </w:tcPr>
          <w:p>
            <w:pPr>
              <w:spacing w:after="0" w:line="200" w:lineRule="exact"/>
              <w:rPr>
                <w:sz w:val="20"/>
                <w:szCs w:val="20"/>
                <w:color w:val="auto"/>
              </w:rPr>
            </w:pPr>
            <w:r>
              <w:rPr>
                <w:rFonts w:ascii="Arial" w:cs="Arial" w:eastAsia="Arial" w:hAnsi="Arial"/>
                <w:sz w:val="18"/>
                <w:szCs w:val="18"/>
                <w:color w:val="auto"/>
              </w:rPr>
              <w:t>Indefinite-Lived Intangible Assets:</w:t>
            </w:r>
          </w:p>
        </w:tc>
        <w:tc>
          <w:tcPr>
            <w:tcW w:w="20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$ 59,364</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20" w:type="dxa"/>
            <w:vAlign w:val="bottom"/>
          </w:tcPr>
          <w:p>
            <w:pPr>
              <w:ind w:left="220"/>
              <w:spacing w:after="0" w:line="181" w:lineRule="exact"/>
              <w:rPr>
                <w:sz w:val="20"/>
                <w:szCs w:val="20"/>
                <w:color w:val="auto"/>
              </w:rPr>
            </w:pPr>
            <w:r>
              <w:rPr>
                <w:rFonts w:ascii="Arial" w:cs="Arial" w:eastAsia="Arial" w:hAnsi="Arial"/>
                <w:sz w:val="18"/>
                <w:szCs w:val="18"/>
                <w:color w:val="auto"/>
              </w:rPr>
              <w:t>Franchise rights</w:t>
            </w:r>
          </w:p>
        </w:tc>
        <w:tc>
          <w:tcPr>
            <w:tcW w:w="20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N/A</w:t>
            </w:r>
          </w:p>
        </w:tc>
        <w:tc>
          <w:tcPr>
            <w:tcW w:w="8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$ 59,364</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220"/>
              <w:spacing w:after="0" w:line="202" w:lineRule="exact"/>
              <w:rPr>
                <w:sz w:val="20"/>
                <w:szCs w:val="20"/>
                <w:color w:val="auto"/>
              </w:rPr>
            </w:pPr>
            <w:r>
              <w:rPr>
                <w:rFonts w:ascii="Arial" w:cs="Arial" w:eastAsia="Arial" w:hAnsi="Arial"/>
                <w:sz w:val="18"/>
                <w:szCs w:val="18"/>
                <w:color w:val="auto"/>
              </w:rPr>
              <w:t>Trade names</w:t>
            </w:r>
          </w:p>
        </w:tc>
        <w:tc>
          <w:tcPr>
            <w:tcW w:w="20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N/A</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2,981</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2,857</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20" w:type="dxa"/>
            <w:vAlign w:val="bottom"/>
          </w:tcPr>
          <w:p>
            <w:pPr>
              <w:ind w:left="220"/>
              <w:spacing w:after="0"/>
              <w:rPr>
                <w:sz w:val="20"/>
                <w:szCs w:val="20"/>
                <w:color w:val="auto"/>
              </w:rPr>
            </w:pPr>
            <w:r>
              <w:rPr>
                <w:rFonts w:ascii="Arial" w:cs="Arial" w:eastAsia="Arial" w:hAnsi="Arial"/>
                <w:sz w:val="18"/>
                <w:szCs w:val="18"/>
                <w:color w:val="auto"/>
              </w:rPr>
              <w:t>FCC licenses</w:t>
            </w:r>
          </w:p>
        </w:tc>
        <w:tc>
          <w:tcPr>
            <w:tcW w:w="2060" w:type="dxa"/>
            <w:vAlign w:val="bottom"/>
          </w:tcPr>
          <w:p>
            <w:pPr>
              <w:jc w:val="right"/>
              <w:ind w:right="18"/>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651</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651</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Finite-Lived Intangible Assets:</w:t>
            </w:r>
          </w:p>
        </w:tc>
        <w:tc>
          <w:tcPr>
            <w:tcW w:w="20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13,478</w:t>
            </w:r>
          </w:p>
        </w:tc>
        <w:tc>
          <w:tcPr>
            <w:tcW w:w="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(5,110)</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2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20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19 years</w:t>
            </w:r>
          </w:p>
        </w:tc>
        <w:tc>
          <w:tcPr>
            <w:tcW w:w="8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13,396</w:t>
            </w:r>
          </w:p>
        </w:tc>
        <w:tc>
          <w:tcPr>
            <w:tcW w:w="30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03"/>
        </w:trPr>
        <w:tc>
          <w:tcPr>
            <w:tcW w:w="552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20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4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7,017</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(3,997)</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6,008</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03"/>
        </w:trPr>
        <w:tc>
          <w:tcPr>
            <w:tcW w:w="5520" w:type="dxa"/>
            <w:vAlign w:val="bottom"/>
          </w:tcPr>
          <w:p>
            <w:pPr>
              <w:ind w:left="220"/>
              <w:spacing w:after="0" w:line="202" w:lineRule="exact"/>
              <w:rPr>
                <w:sz w:val="20"/>
                <w:szCs w:val="20"/>
                <w:color w:val="auto"/>
              </w:rPr>
            </w:pPr>
            <w:r>
              <w:rPr>
                <w:rFonts w:ascii="Arial" w:cs="Arial" w:eastAsia="Arial" w:hAnsi="Arial"/>
                <w:sz w:val="18"/>
                <w:szCs w:val="18"/>
                <w:color w:val="auto"/>
              </w:rPr>
              <w:t>Cable franchise renewal costs and contractual operating rights</w:t>
            </w:r>
          </w:p>
        </w:tc>
        <w:tc>
          <w:tcPr>
            <w:tcW w:w="20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9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1,460</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(800)</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1,499</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3"/>
        </w:trPr>
        <w:tc>
          <w:tcPr>
            <w:tcW w:w="5520" w:type="dxa"/>
            <w:vAlign w:val="bottom"/>
          </w:tcPr>
          <w:p>
            <w:pPr>
              <w:ind w:left="220"/>
              <w:spacing w:after="0" w:line="202" w:lineRule="exact"/>
              <w:rPr>
                <w:sz w:val="20"/>
                <w:szCs w:val="20"/>
                <w:color w:val="auto"/>
              </w:rPr>
            </w:pPr>
            <w:r>
              <w:rPr>
                <w:rFonts w:ascii="Arial" w:cs="Arial" w:eastAsia="Arial" w:hAnsi="Arial"/>
                <w:sz w:val="18"/>
                <w:szCs w:val="18"/>
                <w:color w:val="auto"/>
              </w:rPr>
              <w:t>Patents and other technology rights</w:t>
            </w:r>
          </w:p>
        </w:tc>
        <w:tc>
          <w:tcPr>
            <w:tcW w:w="20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7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257</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(208)</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409</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agreements and rights</w:t>
            </w:r>
          </w:p>
        </w:tc>
        <w:tc>
          <w:tcPr>
            <w:tcW w:w="2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15 years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2,443</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(898)</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1,994</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060" w:type="dxa"/>
            <w:vAlign w:val="bottom"/>
            <w:tcBorders>
              <w:bottom w:val="single" w:sz="8" w:color="0C6DFF"/>
            </w:tcBorders>
          </w:tcPr>
          <w:p>
            <w:pPr>
              <w:spacing w:after="0"/>
              <w:rPr>
                <w:sz w:val="17"/>
                <w:szCs w:val="17"/>
                <w:color w:val="auto"/>
              </w:rPr>
            </w:pP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$ 87,651</w:t>
            </w:r>
          </w:p>
        </w:tc>
        <w:tc>
          <w:tcPr>
            <w:tcW w:w="380" w:type="dxa"/>
            <w:vAlign w:val="bottom"/>
            <w:tcBorders>
              <w:bottom w:val="single" w:sz="8" w:color="0C6DFF"/>
            </w:tcBorders>
          </w:tcPr>
          <w:p>
            <w:pPr>
              <w:ind w:left="20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(11,013)</w:t>
            </w:r>
          </w:p>
        </w:tc>
        <w:tc>
          <w:tcPr>
            <w:tcW w:w="860" w:type="dxa"/>
            <w:vAlign w:val="bottom"/>
            <w:tcBorders>
              <w:bottom w:val="single" w:sz="8" w:color="0C6DFF"/>
            </w:tcBorders>
          </w:tcPr>
          <w:p>
            <w:pPr>
              <w:jc w:val="right"/>
              <w:ind w:right="18"/>
              <w:spacing w:after="0" w:line="196" w:lineRule="exact"/>
              <w:rPr>
                <w:sz w:val="20"/>
                <w:szCs w:val="20"/>
                <w:color w:val="auto"/>
              </w:rPr>
            </w:pPr>
            <w:r>
              <w:rPr>
                <w:rFonts w:ascii="Arial" w:cs="Arial" w:eastAsia="Arial" w:hAnsi="Arial"/>
                <w:sz w:val="18"/>
                <w:szCs w:val="18"/>
                <w:color w:val="auto"/>
              </w:rPr>
              <w:t>$ 86,178</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Indefinite-Lived Intangible Assets</w:t>
      </w:r>
    </w:p>
    <w:p>
      <w:pPr>
        <w:jc w:val="both"/>
        <w:spacing w:after="0" w:line="236" w:lineRule="auto"/>
        <w:rPr>
          <w:sz w:val="20"/>
          <w:szCs w:val="20"/>
          <w:color w:val="auto"/>
        </w:rPr>
      </w:pPr>
      <w:r>
        <w:rPr>
          <w:rFonts w:ascii="Arial" w:cs="Arial" w:eastAsia="Arial" w:hAnsi="Arial"/>
          <w:sz w:val="18"/>
          <w:szCs w:val="18"/>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the recoverability of our cable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of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cable franchise rights or other indefinite-lived intangible assets was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96</w:t>
            </w: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Finite-Lived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0C6DF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560" w:type="dxa"/>
            <w:vAlign w:val="bottom"/>
            <w:tcBorders>
              <w:top w:val="single" w:sz="8" w:color="auto"/>
            </w:tcBorders>
          </w:tcPr>
          <w:p>
            <w:pPr>
              <w:jc w:val="right"/>
              <w:ind w:right="5072"/>
              <w:spacing w:after="0" w:line="200" w:lineRule="exact"/>
              <w:rPr>
                <w:sz w:val="20"/>
                <w:szCs w:val="20"/>
                <w:color w:val="auto"/>
              </w:rPr>
            </w:pPr>
            <w:r>
              <w:rPr>
                <w:rFonts w:ascii="Arial" w:cs="Arial" w:eastAsia="Arial" w:hAnsi="Arial"/>
                <w:sz w:val="18"/>
                <w:szCs w:val="18"/>
                <w:color w:val="auto"/>
                <w:w w:val="94"/>
              </w:rPr>
              <w:t>2017</w:t>
            </w:r>
          </w:p>
        </w:tc>
        <w:tc>
          <w:tcPr>
            <w:tcW w:w="52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2,077</w:t>
            </w:r>
          </w:p>
        </w:tc>
      </w:tr>
      <w:tr>
        <w:trPr>
          <w:trHeight w:val="203"/>
        </w:trPr>
        <w:tc>
          <w:tcPr>
            <w:tcW w:w="5560" w:type="dxa"/>
            <w:vAlign w:val="bottom"/>
          </w:tcPr>
          <w:p>
            <w:pPr>
              <w:jc w:val="right"/>
              <w:ind w:right="5072"/>
              <w:spacing w:after="0" w:line="202" w:lineRule="exact"/>
              <w:rPr>
                <w:sz w:val="20"/>
                <w:szCs w:val="20"/>
                <w:color w:val="auto"/>
              </w:rPr>
            </w:pPr>
            <w:r>
              <w:rPr>
                <w:rFonts w:ascii="Arial" w:cs="Arial" w:eastAsia="Arial" w:hAnsi="Arial"/>
                <w:sz w:val="18"/>
                <w:szCs w:val="18"/>
                <w:color w:val="auto"/>
                <w:w w:val="94"/>
              </w:rPr>
              <w:t>2018</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1,828</w:t>
            </w:r>
          </w:p>
        </w:tc>
      </w:tr>
      <w:tr>
        <w:trPr>
          <w:trHeight w:val="203"/>
        </w:trPr>
        <w:tc>
          <w:tcPr>
            <w:tcW w:w="5560" w:type="dxa"/>
            <w:vAlign w:val="bottom"/>
          </w:tcPr>
          <w:p>
            <w:pPr>
              <w:jc w:val="right"/>
              <w:ind w:right="5072"/>
              <w:spacing w:after="0" w:line="202" w:lineRule="exact"/>
              <w:rPr>
                <w:sz w:val="20"/>
                <w:szCs w:val="20"/>
                <w:color w:val="auto"/>
              </w:rPr>
            </w:pPr>
            <w:r>
              <w:rPr>
                <w:rFonts w:ascii="Arial" w:cs="Arial" w:eastAsia="Arial" w:hAnsi="Arial"/>
                <w:sz w:val="18"/>
                <w:szCs w:val="18"/>
                <w:color w:val="auto"/>
                <w:w w:val="94"/>
              </w:rPr>
              <w:t>2019</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1,475</w:t>
            </w:r>
          </w:p>
        </w:tc>
      </w:tr>
      <w:tr>
        <w:trPr>
          <w:trHeight w:val="203"/>
        </w:trPr>
        <w:tc>
          <w:tcPr>
            <w:tcW w:w="5560" w:type="dxa"/>
            <w:vAlign w:val="bottom"/>
          </w:tcPr>
          <w:p>
            <w:pPr>
              <w:jc w:val="right"/>
              <w:ind w:right="5072"/>
              <w:spacing w:after="0" w:line="202" w:lineRule="exact"/>
              <w:rPr>
                <w:sz w:val="20"/>
                <w:szCs w:val="20"/>
                <w:color w:val="auto"/>
              </w:rPr>
            </w:pPr>
            <w:r>
              <w:rPr>
                <w:rFonts w:ascii="Arial" w:cs="Arial" w:eastAsia="Arial" w:hAnsi="Arial"/>
                <w:sz w:val="18"/>
                <w:szCs w:val="18"/>
                <w:color w:val="auto"/>
                <w:w w:val="94"/>
              </w:rPr>
              <w:t>2020</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1,168</w:t>
            </w:r>
          </w:p>
        </w:tc>
      </w:tr>
      <w:tr>
        <w:trPr>
          <w:trHeight w:val="199"/>
        </w:trPr>
        <w:tc>
          <w:tcPr>
            <w:tcW w:w="5560" w:type="dxa"/>
            <w:vAlign w:val="bottom"/>
            <w:tcBorders>
              <w:bottom w:val="single" w:sz="8" w:color="auto"/>
            </w:tcBorders>
          </w:tcPr>
          <w:p>
            <w:pPr>
              <w:jc w:val="right"/>
              <w:ind w:right="5072"/>
              <w:spacing w:after="0" w:line="200" w:lineRule="exact"/>
              <w:rPr>
                <w:sz w:val="20"/>
                <w:szCs w:val="20"/>
                <w:color w:val="auto"/>
              </w:rPr>
            </w:pPr>
            <w:r>
              <w:rPr>
                <w:rFonts w:ascii="Arial" w:cs="Arial" w:eastAsia="Arial" w:hAnsi="Arial"/>
                <w:sz w:val="18"/>
                <w:szCs w:val="18"/>
                <w:color w:val="auto"/>
                <w:w w:val="94"/>
              </w:rPr>
              <w:t>2021</w:t>
            </w:r>
          </w:p>
        </w:tc>
        <w:tc>
          <w:tcPr>
            <w:tcW w:w="5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939</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cable franchise renewal costs, contractual operating rights and intellectual property rights. Our finite-lived intangible assets are amortized primarily on a straight-line basis over their estimated useful life or the term of the associated agreement.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other intangible assets and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10: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C6DFF"/>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color w:val="auto"/>
              </w:rPr>
              <w:t>Weighted-Average</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920" w:type="dxa"/>
            <w:vAlign w:val="bottom"/>
          </w:tcPr>
          <w:p>
            <w:pPr>
              <w:jc w:val="right"/>
              <w:ind w:right="299"/>
              <w:spacing w:after="0" w:line="149" w:lineRule="exact"/>
              <w:rPr>
                <w:sz w:val="20"/>
                <w:szCs w:val="20"/>
                <w:color w:val="auto"/>
              </w:rPr>
            </w:pPr>
            <w:r>
              <w:rPr>
                <w:rFonts w:ascii="Arial" w:cs="Arial" w:eastAsia="Arial" w:hAnsi="Arial"/>
                <w:sz w:val="14"/>
                <w:szCs w:val="14"/>
                <w:color w:val="auto"/>
              </w:rPr>
              <w:t>Interest Rate as of</w:t>
            </w:r>
          </w:p>
        </w:tc>
        <w:tc>
          <w:tcPr>
            <w:tcW w:w="200" w:type="dxa"/>
            <w:vAlign w:val="bottom"/>
          </w:tcPr>
          <w:p>
            <w:pPr>
              <w:spacing w:after="0"/>
              <w:rPr>
                <w:sz w:val="12"/>
                <w:szCs w:val="12"/>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1920" w:type="dxa"/>
            <w:vAlign w:val="bottom"/>
            <w:tcBorders>
              <w:bottom w:val="single" w:sz="8" w:color="auto"/>
            </w:tcBorders>
          </w:tcPr>
          <w:p>
            <w:pPr>
              <w:jc w:val="right"/>
              <w:ind w:right="299"/>
              <w:spacing w:after="0" w:line="149" w:lineRule="exact"/>
              <w:rPr>
                <w:sz w:val="20"/>
                <w:szCs w:val="20"/>
                <w:color w:val="auto"/>
              </w:rPr>
            </w:pPr>
            <w:r>
              <w:rPr>
                <w:rFonts w:ascii="Arial" w:cs="Arial" w:eastAsia="Arial" w:hAnsi="Arial"/>
                <w:sz w:val="14"/>
                <w:szCs w:val="14"/>
                <w:color w:val="auto"/>
              </w:rPr>
              <w:t>December 31, 2016</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7"/>
        </w:trPr>
        <w:tc>
          <w:tcPr>
            <w:tcW w:w="7700" w:type="dxa"/>
            <w:vAlign w:val="bottom"/>
          </w:tcPr>
          <w:p>
            <w:pPr>
              <w:spacing w:after="0" w:line="177" w:lineRule="exact"/>
              <w:rPr>
                <w:sz w:val="20"/>
                <w:szCs w:val="20"/>
                <w:color w:val="auto"/>
              </w:rPr>
            </w:pPr>
            <w:r>
              <w:rPr>
                <w:rFonts w:ascii="Arial" w:cs="Arial" w:eastAsia="Arial" w:hAnsi="Arial"/>
                <w:sz w:val="18"/>
                <w:szCs w:val="18"/>
                <w:color w:val="auto"/>
              </w:rPr>
              <w:t>Commercial paper</w:t>
            </w:r>
          </w:p>
        </w:tc>
        <w:tc>
          <w:tcPr>
            <w:tcW w:w="192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1.01%</w:t>
            </w:r>
          </w:p>
        </w:tc>
        <w:tc>
          <w:tcPr>
            <w:tcW w:w="2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2,781</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Revolving bank credit facilities</w:t>
            </w:r>
          </w:p>
        </w:tc>
        <w:tc>
          <w:tcPr>
            <w:tcW w:w="19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spacing w:after="0" w:line="203" w:lineRule="exact"/>
              <w:rPr>
                <w:sz w:val="20"/>
                <w:szCs w:val="20"/>
                <w:color w:val="auto"/>
              </w:rPr>
            </w:pPr>
            <w:r>
              <w:rPr>
                <w:rFonts w:ascii="Arial" w:cs="Arial" w:eastAsia="Arial" w:hAnsi="Arial"/>
                <w:sz w:val="18"/>
                <w:szCs w:val="18"/>
                <w:color w:val="auto"/>
              </w:rPr>
              <w:t>Term loans</w:t>
            </w:r>
            <w:r>
              <w:rPr>
                <w:rFonts w:ascii="Arial" w:cs="Arial" w:eastAsia="Arial" w:hAnsi="Arial"/>
                <w:sz w:val="22"/>
                <w:szCs w:val="22"/>
                <w:color w:val="auto"/>
                <w:vertAlign w:val="superscript"/>
              </w:rPr>
              <w:t>(a)</w:t>
            </w:r>
          </w:p>
        </w:tc>
        <w:tc>
          <w:tcPr>
            <w:tcW w:w="19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2.93%</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3,262</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 at face value</w:t>
            </w:r>
          </w:p>
        </w:tc>
        <w:tc>
          <w:tcPr>
            <w:tcW w:w="19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4.68%</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13,850</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14,300</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5 and 10 years, at face value</w:t>
            </w:r>
          </w:p>
        </w:tc>
        <w:tc>
          <w:tcPr>
            <w:tcW w:w="19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3.86%</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12,049</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03"/>
        </w:trPr>
        <w:tc>
          <w:tcPr>
            <w:tcW w:w="7700" w:type="dxa"/>
            <w:vAlign w:val="bottom"/>
          </w:tcPr>
          <w:p>
            <w:pPr>
              <w:spacing w:after="0" w:line="203" w:lineRule="exact"/>
              <w:rPr>
                <w:sz w:val="20"/>
                <w:szCs w:val="20"/>
                <w:color w:val="auto"/>
              </w:rPr>
            </w:pPr>
            <w:r>
              <w:rPr>
                <w:rFonts w:ascii="Arial" w:cs="Arial" w:eastAsia="Arial" w:hAnsi="Arial"/>
                <w:sz w:val="18"/>
                <w:szCs w:val="18"/>
                <w:color w:val="auto"/>
              </w:rPr>
              <w:t>Senior notes with maturities greater than 10 years, at face value</w:t>
            </w:r>
            <w:r>
              <w:rPr>
                <w:rFonts w:ascii="Arial" w:cs="Arial" w:eastAsia="Arial" w:hAnsi="Arial"/>
                <w:sz w:val="22"/>
                <w:szCs w:val="22"/>
                <w:color w:val="auto"/>
                <w:vertAlign w:val="superscript"/>
              </w:rPr>
              <w:t>(b)</w:t>
            </w:r>
          </w:p>
        </w:tc>
        <w:tc>
          <w:tcPr>
            <w:tcW w:w="19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5.19%</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28,587</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Other, including capital lease obligations</w:t>
            </w:r>
          </w:p>
        </w:tc>
        <w:tc>
          <w:tcPr>
            <w:tcW w:w="1920" w:type="dxa"/>
            <w:vAlign w:val="bottom"/>
          </w:tcPr>
          <w:p>
            <w:pPr>
              <w:jc w:val="right"/>
              <w:ind w:right="299"/>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842</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Debt issuance costs, premiums, discounts and fair value adjustments for hedged positions, net</w:t>
            </w:r>
          </w:p>
        </w:tc>
        <w:tc>
          <w:tcPr>
            <w:tcW w:w="192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77"/>
        </w:trPr>
        <w:tc>
          <w:tcPr>
            <w:tcW w:w="770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1920" w:type="dxa"/>
            <w:vAlign w:val="bottom"/>
          </w:tcPr>
          <w:p>
            <w:pPr>
              <w:jc w:val="right"/>
              <w:spacing w:after="0" w:line="177" w:lineRule="exact"/>
              <w:rPr>
                <w:sz w:val="20"/>
                <w:szCs w:val="20"/>
                <w:color w:val="auto"/>
              </w:rPr>
            </w:pPr>
            <w:r>
              <w:rPr>
                <w:rFonts w:ascii="Arial" w:cs="Arial" w:eastAsia="Arial" w:hAnsi="Arial"/>
                <w:sz w:val="16"/>
                <w:szCs w:val="16"/>
                <w:color w:val="auto"/>
              </w:rPr>
              <w:t>4.50%</w:t>
            </w:r>
            <w:r>
              <w:rPr>
                <w:rFonts w:ascii="Arial" w:cs="Arial" w:eastAsia="Arial" w:hAnsi="Arial"/>
                <w:sz w:val="20"/>
                <w:szCs w:val="20"/>
                <w:color w:val="auto"/>
                <w:vertAlign w:val="superscript"/>
              </w:rPr>
              <w:t>(c)</w:t>
            </w:r>
          </w:p>
        </w:tc>
        <w:tc>
          <w:tcPr>
            <w:tcW w:w="20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61,046</w:t>
            </w:r>
          </w:p>
        </w:tc>
        <w:tc>
          <w:tcPr>
            <w:tcW w:w="200" w:type="dxa"/>
            <w:vAlign w:val="bottom"/>
          </w:tcPr>
          <w:p>
            <w:pPr>
              <w:spacing w:after="0"/>
              <w:rPr>
                <w:sz w:val="15"/>
                <w:szCs w:val="15"/>
                <w:color w:val="auto"/>
              </w:rPr>
            </w:pP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52,621</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5,480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Long-term debt</w:t>
            </w:r>
          </w:p>
        </w:tc>
        <w:tc>
          <w:tcPr>
            <w:tcW w:w="1920" w:type="dxa"/>
            <w:vAlign w:val="bottom"/>
            <w:tcBorders>
              <w:bottom w:val="single" w:sz="8" w:color="0C6DFF"/>
            </w:tcBorders>
          </w:tcPr>
          <w:p>
            <w:pPr>
              <w:spacing w:after="0"/>
              <w:rPr>
                <w:sz w:val="17"/>
                <w:szCs w:val="17"/>
                <w:color w:val="auto"/>
              </w:rPr>
            </w:pP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55,566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48,994</w:t>
            </w:r>
          </w:p>
        </w:tc>
        <w:tc>
          <w:tcPr>
            <w:tcW w:w="0" w:type="dxa"/>
            <w:vAlign w:val="bottom"/>
          </w:tcPr>
          <w:p>
            <w:pPr>
              <w:spacing w:after="0"/>
              <w:rPr>
                <w:sz w:val="1"/>
                <w:szCs w:val="1"/>
                <w:color w:val="auto"/>
              </w:rPr>
            </w:pPr>
          </w:p>
        </w:tc>
      </w:tr>
      <w:tr>
        <w:trPr>
          <w:trHeight w:val="506"/>
        </w:trPr>
        <w:tc>
          <w:tcPr>
            <w:tcW w:w="7700" w:type="dxa"/>
            <w:vAlign w:val="bottom"/>
          </w:tcPr>
          <w:p>
            <w:pPr>
              <w:ind w:left="5680"/>
              <w:spacing w:after="0"/>
              <w:rPr>
                <w:sz w:val="20"/>
                <w:szCs w:val="20"/>
                <w:color w:val="auto"/>
              </w:rPr>
            </w:pPr>
            <w:r>
              <w:rPr>
                <w:rFonts w:ascii="Arial" w:cs="Arial" w:eastAsia="Arial" w:hAnsi="Arial"/>
                <w:sz w:val="14"/>
                <w:szCs w:val="14"/>
                <w:b w:val="1"/>
                <w:bCs w:val="1"/>
                <w:color w:val="auto"/>
              </w:rPr>
              <w:t>97</w:t>
            </w:r>
          </w:p>
        </w:tc>
        <w:tc>
          <w:tcPr>
            <w:tcW w:w="3720" w:type="dxa"/>
            <w:vAlign w:val="bottom"/>
            <w:gridSpan w:val="5"/>
          </w:tcPr>
          <w:p>
            <w:pPr>
              <w:jc w:val="right"/>
              <w:spacing w:after="0"/>
              <w:rPr>
                <w:sz w:val="20"/>
                <w:szCs w:val="20"/>
                <w:color w:val="auto"/>
              </w:rPr>
            </w:pPr>
            <w:r>
              <w:rPr>
                <w:rFonts w:ascii="Arial" w:cs="Arial" w:eastAsia="Arial" w:hAnsi="Arial"/>
                <w:sz w:val="14"/>
                <w:szCs w:val="14"/>
                <w:color w:val="auto"/>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0" w:lineRule="exact"/>
        <w:rPr>
          <w:sz w:val="20"/>
          <w:szCs w:val="20"/>
          <w:color w:val="auto"/>
        </w:rPr>
      </w:pPr>
    </w:p>
    <w:p>
      <w:pPr>
        <w:ind w:left="300" w:right="20" w:hanging="292"/>
        <w:spacing w:after="0" w:line="231" w:lineRule="auto"/>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December 31, 2016 and 2015 amounts consist of ¥382 billion and ¥400 billion, respectively, of Universal Studios Japan term loans translated using the exchange rates as of these dates.</w:t>
      </w:r>
    </w:p>
    <w:p>
      <w:pPr>
        <w:spacing w:after="0" w:line="54" w:lineRule="exact"/>
        <w:rPr>
          <w:rFonts w:ascii="Arial" w:cs="Arial" w:eastAsia="Arial" w:hAnsi="Arial"/>
          <w:sz w:val="14"/>
          <w:szCs w:val="14"/>
          <w:color w:val="auto"/>
        </w:rPr>
      </w:pPr>
    </w:p>
    <w:p>
      <w:pPr>
        <w:ind w:left="300" w:right="20" w:hanging="292"/>
        <w:spacing w:after="0" w:line="231" w:lineRule="auto"/>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December 31, 2016 and 2015 amounts include £625 million of 5.50% notes due 2029, which translated to $771 million and $921 million, respectively, using the exchange rates as of these dates.</w:t>
      </w:r>
    </w:p>
    <w:p>
      <w:pPr>
        <w:spacing w:after="0" w:line="54" w:lineRule="exact"/>
        <w:rPr>
          <w:rFonts w:ascii="Arial" w:cs="Arial" w:eastAsia="Arial" w:hAnsi="Arial"/>
          <w:sz w:val="14"/>
          <w:szCs w:val="14"/>
          <w:color w:val="auto"/>
        </w:rPr>
      </w:pPr>
    </w:p>
    <w:p>
      <w:pPr>
        <w:ind w:left="280" w:hanging="272"/>
        <w:spacing w:after="0"/>
        <w:tabs>
          <w:tab w:leader="none" w:pos="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2016 and 2015, our debt had an estimated fair value of $66.3 billion and $58.0 billion, respectively.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 See Note 19 for additional information on our cross-guarantee structure.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Principal Maturities of Debt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Borders>
              <w:top w:val="single" w:sz="8" w:color="auto"/>
            </w:tcBorders>
          </w:tcPr>
          <w:p>
            <w:pPr>
              <w:spacing w:after="0"/>
              <w:rPr>
                <w:sz w:val="14"/>
                <w:szCs w:val="14"/>
                <w:color w:val="auto"/>
              </w:rPr>
            </w:pPr>
          </w:p>
        </w:tc>
        <w:tc>
          <w:tcPr>
            <w:tcW w:w="396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color w:val="auto"/>
              </w:rPr>
              <w:t>Weighted-Average</w:t>
            </w: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49"/>
        </w:trPr>
        <w:tc>
          <w:tcPr>
            <w:tcW w:w="6520" w:type="dxa"/>
            <w:vAlign w:val="bottom"/>
          </w:tcPr>
          <w:p>
            <w:pPr>
              <w:spacing w:after="0"/>
              <w:rPr>
                <w:sz w:val="12"/>
                <w:szCs w:val="12"/>
                <w:color w:val="auto"/>
              </w:rPr>
            </w:pPr>
          </w:p>
        </w:tc>
        <w:tc>
          <w:tcPr>
            <w:tcW w:w="3960" w:type="dxa"/>
            <w:vAlign w:val="bottom"/>
          </w:tcPr>
          <w:p>
            <w:pPr>
              <w:jc w:val="right"/>
              <w:ind w:right="199"/>
              <w:spacing w:after="0" w:line="149" w:lineRule="exact"/>
              <w:rPr>
                <w:sz w:val="20"/>
                <w:szCs w:val="20"/>
                <w:color w:val="auto"/>
              </w:rPr>
            </w:pPr>
            <w:r>
              <w:rPr>
                <w:rFonts w:ascii="Arial" w:cs="Arial" w:eastAsia="Arial" w:hAnsi="Arial"/>
                <w:sz w:val="14"/>
                <w:szCs w:val="14"/>
                <w:color w:val="auto"/>
              </w:rPr>
              <w:t>Interest Rate as of</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3"/>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December 31, 2016</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99"/>
        </w:trPr>
        <w:tc>
          <w:tcPr>
            <w:tcW w:w="6520" w:type="dxa"/>
            <w:vAlign w:val="bottom"/>
          </w:tcPr>
          <w:p>
            <w:pPr>
              <w:spacing w:after="0" w:line="200" w:lineRule="exact"/>
              <w:rPr>
                <w:sz w:val="20"/>
                <w:szCs w:val="20"/>
                <w:color w:val="auto"/>
              </w:rPr>
            </w:pPr>
            <w:r>
              <w:rPr>
                <w:rFonts w:ascii="Arial" w:cs="Arial" w:eastAsia="Arial" w:hAnsi="Arial"/>
                <w:sz w:val="18"/>
                <w:szCs w:val="18"/>
                <w:color w:val="auto"/>
              </w:rPr>
              <w:t>2017</w:t>
            </w:r>
          </w:p>
        </w:tc>
        <w:tc>
          <w:tcPr>
            <w:tcW w:w="3960" w:type="dxa"/>
            <w:vAlign w:val="bottom"/>
          </w:tcPr>
          <w:p>
            <w:pPr>
              <w:jc w:val="right"/>
              <w:ind w:right="39"/>
              <w:spacing w:after="0" w:line="200" w:lineRule="exact"/>
              <w:rPr>
                <w:sz w:val="20"/>
                <w:szCs w:val="20"/>
                <w:color w:val="auto"/>
              </w:rPr>
            </w:pPr>
            <w:r>
              <w:rPr>
                <w:rFonts w:ascii="Arial" w:cs="Arial" w:eastAsia="Arial" w:hAnsi="Arial"/>
                <w:sz w:val="18"/>
                <w:szCs w:val="18"/>
                <w:color w:val="auto"/>
              </w:rPr>
              <w:t>4.22%</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5,483</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960" w:type="dxa"/>
            <w:vAlign w:val="bottom"/>
          </w:tcPr>
          <w:p>
            <w:pPr>
              <w:jc w:val="right"/>
              <w:ind w:right="39"/>
              <w:spacing w:after="0" w:line="202" w:lineRule="exact"/>
              <w:rPr>
                <w:sz w:val="20"/>
                <w:szCs w:val="20"/>
                <w:color w:val="auto"/>
              </w:rPr>
            </w:pPr>
            <w:r>
              <w:rPr>
                <w:rFonts w:ascii="Arial" w:cs="Arial" w:eastAsia="Arial" w:hAnsi="Arial"/>
                <w:sz w:val="18"/>
                <w:szCs w:val="18"/>
                <w:color w:val="auto"/>
              </w:rPr>
              <w:t>4.05%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4,203</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396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3.11%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2,466</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3960" w:type="dxa"/>
            <w:vAlign w:val="bottom"/>
          </w:tcPr>
          <w:p>
            <w:pPr>
              <w:jc w:val="right"/>
              <w:ind w:right="39"/>
              <w:spacing w:after="0" w:line="202" w:lineRule="exact"/>
              <w:rPr>
                <w:sz w:val="20"/>
                <w:szCs w:val="20"/>
                <w:color w:val="auto"/>
              </w:rPr>
            </w:pPr>
            <w:r>
              <w:rPr>
                <w:rFonts w:ascii="Arial" w:cs="Arial" w:eastAsia="Arial" w:hAnsi="Arial"/>
                <w:sz w:val="18"/>
                <w:szCs w:val="18"/>
                <w:color w:val="auto"/>
              </w:rPr>
              <w:t>4.18%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6,217</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3960" w:type="dxa"/>
            <w:vAlign w:val="bottom"/>
          </w:tcPr>
          <w:p>
            <w:pPr>
              <w:jc w:val="right"/>
              <w:ind w:right="39"/>
              <w:spacing w:after="0" w:line="202" w:lineRule="exact"/>
              <w:rPr>
                <w:sz w:val="20"/>
                <w:szCs w:val="20"/>
                <w:color w:val="auto"/>
              </w:rPr>
            </w:pPr>
            <w:r>
              <w:rPr>
                <w:rFonts w:ascii="Arial" w:cs="Arial" w:eastAsia="Arial" w:hAnsi="Arial"/>
                <w:sz w:val="18"/>
                <w:szCs w:val="18"/>
                <w:color w:val="auto"/>
              </w:rPr>
              <w:t>4.36%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2,043</w:t>
            </w:r>
          </w:p>
        </w:tc>
      </w:tr>
      <w:tr>
        <w:trPr>
          <w:trHeight w:val="199"/>
        </w:trPr>
        <w:tc>
          <w:tcPr>
            <w:tcW w:w="65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96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4.82%</w:t>
            </w:r>
          </w:p>
        </w:tc>
        <w:tc>
          <w:tcPr>
            <w:tcW w:w="940" w:type="dxa"/>
            <w:vAlign w:val="bottom"/>
            <w:tcBorders>
              <w:bottom w:val="single" w:sz="8" w:color="auto"/>
            </w:tcBorders>
            <w:gridSpan w:val="2"/>
          </w:tcPr>
          <w:p>
            <w:pPr>
              <w:jc w:val="right"/>
              <w:ind w:right="12"/>
              <w:spacing w:after="0" w:line="200" w:lineRule="exact"/>
              <w:rPr>
                <w:sz w:val="20"/>
                <w:szCs w:val="20"/>
                <w:color w:val="auto"/>
              </w:rPr>
            </w:pPr>
            <w:r>
              <w:rPr>
                <w:rFonts w:ascii="Arial" w:cs="Arial" w:eastAsia="Arial" w:hAnsi="Arial"/>
                <w:sz w:val="18"/>
                <w:szCs w:val="18"/>
                <w:color w:val="auto"/>
              </w:rPr>
              <w:t>$ 40,959</w:t>
            </w:r>
          </w:p>
        </w:tc>
      </w:tr>
      <w:tr>
        <w:trPr>
          <w:trHeight w:val="370"/>
        </w:trPr>
        <w:tc>
          <w:tcPr>
            <w:tcW w:w="6520" w:type="dxa"/>
            <w:vAlign w:val="bottom"/>
          </w:tcPr>
          <w:p>
            <w:pPr>
              <w:spacing w:after="0"/>
              <w:rPr>
                <w:sz w:val="20"/>
                <w:szCs w:val="20"/>
                <w:color w:val="auto"/>
              </w:rPr>
            </w:pPr>
            <w:r>
              <w:rPr>
                <w:rFonts w:ascii="Arial" w:cs="Arial" w:eastAsia="Arial" w:hAnsi="Arial"/>
                <w:sz w:val="18"/>
                <w:szCs w:val="18"/>
                <w:color w:val="0C6DFF"/>
              </w:rPr>
              <w:t>2016 Debt Borrowings</w:t>
            </w: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
        </w:trPr>
        <w:tc>
          <w:tcPr>
            <w:tcW w:w="652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7"/>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2016 (in millions)</w:t>
            </w:r>
          </w:p>
        </w:tc>
        <w:tc>
          <w:tcPr>
            <w:tcW w:w="3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99"/>
        </w:trPr>
        <w:tc>
          <w:tcPr>
            <w:tcW w:w="6520" w:type="dxa"/>
            <w:vAlign w:val="bottom"/>
          </w:tcPr>
          <w:p>
            <w:pPr>
              <w:spacing w:after="0" w:line="200" w:lineRule="exact"/>
              <w:rPr>
                <w:sz w:val="20"/>
                <w:szCs w:val="20"/>
                <w:color w:val="auto"/>
              </w:rPr>
            </w:pPr>
            <w:r>
              <w:rPr>
                <w:rFonts w:ascii="Arial" w:cs="Arial" w:eastAsia="Arial" w:hAnsi="Arial"/>
                <w:sz w:val="18"/>
                <w:szCs w:val="18"/>
                <w:color w:val="auto"/>
              </w:rPr>
              <w:t>Comcast 3.15% senior notes due 2026</w:t>
            </w:r>
          </w:p>
        </w:tc>
        <w:tc>
          <w:tcPr>
            <w:tcW w:w="3960" w:type="dxa"/>
            <w:vAlign w:val="bottom"/>
          </w:tcPr>
          <w:p>
            <w:pPr>
              <w:spacing w:after="0"/>
              <w:rPr>
                <w:sz w:val="17"/>
                <w:szCs w:val="17"/>
                <w:color w:val="auto"/>
              </w:rPr>
            </w:pPr>
          </w:p>
        </w:tc>
        <w:tc>
          <w:tcPr>
            <w:tcW w:w="94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$ 2,200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Comcast 4.05% senior notes due 2046</w:t>
            </w: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1,430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Comcast 2.35% senior notes due 2027</w:t>
            </w: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1,400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Comcast 3.40% senior notes due 2046</w:t>
            </w: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1,400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Comcast 2.75% senior notes due 2023</w:t>
            </w: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1,100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Comcast 3.20% senior notes due 2036</w:t>
            </w: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Comcast 1.625% senior notes due 2022</w:t>
            </w: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700</w:t>
            </w:r>
          </w:p>
        </w:tc>
      </w:tr>
      <w:tr>
        <w:trPr>
          <w:trHeight w:val="199"/>
        </w:trPr>
        <w:tc>
          <w:tcPr>
            <w:tcW w:w="65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3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w:t>
            </w:r>
          </w:p>
        </w:tc>
      </w:tr>
      <w:tr>
        <w:trPr>
          <w:trHeight w:val="196"/>
        </w:trPr>
        <w:tc>
          <w:tcPr>
            <w:tcW w:w="65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960" w:type="dxa"/>
            <w:vAlign w:val="bottom"/>
            <w:tcBorders>
              <w:bottom w:val="single" w:sz="8" w:color="0C6DFF"/>
            </w:tcBorders>
          </w:tcPr>
          <w:p>
            <w:pPr>
              <w:spacing w:after="0"/>
              <w:rPr>
                <w:sz w:val="17"/>
                <w:szCs w:val="17"/>
                <w:color w:val="auto"/>
              </w:rPr>
            </w:pPr>
          </w:p>
        </w:tc>
        <w:tc>
          <w:tcPr>
            <w:tcW w:w="940" w:type="dxa"/>
            <w:vAlign w:val="bottom"/>
            <w:tcBorders>
              <w:bottom w:val="single" w:sz="8" w:color="0C6DFF"/>
            </w:tcBorders>
            <w:gridSpan w:val="2"/>
          </w:tcPr>
          <w:p>
            <w:pPr>
              <w:jc w:val="right"/>
              <w:ind w:right="12"/>
              <w:spacing w:after="0" w:line="196" w:lineRule="exact"/>
              <w:rPr>
                <w:sz w:val="20"/>
                <w:szCs w:val="20"/>
                <w:color w:val="auto"/>
              </w:rPr>
            </w:pPr>
            <w:r>
              <w:rPr>
                <w:rFonts w:ascii="Arial" w:cs="Arial" w:eastAsia="Arial" w:hAnsi="Arial"/>
                <w:sz w:val="18"/>
                <w:szCs w:val="18"/>
                <w:color w:val="auto"/>
              </w:rPr>
              <w:t>$ 9,231</w:t>
            </w:r>
          </w:p>
        </w:tc>
      </w:tr>
      <w:tr>
        <w:trPr>
          <w:trHeight w:val="370"/>
        </w:trPr>
        <w:tc>
          <w:tcPr>
            <w:tcW w:w="6520" w:type="dxa"/>
            <w:vAlign w:val="bottom"/>
          </w:tcPr>
          <w:p>
            <w:pPr>
              <w:spacing w:after="0"/>
              <w:rPr>
                <w:sz w:val="20"/>
                <w:szCs w:val="20"/>
                <w:color w:val="auto"/>
              </w:rPr>
            </w:pPr>
            <w:r>
              <w:rPr>
                <w:rFonts w:ascii="Arial" w:cs="Arial" w:eastAsia="Arial" w:hAnsi="Arial"/>
                <w:sz w:val="18"/>
                <w:szCs w:val="18"/>
                <w:color w:val="0C6DFF"/>
              </w:rPr>
              <w:t>2016 Debt Redemptions and Repayments</w:t>
            </w: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
        </w:trPr>
        <w:tc>
          <w:tcPr>
            <w:tcW w:w="652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7"/>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2016 (in millions)</w:t>
            </w:r>
          </w:p>
        </w:tc>
        <w:tc>
          <w:tcPr>
            <w:tcW w:w="3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99"/>
        </w:trPr>
        <w:tc>
          <w:tcPr>
            <w:tcW w:w="6520" w:type="dxa"/>
            <w:vAlign w:val="bottom"/>
          </w:tcPr>
          <w:p>
            <w:pPr>
              <w:spacing w:after="0" w:line="200" w:lineRule="exact"/>
              <w:rPr>
                <w:sz w:val="20"/>
                <w:szCs w:val="20"/>
                <w:color w:val="auto"/>
              </w:rPr>
            </w:pPr>
            <w:r>
              <w:rPr>
                <w:rFonts w:ascii="Arial" w:cs="Arial" w:eastAsia="Arial" w:hAnsi="Arial"/>
                <w:sz w:val="18"/>
                <w:szCs w:val="18"/>
                <w:color w:val="auto"/>
              </w:rPr>
              <w:t>NBCUniversal 2.875% senior notes due 2016</w:t>
            </w:r>
          </w:p>
        </w:tc>
        <w:tc>
          <w:tcPr>
            <w:tcW w:w="3960" w:type="dxa"/>
            <w:vAlign w:val="bottom"/>
          </w:tcPr>
          <w:p>
            <w:pPr>
              <w:spacing w:after="0"/>
              <w:rPr>
                <w:sz w:val="17"/>
                <w:szCs w:val="17"/>
                <w:color w:val="auto"/>
              </w:rPr>
            </w:pPr>
          </w:p>
        </w:tc>
        <w:tc>
          <w:tcPr>
            <w:tcW w:w="94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$ 1,000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Comcast 4.95% senior notes due 2016</w:t>
            </w: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NBCUniversal Enterprise senior notes due 2016</w:t>
            </w: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700</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DreamWorks Animation assumed debt (see Note 5)</w:t>
            </w:r>
          </w:p>
        </w:tc>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381</w:t>
            </w:r>
          </w:p>
        </w:tc>
      </w:tr>
      <w:tr>
        <w:trPr>
          <w:trHeight w:val="199"/>
        </w:trPr>
        <w:tc>
          <w:tcPr>
            <w:tcW w:w="65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3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221</w:t>
            </w:r>
          </w:p>
        </w:tc>
      </w:tr>
      <w:tr>
        <w:trPr>
          <w:trHeight w:val="196"/>
        </w:trPr>
        <w:tc>
          <w:tcPr>
            <w:tcW w:w="65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960" w:type="dxa"/>
            <w:vAlign w:val="bottom"/>
            <w:tcBorders>
              <w:bottom w:val="single" w:sz="8" w:color="0C6DFF"/>
            </w:tcBorders>
          </w:tcPr>
          <w:p>
            <w:pPr>
              <w:spacing w:after="0"/>
              <w:rPr>
                <w:sz w:val="17"/>
                <w:szCs w:val="17"/>
                <w:color w:val="auto"/>
              </w:rPr>
            </w:pPr>
          </w:p>
        </w:tc>
        <w:tc>
          <w:tcPr>
            <w:tcW w:w="940" w:type="dxa"/>
            <w:vAlign w:val="bottom"/>
            <w:tcBorders>
              <w:bottom w:val="single" w:sz="8" w:color="0C6DFF"/>
            </w:tcBorders>
            <w:gridSpan w:val="2"/>
          </w:tcPr>
          <w:p>
            <w:pPr>
              <w:jc w:val="right"/>
              <w:ind w:right="12"/>
              <w:spacing w:after="0" w:line="196" w:lineRule="exact"/>
              <w:rPr>
                <w:sz w:val="20"/>
                <w:szCs w:val="20"/>
                <w:color w:val="auto"/>
              </w:rPr>
            </w:pPr>
            <w:r>
              <w:rPr>
                <w:rFonts w:ascii="Arial" w:cs="Arial" w:eastAsia="Arial" w:hAnsi="Arial"/>
                <w:sz w:val="18"/>
                <w:szCs w:val="18"/>
                <w:color w:val="auto"/>
              </w:rPr>
              <w:t>$ 3,052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Revolving Bank Credit Facilities</w:t>
      </w:r>
    </w:p>
    <w:p>
      <w:pPr>
        <w:jc w:val="both"/>
        <w:spacing w:after="0" w:line="238" w:lineRule="auto"/>
        <w:rPr>
          <w:sz w:val="20"/>
          <w:szCs w:val="20"/>
          <w:color w:val="auto"/>
        </w:rPr>
      </w:pPr>
      <w:r>
        <w:rPr>
          <w:rFonts w:ascii="Arial" w:cs="Arial" w:eastAsia="Arial" w:hAnsi="Arial"/>
          <w:sz w:val="18"/>
          <w:szCs w:val="18"/>
          <w:color w:val="auto"/>
        </w:rPr>
        <w:t>In May 2016, we entered into a new $7 billion revolving credit facility due 2021 with a syndicate of banks (“Comcast revolving credit facility”) that may be used for general corporate purposes. We may increase the commitment under the Comcast revolving credit facility up to a total of $10 billion, as well as extend the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98</w:t>
            </w: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expiration date to a date no later than 2023, subject to approval of the lenders. In addition, NBCUniversal Enterprise entered into a new $1.5 billion revolving credit facility due 2021 with a syndicate of banks (“NBCUniversal Enterprise revolving credit facility”) that may be used for general corporate purposes. We may increase the commitment under the NBCUniversal Enterprise revolving credit facility up to a total of $2 billion, as well as extend the expiration date to a date no later than 2023, subject to approval of the lenders. The new revolving credit facilities replaced Comcast’s $6.25 billion and NBCUniversal Enterprise’s $1.35 billion revolving credit facilities, which were terminated in connection with the execution of the new revolving credit facilities. The interest rates on the new revolving credit facilities consist of a base rate plus a borrowing margin that is determined based on Comcast’s credit rating. As of December 31, 2016, the borrowing margin for borrowings based on the London Interbank Offered Rate was 1.00%. Similar to the Comcast and NBCUniversal Enterprise prior revolving credit facilities, each of the new revolving credit facilities require that we maintain certain financial ratios based on their respective debt and operating income before depreciation and amortization, as defined in the credit facility. We were in compliance with all financial covenants for all periods presented.</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amounts available under our consolidated credit facilities, net of amounts outstanding under our commercial paper programs and outstanding letters of credit, totaled $5.5 billion, which included $460 million available under the NBCUniversal Enterprise revolving credit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Commercial Paper Programs</w:t>
      </w:r>
    </w:p>
    <w:p>
      <w:pPr>
        <w:jc w:val="both"/>
        <w:spacing w:after="0" w:line="236" w:lineRule="auto"/>
        <w:rPr>
          <w:sz w:val="20"/>
          <w:szCs w:val="20"/>
          <w:color w:val="auto"/>
        </w:rPr>
      </w:pPr>
      <w:r>
        <w:rPr>
          <w:rFonts w:ascii="Arial" w:cs="Arial" w:eastAsia="Arial" w:hAnsi="Arial"/>
          <w:sz w:val="18"/>
          <w:szCs w:val="18"/>
          <w:color w:val="auto"/>
        </w:rPr>
        <w:t>Our commercial paper programs provide a lower-cost source of borrowing to fund our short-term working capital requirements. The maximum borrowing capacity under the Comcast commercial paper program is $6.25 billion. We support this commercial paper program with unused capacity under the Comcast revolving credit facility. The maximum borrowing capacity under the NBCUniversal Enterprise commercial paper program is $1.35 billion. We support this commercial paper program with unused capacity under the NBCUniversal Enterprise revolving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Term Loans</w:t>
      </w:r>
    </w:p>
    <w:p>
      <w:pPr>
        <w:jc w:val="both"/>
        <w:spacing w:after="0" w:line="238" w:lineRule="auto"/>
        <w:rPr>
          <w:sz w:val="20"/>
          <w:szCs w:val="20"/>
          <w:color w:val="auto"/>
        </w:rPr>
      </w:pPr>
      <w:r>
        <w:rPr>
          <w:rFonts w:ascii="Arial" w:cs="Arial" w:eastAsia="Arial" w:hAnsi="Arial"/>
          <w:sz w:val="18"/>
          <w:szCs w:val="18"/>
          <w:color w:val="auto"/>
        </w:rPr>
        <w:t>Our term loans consist of the Universal Studios Japan term loans, which have a final maturity of November 2020. These term loans contain financial and operating covenants and are secured by the assets of Universal Studios Japan and the equity interests of the other investors. We do not guarantee these term loans and they are otherwise nonrecourse to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Letters of Credit</w:t>
      </w:r>
    </w:p>
    <w:p>
      <w:pPr>
        <w:jc w:val="both"/>
        <w:spacing w:after="0" w:line="239" w:lineRule="auto"/>
        <w:rPr>
          <w:sz w:val="20"/>
          <w:szCs w:val="20"/>
          <w:color w:val="auto"/>
        </w:rPr>
      </w:pPr>
      <w:r>
        <w:rPr>
          <w:rFonts w:ascii="Arial" w:cs="Arial" w:eastAsia="Arial" w:hAnsi="Arial"/>
          <w:sz w:val="18"/>
          <w:szCs w:val="18"/>
          <w:color w:val="auto"/>
        </w:rPr>
        <w:t>As of December 31, 2016, we and certain of our subsidiaries had unused irrevocable standby letters of credit totaling $443 million to cover potential fundings under various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11: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2014</w:t>
            </w:r>
          </w:p>
        </w:tc>
      </w:tr>
      <w:tr>
        <w:trPr>
          <w:trHeight w:val="177"/>
        </w:trPr>
        <w:tc>
          <w:tcPr>
            <w:tcW w:w="684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20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76"/>
              <w:spacing w:after="0" w:line="177" w:lineRule="exact"/>
              <w:rPr>
                <w:sz w:val="20"/>
                <w:szCs w:val="20"/>
                <w:color w:val="auto"/>
              </w:rPr>
            </w:pPr>
            <w:r>
              <w:rPr>
                <w:rFonts w:ascii="Arial" w:cs="Arial" w:eastAsia="Arial" w:hAnsi="Arial"/>
                <w:sz w:val="18"/>
                <w:szCs w:val="18"/>
                <w:b w:val="1"/>
                <w:bCs w:val="1"/>
                <w:color w:val="auto"/>
              </w:rPr>
              <w:t>538</w:t>
            </w:r>
          </w:p>
        </w:tc>
        <w:tc>
          <w:tcPr>
            <w:tcW w:w="4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76"/>
              <w:spacing w:after="0" w:line="177" w:lineRule="exact"/>
              <w:rPr>
                <w:sz w:val="20"/>
                <w:szCs w:val="20"/>
                <w:color w:val="auto"/>
              </w:rPr>
            </w:pPr>
            <w:r>
              <w:rPr>
                <w:rFonts w:ascii="Arial" w:cs="Arial" w:eastAsia="Arial" w:hAnsi="Arial"/>
                <w:sz w:val="18"/>
                <w:szCs w:val="18"/>
                <w:color w:val="auto"/>
              </w:rPr>
              <w:t>820</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837</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Plan funded status and recorded benefit obligation</w:t>
            </w:r>
          </w:p>
        </w:tc>
        <w:tc>
          <w:tcPr>
            <w:tcW w:w="2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w w:val="99"/>
              </w:rPr>
              <w:t>(538)</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16"/>
              <w:spacing w:after="0" w:line="202" w:lineRule="exact"/>
              <w:rPr>
                <w:sz w:val="20"/>
                <w:szCs w:val="20"/>
                <w:color w:val="auto"/>
              </w:rPr>
            </w:pPr>
            <w:r>
              <w:rPr>
                <w:rFonts w:ascii="Arial" w:cs="Arial" w:eastAsia="Arial" w:hAnsi="Arial"/>
                <w:sz w:val="18"/>
                <w:szCs w:val="18"/>
                <w:color w:val="auto"/>
                <w:w w:val="99"/>
              </w:rPr>
              <w:t>(820)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76"/>
              <w:spacing w:after="0" w:line="202" w:lineRule="exact"/>
              <w:rPr>
                <w:sz w:val="20"/>
                <w:szCs w:val="20"/>
                <w:color w:val="auto"/>
              </w:rPr>
            </w:pPr>
            <w:r>
              <w:rPr>
                <w:rFonts w:ascii="Arial" w:cs="Arial" w:eastAsia="Arial" w:hAnsi="Arial"/>
                <w:sz w:val="18"/>
                <w:szCs w:val="18"/>
                <w:color w:val="auto"/>
                <w:w w:val="95"/>
              </w:rPr>
              <w:t>(837)</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 benefits expense</w:t>
            </w:r>
          </w:p>
        </w:tc>
        <w:tc>
          <w:tcPr>
            <w:tcW w:w="2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w w:val="99"/>
              </w:rPr>
              <w:t>(372)</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46</w:t>
            </w:r>
          </w:p>
        </w:tc>
      </w:tr>
      <w:tr>
        <w:trPr>
          <w:trHeight w:val="221"/>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expense</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70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59</w:t>
            </w:r>
          </w:p>
        </w:tc>
      </w:tr>
      <w:tr>
        <w:trPr>
          <w:trHeight w:val="196"/>
        </w:trPr>
        <w:tc>
          <w:tcPr>
            <w:tcW w:w="6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Discount rate</w:t>
            </w:r>
          </w:p>
        </w:tc>
        <w:tc>
          <w:tcPr>
            <w:tcW w:w="2660" w:type="dxa"/>
            <w:vAlign w:val="bottom"/>
            <w:tcBorders>
              <w:bottom w:val="single" w:sz="8" w:color="auto"/>
            </w:tcBorders>
            <w:gridSpan w:val="2"/>
          </w:tcPr>
          <w:p>
            <w:pPr>
              <w:jc w:val="right"/>
              <w:ind w:right="36"/>
              <w:spacing w:after="0" w:line="196" w:lineRule="exact"/>
              <w:rPr>
                <w:sz w:val="20"/>
                <w:szCs w:val="20"/>
                <w:color w:val="auto"/>
              </w:rPr>
            </w:pPr>
            <w:r>
              <w:rPr>
                <w:rFonts w:ascii="Arial" w:cs="Arial" w:eastAsia="Arial" w:hAnsi="Arial"/>
                <w:sz w:val="18"/>
                <w:szCs w:val="18"/>
                <w:b w:val="1"/>
                <w:bCs w:val="1"/>
                <w:color w:val="auto"/>
              </w:rPr>
              <w:t>4.07-4.56%</w:t>
            </w:r>
          </w:p>
        </w:tc>
        <w:tc>
          <w:tcPr>
            <w:tcW w:w="1100" w:type="dxa"/>
            <w:vAlign w:val="bottom"/>
            <w:tcBorders>
              <w:bottom w:val="single" w:sz="8" w:color="auto"/>
            </w:tcBorders>
            <w:gridSpan w:val="2"/>
          </w:tcPr>
          <w:p>
            <w:pPr>
              <w:jc w:val="right"/>
              <w:ind w:right="16"/>
              <w:spacing w:after="0" w:line="196" w:lineRule="exact"/>
              <w:rPr>
                <w:sz w:val="20"/>
                <w:szCs w:val="20"/>
                <w:color w:val="auto"/>
              </w:rPr>
            </w:pPr>
            <w:r>
              <w:rPr>
                <w:rFonts w:ascii="Arial" w:cs="Arial" w:eastAsia="Arial" w:hAnsi="Arial"/>
                <w:sz w:val="18"/>
                <w:szCs w:val="18"/>
                <w:color w:val="auto"/>
              </w:rPr>
              <w:t>4.70-4.73%</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4.25%</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sponsor various benefit plans that provide postretirement benefits to eligible employees based on years of service. The Comcast Postretirement Healthcare Stipend Program (the “stipend plan”) provides an annual stipend for</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99</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reimbursement of healthcare costs to each eligible employee based on years of service. Under the stipend plan, we are not exposed to the increasing costs of healthcare because the benefits are fixed at a predetermined amount. In December 2016, the stipend plan was amended primarily to reduce the benefits of active employees who retire after December 31, 2017. The plan amendments reduced our benefit obligation in 2016 by $361 million.</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NBCUniversal’s postretirement medical and life insurance plans provide continuous coverage to employees eligible to receive such benefits. A small number of eligible employees also participate in legacy plans of acquired companies.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for our postretirement benefit plans is determined using certain assumptions, including the discount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sponsors various qualified and nonqualified defined benefit pension plans for domestic employees. Since the future benefits have been frozen since the beginning of 2013, we did not recognize service costs related to the pension plans for all periods presented. The benefits expense we recognized for our defined benefit plans was not material for all periods presented. In addition to the defined benefit plans it sponsors, NBCUniversal is also obligated to reimburse General Electric (“GE”) for future benefit payments to those participants who were vested in the supplemental pension plan sponsored by GE at the time of the NBCUniversal transaction in 2011. These pension plans are currently unfunded and we recorded a benefit obligation of $314 million and $309 million as of December 31, 2016 and 2015, respectively, which consists primarily of our obligations to reimburse 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Deferred Compensation Plans</w:t>
      </w:r>
    </w:p>
    <w:p>
      <w:pPr>
        <w:jc w:val="both"/>
        <w:spacing w:after="0" w:line="236"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 accounts, except for those in the NBCUniversal plan, are credited with income primarily based on a fixed annual rate. Participants in the NBCUniversal plan designate one or more valuation funds, independently established funds or indices that are used to determine the amount of investment gain or loss in the participant’s account. Participants are eligible to receive distributions from their account based on elected deferral periods that are consistent with the plans and applicable tax law.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interest expense for our deferred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2014</w:t>
            </w: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5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39"/>
              <w:spacing w:after="0" w:line="177" w:lineRule="exact"/>
              <w:rPr>
                <w:sz w:val="20"/>
                <w:szCs w:val="20"/>
                <w:color w:val="auto"/>
              </w:rPr>
            </w:pPr>
            <w:r>
              <w:rPr>
                <w:rFonts w:ascii="Arial" w:cs="Arial" w:eastAsia="Arial" w:hAnsi="Arial"/>
                <w:sz w:val="18"/>
                <w:szCs w:val="18"/>
                <w:b w:val="1"/>
                <w:bCs w:val="1"/>
                <w:color w:val="auto"/>
              </w:rPr>
              <w:t>2,164</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9"/>
              <w:spacing w:after="0" w:line="177" w:lineRule="exact"/>
              <w:rPr>
                <w:sz w:val="20"/>
                <w:szCs w:val="20"/>
                <w:color w:val="auto"/>
              </w:rPr>
            </w:pPr>
            <w:r>
              <w:rPr>
                <w:rFonts w:ascii="Arial" w:cs="Arial" w:eastAsia="Arial" w:hAnsi="Arial"/>
                <w:sz w:val="18"/>
                <w:szCs w:val="18"/>
                <w:color w:val="auto"/>
                <w:w w:val="97"/>
              </w:rPr>
              <w:t>2,038</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line="177" w:lineRule="exact"/>
              <w:rPr>
                <w:sz w:val="20"/>
                <w:szCs w:val="20"/>
                <w:color w:val="auto"/>
              </w:rPr>
            </w:pPr>
            <w:r>
              <w:rPr>
                <w:rFonts w:ascii="Arial" w:cs="Arial" w:eastAsia="Arial" w:hAnsi="Arial"/>
                <w:sz w:val="18"/>
                <w:szCs w:val="18"/>
                <w:color w:val="auto"/>
              </w:rPr>
              <w:t>1,774</w:t>
            </w: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149</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purchased life insurance policies to recover a portion of the future payments related to our deferred compensation plans. As of December 31, 2016 and 2015, the cash surrender value of these policies, which is recorded to other noncurrent assets, was $709 million and $658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Retirement Investment Plans</w:t>
      </w:r>
    </w:p>
    <w:p>
      <w:pPr>
        <w:jc w:val="both"/>
        <w:spacing w:after="0" w:line="237"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2016, 2015 and 2014, expenses related to these plans totaled $446 million, $416 million and $379 million, respectively.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Multiemployer Benefit Plans</w:t>
      </w:r>
    </w:p>
    <w:p>
      <w:pPr>
        <w:jc w:val="both"/>
        <w:spacing w:after="0" w:line="236"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 and the largest plans in which we participate are funded at a level of 80% or greater.</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2016, 2015 and 2014, the total contributions we made to multiemployer pension plans were $84 million, $77 million and $58 million, respectively. In 2016, 2015 and 2014, the total contributions we made to multiemployer postretirement and other benefit plans were $136 million, $119 million and $125 million,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Severance Benefits</w:t>
      </w:r>
    </w:p>
    <w:p>
      <w:pPr>
        <w:jc w:val="both"/>
        <w:spacing w:after="0" w:line="237" w:lineRule="auto"/>
        <w:rPr>
          <w:sz w:val="20"/>
          <w:szCs w:val="20"/>
          <w:color w:val="auto"/>
        </w:rPr>
      </w:pPr>
      <w:r>
        <w:rPr>
          <w:rFonts w:ascii="Arial" w:cs="Arial" w:eastAsia="Arial" w:hAnsi="Arial"/>
          <w:sz w:val="18"/>
          <w:szCs w:val="18"/>
          <w:color w:val="auto"/>
        </w:rPr>
        <w:t>We provide severance benefits to certain former employees. A liability is recorded when payment is probable, the amount is reasonably estimable, and the obligation relates to rights that have vested or accumulated. In 2016, 2015 and 2014, we recorded severance costs of $315 million, $181 million and $152 million, respectively. Severance costs in 2016 included $61 million of severance costs associated with the acquisition of DreamWorks Animation.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12: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 xml:space="preserve">In the aggregate, holders of our Class A common stock have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xml:space="preserve">% of the voting power of our common stock and holders of our Class B common stock have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xml:space="preserve">% of the voting power of our common stock. Each share of our Class B common stock is entitled to 15 votes. The number of votes held by each share of our Class A common stock depends on the number of shares of Class A and Class B common stock outstanding at any given time. The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Special Common Stock Reclassification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December 2015, our shareholders approved a proposal to amend and restate our Amended and Restated Certificate of Incorporation in order to reclassify each issued share of our Class A Special common stock into one share of our Class A common stock. This reclassification became effective as of the close of business on December 11, 2015, at which time our Class A Special common stock was no longer outstanding and ceased trading on the NASDAQ under the symbol CMCSK and instead became listed on the NASDAQ under the symbol CMCSA. There was no impact on basic and diluted EPS or the carrying value of total common stock as presented in our consolidated balance sheet because it was a one-for-one stock exchange.</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Shares of Common Stock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4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A</w:t>
            </w:r>
          </w:p>
        </w:tc>
        <w:tc>
          <w:tcPr>
            <w:tcW w:w="8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color w:val="auto"/>
              </w:rPr>
              <w:t>A Special</w:t>
            </w:r>
          </w:p>
        </w:tc>
        <w:tc>
          <w:tcPr>
            <w:tcW w:w="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B</w:t>
            </w:r>
          </w:p>
        </w:tc>
      </w:tr>
      <w:tr>
        <w:trPr>
          <w:trHeight w:val="199"/>
        </w:trPr>
        <w:tc>
          <w:tcPr>
            <w:tcW w:w="6820" w:type="dxa"/>
            <w:vAlign w:val="bottom"/>
          </w:tcPr>
          <w:p>
            <w:pPr>
              <w:spacing w:after="0" w:line="200" w:lineRule="exact"/>
              <w:rPr>
                <w:sz w:val="20"/>
                <w:szCs w:val="20"/>
                <w:color w:val="auto"/>
              </w:rPr>
            </w:pPr>
            <w:r>
              <w:rPr>
                <w:rFonts w:ascii="Arial" w:cs="Arial" w:eastAsia="Arial" w:hAnsi="Arial"/>
                <w:sz w:val="18"/>
                <w:szCs w:val="18"/>
                <w:color w:val="auto"/>
              </w:rPr>
              <w:t>Balance, December 31, 2013</w:t>
            </w:r>
          </w:p>
        </w:tc>
        <w:tc>
          <w:tcPr>
            <w:tcW w:w="340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2,138</w:t>
            </w:r>
          </w:p>
        </w:tc>
        <w:tc>
          <w:tcPr>
            <w:tcW w:w="820" w:type="dxa"/>
            <w:vAlign w:val="bottom"/>
          </w:tcPr>
          <w:p>
            <w:pPr>
              <w:jc w:val="right"/>
              <w:ind w:right="93"/>
              <w:spacing w:after="0" w:line="200" w:lineRule="exact"/>
              <w:rPr>
                <w:sz w:val="20"/>
                <w:szCs w:val="20"/>
                <w:color w:val="auto"/>
              </w:rPr>
            </w:pPr>
            <w:r>
              <w:rPr>
                <w:rFonts w:ascii="Arial" w:cs="Arial" w:eastAsia="Arial" w:hAnsi="Arial"/>
                <w:sz w:val="18"/>
                <w:szCs w:val="18"/>
                <w:color w:val="auto"/>
              </w:rPr>
              <w:t>459</w:t>
            </w:r>
          </w:p>
        </w:tc>
        <w:tc>
          <w:tcPr>
            <w:tcW w:w="3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4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4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(59)</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40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jc w:val="right"/>
              <w:ind w:right="93"/>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Pr>
          <w:p>
            <w:pPr>
              <w:spacing w:after="0" w:line="200" w:lineRule="exact"/>
              <w:rPr>
                <w:sz w:val="20"/>
                <w:szCs w:val="20"/>
                <w:color w:val="auto"/>
              </w:rPr>
            </w:pPr>
            <w:r>
              <w:rPr>
                <w:rFonts w:ascii="Arial" w:cs="Arial" w:eastAsia="Arial" w:hAnsi="Arial"/>
                <w:sz w:val="18"/>
                <w:szCs w:val="18"/>
                <w:color w:val="auto"/>
              </w:rPr>
              <w:t>Balance, December 31, 2014</w:t>
            </w:r>
          </w:p>
        </w:tc>
        <w:tc>
          <w:tcPr>
            <w:tcW w:w="340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2,131</w:t>
            </w:r>
          </w:p>
        </w:tc>
        <w:tc>
          <w:tcPr>
            <w:tcW w:w="820" w:type="dxa"/>
            <w:vAlign w:val="bottom"/>
          </w:tcPr>
          <w:p>
            <w:pPr>
              <w:jc w:val="right"/>
              <w:ind w:right="93"/>
              <w:spacing w:after="0" w:line="200" w:lineRule="exact"/>
              <w:rPr>
                <w:sz w:val="20"/>
                <w:szCs w:val="20"/>
                <w:color w:val="auto"/>
              </w:rPr>
            </w:pPr>
            <w:r>
              <w:rPr>
                <w:rFonts w:ascii="Arial" w:cs="Arial" w:eastAsia="Arial" w:hAnsi="Arial"/>
                <w:sz w:val="18"/>
                <w:szCs w:val="18"/>
                <w:color w:val="auto"/>
              </w:rPr>
              <w:t>400</w:t>
            </w:r>
          </w:p>
        </w:tc>
        <w:tc>
          <w:tcPr>
            <w:tcW w:w="3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4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12</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4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(54)</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Employee stock purchase plans</w:t>
            </w:r>
          </w:p>
        </w:tc>
        <w:tc>
          <w:tcPr>
            <w:tcW w:w="34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Reclassification of Class A Special common stock</w:t>
            </w:r>
          </w:p>
        </w:tc>
        <w:tc>
          <w:tcPr>
            <w:tcW w:w="34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346</w:t>
            </w: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(346)</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340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4</w:t>
            </w:r>
          </w:p>
        </w:tc>
        <w:tc>
          <w:tcPr>
            <w:tcW w:w="820" w:type="dxa"/>
            <w:vAlign w:val="bottom"/>
            <w:tcBorders>
              <w:bottom w:val="single" w:sz="8" w:color="auto"/>
            </w:tcBorders>
          </w:tcPr>
          <w:p>
            <w:pPr>
              <w:jc w:val="right"/>
              <w:ind w:right="93"/>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December 31, 2015</w:t>
            </w:r>
          </w:p>
        </w:tc>
        <w:tc>
          <w:tcPr>
            <w:tcW w:w="3400" w:type="dxa"/>
            <w:vAlign w:val="bottom"/>
          </w:tcPr>
          <w:p>
            <w:pPr>
              <w:jc w:val="right"/>
              <w:ind w:right="53"/>
              <w:spacing w:after="0" w:line="177" w:lineRule="exact"/>
              <w:rPr>
                <w:sz w:val="20"/>
                <w:szCs w:val="20"/>
                <w:color w:val="auto"/>
              </w:rPr>
            </w:pPr>
            <w:r>
              <w:rPr>
                <w:rFonts w:ascii="Arial" w:cs="Arial" w:eastAsia="Arial" w:hAnsi="Arial"/>
                <w:sz w:val="18"/>
                <w:szCs w:val="18"/>
                <w:color w:val="auto"/>
              </w:rPr>
              <w:t>2,433</w:t>
            </w:r>
          </w:p>
        </w:tc>
        <w:tc>
          <w:tcPr>
            <w:tcW w:w="820" w:type="dxa"/>
            <w:vAlign w:val="bottom"/>
          </w:tcPr>
          <w:p>
            <w:pPr>
              <w:jc w:val="right"/>
              <w:ind w:right="93"/>
              <w:spacing w:after="0" w:line="177"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34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11</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 common stock</w:t>
            </w:r>
          </w:p>
        </w:tc>
        <w:tc>
          <w:tcPr>
            <w:tcW w:w="3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Employee stock purchase plans</w:t>
            </w:r>
          </w:p>
        </w:tc>
        <w:tc>
          <w:tcPr>
            <w:tcW w:w="34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196"/>
        </w:trPr>
        <w:tc>
          <w:tcPr>
            <w:tcW w:w="6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2016</w:t>
            </w:r>
          </w:p>
        </w:tc>
        <w:tc>
          <w:tcPr>
            <w:tcW w:w="340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2,366</w:t>
            </w:r>
          </w:p>
        </w:tc>
        <w:tc>
          <w:tcPr>
            <w:tcW w:w="82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w:t>
      </w:r>
    </w:p>
    <w:p>
      <w:pPr>
        <w:jc w:val="both"/>
        <w:ind w:right="20"/>
        <w:spacing w:after="0" w:line="23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a total of $12 billion, which does not have an expiration date. Under the authorization, we may repurchase shares in the open market or in private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4"/>
                <w:szCs w:val="14"/>
                <w:color w:val="auto"/>
              </w:rPr>
              <w:t>2014</w:t>
            </w:r>
          </w:p>
        </w:tc>
      </w:tr>
      <w:tr>
        <w:trPr>
          <w:trHeight w:val="177"/>
        </w:trPr>
        <w:tc>
          <w:tcPr>
            <w:tcW w:w="5560" w:type="dxa"/>
            <w:vAlign w:val="bottom"/>
          </w:tcPr>
          <w:p>
            <w:pPr>
              <w:spacing w:after="0" w:line="177" w:lineRule="exact"/>
              <w:rPr>
                <w:sz w:val="20"/>
                <w:szCs w:val="20"/>
                <w:color w:val="auto"/>
              </w:rPr>
            </w:pPr>
            <w:r>
              <w:rPr>
                <w:rFonts w:ascii="Arial" w:cs="Arial" w:eastAsia="Arial" w:hAnsi="Arial"/>
                <w:sz w:val="18"/>
                <w:szCs w:val="18"/>
                <w:color w:val="auto"/>
              </w:rPr>
              <w:t>Cash consideration</w:t>
            </w:r>
          </w:p>
        </w:tc>
        <w:tc>
          <w:tcPr>
            <w:tcW w:w="41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$ 5,000</w:t>
            </w:r>
          </w:p>
        </w:tc>
        <w:tc>
          <w:tcPr>
            <w:tcW w:w="1020" w:type="dxa"/>
            <w:vAlign w:val="bottom"/>
            <w:gridSpan w:val="2"/>
          </w:tcPr>
          <w:p>
            <w:pPr>
              <w:jc w:val="right"/>
              <w:ind w:right="117"/>
              <w:spacing w:after="0" w:line="177" w:lineRule="exact"/>
              <w:rPr>
                <w:sz w:val="20"/>
                <w:szCs w:val="20"/>
                <w:color w:val="auto"/>
              </w:rPr>
            </w:pPr>
            <w:r>
              <w:rPr>
                <w:rFonts w:ascii="Arial" w:cs="Arial" w:eastAsia="Arial" w:hAnsi="Arial"/>
                <w:sz w:val="18"/>
                <w:szCs w:val="18"/>
                <w:color w:val="auto"/>
              </w:rPr>
              <w:t>$ 6,750</w:t>
            </w:r>
          </w:p>
        </w:tc>
        <w:tc>
          <w:tcPr>
            <w:tcW w:w="740" w:type="dxa"/>
            <w:vAlign w:val="bottom"/>
            <w:gridSpan w:val="2"/>
          </w:tcPr>
          <w:p>
            <w:pPr>
              <w:jc w:val="right"/>
              <w:ind w:right="18"/>
              <w:spacing w:after="0" w:line="177" w:lineRule="exact"/>
              <w:rPr>
                <w:sz w:val="20"/>
                <w:szCs w:val="20"/>
                <w:color w:val="auto"/>
              </w:rPr>
            </w:pPr>
            <w:r>
              <w:rPr>
                <w:rFonts w:ascii="Arial" w:cs="Arial" w:eastAsia="Arial" w:hAnsi="Arial"/>
                <w:sz w:val="18"/>
                <w:szCs w:val="18"/>
                <w:color w:val="auto"/>
              </w:rPr>
              <w:t>$ 4,251</w:t>
            </w:r>
          </w:p>
        </w:tc>
      </w:tr>
      <w:tr>
        <w:trPr>
          <w:trHeight w:val="22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repurchased</w:t>
            </w:r>
          </w:p>
        </w:tc>
        <w:tc>
          <w:tcPr>
            <w:tcW w:w="4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81</w:t>
            </w:r>
          </w:p>
        </w:tc>
      </w:tr>
      <w:tr>
        <w:trPr>
          <w:trHeight w:val="370"/>
        </w:trPr>
        <w:tc>
          <w:tcPr>
            <w:tcW w:w="5560" w:type="dxa"/>
            <w:vAlign w:val="bottom"/>
          </w:tcPr>
          <w:p>
            <w:pPr>
              <w:spacing w:after="0"/>
              <w:rPr>
                <w:sz w:val="20"/>
                <w:szCs w:val="20"/>
                <w:color w:val="auto"/>
              </w:rPr>
            </w:pPr>
            <w:r>
              <w:rPr>
                <w:rFonts w:ascii="Arial" w:cs="Arial" w:eastAsia="Arial" w:hAnsi="Arial"/>
                <w:sz w:val="18"/>
                <w:szCs w:val="18"/>
                <w:color w:val="0C6DFF"/>
              </w:rPr>
              <w:t>Accumulated Other Comprehensive Income (Loss)</w:t>
            </w:r>
          </w:p>
        </w:tc>
        <w:tc>
          <w:tcPr>
            <w:tcW w:w="4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
        </w:trPr>
        <w:tc>
          <w:tcPr>
            <w:tcW w:w="556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42"/>
        </w:trPr>
        <w:tc>
          <w:tcPr>
            <w:tcW w:w="5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December 31 (in millions)</w:t>
            </w:r>
          </w:p>
        </w:tc>
        <w:tc>
          <w:tcPr>
            <w:tcW w:w="4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rPr>
              <w:t>2015</w:t>
            </w:r>
          </w:p>
        </w:tc>
      </w:tr>
      <w:tr>
        <w:trPr>
          <w:trHeight w:val="177"/>
        </w:trPr>
        <w:tc>
          <w:tcPr>
            <w:tcW w:w="5560" w:type="dxa"/>
            <w:vAlign w:val="bottom"/>
          </w:tcPr>
          <w:p>
            <w:pPr>
              <w:spacing w:after="0" w:line="177" w:lineRule="exact"/>
              <w:rPr>
                <w:sz w:val="20"/>
                <w:szCs w:val="20"/>
                <w:color w:val="auto"/>
              </w:rPr>
            </w:pPr>
            <w:r>
              <w:rPr>
                <w:rFonts w:ascii="Arial" w:cs="Arial" w:eastAsia="Arial" w:hAnsi="Arial"/>
                <w:sz w:val="18"/>
                <w:szCs w:val="18"/>
                <w:color w:val="auto"/>
              </w:rPr>
              <w:t>Unrealized gains (losses) on marketable securities</w:t>
            </w:r>
          </w:p>
        </w:tc>
        <w:tc>
          <w:tcPr>
            <w:tcW w:w="4100" w:type="dxa"/>
            <w:vAlign w:val="bottom"/>
          </w:tcPr>
          <w:p>
            <w:pPr>
              <w:spacing w:after="0"/>
              <w:rPr>
                <w:sz w:val="15"/>
                <w:szCs w:val="15"/>
                <w:color w:val="auto"/>
              </w:rPr>
            </w:pPr>
          </w:p>
        </w:tc>
        <w:tc>
          <w:tcPr>
            <w:tcW w:w="4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17"/>
              <w:spacing w:after="0" w:line="177"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8"/>
              <w:spacing w:after="0" w:line="177" w:lineRule="exact"/>
              <w:rPr>
                <w:sz w:val="20"/>
                <w:szCs w:val="20"/>
                <w:color w:val="auto"/>
              </w:rPr>
            </w:pPr>
            <w:r>
              <w:rPr>
                <w:rFonts w:ascii="Arial" w:cs="Arial" w:eastAsia="Arial" w:hAnsi="Arial"/>
                <w:sz w:val="18"/>
                <w:szCs w:val="18"/>
                <w:color w:val="auto"/>
              </w:rPr>
              <w:t>1</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w:t>
            </w:r>
          </w:p>
        </w:tc>
        <w:tc>
          <w:tcPr>
            <w:tcW w:w="4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4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219</w:t>
            </w:r>
          </w:p>
        </w:tc>
        <w:tc>
          <w:tcPr>
            <w:tcW w:w="240" w:type="dxa"/>
            <w:vAlign w:val="bottom"/>
          </w:tcPr>
          <w:p>
            <w:pPr>
              <w:spacing w:after="0"/>
              <w:rPr>
                <w:sz w:val="17"/>
                <w:szCs w:val="17"/>
                <w:color w:val="auto"/>
              </w:rPr>
            </w:pPr>
          </w:p>
        </w:tc>
        <w:tc>
          <w:tcPr>
            <w:tcW w:w="5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6</w:t>
            </w:r>
          </w:p>
        </w:tc>
      </w:tr>
      <w:tr>
        <w:trPr>
          <w:trHeight w:val="22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4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(107)</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196"/>
        </w:trPr>
        <w:tc>
          <w:tcPr>
            <w:tcW w:w="5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w w:val="98"/>
              </w:rPr>
              <w:t>Accumulated other comprehensive income (loss), net of deferred taxes</w:t>
            </w:r>
          </w:p>
        </w:tc>
        <w:tc>
          <w:tcPr>
            <w:tcW w:w="4100" w:type="dxa"/>
            <w:vAlign w:val="bottom"/>
            <w:tcBorders>
              <w:bottom w:val="single" w:sz="8" w:color="0C6DFF"/>
            </w:tcBorders>
          </w:tcPr>
          <w:p>
            <w:pPr>
              <w:spacing w:after="0"/>
              <w:rPr>
                <w:sz w:val="17"/>
                <w:szCs w:val="17"/>
                <w:color w:val="auto"/>
              </w:rPr>
            </w:pPr>
          </w:p>
        </w:tc>
        <w:tc>
          <w:tcPr>
            <w:tcW w:w="4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117"/>
              <w:spacing w:after="0" w:line="196" w:lineRule="exact"/>
              <w:rPr>
                <w:sz w:val="20"/>
                <w:szCs w:val="20"/>
                <w:color w:val="auto"/>
              </w:rPr>
            </w:pPr>
            <w:r>
              <w:rPr>
                <w:rFonts w:ascii="Arial" w:cs="Arial" w:eastAsia="Arial" w:hAnsi="Arial"/>
                <w:sz w:val="18"/>
                <w:szCs w:val="18"/>
                <w:b w:val="1"/>
                <w:bCs w:val="1"/>
                <w:color w:val="auto"/>
              </w:rPr>
              <w:t>98</w:t>
            </w:r>
          </w:p>
        </w:tc>
        <w:tc>
          <w:tcPr>
            <w:tcW w:w="74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color w:val="auto"/>
              </w:rPr>
              <w:t>$ (174)</w:t>
            </w:r>
          </w:p>
        </w:tc>
      </w:tr>
      <w:tr>
        <w:trPr>
          <w:trHeight w:val="532"/>
        </w:trPr>
        <w:tc>
          <w:tcPr>
            <w:tcW w:w="5560" w:type="dxa"/>
            <w:vAlign w:val="bottom"/>
          </w:tcPr>
          <w:p>
            <w:pPr>
              <w:spacing w:after="0"/>
              <w:rPr>
                <w:sz w:val="20"/>
                <w:szCs w:val="20"/>
                <w:color w:val="auto"/>
              </w:rPr>
            </w:pPr>
            <w:r>
              <w:rPr>
                <w:rFonts w:ascii="Arial" w:cs="Arial" w:eastAsia="Arial" w:hAnsi="Arial"/>
                <w:sz w:val="18"/>
                <w:szCs w:val="18"/>
                <w:b w:val="1"/>
                <w:bCs w:val="1"/>
                <w:color w:val="0C6DFF"/>
              </w:rPr>
              <w:t>Note 13: Share-Based Compensation</w:t>
            </w:r>
          </w:p>
        </w:tc>
        <w:tc>
          <w:tcPr>
            <w:tcW w:w="4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
        </w:trPr>
        <w:tc>
          <w:tcPr>
            <w:tcW w:w="9660" w:type="dxa"/>
            <w:vAlign w:val="bottom"/>
            <w:tcBorders>
              <w:bottom w:val="single" w:sz="8" w:color="0C6DFF"/>
            </w:tcBorders>
            <w:gridSpan w:val="2"/>
          </w:tcPr>
          <w:p>
            <w:pPr>
              <w:spacing w:after="0"/>
              <w:rPr>
                <w:sz w:val="3"/>
                <w:szCs w:val="3"/>
                <w:color w:val="auto"/>
              </w:rPr>
            </w:pPr>
          </w:p>
        </w:tc>
        <w:tc>
          <w:tcPr>
            <w:tcW w:w="440" w:type="dxa"/>
            <w:vAlign w:val="bottom"/>
            <w:tcBorders>
              <w:bottom w:val="single" w:sz="8" w:color="0C6DFF"/>
            </w:tcBorders>
          </w:tcPr>
          <w:p>
            <w:pPr>
              <w:spacing w:after="0"/>
              <w:rPr>
                <w:sz w:val="3"/>
                <w:szCs w:val="3"/>
                <w:color w:val="auto"/>
              </w:rPr>
            </w:pPr>
          </w:p>
        </w:tc>
        <w:tc>
          <w:tcPr>
            <w:tcW w:w="580" w:type="dxa"/>
            <w:vAlign w:val="bottom"/>
            <w:tcBorders>
              <w:bottom w:val="single" w:sz="8" w:color="0C6DFF"/>
            </w:tcBorders>
          </w:tcPr>
          <w:p>
            <w:pPr>
              <w:spacing w:after="0"/>
              <w:rPr>
                <w:sz w:val="3"/>
                <w:szCs w:val="3"/>
                <w:color w:val="auto"/>
              </w:rPr>
            </w:pPr>
          </w:p>
        </w:tc>
        <w:tc>
          <w:tcPr>
            <w:tcW w:w="240" w:type="dxa"/>
            <w:vAlign w:val="bottom"/>
            <w:tcBorders>
              <w:bottom w:val="single" w:sz="8" w:color="0C6DFF"/>
            </w:tcBorders>
          </w:tcPr>
          <w:p>
            <w:pPr>
              <w:spacing w:after="0"/>
              <w:rPr>
                <w:sz w:val="3"/>
                <w:szCs w:val="3"/>
                <w:color w:val="auto"/>
              </w:rPr>
            </w:pPr>
          </w:p>
        </w:tc>
        <w:tc>
          <w:tcPr>
            <w:tcW w:w="500" w:type="dxa"/>
            <w:vAlign w:val="bottom"/>
            <w:tcBorders>
              <w:bottom w:val="single" w:sz="8" w:color="0C6DFF"/>
            </w:tcBorders>
          </w:tcPr>
          <w:p>
            <w:pPr>
              <w:spacing w:after="0"/>
              <w:rPr>
                <w:sz w:val="3"/>
                <w:szCs w:val="3"/>
                <w:color w:val="auto"/>
              </w:rPr>
            </w:pPr>
          </w:p>
        </w:tc>
      </w:tr>
      <w:tr>
        <w:trPr>
          <w:trHeight w:val="316"/>
        </w:trPr>
        <w:tc>
          <w:tcPr>
            <w:tcW w:w="9660" w:type="dxa"/>
            <w:vAlign w:val="bottom"/>
            <w:gridSpan w:val="2"/>
          </w:tcPr>
          <w:p>
            <w:pPr>
              <w:spacing w:after="0"/>
              <w:rPr>
                <w:sz w:val="20"/>
                <w:szCs w:val="20"/>
                <w:color w:val="auto"/>
              </w:rPr>
            </w:pPr>
            <w:r>
              <w:rPr>
                <w:rFonts w:ascii="Arial" w:cs="Arial" w:eastAsia="Arial" w:hAnsi="Arial"/>
                <w:sz w:val="18"/>
                <w:szCs w:val="18"/>
                <w:color w:val="auto"/>
              </w:rPr>
              <w:t>The tables below provide condensed information on our share-based compensation.</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5"/>
        </w:trPr>
        <w:tc>
          <w:tcPr>
            <w:tcW w:w="5560" w:type="dxa"/>
            <w:vAlign w:val="bottom"/>
          </w:tcPr>
          <w:p>
            <w:pPr>
              <w:spacing w:after="0"/>
              <w:rPr>
                <w:sz w:val="20"/>
                <w:szCs w:val="20"/>
                <w:color w:val="auto"/>
              </w:rPr>
            </w:pPr>
            <w:r>
              <w:rPr>
                <w:rFonts w:ascii="Arial" w:cs="Arial" w:eastAsia="Arial" w:hAnsi="Arial"/>
                <w:sz w:val="18"/>
                <w:szCs w:val="18"/>
                <w:color w:val="0C6DFF"/>
              </w:rPr>
              <w:t>Recognized Share-Based Compensation Expense</w:t>
            </w:r>
          </w:p>
        </w:tc>
        <w:tc>
          <w:tcPr>
            <w:tcW w:w="4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
        </w:trPr>
        <w:tc>
          <w:tcPr>
            <w:tcW w:w="5560" w:type="dxa"/>
            <w:vAlign w:val="bottom"/>
            <w:tcBorders>
              <w:bottom w:val="single" w:sz="8" w:color="auto"/>
            </w:tcBorders>
          </w:tcPr>
          <w:p>
            <w:pPr>
              <w:spacing w:after="0"/>
              <w:rPr>
                <w:sz w:val="3"/>
                <w:szCs w:val="3"/>
                <w:color w:val="auto"/>
              </w:rPr>
            </w:pPr>
          </w:p>
        </w:tc>
        <w:tc>
          <w:tcPr>
            <w:tcW w:w="454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42"/>
        </w:trPr>
        <w:tc>
          <w:tcPr>
            <w:tcW w:w="5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454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rPr>
              <w:t>2014</w:t>
            </w:r>
          </w:p>
        </w:tc>
      </w:tr>
      <w:tr>
        <w:trPr>
          <w:trHeight w:val="177"/>
        </w:trPr>
        <w:tc>
          <w:tcPr>
            <w:tcW w:w="5560" w:type="dxa"/>
            <w:vAlign w:val="bottom"/>
          </w:tcPr>
          <w:p>
            <w:pPr>
              <w:spacing w:after="0" w:line="177" w:lineRule="exact"/>
              <w:rPr>
                <w:sz w:val="20"/>
                <w:szCs w:val="20"/>
                <w:color w:val="auto"/>
              </w:rPr>
            </w:pPr>
            <w:r>
              <w:rPr>
                <w:rFonts w:ascii="Arial" w:cs="Arial" w:eastAsia="Arial" w:hAnsi="Arial"/>
                <w:sz w:val="18"/>
                <w:szCs w:val="18"/>
                <w:color w:val="auto"/>
              </w:rPr>
              <w:t>Restricted share units</w:t>
            </w:r>
          </w:p>
        </w:tc>
        <w:tc>
          <w:tcPr>
            <w:tcW w:w="4540" w:type="dxa"/>
            <w:vAlign w:val="bottom"/>
            <w:gridSpan w:val="2"/>
          </w:tcPr>
          <w:p>
            <w:pPr>
              <w:jc w:val="right"/>
              <w:ind w:right="52"/>
              <w:spacing w:after="0" w:line="177" w:lineRule="exact"/>
              <w:rPr>
                <w:sz w:val="20"/>
                <w:szCs w:val="20"/>
                <w:color w:val="auto"/>
              </w:rPr>
            </w:pPr>
            <w:r>
              <w:rPr>
                <w:rFonts w:ascii="Arial" w:cs="Arial" w:eastAsia="Arial" w:hAnsi="Arial"/>
                <w:sz w:val="18"/>
                <w:szCs w:val="18"/>
                <w:b w:val="1"/>
                <w:bCs w:val="1"/>
                <w:color w:val="auto"/>
              </w:rPr>
              <w:t>$ 306</w:t>
            </w: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$ 273</w:t>
            </w:r>
          </w:p>
        </w:tc>
        <w:tc>
          <w:tcPr>
            <w:tcW w:w="740" w:type="dxa"/>
            <w:vAlign w:val="bottom"/>
            <w:gridSpan w:val="2"/>
          </w:tcPr>
          <w:p>
            <w:pPr>
              <w:jc w:val="right"/>
              <w:ind w:right="18"/>
              <w:spacing w:after="0" w:line="177" w:lineRule="exact"/>
              <w:rPr>
                <w:sz w:val="20"/>
                <w:szCs w:val="20"/>
                <w:color w:val="auto"/>
              </w:rPr>
            </w:pPr>
            <w:r>
              <w:rPr>
                <w:rFonts w:ascii="Arial" w:cs="Arial" w:eastAsia="Arial" w:hAnsi="Arial"/>
                <w:sz w:val="18"/>
                <w:szCs w:val="18"/>
                <w:color w:val="auto"/>
              </w:rPr>
              <w:t>$ 231</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Stock options</w:t>
            </w:r>
          </w:p>
        </w:tc>
        <w:tc>
          <w:tcPr>
            <w:tcW w:w="4100" w:type="dxa"/>
            <w:vAlign w:val="bottom"/>
          </w:tcPr>
          <w:p>
            <w:pPr>
              <w:spacing w:after="0"/>
              <w:rPr>
                <w:sz w:val="17"/>
                <w:szCs w:val="17"/>
                <w:color w:val="auto"/>
              </w:rPr>
            </w:pPr>
          </w:p>
        </w:tc>
        <w:tc>
          <w:tcPr>
            <w:tcW w:w="44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w w:val="93"/>
              </w:rPr>
              <w:t>173</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240" w:type="dxa"/>
            <w:vAlign w:val="bottom"/>
          </w:tcPr>
          <w:p>
            <w:pPr>
              <w:spacing w:after="0"/>
              <w:rPr>
                <w:sz w:val="17"/>
                <w:szCs w:val="17"/>
                <w:color w:val="auto"/>
              </w:rPr>
            </w:pPr>
          </w:p>
        </w:tc>
        <w:tc>
          <w:tcPr>
            <w:tcW w:w="5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160</w:t>
            </w:r>
          </w:p>
        </w:tc>
      </w:tr>
      <w:tr>
        <w:trPr>
          <w:trHeight w:val="22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4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23</w:t>
            </w:r>
          </w:p>
        </w:tc>
      </w:tr>
      <w:tr>
        <w:trPr>
          <w:trHeight w:val="196"/>
        </w:trPr>
        <w:tc>
          <w:tcPr>
            <w:tcW w:w="5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540" w:type="dxa"/>
            <w:vAlign w:val="bottom"/>
            <w:tcBorders>
              <w:bottom w:val="single" w:sz="8" w:color="0C6DFF"/>
            </w:tcBorders>
            <w:gridSpan w:val="2"/>
          </w:tcPr>
          <w:p>
            <w:pPr>
              <w:jc w:val="right"/>
              <w:ind w:right="52"/>
              <w:spacing w:after="0" w:line="196" w:lineRule="exact"/>
              <w:rPr>
                <w:sz w:val="20"/>
                <w:szCs w:val="20"/>
                <w:color w:val="auto"/>
              </w:rPr>
            </w:pPr>
            <w:r>
              <w:rPr>
                <w:rFonts w:ascii="Arial" w:cs="Arial" w:eastAsia="Arial" w:hAnsi="Arial"/>
                <w:sz w:val="18"/>
                <w:szCs w:val="18"/>
                <w:b w:val="1"/>
                <w:bCs w:val="1"/>
                <w:color w:val="auto"/>
              </w:rPr>
              <w:t>$ 507</w:t>
            </w:r>
          </w:p>
        </w:tc>
        <w:tc>
          <w:tcPr>
            <w:tcW w:w="5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$ 455</w:t>
            </w:r>
          </w:p>
        </w:tc>
        <w:tc>
          <w:tcPr>
            <w:tcW w:w="740" w:type="dxa"/>
            <w:vAlign w:val="bottom"/>
            <w:tcBorders>
              <w:bottom w:val="single" w:sz="8" w:color="0C6DFF"/>
            </w:tcBorders>
            <w:gridSpan w:val="2"/>
          </w:tcPr>
          <w:p>
            <w:pPr>
              <w:jc w:val="right"/>
              <w:ind w:right="18"/>
              <w:spacing w:after="0" w:line="196" w:lineRule="exact"/>
              <w:rPr>
                <w:sz w:val="20"/>
                <w:szCs w:val="20"/>
                <w:color w:val="auto"/>
              </w:rPr>
            </w:pPr>
            <w:r>
              <w:rPr>
                <w:rFonts w:ascii="Arial" w:cs="Arial" w:eastAsia="Arial" w:hAnsi="Arial"/>
                <w:sz w:val="18"/>
                <w:szCs w:val="18"/>
                <w:color w:val="auto"/>
              </w:rPr>
              <w:t>$ 414</w:t>
            </w:r>
          </w:p>
        </w:tc>
      </w:tr>
      <w:tr>
        <w:trPr>
          <w:trHeight w:val="506"/>
        </w:trPr>
        <w:tc>
          <w:tcPr>
            <w:tcW w:w="556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4100" w:type="dxa"/>
            <w:vAlign w:val="bottom"/>
          </w:tcPr>
          <w:p>
            <w:pPr>
              <w:jc w:val="right"/>
              <w:ind w:right="3761"/>
              <w:spacing w:after="0"/>
              <w:rPr>
                <w:sz w:val="20"/>
                <w:szCs w:val="20"/>
                <w:color w:val="auto"/>
              </w:rPr>
            </w:pPr>
            <w:r>
              <w:rPr>
                <w:rFonts w:ascii="Arial" w:cs="Arial" w:eastAsia="Arial" w:hAnsi="Arial"/>
                <w:sz w:val="14"/>
                <w:szCs w:val="14"/>
                <w:b w:val="1"/>
                <w:bCs w:val="1"/>
                <w:color w:val="auto"/>
              </w:rPr>
              <w:t>102</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2016, we had unrecognized pretax compensation expense of $712 million related to nonvested RSUs and unrecognized pretax compensation expense of $375 million related to nonvested stock options that will be recognized over a weighted-average period of approximately 1.7 years and 1.8 years, respectively. In 2016, 2015 and 2014, we recorded increases to additional paid-in capital of $233 million, $311 million and $299 million, respectively, which were the result of tax benefits associated with our share-based compensation plans.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Stock Options and Restricted Share Units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color w:val="auto"/>
              </w:rPr>
              <w:t>Stock</w:t>
            </w:r>
          </w:p>
        </w:tc>
        <w:tc>
          <w:tcPr>
            <w:tcW w:w="880" w:type="dxa"/>
            <w:vAlign w:val="bottom"/>
            <w:tcBorders>
              <w:top w:val="single" w:sz="8" w:color="auto"/>
            </w:tcBorders>
          </w:tcPr>
          <w:p>
            <w:pPr>
              <w:spacing w:after="0"/>
              <w:rPr>
                <w:sz w:val="14"/>
                <w:szCs w:val="14"/>
                <w:color w:val="auto"/>
              </w:rPr>
            </w:pPr>
          </w:p>
        </w:tc>
      </w:tr>
      <w:tr>
        <w:trPr>
          <w:trHeight w:val="163"/>
        </w:trPr>
        <w:tc>
          <w:tcPr>
            <w:tcW w:w="7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December 31, 2016, unless otherwise stated (in millions, except per share data)</w:t>
            </w:r>
          </w:p>
        </w:tc>
        <w:tc>
          <w:tcPr>
            <w:tcW w:w="3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Options</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RSUs</w:t>
            </w:r>
          </w:p>
        </w:tc>
      </w:tr>
      <w:tr>
        <w:trPr>
          <w:trHeight w:val="199"/>
        </w:trPr>
        <w:tc>
          <w:tcPr>
            <w:tcW w:w="7460" w:type="dxa"/>
            <w:vAlign w:val="bottom"/>
          </w:tcPr>
          <w:p>
            <w:pPr>
              <w:spacing w:after="0" w:line="200" w:lineRule="exact"/>
              <w:rPr>
                <w:sz w:val="20"/>
                <w:szCs w:val="20"/>
                <w:color w:val="auto"/>
              </w:rPr>
            </w:pPr>
            <w:r>
              <w:rPr>
                <w:rFonts w:ascii="Arial" w:cs="Arial" w:eastAsia="Arial" w:hAnsi="Arial"/>
                <w:sz w:val="18"/>
                <w:szCs w:val="18"/>
                <w:color w:val="auto"/>
              </w:rPr>
              <w:t>Awards granted during 2016</w:t>
            </w:r>
          </w:p>
        </w:tc>
        <w:tc>
          <w:tcPr>
            <w:tcW w:w="3080" w:type="dxa"/>
            <w:vAlign w:val="bottom"/>
          </w:tcPr>
          <w:p>
            <w:pPr>
              <w:jc w:val="right"/>
              <w:ind w:right="59"/>
              <w:spacing w:after="0" w:line="200" w:lineRule="exact"/>
              <w:rPr>
                <w:sz w:val="20"/>
                <w:szCs w:val="20"/>
                <w:color w:val="auto"/>
              </w:rPr>
            </w:pPr>
            <w:r>
              <w:rPr>
                <w:rFonts w:ascii="Arial" w:cs="Arial" w:eastAsia="Arial" w:hAnsi="Arial"/>
                <w:sz w:val="18"/>
                <w:szCs w:val="18"/>
                <w:color w:val="auto"/>
              </w:rPr>
              <w:t>21</w:t>
            </w:r>
          </w:p>
        </w:tc>
        <w:tc>
          <w:tcPr>
            <w:tcW w:w="8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8</w:t>
            </w:r>
          </w:p>
        </w:tc>
      </w:tr>
      <w:tr>
        <w:trPr>
          <w:trHeight w:val="199"/>
        </w:trPr>
        <w:tc>
          <w:tcPr>
            <w:tcW w:w="7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exercise price of awards granted during 2016</w:t>
            </w:r>
          </w:p>
        </w:tc>
        <w:tc>
          <w:tcPr>
            <w:tcW w:w="3080" w:type="dxa"/>
            <w:vAlign w:val="bottom"/>
            <w:tcBorders>
              <w:bottom w:val="single" w:sz="8" w:color="auto"/>
            </w:tcBorders>
          </w:tcPr>
          <w:p>
            <w:pPr>
              <w:jc w:val="right"/>
              <w:ind w:right="59"/>
              <w:spacing w:after="0" w:line="200" w:lineRule="exact"/>
              <w:rPr>
                <w:sz w:val="20"/>
                <w:szCs w:val="20"/>
                <w:color w:val="auto"/>
              </w:rPr>
            </w:pPr>
            <w:r>
              <w:rPr>
                <w:rFonts w:ascii="Arial" w:cs="Arial" w:eastAsia="Arial" w:hAnsi="Arial"/>
                <w:sz w:val="18"/>
                <w:szCs w:val="18"/>
                <w:color w:val="auto"/>
              </w:rPr>
              <w:t>$ 60.01</w:t>
            </w:r>
          </w:p>
        </w:tc>
        <w:tc>
          <w:tcPr>
            <w:tcW w:w="880" w:type="dxa"/>
            <w:vAlign w:val="bottom"/>
            <w:tcBorders>
              <w:bottom w:val="single" w:sz="8" w:color="auto"/>
            </w:tcBorders>
          </w:tcPr>
          <w:p>
            <w:pPr>
              <w:spacing w:after="0"/>
              <w:rPr>
                <w:sz w:val="17"/>
                <w:szCs w:val="17"/>
                <w:color w:val="auto"/>
              </w:rPr>
            </w:pPr>
          </w:p>
        </w:tc>
      </w:tr>
      <w:tr>
        <w:trPr>
          <w:trHeight w:val="199"/>
        </w:trPr>
        <w:tc>
          <w:tcPr>
            <w:tcW w:w="7460" w:type="dxa"/>
            <w:vAlign w:val="bottom"/>
          </w:tcPr>
          <w:p>
            <w:pPr>
              <w:spacing w:after="0" w:line="200" w:lineRule="exact"/>
              <w:rPr>
                <w:sz w:val="20"/>
                <w:szCs w:val="20"/>
                <w:color w:val="auto"/>
              </w:rPr>
            </w:pPr>
            <w:r>
              <w:rPr>
                <w:rFonts w:ascii="Arial" w:cs="Arial" w:eastAsia="Arial" w:hAnsi="Arial"/>
                <w:sz w:val="18"/>
                <w:szCs w:val="18"/>
                <w:color w:val="auto"/>
              </w:rPr>
              <w:t>Stock options outstanding and nonvested RSUs</w:t>
            </w:r>
          </w:p>
        </w:tc>
        <w:tc>
          <w:tcPr>
            <w:tcW w:w="3080" w:type="dxa"/>
            <w:vAlign w:val="bottom"/>
          </w:tcPr>
          <w:p>
            <w:pPr>
              <w:jc w:val="right"/>
              <w:ind w:right="59"/>
              <w:spacing w:after="0" w:line="200" w:lineRule="exact"/>
              <w:rPr>
                <w:sz w:val="20"/>
                <w:szCs w:val="20"/>
                <w:color w:val="auto"/>
              </w:rPr>
            </w:pPr>
            <w:r>
              <w:rPr>
                <w:rFonts w:ascii="Arial" w:cs="Arial" w:eastAsia="Arial" w:hAnsi="Arial"/>
                <w:sz w:val="18"/>
                <w:szCs w:val="18"/>
                <w:color w:val="auto"/>
              </w:rPr>
              <w:t>95</w:t>
            </w:r>
          </w:p>
        </w:tc>
        <w:tc>
          <w:tcPr>
            <w:tcW w:w="8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22</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of stock options outstanding</w:t>
            </w:r>
          </w:p>
        </w:tc>
        <w:tc>
          <w:tcPr>
            <w:tcW w:w="30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$ 42.60</w:t>
            </w:r>
          </w:p>
        </w:tc>
        <w:tc>
          <w:tcPr>
            <w:tcW w:w="880" w:type="dxa"/>
            <w:vAlign w:val="bottom"/>
          </w:tcPr>
          <w:p>
            <w:pPr>
              <w:spacing w:after="0"/>
              <w:rPr>
                <w:sz w:val="17"/>
                <w:szCs w:val="17"/>
                <w:color w:val="auto"/>
              </w:rPr>
            </w:pPr>
          </w:p>
        </w:tc>
      </w:tr>
      <w:tr>
        <w:trPr>
          <w:trHeight w:val="199"/>
        </w:trPr>
        <w:tc>
          <w:tcPr>
            <w:tcW w:w="7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fair value at grant date of nonvested RSUs</w:t>
            </w:r>
          </w:p>
        </w:tc>
        <w:tc>
          <w:tcPr>
            <w:tcW w:w="3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$ 52.11</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2016, substantially all of our stock options outstanding were net settled stock options. Net settled stock options, as opposed to stock options exercised with a cash payment, result in fewer shares being issued and no cash proceeds being received by us when the options are exercised. Our share-based compensation primarily consists of awards of RSUs and stock options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Comcast common stock at a discount through payroll deductions.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associated with our share-based compensation is based on an award’s estimated fair value at the date of grant and is recognized over the period in which any related services are provided. RSUs are valued based on the closing price of our common stock on the date of grant and are discounted for the lack of dividends, if any, during the vesting period. We use the Black-Scholes option pricing model to estimate the fair value of stock option awards. The table below presents the weighted-average fair value on the date of grant of RSUs and stock options awarded under our various plans and the related weighted-average valuation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3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728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2300" w:type="dxa"/>
            <w:vAlign w:val="bottom"/>
          </w:tcPr>
          <w:p>
            <w:pPr>
              <w:jc w:val="right"/>
              <w:ind w:right="157"/>
              <w:spacing w:after="0" w:line="177" w:lineRule="exact"/>
              <w:rPr>
                <w:sz w:val="20"/>
                <w:szCs w:val="20"/>
                <w:color w:val="auto"/>
              </w:rPr>
            </w:pPr>
            <w:r>
              <w:rPr>
                <w:rFonts w:ascii="Arial" w:cs="Arial" w:eastAsia="Arial" w:hAnsi="Arial"/>
                <w:sz w:val="18"/>
                <w:szCs w:val="18"/>
                <w:b w:val="1"/>
                <w:bCs w:val="1"/>
                <w:color w:val="auto"/>
              </w:rPr>
              <w:t>$ 60.03</w:t>
            </w:r>
          </w:p>
        </w:tc>
        <w:tc>
          <w:tcPr>
            <w:tcW w:w="940" w:type="dxa"/>
            <w:vAlign w:val="bottom"/>
          </w:tcPr>
          <w:p>
            <w:pPr>
              <w:jc w:val="right"/>
              <w:ind w:right="155"/>
              <w:spacing w:after="0" w:line="177" w:lineRule="exact"/>
              <w:rPr>
                <w:sz w:val="20"/>
                <w:szCs w:val="20"/>
                <w:color w:val="auto"/>
              </w:rPr>
            </w:pPr>
            <w:r>
              <w:rPr>
                <w:rFonts w:ascii="Arial" w:cs="Arial" w:eastAsia="Arial" w:hAnsi="Arial"/>
                <w:sz w:val="18"/>
                <w:szCs w:val="18"/>
                <w:color w:val="auto"/>
              </w:rPr>
              <w:t>$ 58.81</w:t>
            </w:r>
          </w:p>
        </w:tc>
        <w:tc>
          <w:tcPr>
            <w:tcW w:w="90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$ 47.91</w:t>
            </w:r>
          </w:p>
        </w:tc>
        <w:tc>
          <w:tcPr>
            <w:tcW w:w="0" w:type="dxa"/>
            <w:vAlign w:val="bottom"/>
          </w:tcPr>
          <w:p>
            <w:pPr>
              <w:spacing w:after="0"/>
              <w:rPr>
                <w:sz w:val="1"/>
                <w:szCs w:val="1"/>
                <w:color w:val="auto"/>
              </w:rPr>
            </w:pPr>
          </w:p>
        </w:tc>
      </w:tr>
      <w:tr>
        <w:trPr>
          <w:trHeight w:val="225"/>
        </w:trPr>
        <w:tc>
          <w:tcPr>
            <w:tcW w:w="728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2300" w:type="dxa"/>
            <w:vAlign w:val="bottom"/>
          </w:tcPr>
          <w:p>
            <w:pPr>
              <w:jc w:val="right"/>
              <w:ind w:right="157"/>
              <w:spacing w:after="0"/>
              <w:rPr>
                <w:sz w:val="20"/>
                <w:szCs w:val="20"/>
                <w:color w:val="auto"/>
              </w:rPr>
            </w:pPr>
            <w:r>
              <w:rPr>
                <w:rFonts w:ascii="Arial" w:cs="Arial" w:eastAsia="Arial" w:hAnsi="Arial"/>
                <w:sz w:val="18"/>
                <w:szCs w:val="18"/>
                <w:b w:val="1"/>
                <w:bCs w:val="1"/>
                <w:color w:val="auto"/>
              </w:rPr>
              <w:t>$ 11.55</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$ 11.78</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$ 11.11</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2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28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2300" w:type="dxa"/>
            <w:vAlign w:val="bottom"/>
            <w:vMerge w:val="continue"/>
          </w:tcPr>
          <w:p>
            <w:pPr>
              <w:spacing w:after="0"/>
              <w:rPr>
                <w:sz w:val="15"/>
                <w:szCs w:val="15"/>
                <w:color w:val="auto"/>
              </w:rPr>
            </w:pPr>
          </w:p>
        </w:tc>
        <w:tc>
          <w:tcPr>
            <w:tcW w:w="940" w:type="dxa"/>
            <w:vAlign w:val="bottom"/>
          </w:tcPr>
          <w:p>
            <w:pPr>
              <w:jc w:val="right"/>
              <w:ind w:right="15"/>
              <w:spacing w:after="0" w:line="181" w:lineRule="exact"/>
              <w:rPr>
                <w:sz w:val="20"/>
                <w:szCs w:val="20"/>
                <w:color w:val="auto"/>
              </w:rPr>
            </w:pPr>
            <w:r>
              <w:rPr>
                <w:rFonts w:ascii="Arial" w:cs="Arial" w:eastAsia="Arial" w:hAnsi="Arial"/>
                <w:sz w:val="18"/>
                <w:szCs w:val="18"/>
                <w:color w:val="auto"/>
              </w:rPr>
              <w:t>1.7%</w:t>
            </w: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23.0%</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23.0%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1"/>
        </w:trPr>
        <w:tc>
          <w:tcPr>
            <w:tcW w:w="7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23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6.1</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6.0</w:t>
            </w: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506"/>
        </w:trPr>
        <w:tc>
          <w:tcPr>
            <w:tcW w:w="7280" w:type="dxa"/>
            <w:vAlign w:val="bottom"/>
          </w:tcPr>
          <w:p>
            <w:pPr>
              <w:ind w:left="5600"/>
              <w:spacing w:after="0"/>
              <w:rPr>
                <w:sz w:val="20"/>
                <w:szCs w:val="20"/>
                <w:color w:val="auto"/>
              </w:rPr>
            </w:pPr>
            <w:r>
              <w:rPr>
                <w:rFonts w:ascii="Arial" w:cs="Arial" w:eastAsia="Arial" w:hAnsi="Arial"/>
                <w:sz w:val="14"/>
                <w:szCs w:val="14"/>
                <w:b w:val="1"/>
                <w:bCs w:val="1"/>
                <w:color w:val="auto"/>
              </w:rPr>
              <w:t>103</w:t>
            </w:r>
          </w:p>
        </w:tc>
        <w:tc>
          <w:tcPr>
            <w:tcW w:w="4140" w:type="dxa"/>
            <w:vAlign w:val="bottom"/>
            <w:gridSpan w:val="3"/>
          </w:tcPr>
          <w:p>
            <w:pPr>
              <w:jc w:val="right"/>
              <w:spacing w:after="0"/>
              <w:rPr>
                <w:sz w:val="20"/>
                <w:szCs w:val="20"/>
                <w:color w:val="auto"/>
              </w:rPr>
            </w:pPr>
            <w:r>
              <w:rPr>
                <w:rFonts w:ascii="Arial" w:cs="Arial" w:eastAsia="Arial" w:hAnsi="Arial"/>
                <w:sz w:val="14"/>
                <w:szCs w:val="14"/>
                <w:color w:val="auto"/>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14: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Income Tax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2015</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41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$ 3,190</w:t>
            </w: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6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4120" w:type="dxa"/>
            <w:vAlign w:val="bottom"/>
            <w:vMerge w:val="continue"/>
          </w:tcPr>
          <w:p>
            <w:pPr>
              <w:spacing w:after="0"/>
              <w:rPr>
                <w:sz w:val="15"/>
                <w:szCs w:val="15"/>
                <w:color w:val="auto"/>
              </w:rPr>
            </w:pPr>
          </w:p>
        </w:tc>
        <w:tc>
          <w:tcPr>
            <w:tcW w:w="820" w:type="dxa"/>
            <w:vAlign w:val="bottom"/>
          </w:tcPr>
          <w:p>
            <w:pPr>
              <w:jc w:val="right"/>
              <w:ind w:right="34"/>
              <w:spacing w:after="0" w:line="181" w:lineRule="exact"/>
              <w:rPr>
                <w:sz w:val="20"/>
                <w:szCs w:val="20"/>
                <w:color w:val="auto"/>
              </w:rPr>
            </w:pPr>
            <w:r>
              <w:rPr>
                <w:rFonts w:ascii="Arial" w:cs="Arial" w:eastAsia="Arial" w:hAnsi="Arial"/>
                <w:sz w:val="18"/>
                <w:szCs w:val="18"/>
                <w:color w:val="auto"/>
              </w:rPr>
              <w:t>$ 3,210</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$ 2,392</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480</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570</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4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194</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221</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3,864</w:t>
            </w:r>
          </w:p>
        </w:tc>
        <w:tc>
          <w:tcPr>
            <w:tcW w:w="8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4,001</w:t>
            </w:r>
          </w:p>
        </w:tc>
        <w:tc>
          <w:tcPr>
            <w:tcW w:w="8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199"/>
        </w:trPr>
        <w:tc>
          <w:tcPr>
            <w:tcW w:w="566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41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1,192</w:t>
            </w: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6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4120" w:type="dxa"/>
            <w:vAlign w:val="bottom"/>
            <w:vMerge w:val="continue"/>
          </w:tcPr>
          <w:p>
            <w:pPr>
              <w:spacing w:after="0"/>
              <w:rPr>
                <w:sz w:val="15"/>
                <w:szCs w:val="15"/>
                <w:color w:val="auto"/>
              </w:rPr>
            </w:pPr>
          </w:p>
        </w:tc>
        <w:tc>
          <w:tcPr>
            <w:tcW w:w="820" w:type="dxa"/>
            <w:vAlign w:val="bottom"/>
          </w:tcPr>
          <w:p>
            <w:pPr>
              <w:jc w:val="right"/>
              <w:ind w:right="34"/>
              <w:spacing w:after="0" w:line="181" w:lineRule="exact"/>
              <w:rPr>
                <w:sz w:val="20"/>
                <w:szCs w:val="20"/>
                <w:color w:val="auto"/>
              </w:rPr>
            </w:pPr>
            <w:r>
              <w:rPr>
                <w:rFonts w:ascii="Arial" w:cs="Arial" w:eastAsia="Arial" w:hAnsi="Arial"/>
                <w:sz w:val="18"/>
                <w:szCs w:val="18"/>
                <w:color w:val="auto"/>
              </w:rPr>
              <w:t>890</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154</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66</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4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98</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1,444</w:t>
            </w:r>
          </w:p>
        </w:tc>
        <w:tc>
          <w:tcPr>
            <w:tcW w:w="8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958</w:t>
            </w:r>
          </w:p>
        </w:tc>
        <w:tc>
          <w:tcPr>
            <w:tcW w:w="8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41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$ 5,308</w:t>
            </w:r>
          </w:p>
        </w:tc>
        <w:tc>
          <w:tcPr>
            <w:tcW w:w="8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$ 4,959</w:t>
            </w:r>
          </w:p>
        </w:tc>
        <w:tc>
          <w:tcPr>
            <w:tcW w:w="8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$ 3,873</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differs from the federal statutory amount because of the effect of the items detailed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r>
      <w:tr>
        <w:trPr>
          <w:trHeight w:val="177"/>
        </w:trPr>
        <w:tc>
          <w:tcPr>
            <w:tcW w:w="7220" w:type="dxa"/>
            <w:vAlign w:val="bottom"/>
          </w:tcPr>
          <w:p>
            <w:pPr>
              <w:spacing w:after="0" w:line="177" w:lineRule="exact"/>
              <w:rPr>
                <w:sz w:val="20"/>
                <w:szCs w:val="20"/>
                <w:color w:val="auto"/>
              </w:rPr>
            </w:pPr>
            <w:r>
              <w:rPr>
                <w:rFonts w:ascii="Arial" w:cs="Arial" w:eastAsia="Arial" w:hAnsi="Arial"/>
                <w:sz w:val="18"/>
                <w:szCs w:val="18"/>
                <w:color w:val="auto"/>
              </w:rPr>
              <w:t>Federal tax at statutory rate</w:t>
            </w:r>
          </w:p>
        </w:tc>
        <w:tc>
          <w:tcPr>
            <w:tcW w:w="25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$ 5,024</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$ 4,680</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$ 4,363</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373</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326</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329</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Foreign income taxes, net of federal credit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65</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Nontaxable income attributable to noncontrolling interests</w:t>
            </w:r>
          </w:p>
        </w:tc>
        <w:tc>
          <w:tcPr>
            <w:tcW w:w="2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Adjustments to uncertain and effectively settled tax positions, net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24</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Accrued interest on uncertain and effectively settled tax positions, net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17</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r>
      <w:tr>
        <w:trPr>
          <w:trHeight w:val="221"/>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196"/>
        </w:trPr>
        <w:tc>
          <w:tcPr>
            <w:tcW w:w="72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25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$ 5,308</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$ 4,959</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$ 3,873</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U.S. federal income tax purposes, NBCUniversal Holdings is treated as a partnership and NBCUniversal is disregarded as an entity separate from NBCUniversal Holdings. Accordingly, for U.S. federal and state income tax purposes, the income of NBCUniversal Holdings and NBCUniversal is included in tax returns filed by us and our subsidiaries. Therefore, neither NBCUniversal Holdings nor NBCUniversal and its subsidiaries incur any material current or deferred domestic income taxes.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indemnified by GE for any income tax liability attributable to the NBCUniversal contributed businesses for periods prior to the close of the NBCUniversal transaction in January 2011 and also for any income tax liability attributable to NBCUniversal Enterprise for periods prior to the date of the NBCUniversal redemption transaction in March 2013. We have indemnified GE for any income tax liability attributable to the businesses we contributed to NBCUniversal for periods prior to the close of the NBCUniversal transaction.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 and deferred foreign income taxes are incurred by NBCUniversal’s foreign subsidiaries. In 2016, 2015 and 2014, NBCUniversal had foreign income before taxes of $871 million, $704 million and $385 million, respectively, on which foreign income tax expense was recorded. We recorded U.S. income tax expense on our allocable share of our subsidiaries’ income before domestic and foreign taxes, which was reduced by a U.S. tax credit equal to our allocable share of our subsidiaries’ foreign income tax expense.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Net Deferred Tax Liability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4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99"/>
        </w:trPr>
        <w:tc>
          <w:tcPr>
            <w:tcW w:w="8280" w:type="dxa"/>
            <w:vAlign w:val="bottom"/>
          </w:tcPr>
          <w:p>
            <w:pPr>
              <w:spacing w:after="0" w:line="200" w:lineRule="exact"/>
              <w:rPr>
                <w:sz w:val="20"/>
                <w:szCs w:val="20"/>
                <w:color w:val="auto"/>
              </w:rPr>
            </w:pPr>
            <w:r>
              <w:rPr>
                <w:rFonts w:ascii="Arial" w:cs="Arial" w:eastAsia="Arial" w:hAnsi="Arial"/>
                <w:sz w:val="18"/>
                <w:szCs w:val="18"/>
                <w:color w:val="auto"/>
              </w:rPr>
              <w:t>Deferred Tax Assets:</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544</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80" w:type="dxa"/>
            <w:vAlign w:val="bottom"/>
          </w:tcPr>
          <w:p>
            <w:pPr>
              <w:ind w:left="220"/>
              <w:spacing w:after="0" w:line="181" w:lineRule="exact"/>
              <w:rPr>
                <w:sz w:val="20"/>
                <w:szCs w:val="20"/>
                <w:color w:val="auto"/>
              </w:rPr>
            </w:pPr>
            <w:r>
              <w:rPr>
                <w:rFonts w:ascii="Arial" w:cs="Arial" w:eastAsia="Arial" w:hAnsi="Arial"/>
                <w:sz w:val="18"/>
                <w:szCs w:val="18"/>
                <w:color w:val="auto"/>
              </w:rPr>
              <w:t>Net operating loss carryforwards</w:t>
            </w:r>
          </w:p>
        </w:tc>
        <w:tc>
          <w:tcPr>
            <w:tcW w:w="1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investments</w:t>
            </w:r>
          </w:p>
        </w:tc>
        <w:tc>
          <w:tcPr>
            <w:tcW w:w="144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Nondeductible accruals and other</w:t>
            </w:r>
          </w:p>
        </w:tc>
        <w:tc>
          <w:tcPr>
            <w:tcW w:w="144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3,789</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21"/>
        </w:trPr>
        <w:tc>
          <w:tcPr>
            <w:tcW w:w="8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Valuation allowance</w:t>
            </w: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266</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4,067</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199"/>
        </w:trPr>
        <w:tc>
          <w:tcPr>
            <w:tcW w:w="8280" w:type="dxa"/>
            <w:vAlign w:val="bottom"/>
          </w:tcPr>
          <w:p>
            <w:pPr>
              <w:spacing w:after="0" w:line="200" w:lineRule="exact"/>
              <w:rPr>
                <w:sz w:val="20"/>
                <w:szCs w:val="20"/>
                <w:color w:val="auto"/>
              </w:rPr>
            </w:pPr>
            <w:r>
              <w:rPr>
                <w:rFonts w:ascii="Arial" w:cs="Arial" w:eastAsia="Arial" w:hAnsi="Arial"/>
                <w:sz w:val="18"/>
                <w:szCs w:val="18"/>
                <w:color w:val="auto"/>
              </w:rPr>
              <w:t>Deferred Tax Liabilities:</w:t>
            </w:r>
          </w:p>
        </w:tc>
        <w:tc>
          <w:tcPr>
            <w:tcW w:w="1440" w:type="dxa"/>
            <w:vAlign w:val="bottom"/>
          </w:tcPr>
          <w:p>
            <w:pPr>
              <w:spacing w:after="0"/>
              <w:rPr>
                <w:sz w:val="17"/>
                <w:szCs w:val="17"/>
                <w:color w:val="auto"/>
              </w:rPr>
            </w:pP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37,401</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80" w:type="dxa"/>
            <w:vAlign w:val="bottom"/>
          </w:tcPr>
          <w:p>
            <w:pPr>
              <w:ind w:left="220"/>
              <w:spacing w:after="0" w:line="181" w:lineRule="exact"/>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36,392</w:t>
            </w: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investments</w:t>
            </w:r>
          </w:p>
        </w:tc>
        <w:tc>
          <w:tcPr>
            <w:tcW w:w="144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144</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indexed debt securities</w:t>
            </w:r>
          </w:p>
        </w:tc>
        <w:tc>
          <w:tcPr>
            <w:tcW w:w="144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375</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1"/>
        </w:trPr>
        <w:tc>
          <w:tcPr>
            <w:tcW w:w="8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Differences between book and tax basis of foreign subsidiaries and undistributed foreign earnings</w:t>
            </w: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960</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38,880</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37,580</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14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34,813</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33,566</w:t>
            </w:r>
          </w:p>
        </w:tc>
        <w:tc>
          <w:tcPr>
            <w:tcW w:w="0" w:type="dxa"/>
            <w:vAlign w:val="bottom"/>
          </w:tcPr>
          <w:p>
            <w:pPr>
              <w:spacing w:after="0"/>
              <w:rPr>
                <w:sz w:val="1"/>
                <w:szCs w:val="1"/>
                <w:color w:val="auto"/>
              </w:rPr>
            </w:pPr>
          </w:p>
        </w:tc>
      </w:tr>
      <w:tr>
        <w:trPr>
          <w:trHeight w:val="506"/>
        </w:trPr>
        <w:tc>
          <w:tcPr>
            <w:tcW w:w="8280" w:type="dxa"/>
            <w:vAlign w:val="bottom"/>
          </w:tcPr>
          <w:p>
            <w:pPr>
              <w:ind w:left="5600"/>
              <w:spacing w:after="0"/>
              <w:rPr>
                <w:sz w:val="20"/>
                <w:szCs w:val="20"/>
                <w:color w:val="auto"/>
              </w:rPr>
            </w:pPr>
            <w:r>
              <w:rPr>
                <w:rFonts w:ascii="Arial" w:cs="Arial" w:eastAsia="Arial" w:hAnsi="Arial"/>
                <w:sz w:val="14"/>
                <w:szCs w:val="14"/>
                <w:b w:val="1"/>
                <w:bCs w:val="1"/>
                <w:color w:val="auto"/>
              </w:rPr>
              <w:t>105</w:t>
            </w:r>
          </w:p>
        </w:tc>
        <w:tc>
          <w:tcPr>
            <w:tcW w:w="3140" w:type="dxa"/>
            <w:vAlign w:val="bottom"/>
            <w:gridSpan w:val="4"/>
          </w:tcPr>
          <w:p>
            <w:pPr>
              <w:jc w:val="right"/>
              <w:spacing w:after="0"/>
              <w:rPr>
                <w:sz w:val="20"/>
                <w:szCs w:val="20"/>
                <w:color w:val="auto"/>
              </w:rPr>
            </w:pPr>
            <w:r>
              <w:rPr>
                <w:rFonts w:ascii="Arial" w:cs="Arial" w:eastAsia="Arial" w:hAnsi="Arial"/>
                <w:sz w:val="14"/>
                <w:szCs w:val="14"/>
                <w:color w:val="auto"/>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Changes in our net deferred tax liability in 2016 that were not recorded as deferred income tax expense are primarily related to an increase of $158 million associated with items included in other comprehensive income (loss), a decrease of $226 million related to acquisitions and a decrease of $129 million associated with our purchase of a noncontrolling interest. Our net deferred tax liability includes $23 billion related to cable franchise rights that will remain unchanged unless we recognize an impairment or dispose of a cable franchise or there is a change in the tax law.</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2016, we had federal net operating loss carryforwards of $598 million, including losses of DreamWorks Animation, and various state net operating loss carryforwards that expire in periods through 2036. As of December 31, 2016, we also had foreign net operating loss carryforwards of $431 million that are related to the foreign operations of NBCUniversal, the majority of which expire in periods through 2026. The determination of the realization of the state and foreign net operating loss carryforwards is dependent on our subsidiaries’ taxable income or loss, apportionment percentages, redetermination from taxing authorities, and state and foreign laws that can change from year to year and impact the amount of such carryforwards. We recognize a valuation allowance if we determine it is more likely than not that some portion, or all, of a deferred tax asset will not be realized. As of December 31, 2016 and 2015, our valuation allowance was primarily related to state and foreign net operating loss carryforwards.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uncertain tax positions as of December 31, 2016 totaled $1.1 billion, which exclude the federal benefits on state tax positions that were recorded as deferred income taxes. Included in our uncertain tax positions was $181 million related to tax positions of NBCUniversal and NBCUniversal Enterprise for which we have been indemnified by GE. If we were to recognize the tax benefit for our uncertain tax positions in the future, $600 million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In 2014, we reduced our accruals for uncertain tax positions and the related accrued interest on these tax positions and, as a result, our income tax expense decreased by $759 million. It is reasonably possible that certain tax contests could be resolved within the next 12 months that may result in a decrease in our effective tax 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C6DFF"/>
        </w:rPr>
        <w:t>Reconciliation of Unrecognized Tax Benefits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January 1</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$ 1,136</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$ 1,171</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$ 1,701</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74</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67</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63</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prior years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67</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98</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111</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from acquired subsidiaries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13</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due to expiration of statutes of limitations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(448)</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 with tax authorities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6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Balance, December 31</w:t>
            </w:r>
          </w:p>
        </w:tc>
        <w:tc>
          <w:tcPr>
            <w:tcW w:w="29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$ 1,103</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$ 1,136</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$ 1,171</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and 2015, our accrued interest associated with uncertain tax positions was $483 million and $510 million, respectively. As of December 31, 2016 and 2015, $39 million and $49 million, respectively, of these amounts were related to tax positions of NBCUniversal and NBCUniversal Enterprise for which we have been indemnified by GE.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2016, the IRS completed its examination of our income tax returns for the year 2014. Various states are examining our tax returns, with most of the periods relating to tax years 2000 and forward. The tax years of our state tax returns currently under examination vary by state.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15: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Receivables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6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r>
      <w:tr>
        <w:trPr>
          <w:trHeight w:val="177"/>
        </w:trPr>
        <w:tc>
          <w:tcPr>
            <w:tcW w:w="692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362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rPr>
              <w:t>$ 8,622</w:t>
            </w:r>
          </w:p>
        </w:tc>
        <w:tc>
          <w:tcPr>
            <w:tcW w:w="8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$ 7,595</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36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417</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473</w:t>
            </w:r>
          </w:p>
        </w:tc>
      </w:tr>
      <w:tr>
        <w:trPr>
          <w:trHeight w:val="221"/>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3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250</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226</w:t>
            </w:r>
          </w:p>
        </w:tc>
      </w:tr>
      <w:tr>
        <w:trPr>
          <w:trHeight w:val="196"/>
        </w:trPr>
        <w:tc>
          <w:tcPr>
            <w:tcW w:w="6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Receivables, net</w:t>
            </w:r>
          </w:p>
        </w:tc>
        <w:tc>
          <w:tcPr>
            <w:tcW w:w="362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$ 7,955</w:t>
            </w:r>
          </w:p>
        </w:tc>
        <w:tc>
          <w:tcPr>
            <w:tcW w:w="8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$ 6,896</w:t>
            </w:r>
          </w:p>
        </w:tc>
      </w:tr>
    </w:tbl>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to the amounts in the table above, as of December 31, 2016 and 2015, noncurrent receivables of $939 million and $721 million, respectively, are included in other noncurrent assets, net that primarily relate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C6DFF"/>
        </w:rPr>
        <w:t>Cash Payments for Interest and Income Taxes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color w:val="auto"/>
              </w:rPr>
              <w:t>2015</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2014</w:t>
            </w: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4120" w:type="dxa"/>
            <w:vAlign w:val="bottom"/>
          </w:tcPr>
          <w:p>
            <w:pPr>
              <w:jc w:val="right"/>
              <w:ind w:right="39"/>
              <w:spacing w:after="0" w:line="177" w:lineRule="exact"/>
              <w:rPr>
                <w:sz w:val="20"/>
                <w:szCs w:val="20"/>
                <w:color w:val="auto"/>
              </w:rPr>
            </w:pPr>
            <w:r>
              <w:rPr>
                <w:rFonts w:ascii="Arial" w:cs="Arial" w:eastAsia="Arial" w:hAnsi="Arial"/>
                <w:sz w:val="18"/>
                <w:szCs w:val="18"/>
                <w:b w:val="1"/>
                <w:bCs w:val="1"/>
                <w:color w:val="auto"/>
              </w:rPr>
              <w:t>$ 2,565</w:t>
            </w:r>
          </w:p>
        </w:tc>
        <w:tc>
          <w:tcPr>
            <w:tcW w:w="820" w:type="dxa"/>
            <w:vAlign w:val="bottom"/>
          </w:tcPr>
          <w:p>
            <w:pPr>
              <w:jc w:val="right"/>
              <w:ind w:right="39"/>
              <w:spacing w:after="0" w:line="177" w:lineRule="exact"/>
              <w:rPr>
                <w:sz w:val="20"/>
                <w:szCs w:val="20"/>
                <w:color w:val="auto"/>
              </w:rPr>
            </w:pPr>
            <w:r>
              <w:rPr>
                <w:rFonts w:ascii="Arial" w:cs="Arial" w:eastAsia="Arial" w:hAnsi="Arial"/>
                <w:sz w:val="18"/>
                <w:szCs w:val="18"/>
                <w:color w:val="auto"/>
              </w:rPr>
              <w:t>$ 2,443</w:t>
            </w:r>
          </w:p>
        </w:tc>
        <w:tc>
          <w:tcPr>
            <w:tcW w:w="82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$ 2,389</w:t>
            </w: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4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$ 3,693</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$ 3,726</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$ 3,668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2016:</w:t>
      </w:r>
    </w:p>
    <w:p>
      <w:pPr>
        <w:spacing w:after="0" w:line="117" w:lineRule="exact"/>
        <w:rPr>
          <w:sz w:val="20"/>
          <w:szCs w:val="20"/>
          <w:color w:val="auto"/>
        </w:rPr>
      </w:pPr>
    </w:p>
    <w:p>
      <w:pPr>
        <w:ind w:left="1020" w:hanging="215"/>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$1.3 billion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recorded a liability of $653 million for a quarterly cash dividend of $0.275 per common share paid in January 2017</w:t>
      </w:r>
    </w:p>
    <w:p>
      <w:pPr>
        <w:spacing w:after="0" w:line="117"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recorded a liability for capital contributions for an investment that were accrued in December and paid in January 2017 (see Note 7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2015:</w:t>
      </w:r>
    </w:p>
    <w:p>
      <w:pPr>
        <w:spacing w:after="0" w:line="117" w:lineRule="exact"/>
        <w:rPr>
          <w:sz w:val="20"/>
          <w:szCs w:val="20"/>
          <w:color w:val="auto"/>
        </w:rPr>
      </w:pPr>
    </w:p>
    <w:p>
      <w:pPr>
        <w:ind w:left="1020" w:hanging="21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acquired $1.1 billion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recorded a liability of $612 million for a quarterly cash dividend of $0.25 per common share paid in January 2016</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assumed liabilities related to the Universal Studios Japan transaction (see Note 5 for additional information)</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used $517 million of equity securities to settle a portion of our obligations under prepaid forward sale agreements</w:t>
      </w:r>
    </w:p>
    <w:p>
      <w:pPr>
        <w:spacing w:after="0" w:line="200" w:lineRule="exact"/>
        <w:rPr>
          <w:sz w:val="20"/>
          <w:szCs w:val="20"/>
          <w:color w:val="auto"/>
        </w:rPr>
      </w:pPr>
    </w:p>
    <w:p>
      <w:pPr>
        <w:spacing w:after="0" w:line="282" w:lineRule="exact"/>
        <w:rPr>
          <w:sz w:val="20"/>
          <w:szCs w:val="20"/>
          <w:color w:val="auto"/>
        </w:rPr>
      </w:pPr>
    </w:p>
    <w:p>
      <w:pPr>
        <w:ind w:left="1020" w:hanging="21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acquired $797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recorded a liability of $572 million for a quarterly cash dividend of $0.225 per common share paid in January 2015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used $3.2 billion of equity securities to settle a portion of our obligations under prepaid forward sale agreements</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107</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16: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enters into long-term commitments with third parties in the ordinary course of its business, including commitments to acquire film and television programming, obligations under various creative talent agreements, and various other television-related commitments. Many of NBCUniversal’s employees, including writers, directors, actors, technical and production personnel, and others, as well as some of its on-air and creative talent, are covered by collective bargaining agreements or works councils. As of December 31, 2016, the total number of NBCUniversal full-time, part-time and hourly employees on its payroll covered by collective bargaining agreements was 8,500 full-time equivalent employees. Approximately 15% of these full-time equivalent employees were covered by collective bargaining agreements that have expired or are scheduled to expire during 2017.</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through Comcast 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table below summarizes our minimum annual programming and talent commitments and our minimum annual rental commitments for office space, equipment and transponder service agreements under operating leases. Programming and talent commitments include acquired film and television programming, including U.S. broadcast rights to the Olympic Games through 2032,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through the 2022-23 season, </w:t>
      </w:r>
      <w:r>
        <w:rPr>
          <w:rFonts w:ascii="Arial" w:cs="Arial" w:eastAsia="Arial" w:hAnsi="Arial"/>
          <w:sz w:val="18"/>
          <w:szCs w:val="18"/>
          <w:i w:val="1"/>
          <w:iCs w:val="1"/>
          <w:color w:val="auto"/>
        </w:rPr>
        <w:t xml:space="preserve">Thursday Night Football </w:t>
      </w:r>
      <w:r>
        <w:rPr>
          <w:rFonts w:ascii="Arial" w:cs="Arial" w:eastAsia="Arial" w:hAnsi="Arial"/>
          <w:sz w:val="18"/>
          <w:szCs w:val="18"/>
          <w:color w:val="auto"/>
        </w:rPr>
        <w:t>through the 2017-18 season, certain NASCAR events through 2024 and other programming commitments,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contracts with creative talent.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60" w:type="dxa"/>
            <w:vAlign w:val="bottom"/>
          </w:tcPr>
          <w:p>
            <w:pPr>
              <w:jc w:val="right"/>
              <w:ind w:right="55"/>
              <w:spacing w:after="0"/>
              <w:rPr>
                <w:sz w:val="20"/>
                <w:szCs w:val="20"/>
                <w:color w:val="auto"/>
              </w:rPr>
            </w:pPr>
            <w:r>
              <w:rPr>
                <w:rFonts w:ascii="Arial" w:cs="Arial" w:eastAsia="Arial" w:hAnsi="Arial"/>
                <w:sz w:val="14"/>
                <w:szCs w:val="14"/>
                <w:color w:val="auto"/>
                <w:w w:val="98"/>
              </w:rPr>
              <w:t>Programming and</w:t>
            </w: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Operating</w:t>
            </w:r>
          </w:p>
        </w:tc>
      </w:tr>
      <w:tr>
        <w:trPr>
          <w:trHeight w:val="163"/>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December 31, 2016 (in millions)</w:t>
            </w:r>
          </w:p>
        </w:tc>
        <w:tc>
          <w:tcPr>
            <w:tcW w:w="4840" w:type="dxa"/>
            <w:vAlign w:val="bottom"/>
            <w:tcBorders>
              <w:bottom w:val="single" w:sz="8" w:color="auto"/>
            </w:tcBorders>
            <w:gridSpan w:val="2"/>
          </w:tcPr>
          <w:p>
            <w:pPr>
              <w:ind w:left="3460"/>
              <w:spacing w:after="0"/>
              <w:rPr>
                <w:sz w:val="20"/>
                <w:szCs w:val="20"/>
                <w:color w:val="auto"/>
              </w:rPr>
            </w:pPr>
            <w:r>
              <w:rPr>
                <w:rFonts w:ascii="Arial" w:cs="Arial" w:eastAsia="Arial" w:hAnsi="Arial"/>
                <w:sz w:val="14"/>
                <w:szCs w:val="14"/>
                <w:color w:val="auto"/>
              </w:rPr>
              <w:t>Talent Commitments</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Leases</w:t>
            </w:r>
          </w:p>
        </w:tc>
      </w:tr>
      <w:tr>
        <w:trPr>
          <w:trHeight w:val="199"/>
        </w:trPr>
        <w:tc>
          <w:tcPr>
            <w:tcW w:w="5700" w:type="dxa"/>
            <w:vAlign w:val="bottom"/>
          </w:tcPr>
          <w:p>
            <w:pPr>
              <w:spacing w:after="0" w:line="200" w:lineRule="exact"/>
              <w:rPr>
                <w:sz w:val="20"/>
                <w:szCs w:val="20"/>
                <w:color w:val="auto"/>
              </w:rPr>
            </w:pPr>
            <w:r>
              <w:rPr>
                <w:rFonts w:ascii="Arial" w:cs="Arial" w:eastAsia="Arial" w:hAnsi="Arial"/>
                <w:sz w:val="18"/>
                <w:szCs w:val="18"/>
                <w:color w:val="auto"/>
              </w:rPr>
              <w:t>2017</w:t>
            </w:r>
          </w:p>
        </w:tc>
        <w:tc>
          <w:tcPr>
            <w:tcW w:w="3580" w:type="dxa"/>
            <w:vAlign w:val="bottom"/>
          </w:tcPr>
          <w:p>
            <w:pPr>
              <w:ind w:left="3460"/>
              <w:spacing w:after="0" w:line="200"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5,222</w:t>
            </w:r>
          </w:p>
        </w:tc>
        <w:tc>
          <w:tcPr>
            <w:tcW w:w="30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517</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4,879</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485</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3,503</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433</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4,587</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378</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3,177</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321</w:t>
            </w:r>
          </w:p>
        </w:tc>
      </w:tr>
      <w:tr>
        <w:trPr>
          <w:trHeight w:val="199"/>
        </w:trPr>
        <w:tc>
          <w:tcPr>
            <w:tcW w:w="57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580" w:type="dxa"/>
            <w:vAlign w:val="bottom"/>
            <w:tcBorders>
              <w:bottom w:val="single" w:sz="8" w:color="auto"/>
            </w:tcBorders>
          </w:tcPr>
          <w:p>
            <w:pPr>
              <w:ind w:left="3460"/>
              <w:spacing w:after="0" w:line="200"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20,847</w:t>
            </w:r>
          </w:p>
        </w:tc>
        <w:tc>
          <w:tcPr>
            <w:tcW w:w="30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1,873</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rental expense charged to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2015</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2014</w:t>
            </w:r>
          </w:p>
        </w:tc>
      </w:tr>
      <w:tr>
        <w:trPr>
          <w:trHeight w:val="196"/>
        </w:trPr>
        <w:tc>
          <w:tcPr>
            <w:tcW w:w="5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Rental expense</w:t>
            </w:r>
          </w:p>
        </w:tc>
        <w:tc>
          <w:tcPr>
            <w:tcW w:w="41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$ 744</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$ 608</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$ 580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2016, our carrying value was $1.1 billion, and if the option had been exercisable as of December 31, 2016, the estimated value of the contractual obligation would have been approximately $1.4 billion, based on inputs to the contractual formula as of that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June 2015, we settled a contingent consideration liability related to the acquisition of NBCUniversal, which was based upon future net tax benefits realized by us that would affect future payments to GE, for a payment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of $450 million, which is included as a financing activity in our consolidated statement of cash flows. The settlement resulted in a gain of $240 million, which was recorded to other income (expense), net in our consolidated statement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NBCUniversal Enterprise is a holding company that we control and consolidate whose principal assets are its interests in NBCUniversal Holdings. The NBCUniversal Enterprise preferred stock pays dividends at a fixed rate of 5.25% per annum. The holders have the right to cause NBCUniversal Enterprise to redeem their shares at a price equal to the liquidation preference plus accrued but unpaid dividends for a 30 day period beginning on March 19, 2020 and thereafter on every third anniversary of such date (each such date, a “put date”). Shares of preferred stock can be called for redemption by NBCUniversal Enterprise at a price equal to the liquidation preference plus accrued but unpaid dividends one year following the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consolidated balance sheet. Its initial value was based on the liquidation preference of the preferred stock and is adjusted for accrued but unpaid dividends. As of December 31, 2016 and 2015, the fair value of the NBCUniversal Enterprise redeemable subsidiary preferred stock was $741 million and $758 million, respectively.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109</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17: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present our operations in one reportable business segment for Cable Communications and four reportable business segments for NBCUniversal. The Cable Networks, Broadcast Television, Filmed Entertainment and Theme Parks segments comprise the NBCUniversal businesses and are collectively referred to as the NBCUniversal segments. Our financial data by reportable business segment is presented in the tables below. We do not present a measure of total assets for our reportable business segments as this information is not used by management to allocate resources and capital.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0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58"/>
              <w:spacing w:after="0" w:line="149" w:lineRule="exact"/>
              <w:rPr>
                <w:sz w:val="20"/>
                <w:szCs w:val="20"/>
                <w:color w:val="auto"/>
              </w:rPr>
            </w:pPr>
            <w:r>
              <w:rPr>
                <w:rFonts w:ascii="Arial" w:cs="Arial" w:eastAsia="Arial" w:hAnsi="Arial"/>
                <w:sz w:val="14"/>
                <w:szCs w:val="14"/>
                <w:color w:val="auto"/>
              </w:rPr>
              <w:t>Before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58"/>
              <w:spacing w:after="0" w:line="149" w:lineRule="exact"/>
              <w:rPr>
                <w:sz w:val="20"/>
                <w:szCs w:val="20"/>
                <w:color w:val="auto"/>
              </w:rPr>
            </w:pPr>
            <w:r>
              <w:rPr>
                <w:rFonts w:ascii="Arial" w:cs="Arial" w:eastAsia="Arial" w:hAnsi="Arial"/>
                <w:sz w:val="14"/>
                <w:szCs w:val="14"/>
                <w:color w:val="auto"/>
                <w:w w:val="94"/>
              </w:rPr>
              <w:t>Depreciation</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jc w:val="right"/>
              <w:ind w:right="57"/>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w:t>
            </w:r>
          </w:p>
        </w:tc>
        <w:tc>
          <w:tcPr>
            <w:tcW w:w="0" w:type="dxa"/>
            <w:vAlign w:val="bottom"/>
          </w:tcPr>
          <w:p>
            <w:pPr>
              <w:spacing w:after="0"/>
              <w:rPr>
                <w:sz w:val="1"/>
                <w:szCs w:val="1"/>
                <w:color w:val="auto"/>
              </w:rPr>
            </w:pPr>
          </w:p>
        </w:tc>
      </w:tr>
      <w:tr>
        <w:trPr>
          <w:trHeight w:val="136"/>
        </w:trPr>
        <w:tc>
          <w:tcPr>
            <w:tcW w:w="4120" w:type="dxa"/>
            <w:vAlign w:val="bottom"/>
          </w:tcPr>
          <w:p>
            <w:pPr>
              <w:spacing w:after="0"/>
              <w:rPr>
                <w:sz w:val="11"/>
                <w:szCs w:val="11"/>
                <w:color w:val="auto"/>
              </w:rPr>
            </w:pPr>
          </w:p>
        </w:tc>
        <w:tc>
          <w:tcPr>
            <w:tcW w:w="2320" w:type="dxa"/>
            <w:vAlign w:val="bottom"/>
            <w:vMerge w:val="restart"/>
          </w:tcPr>
          <w:p>
            <w:pPr>
              <w:jc w:val="right"/>
              <w:ind w:right="35"/>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200" w:type="dxa"/>
            <w:vAlign w:val="bottom"/>
          </w:tcPr>
          <w:p>
            <w:pPr>
              <w:spacing w:after="0"/>
              <w:rPr>
                <w:sz w:val="11"/>
                <w:szCs w:val="11"/>
                <w:color w:val="auto"/>
              </w:rPr>
            </w:pPr>
          </w:p>
        </w:tc>
        <w:tc>
          <w:tcPr>
            <w:tcW w:w="900" w:type="dxa"/>
            <w:vAlign w:val="bottom"/>
          </w:tcPr>
          <w:p>
            <w:pPr>
              <w:jc w:val="right"/>
              <w:ind w:right="58"/>
              <w:spacing w:after="0" w:line="136"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1"/>
                <w:szCs w:val="11"/>
                <w:color w:val="auto"/>
              </w:rPr>
            </w:pPr>
          </w:p>
        </w:tc>
        <w:tc>
          <w:tcPr>
            <w:tcW w:w="660" w:type="dxa"/>
            <w:vAlign w:val="bottom"/>
          </w:tcPr>
          <w:p>
            <w:pPr>
              <w:jc w:val="right"/>
              <w:ind w:right="14"/>
              <w:spacing w:after="0" w:line="136" w:lineRule="exact"/>
              <w:rPr>
                <w:sz w:val="20"/>
                <w:szCs w:val="20"/>
                <w:color w:val="auto"/>
              </w:rPr>
            </w:pPr>
            <w:r>
              <w:rPr>
                <w:rFonts w:ascii="Arial" w:cs="Arial" w:eastAsia="Arial" w:hAnsi="Arial"/>
                <w:sz w:val="14"/>
                <w:szCs w:val="14"/>
                <w:color w:val="auto"/>
              </w:rPr>
              <w:t>and</w:t>
            </w:r>
          </w:p>
        </w:tc>
        <w:tc>
          <w:tcPr>
            <w:tcW w:w="940" w:type="dxa"/>
            <w:vAlign w:val="bottom"/>
          </w:tcPr>
          <w:p>
            <w:pPr>
              <w:jc w:val="right"/>
              <w:ind w:right="57"/>
              <w:spacing w:after="0" w:line="136"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1"/>
                <w:szCs w:val="11"/>
                <w:color w:val="auto"/>
              </w:rPr>
            </w:pPr>
          </w:p>
        </w:tc>
        <w:tc>
          <w:tcPr>
            <w:tcW w:w="660" w:type="dxa"/>
            <w:vAlign w:val="bottom"/>
          </w:tcPr>
          <w:p>
            <w:pPr>
              <w:jc w:val="right"/>
              <w:ind w:right="14"/>
              <w:spacing w:after="0" w:line="136" w:lineRule="exact"/>
              <w:rPr>
                <w:sz w:val="20"/>
                <w:szCs w:val="20"/>
                <w:color w:val="auto"/>
              </w:rPr>
            </w:pPr>
            <w:r>
              <w:rPr>
                <w:rFonts w:ascii="Arial" w:cs="Arial" w:eastAsia="Arial" w:hAnsi="Arial"/>
                <w:sz w:val="14"/>
                <w:szCs w:val="14"/>
                <w:color w:val="auto"/>
              </w:rPr>
              <w:t>Capital</w:t>
            </w:r>
          </w:p>
        </w:tc>
        <w:tc>
          <w:tcPr>
            <w:tcW w:w="280" w:type="dxa"/>
            <w:vAlign w:val="bottom"/>
          </w:tcPr>
          <w:p>
            <w:pPr>
              <w:spacing w:after="0"/>
              <w:rPr>
                <w:sz w:val="11"/>
                <w:szCs w:val="11"/>
                <w:color w:val="auto"/>
              </w:rPr>
            </w:pPr>
          </w:p>
        </w:tc>
        <w:tc>
          <w:tcPr>
            <w:tcW w:w="760" w:type="dxa"/>
            <w:vAlign w:val="bottom"/>
          </w:tcPr>
          <w:p>
            <w:pPr>
              <w:jc w:val="right"/>
              <w:ind w:right="15"/>
              <w:spacing w:after="0" w:line="136" w:lineRule="exact"/>
              <w:rPr>
                <w:sz w:val="20"/>
                <w:szCs w:val="20"/>
                <w:color w:val="auto"/>
              </w:rPr>
            </w:pPr>
            <w:r>
              <w:rPr>
                <w:rFonts w:ascii="Arial" w:cs="Arial" w:eastAsia="Arial" w:hAnsi="Arial"/>
                <w:sz w:val="14"/>
                <w:szCs w:val="14"/>
                <w:color w:val="auto"/>
              </w:rPr>
              <w:t>Intangible</w:t>
            </w:r>
          </w:p>
        </w:tc>
        <w:tc>
          <w:tcPr>
            <w:tcW w:w="0" w:type="dxa"/>
            <w:vAlign w:val="bottom"/>
          </w:tcPr>
          <w:p>
            <w:pPr>
              <w:spacing w:after="0"/>
              <w:rPr>
                <w:sz w:val="1"/>
                <w:szCs w:val="1"/>
                <w:color w:val="auto"/>
              </w:rPr>
            </w:pPr>
          </w:p>
        </w:tc>
      </w:tr>
      <w:tr>
        <w:trPr>
          <w:trHeight w:val="176"/>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3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gridSpan w:val="2"/>
          </w:tcPr>
          <w:p>
            <w:pPr>
              <w:jc w:val="right"/>
              <w:ind w:right="58"/>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b w:val="1"/>
                <w:bCs w:val="1"/>
                <w:color w:val="auto"/>
              </w:rPr>
              <w:t>2016</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(a)(b)</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$ 50,048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20,109</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7,670</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$ 12,439</w:t>
            </w:r>
          </w:p>
        </w:tc>
        <w:tc>
          <w:tcPr>
            <w:tcW w:w="3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7,596</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(c)</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10,464</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3,709</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745</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2,964</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(c)</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10,147</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1,320</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125</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1,195</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153</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6,360</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697</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650</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4,946</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2,190</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512</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1,678</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922</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(d)</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(699)</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(1,075)</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312</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(344)</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8"/>
              <w:spacing w:after="0" w:line="200" w:lineRule="exact"/>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3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31,593</w:t>
            </w:r>
          </w:p>
        </w:tc>
        <w:tc>
          <w:tcPr>
            <w:tcW w:w="200" w:type="dxa"/>
            <w:vAlign w:val="bottom"/>
          </w:tcPr>
          <w:p>
            <w:pPr>
              <w:spacing w:after="0"/>
              <w:rPr>
                <w:sz w:val="17"/>
                <w:szCs w:val="17"/>
                <w:color w:val="auto"/>
              </w:rPr>
            </w:pPr>
          </w:p>
        </w:tc>
        <w:tc>
          <w:tcPr>
            <w:tcW w:w="900" w:type="dxa"/>
            <w:vAlign w:val="bottom"/>
          </w:tcPr>
          <w:p>
            <w:pPr>
              <w:jc w:val="right"/>
              <w:ind w:right="58"/>
              <w:spacing w:after="0" w:line="200" w:lineRule="exact"/>
              <w:rPr>
                <w:sz w:val="20"/>
                <w:szCs w:val="20"/>
                <w:color w:val="auto"/>
              </w:rPr>
            </w:pPr>
            <w:r>
              <w:rPr>
                <w:rFonts w:ascii="Arial" w:cs="Arial" w:eastAsia="Arial" w:hAnsi="Arial"/>
                <w:sz w:val="18"/>
                <w:szCs w:val="18"/>
                <w:color w:val="auto"/>
              </w:rPr>
              <w:t>7,227</w:t>
            </w:r>
          </w:p>
        </w:tc>
        <w:tc>
          <w:tcPr>
            <w:tcW w:w="28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1,805</w:t>
            </w:r>
          </w:p>
        </w:tc>
        <w:tc>
          <w:tcPr>
            <w:tcW w:w="940" w:type="dxa"/>
            <w:vAlign w:val="bottom"/>
          </w:tcPr>
          <w:p>
            <w:pPr>
              <w:jc w:val="right"/>
              <w:ind w:right="57"/>
              <w:spacing w:after="0" w:line="200" w:lineRule="exact"/>
              <w:rPr>
                <w:sz w:val="20"/>
                <w:szCs w:val="20"/>
                <w:color w:val="auto"/>
              </w:rPr>
            </w:pPr>
            <w:r>
              <w:rPr>
                <w:rFonts w:ascii="Arial" w:cs="Arial" w:eastAsia="Arial" w:hAnsi="Arial"/>
                <w:sz w:val="18"/>
                <w:szCs w:val="18"/>
                <w:color w:val="auto"/>
              </w:rPr>
              <w:t>5,422</w:t>
            </w:r>
          </w:p>
        </w:tc>
        <w:tc>
          <w:tcPr>
            <w:tcW w:w="30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1,452</w:t>
            </w:r>
          </w:p>
        </w:tc>
        <w:tc>
          <w:tcPr>
            <w:tcW w:w="280" w:type="dxa"/>
            <w:vAlign w:val="bottom"/>
          </w:tcPr>
          <w:p>
            <w:pPr>
              <w:spacing w:after="0"/>
              <w:rPr>
                <w:sz w:val="17"/>
                <w:szCs w:val="17"/>
                <w:color w:val="auto"/>
              </w:rPr>
            </w:pPr>
          </w:p>
        </w:tc>
        <w:tc>
          <w:tcPr>
            <w:tcW w:w="7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3"/>
        </w:trPr>
        <w:tc>
          <w:tcPr>
            <w:tcW w:w="4120" w:type="dxa"/>
            <w:vAlign w:val="bottom"/>
          </w:tcPr>
          <w:p>
            <w:pPr>
              <w:spacing w:after="0" w:line="203"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2"/>
                <w:szCs w:val="22"/>
                <w:color w:val="auto"/>
                <w:vertAlign w:val="superscript"/>
              </w:rPr>
              <w:t>(b)</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750</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(874)</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(957)</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87</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(1,988)</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Comcast Consolidated</w:t>
            </w:r>
          </w:p>
        </w:tc>
        <w:tc>
          <w:tcPr>
            <w:tcW w:w="232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$ 80,403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tcBorders>
          </w:tcPr>
          <w:p>
            <w:pPr>
              <w:jc w:val="right"/>
              <w:ind w:right="58"/>
              <w:spacing w:after="0" w:line="196" w:lineRule="exact"/>
              <w:rPr>
                <w:sz w:val="20"/>
                <w:szCs w:val="20"/>
                <w:color w:val="auto"/>
              </w:rPr>
            </w:pPr>
            <w:r>
              <w:rPr>
                <w:rFonts w:ascii="Arial" w:cs="Arial" w:eastAsia="Arial" w:hAnsi="Arial"/>
                <w:sz w:val="18"/>
                <w:szCs w:val="18"/>
                <w:b w:val="1"/>
                <w:bCs w:val="1"/>
                <w:color w:val="auto"/>
              </w:rPr>
              <w:t>26,417</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9,558</w:t>
            </w:r>
          </w:p>
        </w:tc>
        <w:tc>
          <w:tcPr>
            <w:tcW w:w="94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b w:val="1"/>
                <w:bCs w:val="1"/>
                <w:color w:val="auto"/>
              </w:rPr>
              <w:t>$ 16,859</w:t>
            </w:r>
          </w:p>
        </w:tc>
        <w:tc>
          <w:tcPr>
            <w:tcW w:w="3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9,135</w:t>
            </w:r>
          </w:p>
        </w:tc>
        <w:tc>
          <w:tcPr>
            <w:tcW w:w="28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1,686</w:t>
            </w:r>
          </w:p>
        </w:tc>
        <w:tc>
          <w:tcPr>
            <w:tcW w:w="0" w:type="dxa"/>
            <w:vAlign w:val="bottom"/>
          </w:tcPr>
          <w:p>
            <w:pPr>
              <w:spacing w:after="0"/>
              <w:rPr>
                <w:sz w:val="1"/>
                <w:szCs w:val="1"/>
                <w:color w:val="auto"/>
              </w:rPr>
            </w:pPr>
          </w:p>
        </w:tc>
      </w:tr>
      <w:tr>
        <w:trPr>
          <w:trHeight w:val="344"/>
        </w:trPr>
        <w:tc>
          <w:tcPr>
            <w:tcW w:w="4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0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58"/>
              <w:spacing w:after="0" w:line="149" w:lineRule="exact"/>
              <w:rPr>
                <w:sz w:val="20"/>
                <w:szCs w:val="20"/>
                <w:color w:val="auto"/>
              </w:rPr>
            </w:pPr>
            <w:r>
              <w:rPr>
                <w:rFonts w:ascii="Arial" w:cs="Arial" w:eastAsia="Arial" w:hAnsi="Arial"/>
                <w:sz w:val="14"/>
                <w:szCs w:val="14"/>
                <w:color w:val="auto"/>
              </w:rPr>
              <w:t>Before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58"/>
              <w:spacing w:after="0" w:line="149" w:lineRule="exact"/>
              <w:rPr>
                <w:sz w:val="20"/>
                <w:szCs w:val="20"/>
                <w:color w:val="auto"/>
              </w:rPr>
            </w:pPr>
            <w:r>
              <w:rPr>
                <w:rFonts w:ascii="Arial" w:cs="Arial" w:eastAsia="Arial" w:hAnsi="Arial"/>
                <w:sz w:val="14"/>
                <w:szCs w:val="14"/>
                <w:color w:val="auto"/>
                <w:w w:val="94"/>
              </w:rPr>
              <w:t>Depreciation</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jc w:val="right"/>
              <w:ind w:right="57"/>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w:t>
            </w:r>
          </w:p>
        </w:tc>
        <w:tc>
          <w:tcPr>
            <w:tcW w:w="0" w:type="dxa"/>
            <w:vAlign w:val="bottom"/>
          </w:tcPr>
          <w:p>
            <w:pPr>
              <w:spacing w:after="0"/>
              <w:rPr>
                <w:sz w:val="1"/>
                <w:szCs w:val="1"/>
                <w:color w:val="auto"/>
              </w:rPr>
            </w:pPr>
          </w:p>
        </w:tc>
      </w:tr>
      <w:tr>
        <w:trPr>
          <w:trHeight w:val="136"/>
        </w:trPr>
        <w:tc>
          <w:tcPr>
            <w:tcW w:w="4120" w:type="dxa"/>
            <w:vAlign w:val="bottom"/>
          </w:tcPr>
          <w:p>
            <w:pPr>
              <w:spacing w:after="0"/>
              <w:rPr>
                <w:sz w:val="11"/>
                <w:szCs w:val="11"/>
                <w:color w:val="auto"/>
              </w:rPr>
            </w:pPr>
          </w:p>
        </w:tc>
        <w:tc>
          <w:tcPr>
            <w:tcW w:w="2320" w:type="dxa"/>
            <w:vAlign w:val="bottom"/>
            <w:vMerge w:val="restart"/>
          </w:tcPr>
          <w:p>
            <w:pPr>
              <w:jc w:val="right"/>
              <w:ind w:right="35"/>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200" w:type="dxa"/>
            <w:vAlign w:val="bottom"/>
          </w:tcPr>
          <w:p>
            <w:pPr>
              <w:spacing w:after="0"/>
              <w:rPr>
                <w:sz w:val="11"/>
                <w:szCs w:val="11"/>
                <w:color w:val="auto"/>
              </w:rPr>
            </w:pPr>
          </w:p>
        </w:tc>
        <w:tc>
          <w:tcPr>
            <w:tcW w:w="900" w:type="dxa"/>
            <w:vAlign w:val="bottom"/>
          </w:tcPr>
          <w:p>
            <w:pPr>
              <w:jc w:val="right"/>
              <w:ind w:right="58"/>
              <w:spacing w:after="0" w:line="136"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1"/>
                <w:szCs w:val="11"/>
                <w:color w:val="auto"/>
              </w:rPr>
            </w:pPr>
          </w:p>
        </w:tc>
        <w:tc>
          <w:tcPr>
            <w:tcW w:w="660" w:type="dxa"/>
            <w:vAlign w:val="bottom"/>
          </w:tcPr>
          <w:p>
            <w:pPr>
              <w:jc w:val="right"/>
              <w:ind w:right="14"/>
              <w:spacing w:after="0" w:line="136" w:lineRule="exact"/>
              <w:rPr>
                <w:sz w:val="20"/>
                <w:szCs w:val="20"/>
                <w:color w:val="auto"/>
              </w:rPr>
            </w:pPr>
            <w:r>
              <w:rPr>
                <w:rFonts w:ascii="Arial" w:cs="Arial" w:eastAsia="Arial" w:hAnsi="Arial"/>
                <w:sz w:val="14"/>
                <w:szCs w:val="14"/>
                <w:color w:val="auto"/>
              </w:rPr>
              <w:t>and</w:t>
            </w:r>
          </w:p>
        </w:tc>
        <w:tc>
          <w:tcPr>
            <w:tcW w:w="940" w:type="dxa"/>
            <w:vAlign w:val="bottom"/>
          </w:tcPr>
          <w:p>
            <w:pPr>
              <w:jc w:val="right"/>
              <w:ind w:right="57"/>
              <w:spacing w:after="0" w:line="136"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1"/>
                <w:szCs w:val="11"/>
                <w:color w:val="auto"/>
              </w:rPr>
            </w:pPr>
          </w:p>
        </w:tc>
        <w:tc>
          <w:tcPr>
            <w:tcW w:w="660" w:type="dxa"/>
            <w:vAlign w:val="bottom"/>
          </w:tcPr>
          <w:p>
            <w:pPr>
              <w:jc w:val="right"/>
              <w:ind w:right="14"/>
              <w:spacing w:after="0" w:line="136" w:lineRule="exact"/>
              <w:rPr>
                <w:sz w:val="20"/>
                <w:szCs w:val="20"/>
                <w:color w:val="auto"/>
              </w:rPr>
            </w:pPr>
            <w:r>
              <w:rPr>
                <w:rFonts w:ascii="Arial" w:cs="Arial" w:eastAsia="Arial" w:hAnsi="Arial"/>
                <w:sz w:val="14"/>
                <w:szCs w:val="14"/>
                <w:color w:val="auto"/>
              </w:rPr>
              <w:t>Capital</w:t>
            </w:r>
          </w:p>
        </w:tc>
        <w:tc>
          <w:tcPr>
            <w:tcW w:w="280" w:type="dxa"/>
            <w:vAlign w:val="bottom"/>
          </w:tcPr>
          <w:p>
            <w:pPr>
              <w:spacing w:after="0"/>
              <w:rPr>
                <w:sz w:val="11"/>
                <w:szCs w:val="11"/>
                <w:color w:val="auto"/>
              </w:rPr>
            </w:pPr>
          </w:p>
        </w:tc>
        <w:tc>
          <w:tcPr>
            <w:tcW w:w="760" w:type="dxa"/>
            <w:vAlign w:val="bottom"/>
          </w:tcPr>
          <w:p>
            <w:pPr>
              <w:jc w:val="right"/>
              <w:ind w:right="15"/>
              <w:spacing w:after="0" w:line="136" w:lineRule="exact"/>
              <w:rPr>
                <w:sz w:val="20"/>
                <w:szCs w:val="20"/>
                <w:color w:val="auto"/>
              </w:rPr>
            </w:pPr>
            <w:r>
              <w:rPr>
                <w:rFonts w:ascii="Arial" w:cs="Arial" w:eastAsia="Arial" w:hAnsi="Arial"/>
                <w:sz w:val="14"/>
                <w:szCs w:val="14"/>
                <w:color w:val="auto"/>
              </w:rPr>
              <w:t>Intangible</w:t>
            </w:r>
          </w:p>
        </w:tc>
        <w:tc>
          <w:tcPr>
            <w:tcW w:w="0" w:type="dxa"/>
            <w:vAlign w:val="bottom"/>
          </w:tcPr>
          <w:p>
            <w:pPr>
              <w:spacing w:after="0"/>
              <w:rPr>
                <w:sz w:val="1"/>
                <w:szCs w:val="1"/>
                <w:color w:val="auto"/>
              </w:rPr>
            </w:pPr>
          </w:p>
        </w:tc>
      </w:tr>
      <w:tr>
        <w:trPr>
          <w:trHeight w:val="176"/>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3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gridSpan w:val="2"/>
          </w:tcPr>
          <w:p>
            <w:pPr>
              <w:jc w:val="right"/>
              <w:ind w:right="58"/>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b w:val="1"/>
                <w:bCs w:val="1"/>
                <w:color w:val="auto"/>
              </w:rPr>
              <w:t>2015</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(a)(b)</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$ 46,928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19,037</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7,051</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$ 11,986</w:t>
            </w:r>
          </w:p>
        </w:tc>
        <w:tc>
          <w:tcPr>
            <w:tcW w:w="3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7,040</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9,628</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3,499</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784</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2,715</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(c)</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8,530</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780</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111</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669</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117</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7,287</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1,234</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1,208</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3,339</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1,464</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292</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1,172</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833</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(d)</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378</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(336)</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8"/>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3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28,462</w:t>
            </w:r>
          </w:p>
        </w:tc>
        <w:tc>
          <w:tcPr>
            <w:tcW w:w="200" w:type="dxa"/>
            <w:vAlign w:val="bottom"/>
          </w:tcPr>
          <w:p>
            <w:pPr>
              <w:spacing w:after="0"/>
              <w:rPr>
                <w:sz w:val="17"/>
                <w:szCs w:val="17"/>
                <w:color w:val="auto"/>
              </w:rPr>
            </w:pPr>
          </w:p>
        </w:tc>
        <w:tc>
          <w:tcPr>
            <w:tcW w:w="900" w:type="dxa"/>
            <w:vAlign w:val="bottom"/>
          </w:tcPr>
          <w:p>
            <w:pPr>
              <w:jc w:val="right"/>
              <w:ind w:right="58"/>
              <w:spacing w:after="0" w:line="200" w:lineRule="exact"/>
              <w:rPr>
                <w:sz w:val="20"/>
                <w:szCs w:val="20"/>
                <w:color w:val="auto"/>
              </w:rPr>
            </w:pPr>
            <w:r>
              <w:rPr>
                <w:rFonts w:ascii="Arial" w:cs="Arial" w:eastAsia="Arial" w:hAnsi="Arial"/>
                <w:sz w:val="18"/>
                <w:szCs w:val="18"/>
                <w:color w:val="auto"/>
              </w:rPr>
              <w:t>6,352</w:t>
            </w:r>
          </w:p>
        </w:tc>
        <w:tc>
          <w:tcPr>
            <w:tcW w:w="28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1,539</w:t>
            </w:r>
          </w:p>
        </w:tc>
        <w:tc>
          <w:tcPr>
            <w:tcW w:w="940" w:type="dxa"/>
            <w:vAlign w:val="bottom"/>
          </w:tcPr>
          <w:p>
            <w:pPr>
              <w:jc w:val="right"/>
              <w:ind w:right="57"/>
              <w:spacing w:after="0" w:line="200" w:lineRule="exact"/>
              <w:rPr>
                <w:sz w:val="20"/>
                <w:szCs w:val="20"/>
                <w:color w:val="auto"/>
              </w:rPr>
            </w:pPr>
            <w:r>
              <w:rPr>
                <w:rFonts w:ascii="Arial" w:cs="Arial" w:eastAsia="Arial" w:hAnsi="Arial"/>
                <w:sz w:val="18"/>
                <w:szCs w:val="18"/>
                <w:color w:val="auto"/>
              </w:rPr>
              <w:t>4,813</w:t>
            </w:r>
          </w:p>
        </w:tc>
        <w:tc>
          <w:tcPr>
            <w:tcW w:w="30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1,386</w:t>
            </w:r>
          </w:p>
        </w:tc>
        <w:tc>
          <w:tcPr>
            <w:tcW w:w="280" w:type="dxa"/>
            <w:vAlign w:val="bottom"/>
          </w:tcPr>
          <w:p>
            <w:pPr>
              <w:spacing w:after="0"/>
              <w:rPr>
                <w:sz w:val="17"/>
                <w:szCs w:val="17"/>
                <w:color w:val="auto"/>
              </w:rPr>
            </w:pPr>
          </w:p>
        </w:tc>
        <w:tc>
          <w:tcPr>
            <w:tcW w:w="7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4120" w:type="dxa"/>
            <w:vAlign w:val="bottom"/>
          </w:tcPr>
          <w:p>
            <w:pPr>
              <w:spacing w:after="0" w:line="203"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2"/>
                <w:szCs w:val="22"/>
                <w:color w:val="auto"/>
                <w:vertAlign w:val="superscript"/>
              </w:rPr>
              <w:t>(b)</w:t>
            </w:r>
          </w:p>
        </w:tc>
        <w:tc>
          <w:tcPr>
            <w:tcW w:w="23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713</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(815)</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(905)</w:t>
            </w:r>
          </w:p>
        </w:tc>
        <w:tc>
          <w:tcPr>
            <w:tcW w:w="30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73</w:t>
            </w:r>
          </w:p>
        </w:tc>
        <w:tc>
          <w:tcPr>
            <w:tcW w:w="28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9"/>
        </w:trPr>
        <w:tc>
          <w:tcPr>
            <w:tcW w:w="4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(1,593)</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8"/>
              <w:spacing w:after="0" w:line="200" w:lineRule="exact"/>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104</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Comcast Consolidated</w:t>
            </w:r>
          </w:p>
        </w:tc>
        <w:tc>
          <w:tcPr>
            <w:tcW w:w="232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$ 74,510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ind w:right="58"/>
              <w:spacing w:after="0" w:line="196" w:lineRule="exact"/>
              <w:rPr>
                <w:sz w:val="20"/>
                <w:szCs w:val="20"/>
                <w:color w:val="auto"/>
              </w:rPr>
            </w:pPr>
            <w:r>
              <w:rPr>
                <w:rFonts w:ascii="Arial" w:cs="Arial" w:eastAsia="Arial" w:hAnsi="Arial"/>
                <w:sz w:val="18"/>
                <w:szCs w:val="18"/>
                <w:color w:val="auto"/>
              </w:rPr>
              <w:t>24,678</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8,680</w:t>
            </w:r>
          </w:p>
        </w:tc>
        <w:tc>
          <w:tcPr>
            <w:tcW w:w="94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color w:val="auto"/>
              </w:rPr>
              <w:t>$ 15,998</w:t>
            </w:r>
          </w:p>
        </w:tc>
        <w:tc>
          <w:tcPr>
            <w:tcW w:w="3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8,499</w:t>
            </w:r>
          </w:p>
        </w:tc>
        <w:tc>
          <w:tcPr>
            <w:tcW w:w="28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506"/>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2320" w:type="dxa"/>
            <w:vAlign w:val="bottom"/>
          </w:tcPr>
          <w:p>
            <w:pPr>
              <w:jc w:val="right"/>
              <w:ind w:right="535"/>
              <w:spacing w:after="0"/>
              <w:rPr>
                <w:sz w:val="20"/>
                <w:szCs w:val="20"/>
                <w:color w:val="auto"/>
              </w:rPr>
            </w:pPr>
            <w:r>
              <w:rPr>
                <w:rFonts w:ascii="Arial" w:cs="Arial" w:eastAsia="Arial" w:hAnsi="Arial"/>
                <w:sz w:val="14"/>
                <w:szCs w:val="14"/>
                <w:b w:val="1"/>
                <w:bCs w:val="1"/>
                <w:color w:val="auto"/>
              </w:rPr>
              <w:t>110</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0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58"/>
              <w:spacing w:after="0" w:line="149" w:lineRule="exact"/>
              <w:rPr>
                <w:sz w:val="20"/>
                <w:szCs w:val="20"/>
                <w:color w:val="auto"/>
              </w:rPr>
            </w:pPr>
            <w:r>
              <w:rPr>
                <w:rFonts w:ascii="Arial" w:cs="Arial" w:eastAsia="Arial" w:hAnsi="Arial"/>
                <w:sz w:val="14"/>
                <w:szCs w:val="14"/>
                <w:color w:val="auto"/>
              </w:rPr>
              <w:t>Before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58"/>
              <w:spacing w:after="0" w:line="149" w:lineRule="exact"/>
              <w:rPr>
                <w:sz w:val="20"/>
                <w:szCs w:val="20"/>
                <w:color w:val="auto"/>
              </w:rPr>
            </w:pPr>
            <w:r>
              <w:rPr>
                <w:rFonts w:ascii="Arial" w:cs="Arial" w:eastAsia="Arial" w:hAnsi="Arial"/>
                <w:sz w:val="14"/>
                <w:szCs w:val="14"/>
                <w:color w:val="auto"/>
                <w:w w:val="94"/>
              </w:rPr>
              <w:t>Depreciation</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jc w:val="right"/>
              <w:ind w:right="57"/>
              <w:spacing w:after="0" w:line="149" w:lineRule="exact"/>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Cash Paid for</w:t>
            </w:r>
          </w:p>
        </w:tc>
      </w:tr>
      <w:tr>
        <w:trPr>
          <w:trHeight w:val="136"/>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58"/>
              <w:spacing w:after="0" w:line="136"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1"/>
                <w:szCs w:val="11"/>
                <w:color w:val="auto"/>
              </w:rPr>
            </w:pPr>
          </w:p>
        </w:tc>
        <w:tc>
          <w:tcPr>
            <w:tcW w:w="660" w:type="dxa"/>
            <w:vAlign w:val="bottom"/>
          </w:tcPr>
          <w:p>
            <w:pPr>
              <w:jc w:val="right"/>
              <w:ind w:right="14"/>
              <w:spacing w:after="0" w:line="136" w:lineRule="exact"/>
              <w:rPr>
                <w:sz w:val="20"/>
                <w:szCs w:val="20"/>
                <w:color w:val="auto"/>
              </w:rPr>
            </w:pPr>
            <w:r>
              <w:rPr>
                <w:rFonts w:ascii="Arial" w:cs="Arial" w:eastAsia="Arial" w:hAnsi="Arial"/>
                <w:sz w:val="14"/>
                <w:szCs w:val="14"/>
                <w:color w:val="auto"/>
              </w:rPr>
              <w:t>and</w:t>
            </w:r>
          </w:p>
        </w:tc>
        <w:tc>
          <w:tcPr>
            <w:tcW w:w="940" w:type="dxa"/>
            <w:vAlign w:val="bottom"/>
          </w:tcPr>
          <w:p>
            <w:pPr>
              <w:jc w:val="right"/>
              <w:ind w:right="57"/>
              <w:spacing w:after="0" w:line="136" w:lineRule="exact"/>
              <w:rPr>
                <w:sz w:val="20"/>
                <w:szCs w:val="20"/>
                <w:color w:val="auto"/>
              </w:rPr>
            </w:pPr>
            <w:r>
              <w:rPr>
                <w:rFonts w:ascii="Arial" w:cs="Arial" w:eastAsia="Arial" w:hAnsi="Arial"/>
                <w:sz w:val="14"/>
                <w:szCs w:val="14"/>
                <w:color w:val="auto"/>
              </w:rPr>
              <w:t>Income</w:t>
            </w:r>
          </w:p>
        </w:tc>
        <w:tc>
          <w:tcPr>
            <w:tcW w:w="2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4"/>
                <w:szCs w:val="14"/>
                <w:color w:val="auto"/>
              </w:rPr>
              <w:t>Capital</w:t>
            </w:r>
          </w:p>
        </w:tc>
        <w:tc>
          <w:tcPr>
            <w:tcW w:w="1080" w:type="dxa"/>
            <w:vAlign w:val="bottom"/>
            <w:gridSpan w:val="2"/>
          </w:tcPr>
          <w:p>
            <w:pPr>
              <w:jc w:val="right"/>
              <w:ind w:right="21"/>
              <w:spacing w:after="0" w:line="136" w:lineRule="exact"/>
              <w:rPr>
                <w:sz w:val="20"/>
                <w:szCs w:val="20"/>
                <w:color w:val="auto"/>
              </w:rPr>
            </w:pPr>
            <w:r>
              <w:rPr>
                <w:rFonts w:ascii="Arial" w:cs="Arial" w:eastAsia="Arial" w:hAnsi="Arial"/>
                <w:sz w:val="14"/>
                <w:szCs w:val="14"/>
                <w:color w:val="auto"/>
              </w:rPr>
              <w:t>Intangible</w:t>
            </w:r>
          </w:p>
        </w:tc>
      </w:tr>
      <w:tr>
        <w:trPr>
          <w:trHeight w:val="176"/>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500" w:type="dxa"/>
            <w:vAlign w:val="bottom"/>
            <w:tcBorders>
              <w:bottom w:val="single" w:sz="8" w:color="auto"/>
            </w:tcBorders>
          </w:tcPr>
          <w:p>
            <w:pPr>
              <w:jc w:val="right"/>
              <w:ind w:right="34"/>
              <w:spacing w:after="0" w:line="176" w:lineRule="exact"/>
              <w:rPr>
                <w:sz w:val="20"/>
                <w:szCs w:val="20"/>
                <w:color w:val="auto"/>
              </w:rPr>
            </w:pPr>
            <w:r>
              <w:rPr>
                <w:rFonts w:ascii="Arial" w:cs="Arial" w:eastAsia="Arial" w:hAnsi="Arial"/>
                <w:sz w:val="13"/>
                <w:szCs w:val="13"/>
                <w:color w:val="auto"/>
              </w:rPr>
              <w:t>Revenue</w:t>
            </w:r>
            <w:r>
              <w:rPr>
                <w:rFonts w:ascii="Arial" w:cs="Arial" w:eastAsia="Arial" w:hAnsi="Arial"/>
                <w:sz w:val="20"/>
                <w:szCs w:val="20"/>
                <w:color w:val="auto"/>
                <w:vertAlign w:val="superscript"/>
              </w:rPr>
              <w:t>(f)</w:t>
            </w:r>
          </w:p>
        </w:tc>
        <w:tc>
          <w:tcPr>
            <w:tcW w:w="1100" w:type="dxa"/>
            <w:vAlign w:val="bottom"/>
            <w:tcBorders>
              <w:bottom w:val="single" w:sz="8" w:color="auto"/>
            </w:tcBorders>
            <w:gridSpan w:val="2"/>
          </w:tcPr>
          <w:p>
            <w:pPr>
              <w:jc w:val="right"/>
              <w:ind w:right="58"/>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(Loss)</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Assets</w:t>
            </w:r>
          </w:p>
        </w:tc>
      </w:tr>
      <w:tr>
        <w:trPr>
          <w:trHeight w:val="199"/>
        </w:trPr>
        <w:tc>
          <w:tcPr>
            <w:tcW w:w="39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2014</w:t>
            </w: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2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$ 44,165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18,097</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6,436</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$ 11,661</w:t>
            </w:r>
          </w:p>
        </w:tc>
        <w:tc>
          <w:tcPr>
            <w:tcW w:w="2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6,156</w:t>
            </w:r>
          </w:p>
        </w:tc>
        <w:tc>
          <w:tcPr>
            <w:tcW w:w="500" w:type="dxa"/>
            <w:vAlign w:val="bottom"/>
          </w:tcPr>
          <w:p>
            <w:pPr>
              <w:jc w:val="right"/>
              <w:ind w:right="189"/>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979</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NBCUniversal</w:t>
            </w: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(c)</w:t>
            </w:r>
          </w:p>
        </w:tc>
        <w:tc>
          <w:tcPr>
            <w:tcW w:w="2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9,563</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3,589</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748</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2,841</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50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21</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2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8,542</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734</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127</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607</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50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12</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2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5,008</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711</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690</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50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2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2,623</w:t>
            </w:r>
          </w:p>
        </w:tc>
        <w:tc>
          <w:tcPr>
            <w:tcW w:w="20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1,096</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273</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823</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50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15</w:t>
            </w: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2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50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75</w:t>
            </w:r>
          </w:p>
        </w:tc>
      </w:tr>
      <w:tr>
        <w:trPr>
          <w:trHeight w:val="199"/>
        </w:trPr>
        <w:tc>
          <w:tcPr>
            <w:tcW w:w="20" w:type="dxa"/>
            <w:vAlign w:val="bottom"/>
          </w:tcPr>
          <w:p>
            <w:pPr>
              <w:spacing w:after="0"/>
              <w:rPr>
                <w:sz w:val="17"/>
                <w:szCs w:val="17"/>
                <w:color w:val="auto"/>
              </w:rPr>
            </w:pPr>
          </w:p>
        </w:tc>
        <w:tc>
          <w:tcPr>
            <w:tcW w:w="39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25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(321)</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1"/>
              <w:spacing w:after="0" w:line="200" w:lineRule="exact"/>
              <w:rPr>
                <w:sz w:val="20"/>
                <w:szCs w:val="20"/>
                <w:color w:val="auto"/>
              </w:rPr>
            </w:pPr>
            <w:r>
              <w:rPr>
                <w:rFonts w:ascii="Arial" w:cs="Arial" w:eastAsia="Arial" w:hAnsi="Arial"/>
                <w:sz w:val="18"/>
                <w:szCs w:val="18"/>
                <w:color w:val="auto"/>
              </w:rPr>
              <w:t>—</w:t>
            </w:r>
          </w:p>
        </w:tc>
      </w:tr>
      <w:tr>
        <w:trPr>
          <w:trHeight w:val="199"/>
        </w:trPr>
        <w:tc>
          <w:tcPr>
            <w:tcW w:w="3940" w:type="dxa"/>
            <w:vAlign w:val="bottom"/>
            <w:gridSpan w:val="2"/>
          </w:tcPr>
          <w:p>
            <w:pPr>
              <w:spacing w:after="0" w:line="200" w:lineRule="exact"/>
              <w:rPr>
                <w:sz w:val="20"/>
                <w:szCs w:val="20"/>
                <w:color w:val="auto"/>
              </w:rPr>
            </w:pPr>
            <w:r>
              <w:rPr>
                <w:rFonts w:ascii="Arial" w:cs="Arial" w:eastAsia="Arial" w:hAnsi="Arial"/>
                <w:sz w:val="18"/>
                <w:szCs w:val="18"/>
                <w:color w:val="auto"/>
              </w:rPr>
              <w:t>NBCUniversal</w:t>
            </w:r>
          </w:p>
        </w:tc>
        <w:tc>
          <w:tcPr>
            <w:tcW w:w="25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25,428</w:t>
            </w:r>
          </w:p>
        </w:tc>
        <w:tc>
          <w:tcPr>
            <w:tcW w:w="200" w:type="dxa"/>
            <w:vAlign w:val="bottom"/>
          </w:tcPr>
          <w:p>
            <w:pPr>
              <w:spacing w:after="0"/>
              <w:rPr>
                <w:sz w:val="17"/>
                <w:szCs w:val="17"/>
                <w:color w:val="auto"/>
              </w:rPr>
            </w:pPr>
          </w:p>
        </w:tc>
        <w:tc>
          <w:tcPr>
            <w:tcW w:w="900" w:type="dxa"/>
            <w:vAlign w:val="bottom"/>
          </w:tcPr>
          <w:p>
            <w:pPr>
              <w:jc w:val="right"/>
              <w:ind w:right="58"/>
              <w:spacing w:after="0" w:line="200" w:lineRule="exact"/>
              <w:rPr>
                <w:sz w:val="20"/>
                <w:szCs w:val="20"/>
                <w:color w:val="auto"/>
              </w:rPr>
            </w:pPr>
            <w:r>
              <w:rPr>
                <w:rFonts w:ascii="Arial" w:cs="Arial" w:eastAsia="Arial" w:hAnsi="Arial"/>
                <w:sz w:val="18"/>
                <w:szCs w:val="18"/>
                <w:color w:val="auto"/>
              </w:rPr>
              <w:t>5,516</w:t>
            </w:r>
          </w:p>
        </w:tc>
        <w:tc>
          <w:tcPr>
            <w:tcW w:w="28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1,495</w:t>
            </w:r>
          </w:p>
        </w:tc>
        <w:tc>
          <w:tcPr>
            <w:tcW w:w="940" w:type="dxa"/>
            <w:vAlign w:val="bottom"/>
          </w:tcPr>
          <w:p>
            <w:pPr>
              <w:jc w:val="right"/>
              <w:ind w:right="57"/>
              <w:spacing w:after="0" w:line="200" w:lineRule="exact"/>
              <w:rPr>
                <w:sz w:val="20"/>
                <w:szCs w:val="20"/>
                <w:color w:val="auto"/>
              </w:rPr>
            </w:pPr>
            <w:r>
              <w:rPr>
                <w:rFonts w:ascii="Arial" w:cs="Arial" w:eastAsia="Arial" w:hAnsi="Arial"/>
                <w:sz w:val="18"/>
                <w:szCs w:val="18"/>
                <w:color w:val="auto"/>
              </w:rPr>
              <w:t>4,021</w:t>
            </w:r>
          </w:p>
        </w:tc>
        <w:tc>
          <w:tcPr>
            <w:tcW w:w="2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1,221</w:t>
            </w:r>
          </w:p>
        </w:tc>
        <w:tc>
          <w:tcPr>
            <w:tcW w:w="500" w:type="dxa"/>
            <w:vAlign w:val="bottom"/>
          </w:tcPr>
          <w:p>
            <w:pPr>
              <w:spacing w:after="0"/>
              <w:rPr>
                <w:sz w:val="17"/>
                <w:szCs w:val="17"/>
                <w:color w:val="auto"/>
              </w:rPr>
            </w:pPr>
          </w:p>
        </w:tc>
        <w:tc>
          <w:tcPr>
            <w:tcW w:w="580" w:type="dxa"/>
            <w:vAlign w:val="bottom"/>
          </w:tcPr>
          <w:p>
            <w:pPr>
              <w:jc w:val="right"/>
              <w:ind w:right="21"/>
              <w:spacing w:after="0" w:line="200" w:lineRule="exact"/>
              <w:rPr>
                <w:sz w:val="20"/>
                <w:szCs w:val="20"/>
                <w:color w:val="auto"/>
              </w:rPr>
            </w:pPr>
            <w:r>
              <w:rPr>
                <w:rFonts w:ascii="Arial" w:cs="Arial" w:eastAsia="Arial" w:hAnsi="Arial"/>
                <w:sz w:val="18"/>
                <w:szCs w:val="18"/>
                <w:color w:val="auto"/>
              </w:rPr>
              <w:t>130</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25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683</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(763)</w:t>
            </w:r>
          </w:p>
        </w:tc>
        <w:tc>
          <w:tcPr>
            <w:tcW w:w="28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88</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(851)</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50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13</w:t>
            </w:r>
          </w:p>
        </w:tc>
      </w:tr>
      <w:tr>
        <w:trPr>
          <w:trHeight w:val="199"/>
        </w:trPr>
        <w:tc>
          <w:tcPr>
            <w:tcW w:w="39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25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(1,501)</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8"/>
              <w:spacing w:after="0" w:line="200" w:lineRule="exact"/>
              <w:rPr>
                <w:sz w:val="20"/>
                <w:szCs w:val="20"/>
                <w:color w:val="auto"/>
              </w:rPr>
            </w:pPr>
            <w:r>
              <w:rPr>
                <w:rFonts w:ascii="Arial" w:cs="Arial" w:eastAsia="Arial" w:hAnsi="Arial"/>
                <w:sz w:val="18"/>
                <w:szCs w:val="18"/>
                <w:color w:val="auto"/>
              </w:rPr>
              <w:t>73</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73</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1"/>
              <w:spacing w:after="0" w:line="200" w:lineRule="exact"/>
              <w:rPr>
                <w:sz w:val="20"/>
                <w:szCs w:val="20"/>
                <w:color w:val="auto"/>
              </w:rPr>
            </w:pPr>
            <w:r>
              <w:rPr>
                <w:rFonts w:ascii="Arial" w:cs="Arial" w:eastAsia="Arial" w:hAnsi="Arial"/>
                <w:sz w:val="18"/>
                <w:szCs w:val="18"/>
                <w:color w:val="auto"/>
              </w:rPr>
              <w:t>—</w:t>
            </w:r>
          </w:p>
        </w:tc>
      </w:tr>
      <w:tr>
        <w:trPr>
          <w:trHeight w:val="196"/>
        </w:trPr>
        <w:tc>
          <w:tcPr>
            <w:tcW w:w="39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Comcast Consolidated</w:t>
            </w:r>
          </w:p>
        </w:tc>
        <w:tc>
          <w:tcPr>
            <w:tcW w:w="25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$ 68,775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ind w:right="58"/>
              <w:spacing w:after="0" w:line="196" w:lineRule="exact"/>
              <w:rPr>
                <w:sz w:val="20"/>
                <w:szCs w:val="20"/>
                <w:color w:val="auto"/>
              </w:rPr>
            </w:pPr>
            <w:r>
              <w:rPr>
                <w:rFonts w:ascii="Arial" w:cs="Arial" w:eastAsia="Arial" w:hAnsi="Arial"/>
                <w:sz w:val="18"/>
                <w:szCs w:val="18"/>
                <w:color w:val="auto"/>
              </w:rPr>
              <w:t>22,923</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8,019</w:t>
            </w:r>
          </w:p>
        </w:tc>
        <w:tc>
          <w:tcPr>
            <w:tcW w:w="94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color w:val="auto"/>
              </w:rPr>
              <w:t>$ 14,904</w:t>
            </w:r>
          </w:p>
        </w:tc>
        <w:tc>
          <w:tcPr>
            <w:tcW w:w="2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7,420</w:t>
            </w:r>
          </w:p>
        </w:tc>
        <w:tc>
          <w:tcPr>
            <w:tcW w:w="500" w:type="dxa"/>
            <w:vAlign w:val="bottom"/>
            <w:tcBorders>
              <w:bottom w:val="single" w:sz="8" w:color="0C6DFF"/>
            </w:tcBorders>
          </w:tcPr>
          <w:p>
            <w:pPr>
              <w:jc w:val="right"/>
              <w:ind w:right="189"/>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21"/>
              <w:spacing w:after="0" w:line="196" w:lineRule="exact"/>
              <w:rPr>
                <w:sz w:val="20"/>
                <w:szCs w:val="20"/>
                <w:color w:val="auto"/>
              </w:rPr>
            </w:pPr>
            <w:r>
              <w:rPr>
                <w:rFonts w:ascii="Arial" w:cs="Arial" w:eastAsia="Arial" w:hAnsi="Arial"/>
                <w:sz w:val="18"/>
                <w:szCs w:val="18"/>
                <w:color w:val="auto"/>
              </w:rPr>
              <w:t>1,122</w:t>
            </w:r>
          </w:p>
        </w:tc>
      </w:tr>
      <w:tr>
        <w:trPr>
          <w:trHeight w:val="223"/>
        </w:trPr>
        <w:tc>
          <w:tcPr>
            <w:tcW w:w="9420" w:type="dxa"/>
            <w:vAlign w:val="bottom"/>
            <w:gridSpan w:val="8"/>
          </w:tcPr>
          <w:p>
            <w:pPr>
              <w:spacing w:after="0"/>
              <w:rPr>
                <w:sz w:val="20"/>
                <w:szCs w:val="20"/>
                <w:color w:val="auto"/>
              </w:rPr>
            </w:pPr>
            <w:r>
              <w:rPr>
                <w:rFonts w:ascii="Arial" w:cs="Arial" w:eastAsia="Arial" w:hAnsi="Arial"/>
                <w:sz w:val="14"/>
                <w:szCs w:val="14"/>
                <w:color w:val="auto"/>
              </w:rPr>
              <w:t>(a)  For the years ended December 31, 2016, 2015 and 2014, Cable Communications segment revenue was derived from the following sources:</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2015</w:t>
            </w: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2014</w:t>
            </w:r>
          </w:p>
        </w:tc>
      </w:tr>
      <w:tr>
        <w:trPr>
          <w:trHeight w:val="141"/>
        </w:trPr>
        <w:tc>
          <w:tcPr>
            <w:tcW w:w="20" w:type="dxa"/>
            <w:vAlign w:val="bottom"/>
          </w:tcPr>
          <w:p>
            <w:pPr>
              <w:spacing w:after="0"/>
              <w:rPr>
                <w:sz w:val="12"/>
                <w:szCs w:val="12"/>
                <w:color w:val="auto"/>
              </w:rPr>
            </w:pPr>
          </w:p>
        </w:tc>
        <w:tc>
          <w:tcPr>
            <w:tcW w:w="3920" w:type="dxa"/>
            <w:vAlign w:val="bottom"/>
          </w:tcPr>
          <w:p>
            <w:pPr>
              <w:spacing w:after="0" w:line="141" w:lineRule="exact"/>
              <w:rPr>
                <w:sz w:val="20"/>
                <w:szCs w:val="20"/>
                <w:color w:val="auto"/>
              </w:rPr>
            </w:pPr>
            <w:r>
              <w:rPr>
                <w:rFonts w:ascii="Arial" w:cs="Arial" w:eastAsia="Arial" w:hAnsi="Arial"/>
                <w:sz w:val="14"/>
                <w:szCs w:val="14"/>
                <w:color w:val="auto"/>
              </w:rPr>
              <w:t>Residential:</w:t>
            </w: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Video</w:t>
            </w: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41"/>
              <w:spacing w:after="0" w:line="149" w:lineRule="exact"/>
              <w:rPr>
                <w:sz w:val="20"/>
                <w:szCs w:val="20"/>
                <w:color w:val="auto"/>
              </w:rPr>
            </w:pPr>
            <w:r>
              <w:rPr>
                <w:rFonts w:ascii="Arial" w:cs="Arial" w:eastAsia="Arial" w:hAnsi="Arial"/>
                <w:sz w:val="14"/>
                <w:szCs w:val="14"/>
                <w:color w:val="auto"/>
              </w:rPr>
              <w:t>44.7%</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47.1%</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High-speed Internet</w:t>
            </w: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41"/>
              <w:spacing w:after="0" w:line="149" w:lineRule="exact"/>
              <w:rPr>
                <w:sz w:val="20"/>
                <w:szCs w:val="20"/>
                <w:color w:val="auto"/>
              </w:rPr>
            </w:pPr>
            <w:r>
              <w:rPr>
                <w:rFonts w:ascii="Arial" w:cs="Arial" w:eastAsia="Arial" w:hAnsi="Arial"/>
                <w:sz w:val="14"/>
                <w:szCs w:val="14"/>
                <w:color w:val="auto"/>
              </w:rPr>
              <w:t>27.0%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r>
      <w:tr>
        <w:trPr>
          <w:trHeight w:val="149"/>
        </w:trPr>
        <w:tc>
          <w:tcPr>
            <w:tcW w:w="20" w:type="dxa"/>
            <w:vAlign w:val="bottom"/>
          </w:tcPr>
          <w:p>
            <w:pPr>
              <w:spacing w:after="0"/>
              <w:rPr>
                <w:sz w:val="12"/>
                <w:szCs w:val="12"/>
                <w:color w:val="auto"/>
              </w:rPr>
            </w:pPr>
          </w:p>
        </w:tc>
        <w:tc>
          <w:tcPr>
            <w:tcW w:w="3920" w:type="dxa"/>
            <w:vAlign w:val="bottom"/>
          </w:tcPr>
          <w:p>
            <w:pPr>
              <w:ind w:left="200"/>
              <w:spacing w:after="0" w:line="149" w:lineRule="exact"/>
              <w:rPr>
                <w:sz w:val="20"/>
                <w:szCs w:val="20"/>
                <w:color w:val="auto"/>
              </w:rPr>
            </w:pPr>
            <w:r>
              <w:rPr>
                <w:rFonts w:ascii="Arial" w:cs="Arial" w:eastAsia="Arial" w:hAnsi="Arial"/>
                <w:sz w:val="14"/>
                <w:szCs w:val="14"/>
                <w:color w:val="auto"/>
              </w:rPr>
              <w:t>Voice</w:t>
            </w: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41"/>
              <w:spacing w:after="0" w:line="149" w:lineRule="exact"/>
              <w:rPr>
                <w:sz w:val="20"/>
                <w:szCs w:val="20"/>
                <w:color w:val="auto"/>
              </w:rPr>
            </w:pPr>
            <w:r>
              <w:rPr>
                <w:rFonts w:ascii="Arial" w:cs="Arial" w:eastAsia="Arial" w:hAnsi="Arial"/>
                <w:sz w:val="14"/>
                <w:szCs w:val="14"/>
                <w:color w:val="auto"/>
              </w:rPr>
              <w:t>7.1%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41"/>
              <w:spacing w:after="0" w:line="149" w:lineRule="exact"/>
              <w:rPr>
                <w:sz w:val="20"/>
                <w:szCs w:val="20"/>
                <w:color w:val="auto"/>
              </w:rPr>
            </w:pPr>
            <w:r>
              <w:rPr>
                <w:rFonts w:ascii="Arial" w:cs="Arial" w:eastAsia="Arial" w:hAnsi="Arial"/>
                <w:sz w:val="14"/>
                <w:szCs w:val="14"/>
                <w:color w:val="auto"/>
              </w:rPr>
              <w:t>11.0%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Advertising</w:t>
            </w: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41"/>
              <w:spacing w:after="0" w:line="149" w:lineRule="exact"/>
              <w:rPr>
                <w:sz w:val="20"/>
                <w:szCs w:val="20"/>
                <w:color w:val="auto"/>
              </w:rPr>
            </w:pPr>
            <w:r>
              <w:rPr>
                <w:rFonts w:ascii="Arial" w:cs="Arial" w:eastAsia="Arial" w:hAnsi="Arial"/>
                <w:sz w:val="14"/>
                <w:szCs w:val="14"/>
                <w:color w:val="auto"/>
              </w:rPr>
              <w:t>5.0%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r>
      <w:tr>
        <w:trPr>
          <w:trHeight w:val="149"/>
        </w:trPr>
        <w:tc>
          <w:tcPr>
            <w:tcW w:w="39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Other</w:t>
            </w:r>
          </w:p>
        </w:tc>
        <w:tc>
          <w:tcPr>
            <w:tcW w:w="2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1"/>
              <w:spacing w:after="0" w:line="149" w:lineRule="exact"/>
              <w:rPr>
                <w:sz w:val="20"/>
                <w:szCs w:val="20"/>
                <w:color w:val="auto"/>
              </w:rPr>
            </w:pPr>
            <w:r>
              <w:rPr>
                <w:rFonts w:ascii="Arial" w:cs="Arial" w:eastAsia="Arial" w:hAnsi="Arial"/>
                <w:sz w:val="14"/>
                <w:szCs w:val="14"/>
                <w:color w:val="auto"/>
              </w:rPr>
              <w:t>5.2%</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w:t>
            </w:r>
          </w:p>
        </w:tc>
      </w:tr>
      <w:tr>
        <w:trPr>
          <w:trHeight w:val="142"/>
        </w:trPr>
        <w:tc>
          <w:tcPr>
            <w:tcW w:w="3940" w:type="dxa"/>
            <w:vAlign w:val="bottom"/>
            <w:tcBorders>
              <w:bottom w:val="single" w:sz="8" w:color="0C6DFF"/>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2500" w:type="dxa"/>
            <w:vAlign w:val="bottom"/>
            <w:tcBorders>
              <w:bottom w:val="single" w:sz="8" w:color="0C6DFF"/>
            </w:tcBorders>
          </w:tcPr>
          <w:p>
            <w:pPr>
              <w:spacing w:after="0"/>
              <w:rPr>
                <w:sz w:val="12"/>
                <w:szCs w:val="12"/>
                <w:color w:val="auto"/>
              </w:rPr>
            </w:pPr>
          </w:p>
        </w:tc>
        <w:tc>
          <w:tcPr>
            <w:tcW w:w="200" w:type="dxa"/>
            <w:vAlign w:val="bottom"/>
            <w:tcBorders>
              <w:bottom w:val="single" w:sz="8" w:color="0C6DFF"/>
            </w:tcBorders>
          </w:tcPr>
          <w:p>
            <w:pPr>
              <w:spacing w:after="0"/>
              <w:rPr>
                <w:sz w:val="12"/>
                <w:szCs w:val="12"/>
                <w:color w:val="auto"/>
              </w:rPr>
            </w:pPr>
          </w:p>
        </w:tc>
        <w:tc>
          <w:tcPr>
            <w:tcW w:w="900" w:type="dxa"/>
            <w:vAlign w:val="bottom"/>
            <w:tcBorders>
              <w:bottom w:val="single" w:sz="8" w:color="0C6DFF"/>
            </w:tcBorders>
          </w:tcPr>
          <w:p>
            <w:pPr>
              <w:spacing w:after="0"/>
              <w:rPr>
                <w:sz w:val="12"/>
                <w:szCs w:val="12"/>
                <w:color w:val="auto"/>
              </w:rPr>
            </w:pPr>
          </w:p>
        </w:tc>
        <w:tc>
          <w:tcPr>
            <w:tcW w:w="280" w:type="dxa"/>
            <w:vAlign w:val="bottom"/>
            <w:tcBorders>
              <w:bottom w:val="single" w:sz="8" w:color="0C6DFF"/>
            </w:tcBorders>
          </w:tcPr>
          <w:p>
            <w:pPr>
              <w:spacing w:after="0"/>
              <w:rPr>
                <w:sz w:val="12"/>
                <w:szCs w:val="12"/>
                <w:color w:val="auto"/>
              </w:rPr>
            </w:pPr>
          </w:p>
        </w:tc>
        <w:tc>
          <w:tcPr>
            <w:tcW w:w="660" w:type="dxa"/>
            <w:vAlign w:val="bottom"/>
            <w:tcBorders>
              <w:bottom w:val="single" w:sz="8" w:color="0C6DFF"/>
            </w:tcBorders>
          </w:tcPr>
          <w:p>
            <w:pPr>
              <w:spacing w:after="0"/>
              <w:rPr>
                <w:sz w:val="12"/>
                <w:szCs w:val="12"/>
                <w:color w:val="auto"/>
              </w:rPr>
            </w:pPr>
          </w:p>
        </w:tc>
        <w:tc>
          <w:tcPr>
            <w:tcW w:w="940" w:type="dxa"/>
            <w:vAlign w:val="bottom"/>
            <w:tcBorders>
              <w:bottom w:val="single" w:sz="8" w:color="0C6DFF"/>
            </w:tcBorders>
          </w:tcPr>
          <w:p>
            <w:pPr>
              <w:spacing w:after="0"/>
              <w:rPr>
                <w:sz w:val="12"/>
                <w:szCs w:val="12"/>
                <w:color w:val="auto"/>
              </w:rPr>
            </w:pPr>
          </w:p>
        </w:tc>
        <w:tc>
          <w:tcPr>
            <w:tcW w:w="280" w:type="dxa"/>
            <w:vAlign w:val="bottom"/>
            <w:tcBorders>
              <w:bottom w:val="single" w:sz="8" w:color="0C6DFF"/>
            </w:tcBorders>
          </w:tcPr>
          <w:p>
            <w:pPr>
              <w:spacing w:after="0"/>
              <w:rPr>
                <w:sz w:val="12"/>
                <w:szCs w:val="12"/>
                <w:color w:val="auto"/>
              </w:rPr>
            </w:pPr>
          </w:p>
        </w:tc>
        <w:tc>
          <w:tcPr>
            <w:tcW w:w="640" w:type="dxa"/>
            <w:vAlign w:val="bottom"/>
            <w:tcBorders>
              <w:bottom w:val="single" w:sz="8" w:color="0C6DFF"/>
            </w:tcBorders>
          </w:tcPr>
          <w:p>
            <w:pPr>
              <w:jc w:val="right"/>
              <w:ind w:right="41"/>
              <w:spacing w:after="0" w:line="142" w:lineRule="exact"/>
              <w:rPr>
                <w:sz w:val="20"/>
                <w:szCs w:val="20"/>
                <w:color w:val="auto"/>
              </w:rPr>
            </w:pPr>
            <w:r>
              <w:rPr>
                <w:rFonts w:ascii="Arial" w:cs="Arial" w:eastAsia="Arial" w:hAnsi="Arial"/>
                <w:sz w:val="14"/>
                <w:szCs w:val="14"/>
                <w:color w:val="auto"/>
              </w:rPr>
              <w:t>100%</w:t>
            </w:r>
          </w:p>
        </w:tc>
        <w:tc>
          <w:tcPr>
            <w:tcW w:w="50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58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67" w:lineRule="exact"/>
        <w:rPr>
          <w:sz w:val="20"/>
          <w:szCs w:val="20"/>
          <w:color w:val="auto"/>
        </w:rPr>
      </w:pPr>
    </w:p>
    <w:p>
      <w:pPr>
        <w:ind w:left="280"/>
        <w:spacing w:after="0" w:line="231"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 each of 2016, 2015 and 2014, 2.8% of Cable Communications revenue was derived from franchise and other regulatory fees.</w:t>
      </w:r>
    </w:p>
    <w:p>
      <w:pPr>
        <w:spacing w:after="0" w:line="55" w:lineRule="exact"/>
        <w:rPr>
          <w:sz w:val="20"/>
          <w:szCs w:val="20"/>
          <w:color w:val="auto"/>
        </w:rPr>
      </w:pPr>
    </w:p>
    <w:p>
      <w:pPr>
        <w:jc w:val="both"/>
        <w:ind w:left="300" w:hanging="292"/>
        <w:spacing w:after="0" w:line="228" w:lineRule="auto"/>
        <w:tabs>
          <w:tab w:leader="none" w:pos="3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Beginning in 2016, certain operations and businesses, including several strategic business initiatives, that were previously presented in Corporate and Other are now presented in our Cable Communications segment to reflect a change in our management reporting presentation. For segment reporting purposes, we have adjusted all periods presented to reflect this change.</w:t>
      </w:r>
    </w:p>
    <w:p>
      <w:pPr>
        <w:spacing w:after="0" w:line="54" w:lineRule="exact"/>
        <w:rPr>
          <w:rFonts w:ascii="Arial" w:cs="Arial" w:eastAsia="Arial" w:hAnsi="Arial"/>
          <w:sz w:val="14"/>
          <w:szCs w:val="14"/>
          <w:color w:val="auto"/>
        </w:rPr>
      </w:pPr>
    </w:p>
    <w:p>
      <w:pPr>
        <w:ind w:left="280" w:hanging="272"/>
        <w:spacing w:after="0" w:line="300" w:lineRule="auto"/>
        <w:tabs>
          <w:tab w:leader="none" w:pos="2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revenue and operating costs and expenses associated with our broadcast of the 2016 Rio Olympics and 2014 Sochi Olympics were reported in our Cable Networks and Broadcast Television segments. The revenue and operating costs and expenses associated with our broadcast of the 2015 Super Bowl were reported in our Broadcast Television segment.</w:t>
      </w:r>
    </w:p>
    <w:p>
      <w:pPr>
        <w:spacing w:after="0" w:line="19" w:lineRule="exact"/>
        <w:rPr>
          <w:rFonts w:ascii="Arial" w:cs="Arial" w:eastAsia="Arial" w:hAnsi="Arial"/>
          <w:sz w:val="12"/>
          <w:szCs w:val="12"/>
          <w:color w:val="auto"/>
        </w:rPr>
      </w:pPr>
    </w:p>
    <w:p>
      <w:pPr>
        <w:ind w:left="300" w:hanging="292"/>
        <w:spacing w:after="0"/>
        <w:tabs>
          <w:tab w:leader="none" w:pos="3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40" w:hanging="215"/>
        <w:spacing w:after="0" w:line="231" w:lineRule="auto"/>
        <w:tabs>
          <w:tab w:leader="none" w:pos="10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54" w:lineRule="exact"/>
        <w:rPr>
          <w:rFonts w:ascii="Arial" w:cs="Arial" w:eastAsia="Arial" w:hAnsi="Arial"/>
          <w:sz w:val="14"/>
          <w:szCs w:val="14"/>
          <w:color w:val="auto"/>
        </w:rPr>
      </w:pPr>
    </w:p>
    <w:p>
      <w:pPr>
        <w:ind w:left="1020" w:right="1240" w:hanging="215"/>
        <w:spacing w:after="0" w:line="231" w:lineRule="auto"/>
        <w:tabs>
          <w:tab w:leader="none" w:pos="10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54" w:lineRule="exact"/>
        <w:rPr>
          <w:rFonts w:ascii="Arial" w:cs="Arial" w:eastAsia="Arial" w:hAnsi="Arial"/>
          <w:sz w:val="14"/>
          <w:szCs w:val="14"/>
          <w:color w:val="auto"/>
        </w:rPr>
      </w:pPr>
    </w:p>
    <w:p>
      <w:pPr>
        <w:ind w:left="1020" w:hanging="215"/>
        <w:spacing w:after="0"/>
        <w:tabs>
          <w:tab w:leader="none" w:pos="10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36"/>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260" w:right="20" w:hanging="252"/>
        <w:spacing w:after="0" w:line="231" w:lineRule="auto"/>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Revenue from customers located outside of the United States, primarily in Europe and Asia, in 2016, 2015 and 2014 was $6.5 billion, $5.8 billion and $4.4 billion, respectively. No single customer accounted for a significant amount of revenue in any period.</w:t>
      </w:r>
    </w:p>
    <w:p>
      <w:pPr>
        <w:spacing w:after="0" w:line="68"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w:t>
      </w:r>
    </w:p>
    <w:p>
      <w:pPr>
        <w:spacing w:after="0" w:line="322"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111</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jc w:val="both"/>
        <w:ind w:left="220"/>
        <w:spacing w:after="0" w:line="224" w:lineRule="auto"/>
        <w:rPr>
          <w:sz w:val="20"/>
          <w:szCs w:val="20"/>
          <w:color w:val="auto"/>
        </w:rPr>
      </w:pPr>
      <w:r>
        <w:rPr>
          <w:rFonts w:ascii="Arial" w:cs="Arial" w:eastAsia="Arial" w:hAnsi="Arial"/>
          <w:sz w:val="14"/>
          <w:szCs w:val="14"/>
          <w:color w:val="auto"/>
        </w:rPr>
        <w:t>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18: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First</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Second</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Third</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Fourth</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Total</w:t>
            </w:r>
          </w:p>
        </w:tc>
      </w:tr>
      <w:tr>
        <w:trPr>
          <w:trHeight w:val="149"/>
        </w:trPr>
        <w:tc>
          <w:tcPr>
            <w:tcW w:w="68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 except per share data)</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Year</w:t>
            </w:r>
          </w:p>
        </w:tc>
      </w:tr>
      <w:tr>
        <w:trPr>
          <w:trHeight w:val="177"/>
        </w:trPr>
        <w:tc>
          <w:tcPr>
            <w:tcW w:w="6800" w:type="dxa"/>
            <w:vAlign w:val="bottom"/>
          </w:tcPr>
          <w:p>
            <w:pPr>
              <w:spacing w:after="0" w:line="177" w:lineRule="exact"/>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18,790</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19,269</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21,319</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21,025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80,403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4,089</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4,066</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4,440</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4,264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16,859</w:t>
            </w:r>
          </w:p>
        </w:tc>
      </w:tr>
      <w:tr>
        <w:trPr>
          <w:trHeight w:val="203"/>
        </w:trPr>
        <w:tc>
          <w:tcPr>
            <w:tcW w:w="6800" w:type="dxa"/>
            <w:vAlign w:val="bottom"/>
          </w:tcPr>
          <w:p>
            <w:pPr>
              <w:spacing w:after="0" w:line="203" w:lineRule="exact"/>
              <w:rPr>
                <w:sz w:val="20"/>
                <w:szCs w:val="20"/>
                <w:color w:val="auto"/>
              </w:rPr>
            </w:pPr>
            <w:r>
              <w:rPr>
                <w:rFonts w:ascii="Arial" w:cs="Arial" w:eastAsia="Arial" w:hAnsi="Arial"/>
                <w:sz w:val="18"/>
                <w:szCs w:val="18"/>
                <w:b w:val="1"/>
                <w:bCs w:val="1"/>
                <w:color w:val="auto"/>
              </w:rPr>
              <w:t>Net income attributable to Comcast Corporation</w:t>
            </w:r>
            <w:r>
              <w:rPr>
                <w:rFonts w:ascii="Arial" w:cs="Arial" w:eastAsia="Arial" w:hAnsi="Arial"/>
                <w:sz w:val="22"/>
                <w:szCs w:val="22"/>
                <w:b w:val="1"/>
                <w:bCs w:val="1"/>
                <w:color w:val="auto"/>
                <w:vertAlign w:val="superscript"/>
              </w:rPr>
              <w:t>(a)</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2,134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2,028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2,237</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2,296</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8,695</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Basic earnings per common share attributable to Comcast Corporation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0.93</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0.96</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3.61</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0.87</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0.83</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0.92</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0.95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3.57</w:t>
            </w:r>
          </w:p>
        </w:tc>
      </w:tr>
      <w:tr>
        <w:trPr>
          <w:trHeight w:val="225"/>
        </w:trPr>
        <w:tc>
          <w:tcPr>
            <w:tcW w:w="680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0.275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0.275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0.275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0.275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1.10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17,853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18,743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18,669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19,245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74,510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3,890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4,105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4,001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4,002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15,998</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2,059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2,137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1,996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1,971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8,163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0.82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0.85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0.81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0.80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3.28</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w w:val="99"/>
              </w:rPr>
              <w:t>Diluted earnings per common share attributable to Comcast Corporation 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0.81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0.84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0.80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0.79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3.24</w:t>
            </w:r>
          </w:p>
        </w:tc>
      </w:tr>
      <w:tr>
        <w:trPr>
          <w:trHeight w:val="199"/>
        </w:trPr>
        <w:tc>
          <w:tcPr>
            <w:tcW w:w="6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0.25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1.00</w:t>
            </w:r>
          </w:p>
        </w:tc>
      </w:tr>
    </w:tbl>
    <w:p>
      <w:pPr>
        <w:spacing w:after="0" w:line="67" w:lineRule="exact"/>
        <w:rPr>
          <w:sz w:val="20"/>
          <w:szCs w:val="20"/>
          <w:color w:val="auto"/>
        </w:rPr>
      </w:pPr>
    </w:p>
    <w:p>
      <w:pPr>
        <w:ind w:left="300" w:hanging="292"/>
        <w:spacing w:after="0" w:line="231" w:lineRule="auto"/>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fourth quarter of 2016, net income attributable to Comcast Corporation included $225 million, $143 million net of tax, recognized in connection with the settlement of amounts owed to us under an agency agreement that had provided for, among other things, Verizon Wireless’ sale of our cable services.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19: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including the Comcast revolving credit facility. The principal amount of debt securities within the guarantee structure total $52.9 billion, of which $12.3 billion will mature within the next five years.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Parent and CCCL Parent also fully and unconditionally guarantee NBCUniversal Enterprise’s $3.3 billion principal amount of senior notes, revolving credit facility and commercial paper program. NBCUniversal Media Parent does not guarantee the NBCUniversal Enterprise senior notes, revolving credit facility or commercial paper program.</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 or the $3.3 billion of Universal Studios Japan term loans.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Elimination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8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7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CCCL</w:t>
            </w:r>
          </w:p>
        </w:tc>
        <w:tc>
          <w:tcPr>
            <w:tcW w:w="3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Consolidation</w:t>
            </w:r>
          </w:p>
        </w:tc>
        <w:tc>
          <w:tcPr>
            <w:tcW w:w="240" w:type="dxa"/>
            <w:vAlign w:val="bottom"/>
          </w:tcPr>
          <w:p>
            <w:pPr>
              <w:spacing w:after="0"/>
              <w:rPr>
                <w:sz w:val="12"/>
                <w:szCs w:val="12"/>
                <w:color w:val="auto"/>
              </w:rPr>
            </w:pPr>
          </w:p>
        </w:tc>
        <w:tc>
          <w:tcPr>
            <w:tcW w:w="80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79"/>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2016 (in millions)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Holdings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430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482</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2,819</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3,301</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7,955</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7,955</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1,250</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1,772</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1,772</w:t>
            </w:r>
          </w:p>
        </w:tc>
      </w:tr>
      <w:tr>
        <w:trPr>
          <w:trHeight w:val="199"/>
        </w:trPr>
        <w:tc>
          <w:tcPr>
            <w:tcW w:w="43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151</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1,896</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2,083</w:t>
            </w:r>
          </w:p>
        </w:tc>
      </w:tr>
      <w:tr>
        <w:trPr>
          <w:trHeight w:val="199"/>
        </w:trPr>
        <w:tc>
          <w:tcPr>
            <w:tcW w:w="430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151</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518</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15,692</w:t>
            </w:r>
          </w:p>
        </w:tc>
        <w:tc>
          <w:tcPr>
            <w:tcW w:w="220" w:type="dxa"/>
            <w:vAlign w:val="bottom"/>
          </w:tcPr>
          <w:p>
            <w:pPr>
              <w:spacing w:after="0"/>
              <w:rPr>
                <w:sz w:val="17"/>
                <w:szCs w:val="17"/>
                <w:color w:val="auto"/>
              </w:rPr>
            </w:pPr>
          </w:p>
        </w:tc>
        <w:tc>
          <w:tcPr>
            <w:tcW w:w="8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16,361</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7,252</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7,252</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651</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4,521</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5,247</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 subsidiaries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eliminated upon consolidation</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98,350</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120,071</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117,696</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47,393</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97,704</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(481,214)</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35,955</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36,253</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59,364</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35,980</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35,980</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17,261</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17,274</w:t>
            </w:r>
          </w:p>
        </w:tc>
      </w:tr>
      <w:tr>
        <w:trPr>
          <w:trHeight w:val="199"/>
        </w:trPr>
        <w:tc>
          <w:tcPr>
            <w:tcW w:w="43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1,138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638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89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1,921</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(1,017)</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2,769</w:t>
            </w:r>
          </w:p>
        </w:tc>
      </w:tr>
      <w:tr>
        <w:trPr>
          <w:trHeight w:val="196"/>
        </w:trPr>
        <w:tc>
          <w:tcPr>
            <w:tcW w:w="4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8"/>
              </w:rPr>
              <w:t>100,025</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120,709</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117,696</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48,651</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275,650</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(482,231)</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180,500</w:t>
            </w:r>
          </w:p>
        </w:tc>
      </w:tr>
      <w:tr>
        <w:trPr>
          <w:trHeight w:val="199"/>
        </w:trPr>
        <w:tc>
          <w:tcPr>
            <w:tcW w:w="430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w w:val="99"/>
              </w:rPr>
              <w:t>Accounts payable and accrued expenses related to</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00" w:type="dxa"/>
            <w:vAlign w:val="bottom"/>
          </w:tcPr>
          <w:p>
            <w:pPr>
              <w:ind w:left="440"/>
              <w:spacing w:after="0" w:line="202" w:lineRule="exact"/>
              <w:rPr>
                <w:sz w:val="20"/>
                <w:szCs w:val="20"/>
                <w:color w:val="auto"/>
              </w:rPr>
            </w:pPr>
            <w:r>
              <w:rPr>
                <w:rFonts w:ascii="Arial" w:cs="Arial" w:eastAsia="Arial" w:hAnsi="Arial"/>
                <w:sz w:val="18"/>
                <w:szCs w:val="18"/>
                <w:color w:val="auto"/>
              </w:rPr>
              <w:t>trade creditors</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6,892</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6,915</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1,726</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1,726</w:t>
            </w: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1,726</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341</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302</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5,045</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7,414</w:t>
            </w:r>
          </w:p>
        </w:tc>
      </w:tr>
      <w:tr>
        <w:trPr>
          <w:trHeight w:val="199"/>
        </w:trPr>
        <w:tc>
          <w:tcPr>
            <w:tcW w:w="43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3,739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550</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1,187</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5,480</w:t>
            </w:r>
          </w:p>
        </w:tc>
      </w:tr>
      <w:tr>
        <w:trPr>
          <w:trHeight w:val="199"/>
        </w:trPr>
        <w:tc>
          <w:tcPr>
            <w:tcW w:w="430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5,488</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891</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306</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14,850</w:t>
            </w:r>
          </w:p>
        </w:tc>
        <w:tc>
          <w:tcPr>
            <w:tcW w:w="220" w:type="dxa"/>
            <w:vAlign w:val="bottom"/>
          </w:tcPr>
          <w:p>
            <w:pPr>
              <w:spacing w:after="0"/>
              <w:rPr>
                <w:sz w:val="17"/>
                <w:szCs w:val="17"/>
                <w:color w:val="auto"/>
              </w:rPr>
            </w:pPr>
          </w:p>
        </w:tc>
        <w:tc>
          <w:tcPr>
            <w:tcW w:w="8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21,535</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38,123</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2,100</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8,208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6,994</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55,566</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35,259</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(1,017)</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34,854</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2,471</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1,166</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7,288</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10,925</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 and redeemable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subsidiary preferred stock</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1,446</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1,446</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w:t>
            </w:r>
          </w:p>
        </w:tc>
      </w:tr>
      <w:tr>
        <w:trPr>
          <w:trHeight w:val="199"/>
        </w:trPr>
        <w:tc>
          <w:tcPr>
            <w:tcW w:w="43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53,915</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120,026</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114,705</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38,901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207,582</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(481,214)</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53,915</w:t>
            </w:r>
          </w:p>
        </w:tc>
      </w:tr>
      <w:tr>
        <w:trPr>
          <w:trHeight w:val="199"/>
        </w:trPr>
        <w:tc>
          <w:tcPr>
            <w:tcW w:w="430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 equity</w:t>
            </w:r>
          </w:p>
        </w:tc>
        <w:tc>
          <w:tcPr>
            <w:tcW w:w="2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53,943</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120,026</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114,705</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38,901</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207,582</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(481,214)</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53,943</w:t>
            </w:r>
          </w:p>
        </w:tc>
      </w:tr>
      <w:tr>
        <w:trPr>
          <w:trHeight w:val="199"/>
        </w:trPr>
        <w:tc>
          <w:tcPr>
            <w:tcW w:w="43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2,231</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2,231</w:t>
            </w:r>
          </w:p>
        </w:tc>
      </w:tr>
      <w:tr>
        <w:trPr>
          <w:trHeight w:val="196"/>
        </w:trPr>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53,943</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120,026</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114,705</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38,901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209,813</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(481,214)</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56,174</w:t>
            </w:r>
          </w:p>
        </w:tc>
      </w:tr>
      <w:tr>
        <w:trPr>
          <w:trHeight w:val="196"/>
        </w:trPr>
        <w:tc>
          <w:tcPr>
            <w:tcW w:w="4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8"/>
              </w:rPr>
              <w:t>100,025</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120,709</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117,696</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48,651</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275,650</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(482,231)</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180,500</w:t>
            </w:r>
          </w:p>
        </w:tc>
      </w:tr>
      <w:tr>
        <w:trPr>
          <w:trHeight w:val="506"/>
        </w:trPr>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113</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jc w:val="right"/>
              <w:spacing w:after="0"/>
              <w:rPr>
                <w:sz w:val="20"/>
                <w:szCs w:val="20"/>
                <w:color w:val="auto"/>
              </w:rPr>
            </w:pPr>
            <w:r>
              <w:rPr>
                <w:rFonts w:ascii="Arial" w:cs="Arial" w:eastAsia="Arial" w:hAnsi="Arial"/>
                <w:sz w:val="14"/>
                <w:szCs w:val="14"/>
                <w:color w:val="auto"/>
              </w:rPr>
              <w:t>Comcast 2016 Annual Report on Form 10-K</w:t>
            </w: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4"/>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7"/>
              </w:rPr>
              <w:t>Comcast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CCCL</w:t>
            </w:r>
          </w:p>
        </w:tc>
        <w:tc>
          <w:tcPr>
            <w:tcW w:w="300" w:type="dxa"/>
            <w:vAlign w:val="bottom"/>
          </w:tcPr>
          <w:p>
            <w:pPr>
              <w:spacing w:after="0"/>
              <w:rPr>
                <w:sz w:val="12"/>
                <w:szCs w:val="12"/>
                <w:color w:val="auto"/>
              </w:rPr>
            </w:pPr>
          </w:p>
        </w:tc>
        <w:tc>
          <w:tcPr>
            <w:tcW w:w="7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Media</w:t>
            </w:r>
          </w:p>
        </w:tc>
        <w:tc>
          <w:tcPr>
            <w:tcW w:w="2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2015 (in millions)</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Holdings</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Parent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Parent</w:t>
            </w:r>
          </w:p>
        </w:tc>
        <w:tc>
          <w:tcPr>
            <w:tcW w:w="98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w w:val="93"/>
              </w:rPr>
              <w:t>Adjustments</w:t>
            </w:r>
          </w:p>
        </w:tc>
        <w:tc>
          <w:tcPr>
            <w:tcW w:w="98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1,881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2,295</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6,896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6,896</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1,213</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1,213</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Deposits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w:t>
            </w:r>
          </w:p>
        </w:tc>
      </w:tr>
      <w:tr>
        <w:trPr>
          <w:trHeight w:val="199"/>
        </w:trPr>
        <w:tc>
          <w:tcPr>
            <w:tcW w:w="44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69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1,792</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1,878</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69</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431</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11,803</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12,303</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5,855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5,855</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430</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2,761</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3,224</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 subsidiaries</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eliminated upon consolidation</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87,142</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111,241</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119,354</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42,441</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109,598</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(469,776)</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33,455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33,665</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32,945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32,945</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16,934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16,946</w:t>
            </w:r>
          </w:p>
        </w:tc>
      </w:tr>
      <w:tr>
        <w:trPr>
          <w:trHeight w:val="199"/>
        </w:trPr>
        <w:tc>
          <w:tcPr>
            <w:tcW w:w="4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1,301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78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2,114</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(1,368)</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2,272</w:t>
            </w:r>
          </w:p>
        </w:tc>
      </w:tr>
      <w:tr>
        <w:trPr>
          <w:trHeight w:val="196"/>
        </w:trPr>
        <w:tc>
          <w:tcPr>
            <w:tcW w:w="44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88,767</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111,388</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119,354</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43,380</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274,829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(471,144)</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166,574</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440"/>
              <w:spacing w:after="0" w:line="202" w:lineRule="exact"/>
              <w:rPr>
                <w:sz w:val="20"/>
                <w:szCs w:val="20"/>
                <w:color w:val="auto"/>
              </w:rPr>
            </w:pPr>
            <w:r>
              <w:rPr>
                <w:rFonts w:ascii="Arial" w:cs="Arial" w:eastAsia="Arial" w:hAnsi="Arial"/>
                <w:sz w:val="18"/>
                <w:szCs w:val="18"/>
                <w:color w:val="auto"/>
              </w:rPr>
              <w:t>trade creditors</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6,199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6,215</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1,572</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1,572</w:t>
            </w: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1,789</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335</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290</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389</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3,961</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6,764</w:t>
            </w:r>
          </w:p>
        </w:tc>
      </w:tr>
      <w:tr>
        <w:trPr>
          <w:trHeight w:val="199"/>
        </w:trPr>
        <w:tc>
          <w:tcPr>
            <w:tcW w:w="44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1,149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1,005</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1,473</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3,627</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2,954</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335</w:t>
            </w:r>
          </w:p>
        </w:tc>
        <w:tc>
          <w:tcPr>
            <w:tcW w:w="24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290</w:t>
            </w:r>
          </w:p>
        </w:tc>
        <w:tc>
          <w:tcPr>
            <w:tcW w:w="300" w:type="dxa"/>
            <w:vAlign w:val="bottom"/>
          </w:tcPr>
          <w:p>
            <w:pPr>
              <w:spacing w:after="0"/>
              <w:rPr>
                <w:sz w:val="17"/>
                <w:szCs w:val="17"/>
                <w:color w:val="auto"/>
              </w:rPr>
            </w:pPr>
          </w:p>
        </w:tc>
        <w:tc>
          <w:tcPr>
            <w:tcW w:w="7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1,394</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13,205</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18,178</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31,106</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2,650</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8,211</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6,897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48,994</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624</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66</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34,098</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(1,222)</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33,566</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2,438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1,087</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7,258</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10,637</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 and redeemable</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subsidiary preferred stock</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1,221</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1,221</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w:t>
            </w:r>
          </w:p>
        </w:tc>
      </w:tr>
      <w:tr>
        <w:trPr>
          <w:trHeight w:val="199"/>
        </w:trPr>
        <w:tc>
          <w:tcPr>
            <w:tcW w:w="44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52,240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110,299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116,414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32,622</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210,441</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(469,776)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52,240</w:t>
            </w: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 equity</w:t>
            </w:r>
          </w:p>
        </w:tc>
        <w:tc>
          <w:tcPr>
            <w:tcW w:w="3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52,269</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110,299</w:t>
            </w:r>
          </w:p>
        </w:tc>
        <w:tc>
          <w:tcPr>
            <w:tcW w:w="24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116,414</w:t>
            </w:r>
          </w:p>
        </w:tc>
        <w:tc>
          <w:tcPr>
            <w:tcW w:w="300" w:type="dxa"/>
            <w:vAlign w:val="bottom"/>
          </w:tcPr>
          <w:p>
            <w:pPr>
              <w:spacing w:after="0"/>
              <w:rPr>
                <w:sz w:val="17"/>
                <w:szCs w:val="17"/>
                <w:color w:val="auto"/>
              </w:rPr>
            </w:pPr>
          </w:p>
        </w:tc>
        <w:tc>
          <w:tcPr>
            <w:tcW w:w="74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32,622</w:t>
            </w:r>
          </w:p>
        </w:tc>
        <w:tc>
          <w:tcPr>
            <w:tcW w:w="2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210,441</w:t>
            </w:r>
          </w:p>
        </w:tc>
        <w:tc>
          <w:tcPr>
            <w:tcW w:w="2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(469,776)</w:t>
            </w:r>
          </w:p>
        </w:tc>
        <w:tc>
          <w:tcPr>
            <w:tcW w:w="20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52,269</w:t>
            </w:r>
          </w:p>
        </w:tc>
      </w:tr>
      <w:tr>
        <w:trPr>
          <w:trHeight w:val="199"/>
        </w:trPr>
        <w:tc>
          <w:tcPr>
            <w:tcW w:w="4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1,709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1,709</w:t>
            </w:r>
          </w:p>
        </w:tc>
      </w:tr>
      <w:tr>
        <w:trPr>
          <w:trHeight w:val="196"/>
        </w:trPr>
        <w:tc>
          <w:tcPr>
            <w:tcW w:w="4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52,269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110,299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116,414</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32,622</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212,150</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(469,776)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53,978</w:t>
            </w:r>
          </w:p>
        </w:tc>
      </w:tr>
      <w:tr>
        <w:trPr>
          <w:trHeight w:val="196"/>
        </w:trPr>
        <w:tc>
          <w:tcPr>
            <w:tcW w:w="44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88,767</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111,388</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119,354</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43,380</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274,829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(471,144)</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166,574</w:t>
            </w:r>
          </w:p>
        </w:tc>
      </w:tr>
      <w:tr>
        <w:trPr>
          <w:trHeight w:val="506"/>
        </w:trPr>
        <w:tc>
          <w:tcPr>
            <w:tcW w:w="440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454"/>
              <w:spacing w:after="0"/>
              <w:rPr>
                <w:sz w:val="20"/>
                <w:szCs w:val="20"/>
                <w:color w:val="auto"/>
              </w:rPr>
            </w:pPr>
            <w:r>
              <w:rPr>
                <w:rFonts w:ascii="Arial" w:cs="Arial" w:eastAsia="Arial" w:hAnsi="Arial"/>
                <w:sz w:val="14"/>
                <w:szCs w:val="14"/>
                <w:b w:val="1"/>
                <w:bCs w:val="1"/>
                <w:color w:val="auto"/>
                <w:w w:val="94"/>
              </w:rPr>
              <w:t>114</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Elimination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2"/>
                <w:szCs w:val="12"/>
                <w:color w:val="auto"/>
              </w:rPr>
            </w:pPr>
          </w:p>
        </w:tc>
        <w:tc>
          <w:tcPr>
            <w:tcW w:w="8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88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4740" w:type="dxa"/>
            <w:vAlign w:val="bottom"/>
            <w:gridSpan w:val="2"/>
          </w:tcPr>
          <w:p>
            <w:pPr>
              <w:spacing w:after="0" w:line="149" w:lineRule="exact"/>
              <w:rPr>
                <w:sz w:val="20"/>
                <w:szCs w:val="20"/>
                <w:color w:val="auto"/>
              </w:rPr>
            </w:pPr>
            <w:r>
              <w:rPr>
                <w:rFonts w:ascii="Arial" w:cs="Arial" w:eastAsia="Arial" w:hAnsi="Arial"/>
                <w:sz w:val="14"/>
                <w:szCs w:val="14"/>
                <w:color w:val="auto"/>
              </w:rPr>
              <w:t>For the Year Ended December 31, 2016 (in</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CCCL</w:t>
            </w:r>
          </w:p>
        </w:tc>
        <w:tc>
          <w:tcPr>
            <w:tcW w:w="340" w:type="dxa"/>
            <w:vAlign w:val="bottom"/>
          </w:tcPr>
          <w:p>
            <w:pPr>
              <w:spacing w:after="0"/>
              <w:rPr>
                <w:sz w:val="12"/>
                <w:szCs w:val="12"/>
                <w:color w:val="auto"/>
              </w:rPr>
            </w:pP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8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97"/>
              </w:rPr>
              <w:t>Guarantor</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Consolidation</w:t>
            </w:r>
          </w:p>
        </w:tc>
        <w:tc>
          <w:tcPr>
            <w:tcW w:w="26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millions)</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8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Holdings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47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80,403</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80,403</w:t>
            </w:r>
          </w:p>
        </w:tc>
      </w:tr>
      <w:tr>
        <w:trPr>
          <w:trHeight w:val="199"/>
        </w:trPr>
        <w:tc>
          <w:tcPr>
            <w:tcW w:w="20" w:type="dxa"/>
            <w:vAlign w:val="bottom"/>
          </w:tcPr>
          <w:p>
            <w:pPr>
              <w:spacing w:after="0"/>
              <w:rPr>
                <w:sz w:val="17"/>
                <w:szCs w:val="17"/>
                <w:color w:val="auto"/>
              </w:rPr>
            </w:pPr>
          </w:p>
        </w:tc>
        <w:tc>
          <w:tcPr>
            <w:tcW w:w="47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1,067</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1,049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(2,116)</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1,067</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1,049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80,403</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(2,116)</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80,403</w:t>
            </w:r>
          </w:p>
        </w:tc>
      </w:tr>
      <w:tr>
        <w:trPr>
          <w:trHeight w:val="199"/>
        </w:trPr>
        <w:tc>
          <w:tcPr>
            <w:tcW w:w="20" w:type="dxa"/>
            <w:vAlign w:val="bottom"/>
          </w:tcPr>
          <w:p>
            <w:pPr>
              <w:spacing w:after="0"/>
              <w:rPr>
                <w:sz w:val="17"/>
                <w:szCs w:val="17"/>
                <w:color w:val="auto"/>
              </w:rPr>
            </w:pPr>
          </w:p>
        </w:tc>
        <w:tc>
          <w:tcPr>
            <w:tcW w:w="472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24,463</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24,463</w:t>
            </w: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1,049</w:t>
            </w:r>
          </w:p>
        </w:tc>
        <w:tc>
          <w:tcPr>
            <w:tcW w:w="34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932</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22,731</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(2,116)</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23,409</w:t>
            </w: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6,114</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6,114</w:t>
            </w: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7,436</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7,464</w:t>
            </w:r>
          </w:p>
        </w:tc>
      </w:tr>
      <w:tr>
        <w:trPr>
          <w:trHeight w:val="199"/>
        </w:trPr>
        <w:tc>
          <w:tcPr>
            <w:tcW w:w="20" w:type="dxa"/>
            <w:vAlign w:val="bottom"/>
          </w:tcPr>
          <w:p>
            <w:pPr>
              <w:spacing w:after="0"/>
              <w:rPr>
                <w:sz w:val="17"/>
                <w:szCs w:val="17"/>
                <w:color w:val="auto"/>
              </w:rPr>
            </w:pPr>
          </w:p>
        </w:tc>
        <w:tc>
          <w:tcPr>
            <w:tcW w:w="47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2,088</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2,094</w:t>
            </w:r>
          </w:p>
        </w:tc>
      </w:tr>
      <w:tr>
        <w:trPr>
          <w:trHeight w:val="196"/>
        </w:trPr>
        <w:tc>
          <w:tcPr>
            <w:tcW w:w="20" w:type="dxa"/>
            <w:vAlign w:val="bottom"/>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847</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1,049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932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62,832</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(2,116)</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63,544</w:t>
            </w:r>
          </w:p>
        </w:tc>
      </w:tr>
      <w:tr>
        <w:trPr>
          <w:trHeight w:val="177"/>
        </w:trPr>
        <w:tc>
          <w:tcPr>
            <w:tcW w:w="474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220</w:t>
            </w:r>
          </w:p>
        </w:tc>
        <w:tc>
          <w:tcPr>
            <w:tcW w:w="280" w:type="dxa"/>
            <w:vAlign w:val="bottom"/>
          </w:tcPr>
          <w:p>
            <w:pPr>
              <w:spacing w:after="0"/>
              <w:rPr>
                <w:sz w:val="15"/>
                <w:szCs w:val="15"/>
                <w:color w:val="auto"/>
              </w:rPr>
            </w:pPr>
          </w:p>
        </w:tc>
        <w:tc>
          <w:tcPr>
            <w:tcW w:w="56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(932)</w:t>
            </w:r>
          </w:p>
        </w:tc>
        <w:tc>
          <w:tcPr>
            <w:tcW w:w="200" w:type="dxa"/>
            <w:vAlign w:val="bottom"/>
          </w:tcPr>
          <w:p>
            <w:pPr>
              <w:spacing w:after="0"/>
              <w:rPr>
                <w:sz w:val="15"/>
                <w:szCs w:val="15"/>
                <w:color w:val="auto"/>
              </w:rPr>
            </w:pPr>
          </w:p>
        </w:tc>
        <w:tc>
          <w:tcPr>
            <w:tcW w:w="8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17,571</w:t>
            </w:r>
          </w:p>
        </w:tc>
        <w:tc>
          <w:tcPr>
            <w:tcW w:w="220" w:type="dxa"/>
            <w:vAlign w:val="bottom"/>
          </w:tcPr>
          <w:p>
            <w:pPr>
              <w:spacing w:after="0"/>
              <w:rPr>
                <w:sz w:val="15"/>
                <w:szCs w:val="15"/>
                <w:color w:val="auto"/>
              </w:rPr>
            </w:pP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16,859</w:t>
            </w:r>
          </w:p>
        </w:tc>
      </w:tr>
      <w:tr>
        <w:trPr>
          <w:trHeight w:val="225"/>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(1,941)</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(2,942)</w:t>
            </w: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236</w:t>
            </w: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213</w:t>
            </w: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9,809</w:t>
            </w:r>
          </w:p>
        </w:tc>
        <w:tc>
          <w:tcPr>
            <w:tcW w:w="28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3"/>
              </w:rPr>
              <w:t>9,286</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8,679</w:t>
            </w:r>
          </w:p>
        </w:tc>
        <w:tc>
          <w:tcPr>
            <w:tcW w:w="34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5,545</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4,131</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(37,554)</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199"/>
        </w:trPr>
        <w:tc>
          <w:tcPr>
            <w:tcW w:w="20" w:type="dxa"/>
            <w:vAlign w:val="bottom"/>
          </w:tcPr>
          <w:p>
            <w:pPr>
              <w:spacing w:after="0"/>
              <w:rPr>
                <w:sz w:val="17"/>
                <w:szCs w:val="17"/>
                <w:color w:val="auto"/>
              </w:rPr>
            </w:pPr>
          </w:p>
        </w:tc>
        <w:tc>
          <w:tcPr>
            <w:tcW w:w="47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116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211</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327</w:t>
            </w:r>
          </w:p>
        </w:tc>
      </w:tr>
      <w:tr>
        <w:trPr>
          <w:trHeight w:val="196"/>
        </w:trPr>
        <w:tc>
          <w:tcPr>
            <w:tcW w:w="20" w:type="dxa"/>
            <w:vAlign w:val="bottom"/>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7,875</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93"/>
              </w:rPr>
              <w:t>9,269</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8,440</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5,180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4,284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(37,554)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(2,506)</w:t>
            </w:r>
          </w:p>
        </w:tc>
      </w:tr>
      <w:tr>
        <w:trPr>
          <w:trHeight w:val="199"/>
        </w:trPr>
        <w:tc>
          <w:tcPr>
            <w:tcW w:w="474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8,095</w:t>
            </w:r>
          </w:p>
        </w:tc>
        <w:tc>
          <w:tcPr>
            <w:tcW w:w="280" w:type="dxa"/>
            <w:vAlign w:val="bottom"/>
          </w:tcPr>
          <w:p>
            <w:pPr>
              <w:spacing w:after="0"/>
              <w:rPr>
                <w:sz w:val="17"/>
                <w:szCs w:val="17"/>
                <w:color w:val="auto"/>
              </w:rPr>
            </w:pPr>
          </w:p>
        </w:tc>
        <w:tc>
          <w:tcPr>
            <w:tcW w:w="56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3"/>
              </w:rPr>
              <w:t>9,269</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8,440</w:t>
            </w:r>
          </w:p>
        </w:tc>
        <w:tc>
          <w:tcPr>
            <w:tcW w:w="340" w:type="dxa"/>
            <w:vAlign w:val="bottom"/>
          </w:tcPr>
          <w:p>
            <w:pPr>
              <w:spacing w:after="0"/>
              <w:rPr>
                <w:sz w:val="17"/>
                <w:szCs w:val="17"/>
                <w:color w:val="auto"/>
              </w:rPr>
            </w:pPr>
          </w:p>
        </w:tc>
        <w:tc>
          <w:tcPr>
            <w:tcW w:w="7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4,248</w:t>
            </w:r>
          </w:p>
        </w:tc>
        <w:tc>
          <w:tcPr>
            <w:tcW w:w="200" w:type="dxa"/>
            <w:vAlign w:val="bottom"/>
          </w:tcPr>
          <w:p>
            <w:pPr>
              <w:spacing w:after="0"/>
              <w:rPr>
                <w:sz w:val="17"/>
                <w:szCs w:val="17"/>
                <w:color w:val="auto"/>
              </w:rPr>
            </w:pPr>
          </w:p>
        </w:tc>
        <w:tc>
          <w:tcPr>
            <w:tcW w:w="8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21,855</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(37,554)</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14,353</w:t>
            </w:r>
          </w:p>
        </w:tc>
      </w:tr>
      <w:tr>
        <w:trPr>
          <w:trHeight w:val="199"/>
        </w:trPr>
        <w:tc>
          <w:tcPr>
            <w:tcW w:w="47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600</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(5,985)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(5,308)</w:t>
            </w:r>
          </w:p>
        </w:tc>
      </w:tr>
      <w:tr>
        <w:trPr>
          <w:trHeight w:val="199"/>
        </w:trPr>
        <w:tc>
          <w:tcPr>
            <w:tcW w:w="474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8,695</w:t>
            </w:r>
          </w:p>
        </w:tc>
        <w:tc>
          <w:tcPr>
            <w:tcW w:w="280" w:type="dxa"/>
            <w:vAlign w:val="bottom"/>
          </w:tcPr>
          <w:p>
            <w:pPr>
              <w:spacing w:after="0"/>
              <w:rPr>
                <w:sz w:val="17"/>
                <w:szCs w:val="17"/>
                <w:color w:val="auto"/>
              </w:rPr>
            </w:pPr>
          </w:p>
        </w:tc>
        <w:tc>
          <w:tcPr>
            <w:tcW w:w="56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3"/>
              </w:rPr>
              <w:t>9,275</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8,524</w:t>
            </w:r>
          </w:p>
        </w:tc>
        <w:tc>
          <w:tcPr>
            <w:tcW w:w="340" w:type="dxa"/>
            <w:vAlign w:val="bottom"/>
          </w:tcPr>
          <w:p>
            <w:pPr>
              <w:spacing w:after="0"/>
              <w:rPr>
                <w:sz w:val="17"/>
                <w:szCs w:val="17"/>
                <w:color w:val="auto"/>
              </w:rPr>
            </w:pPr>
          </w:p>
        </w:tc>
        <w:tc>
          <w:tcPr>
            <w:tcW w:w="7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4,235</w:t>
            </w:r>
          </w:p>
        </w:tc>
        <w:tc>
          <w:tcPr>
            <w:tcW w:w="200" w:type="dxa"/>
            <w:vAlign w:val="bottom"/>
          </w:tcPr>
          <w:p>
            <w:pPr>
              <w:spacing w:after="0"/>
              <w:rPr>
                <w:sz w:val="17"/>
                <w:szCs w:val="17"/>
                <w:color w:val="auto"/>
              </w:rPr>
            </w:pPr>
          </w:p>
        </w:tc>
        <w:tc>
          <w:tcPr>
            <w:tcW w:w="8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15,870</w:t>
            </w:r>
          </w:p>
        </w:tc>
        <w:tc>
          <w:tcPr>
            <w:tcW w:w="2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(37,554)</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9,045</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w w:val="98"/>
              </w:rPr>
              <w:t>Net (income) loss attributable to noncontrolling interests and</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7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redeemable subsidiary preferred stock</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(350)</w:t>
            </w:r>
          </w:p>
        </w:tc>
      </w:tr>
      <w:tr>
        <w:trPr>
          <w:trHeight w:val="196"/>
        </w:trPr>
        <w:tc>
          <w:tcPr>
            <w:tcW w:w="20" w:type="dxa"/>
            <w:vAlign w:val="bottom"/>
            <w:tcBorders>
              <w:bottom w:val="single" w:sz="8" w:color="0C6DFF"/>
            </w:tcBorders>
          </w:tcPr>
          <w:p>
            <w:pPr>
              <w:spacing w:after="0"/>
              <w:rPr>
                <w:sz w:val="17"/>
                <w:szCs w:val="17"/>
                <w:color w:val="auto"/>
              </w:rPr>
            </w:pPr>
          </w:p>
        </w:tc>
        <w:tc>
          <w:tcPr>
            <w:tcW w:w="47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 Corporation</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8,695</w:t>
            </w:r>
          </w:p>
        </w:tc>
        <w:tc>
          <w:tcPr>
            <w:tcW w:w="280" w:type="dxa"/>
            <w:vAlign w:val="bottom"/>
            <w:tcBorders>
              <w:bottom w:val="single" w:sz="8" w:color="0C6DFF"/>
            </w:tcBorders>
          </w:tcPr>
          <w:p>
            <w:pPr>
              <w:jc w:val="center"/>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w w:val="93"/>
              </w:rPr>
              <w:t>9,275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8,524</w:t>
            </w:r>
          </w:p>
        </w:tc>
        <w:tc>
          <w:tcPr>
            <w:tcW w:w="3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4,235</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15,520</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(37,554)</w:t>
            </w:r>
          </w:p>
        </w:tc>
        <w:tc>
          <w:tcPr>
            <w:tcW w:w="26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8,695</w:t>
            </w:r>
          </w:p>
        </w:tc>
      </w:tr>
      <w:tr>
        <w:trPr>
          <w:trHeight w:val="177"/>
        </w:trPr>
        <w:tc>
          <w:tcPr>
            <w:tcW w:w="47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72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8,967</w:t>
            </w:r>
          </w:p>
        </w:tc>
        <w:tc>
          <w:tcPr>
            <w:tcW w:w="280" w:type="dxa"/>
            <w:vAlign w:val="bottom"/>
            <w:tcBorders>
              <w:bottom w:val="single" w:sz="8" w:color="0C6DFF"/>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w w:val="93"/>
              </w:rPr>
              <w:t>9,317</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8,530</w:t>
            </w:r>
          </w:p>
        </w:tc>
        <w:tc>
          <w:tcPr>
            <w:tcW w:w="34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4,312</w:t>
            </w:r>
          </w:p>
        </w:tc>
        <w:tc>
          <w:tcPr>
            <w:tcW w:w="20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b w:val="1"/>
                <w:bCs w:val="1"/>
                <w:color w:val="auto"/>
              </w:rPr>
              <w:t>15,610</w:t>
            </w:r>
          </w:p>
        </w:tc>
        <w:tc>
          <w:tcPr>
            <w:tcW w:w="2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(37,769)</w:t>
            </w:r>
          </w:p>
        </w:tc>
        <w:tc>
          <w:tcPr>
            <w:tcW w:w="26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8,967</w:t>
            </w:r>
          </w:p>
        </w:tc>
      </w:tr>
      <w:tr>
        <w:trPr>
          <w:trHeight w:val="50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4"/>
              </w:rPr>
              <w:t>115</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color w:val="auto"/>
              </w:rPr>
              <w:t>Comcast 2016 Annual Report on Form 10-K</w:t>
            </w: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55"/>
              <w:spacing w:after="0" w:line="149" w:lineRule="exact"/>
              <w:rPr>
                <w:sz w:val="20"/>
                <w:szCs w:val="20"/>
                <w:color w:val="auto"/>
              </w:rPr>
            </w:pPr>
            <w:r>
              <w:rPr>
                <w:rFonts w:ascii="Arial" w:cs="Arial" w:eastAsia="Arial" w:hAnsi="Arial"/>
                <w:sz w:val="14"/>
                <w:szCs w:val="14"/>
                <w:color w:val="auto"/>
                <w:w w:val="94"/>
              </w:rPr>
              <w:t>Comcast</w:t>
            </w: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320" w:type="dxa"/>
            <w:vAlign w:val="bottom"/>
          </w:tcPr>
          <w:p>
            <w:pPr>
              <w:spacing w:after="0"/>
              <w:rPr>
                <w:sz w:val="12"/>
                <w:szCs w:val="12"/>
                <w:color w:val="auto"/>
              </w:rPr>
            </w:pPr>
          </w:p>
        </w:tc>
        <w:tc>
          <w:tcPr>
            <w:tcW w:w="7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8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For the Year Ended December 31, 2015 (in millions)</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5"/>
              <w:spacing w:after="0" w:line="149" w:lineRule="exact"/>
              <w:rPr>
                <w:sz w:val="20"/>
                <w:szCs w:val="20"/>
                <w:color w:val="auto"/>
              </w:rPr>
            </w:pPr>
            <w:r>
              <w:rPr>
                <w:rFonts w:ascii="Arial" w:cs="Arial" w:eastAsia="Arial" w:hAnsi="Arial"/>
                <w:sz w:val="14"/>
                <w:szCs w:val="14"/>
                <w:color w:val="auto"/>
              </w:rPr>
              <w:t>Parent</w:t>
            </w:r>
          </w:p>
        </w:tc>
        <w:tc>
          <w:tcPr>
            <w:tcW w:w="780" w:type="dxa"/>
            <w:vAlign w:val="bottom"/>
            <w:tcBorders>
              <w:bottom w:val="single" w:sz="8" w:color="auto"/>
            </w:tcBorders>
            <w:gridSpan w:val="2"/>
          </w:tcPr>
          <w:p>
            <w:pPr>
              <w:jc w:val="right"/>
              <w:ind w:right="32"/>
              <w:spacing w:after="0" w:line="149" w:lineRule="exact"/>
              <w:rPr>
                <w:sz w:val="20"/>
                <w:szCs w:val="20"/>
                <w:color w:val="auto"/>
              </w:rPr>
            </w:pPr>
            <w:r>
              <w:rPr>
                <w:rFonts w:ascii="Arial" w:cs="Arial" w:eastAsia="Arial" w:hAnsi="Arial"/>
                <w:sz w:val="14"/>
                <w:szCs w:val="14"/>
                <w:color w:val="auto"/>
              </w:rPr>
              <w:t>Holdings</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w:t>
            </w:r>
          </w:p>
        </w:tc>
        <w:tc>
          <w:tcPr>
            <w:tcW w:w="9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line="149" w:lineRule="exact"/>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9"/>
        </w:trPr>
        <w:tc>
          <w:tcPr>
            <w:tcW w:w="48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74,510</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74,510</w:t>
            </w: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1,005</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977</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(1,982)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1,005</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977</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74,510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74,510</w:t>
            </w:r>
          </w:p>
        </w:tc>
      </w:tr>
      <w:tr>
        <w:trPr>
          <w:trHeight w:val="199"/>
        </w:trPr>
        <w:tc>
          <w:tcPr>
            <w:tcW w:w="20" w:type="dxa"/>
            <w:vAlign w:val="bottom"/>
          </w:tcPr>
          <w:p>
            <w:pPr>
              <w:spacing w:after="0"/>
              <w:rPr>
                <w:sz w:val="17"/>
                <w:szCs w:val="17"/>
                <w:color w:val="auto"/>
              </w:rPr>
            </w:pPr>
          </w:p>
        </w:tc>
        <w:tc>
          <w:tcPr>
            <w:tcW w:w="486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22,550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22,550</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760</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977</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922</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20,642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(1,982)</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21,319</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5,963</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5,963</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6,750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6,781</w:t>
            </w: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1,893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1,899</w:t>
            </w: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797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977</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922</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57,798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58,512</w:t>
            </w:r>
          </w:p>
        </w:tc>
      </w:tr>
      <w:tr>
        <w:trPr>
          <w:trHeight w:val="177"/>
        </w:trPr>
        <w:tc>
          <w:tcPr>
            <w:tcW w:w="488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5"/>
                <w:szCs w:val="15"/>
                <w:color w:val="auto"/>
              </w:rPr>
            </w:pPr>
          </w:p>
        </w:tc>
        <w:tc>
          <w:tcPr>
            <w:tcW w:w="680" w:type="dxa"/>
            <w:vAlign w:val="bottom"/>
          </w:tcPr>
          <w:p>
            <w:pPr>
              <w:jc w:val="right"/>
              <w:ind w:right="55"/>
              <w:spacing w:after="0" w:line="177" w:lineRule="exact"/>
              <w:rPr>
                <w:sz w:val="20"/>
                <w:szCs w:val="20"/>
                <w:color w:val="auto"/>
              </w:rPr>
            </w:pPr>
            <w:r>
              <w:rPr>
                <w:rFonts w:ascii="Arial" w:cs="Arial" w:eastAsia="Arial" w:hAnsi="Arial"/>
                <w:sz w:val="18"/>
                <w:szCs w:val="18"/>
                <w:color w:val="auto"/>
              </w:rPr>
              <w:t>208</w:t>
            </w:r>
          </w:p>
        </w:tc>
        <w:tc>
          <w:tcPr>
            <w:tcW w:w="180" w:type="dxa"/>
            <w:vAlign w:val="bottom"/>
          </w:tcPr>
          <w:p>
            <w:pPr>
              <w:spacing w:after="0"/>
              <w:rPr>
                <w:sz w:val="15"/>
                <w:szCs w:val="15"/>
                <w:color w:val="auto"/>
              </w:rPr>
            </w:pPr>
          </w:p>
        </w:tc>
        <w:tc>
          <w:tcPr>
            <w:tcW w:w="6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(922)</w:t>
            </w:r>
          </w:p>
        </w:tc>
        <w:tc>
          <w:tcPr>
            <w:tcW w:w="180" w:type="dxa"/>
            <w:vAlign w:val="bottom"/>
          </w:tcPr>
          <w:p>
            <w:pPr>
              <w:spacing w:after="0"/>
              <w:rPr>
                <w:sz w:val="15"/>
                <w:szCs w:val="15"/>
                <w:color w:val="auto"/>
              </w:rPr>
            </w:pPr>
          </w:p>
        </w:tc>
        <w:tc>
          <w:tcPr>
            <w:tcW w:w="7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16,712</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15,998</w:t>
            </w:r>
          </w:p>
        </w:tc>
      </w:tr>
      <w:tr>
        <w:trPr>
          <w:trHeight w:val="225"/>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(1,744)</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(462)</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(2,702)</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95</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81</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9,159</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8,651</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8,040</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4,852</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3,089</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(34,116)</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354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320</w:t>
            </w: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7,418</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8,638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7,770</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4,340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3,324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(34,116)</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(2,626)</w:t>
            </w:r>
          </w:p>
        </w:tc>
      </w:tr>
      <w:tr>
        <w:trPr>
          <w:trHeight w:val="199"/>
        </w:trPr>
        <w:tc>
          <w:tcPr>
            <w:tcW w:w="488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7"/>
                <w:szCs w:val="17"/>
                <w:color w:val="auto"/>
              </w:rPr>
            </w:pPr>
          </w:p>
        </w:tc>
        <w:tc>
          <w:tcPr>
            <w:tcW w:w="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7,626</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8,638</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7,770</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3,418</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20,036</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(34,116)</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13,372</w:t>
            </w:r>
          </w:p>
        </w:tc>
      </w:tr>
      <w:tr>
        <w:trPr>
          <w:trHeight w:val="199"/>
        </w:trPr>
        <w:tc>
          <w:tcPr>
            <w:tcW w:w="48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537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(5,590)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(4,959)</w:t>
            </w:r>
          </w:p>
        </w:tc>
      </w:tr>
      <w:tr>
        <w:trPr>
          <w:trHeight w:val="199"/>
        </w:trPr>
        <w:tc>
          <w:tcPr>
            <w:tcW w:w="488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7"/>
                <w:szCs w:val="17"/>
                <w:color w:val="auto"/>
              </w:rPr>
            </w:pPr>
          </w:p>
        </w:tc>
        <w:tc>
          <w:tcPr>
            <w:tcW w:w="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8,163</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8,642</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7,864</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3,414</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14,446</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(34,116)</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8,413</w:t>
            </w: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redeemable subsidiary preferred stock</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(250)</w:t>
            </w:r>
          </w:p>
        </w:tc>
      </w:tr>
      <w:tr>
        <w:trPr>
          <w:trHeight w:val="196"/>
        </w:trPr>
        <w:tc>
          <w:tcPr>
            <w:tcW w:w="20" w:type="dxa"/>
            <w:vAlign w:val="bottom"/>
            <w:tcBorders>
              <w:bottom w:val="single" w:sz="8" w:color="0C6DFF"/>
            </w:tcBorders>
          </w:tcPr>
          <w:p>
            <w:pPr>
              <w:spacing w:after="0"/>
              <w:rPr>
                <w:sz w:val="17"/>
                <w:szCs w:val="17"/>
                <w:color w:val="auto"/>
              </w:rPr>
            </w:pPr>
          </w:p>
        </w:tc>
        <w:tc>
          <w:tcPr>
            <w:tcW w:w="48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 Corporation</w:t>
            </w:r>
          </w:p>
        </w:tc>
        <w:tc>
          <w:tcPr>
            <w:tcW w:w="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8,163</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8,642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7,864</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3,414</w:t>
            </w:r>
          </w:p>
        </w:tc>
        <w:tc>
          <w:tcPr>
            <w:tcW w:w="1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14,196</w:t>
            </w:r>
          </w:p>
        </w:tc>
        <w:tc>
          <w:tcPr>
            <w:tcW w:w="2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(34,116)</w:t>
            </w:r>
          </w:p>
        </w:tc>
        <w:tc>
          <w:tcPr>
            <w:tcW w:w="2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8,163</w:t>
            </w:r>
          </w:p>
        </w:tc>
      </w:tr>
      <w:tr>
        <w:trPr>
          <w:trHeight w:val="177"/>
        </w:trPr>
        <w:tc>
          <w:tcPr>
            <w:tcW w:w="48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86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55"/>
              <w:spacing w:after="0"/>
              <w:rPr>
                <w:sz w:val="20"/>
                <w:szCs w:val="20"/>
                <w:color w:val="auto"/>
              </w:rPr>
            </w:pPr>
            <w:r>
              <w:rPr>
                <w:rFonts w:ascii="Arial" w:cs="Arial" w:eastAsia="Arial" w:hAnsi="Arial"/>
                <w:sz w:val="18"/>
                <w:szCs w:val="18"/>
                <w:b w:val="1"/>
                <w:bCs w:val="1"/>
                <w:color w:val="auto"/>
              </w:rPr>
              <w:t>8,135</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8,625</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7,864</w:t>
            </w:r>
          </w:p>
        </w:tc>
        <w:tc>
          <w:tcPr>
            <w:tcW w:w="3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3,361</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14,192</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(34,042)</w:t>
            </w:r>
          </w:p>
        </w:tc>
        <w:tc>
          <w:tcPr>
            <w:tcW w:w="26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8,135</w:t>
            </w:r>
          </w:p>
        </w:tc>
      </w:tr>
      <w:tr>
        <w:trPr>
          <w:trHeight w:val="506"/>
        </w:trPr>
        <w:tc>
          <w:tcPr>
            <w:tcW w:w="4880" w:type="dxa"/>
            <w:vAlign w:val="bottom"/>
            <w:gridSpan w:val="2"/>
          </w:tcPr>
          <w:p>
            <w:pPr>
              <w:spacing w:after="0"/>
              <w:rPr>
                <w:sz w:val="20"/>
                <w:szCs w:val="20"/>
                <w:color w:val="auto"/>
              </w:rPr>
            </w:pPr>
            <w:r>
              <w:rPr>
                <w:rFonts w:ascii="Arial" w:cs="Arial" w:eastAsia="Arial" w:hAnsi="Arial"/>
                <w:sz w:val="14"/>
                <w:szCs w:val="14"/>
                <w:color w:val="auto"/>
              </w:rPr>
              <w:t>Comcast 2016 Annual Report on Form 10-K</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55"/>
              <w:spacing w:after="0" w:line="149" w:lineRule="exact"/>
              <w:rPr>
                <w:sz w:val="20"/>
                <w:szCs w:val="20"/>
                <w:color w:val="auto"/>
              </w:rPr>
            </w:pPr>
            <w:r>
              <w:rPr>
                <w:rFonts w:ascii="Arial" w:cs="Arial" w:eastAsia="Arial" w:hAnsi="Arial"/>
                <w:sz w:val="14"/>
                <w:szCs w:val="14"/>
                <w:color w:val="auto"/>
                <w:w w:val="94"/>
              </w:rPr>
              <w:t>Comcast</w:t>
            </w: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320" w:type="dxa"/>
            <w:vAlign w:val="bottom"/>
          </w:tcPr>
          <w:p>
            <w:pPr>
              <w:spacing w:after="0"/>
              <w:rPr>
                <w:sz w:val="12"/>
                <w:szCs w:val="12"/>
                <w:color w:val="auto"/>
              </w:rPr>
            </w:pPr>
          </w:p>
        </w:tc>
        <w:tc>
          <w:tcPr>
            <w:tcW w:w="7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8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For the Year Ended December 31, 2014 (in millions)</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5"/>
              <w:spacing w:after="0" w:line="149" w:lineRule="exact"/>
              <w:rPr>
                <w:sz w:val="20"/>
                <w:szCs w:val="20"/>
                <w:color w:val="auto"/>
              </w:rPr>
            </w:pPr>
            <w:r>
              <w:rPr>
                <w:rFonts w:ascii="Arial" w:cs="Arial" w:eastAsia="Arial" w:hAnsi="Arial"/>
                <w:sz w:val="14"/>
                <w:szCs w:val="14"/>
                <w:color w:val="auto"/>
              </w:rPr>
              <w:t>Parent</w:t>
            </w:r>
          </w:p>
        </w:tc>
        <w:tc>
          <w:tcPr>
            <w:tcW w:w="780" w:type="dxa"/>
            <w:vAlign w:val="bottom"/>
            <w:tcBorders>
              <w:bottom w:val="single" w:sz="8" w:color="auto"/>
            </w:tcBorders>
            <w:gridSpan w:val="2"/>
          </w:tcPr>
          <w:p>
            <w:pPr>
              <w:jc w:val="right"/>
              <w:ind w:right="32"/>
              <w:spacing w:after="0" w:line="149" w:lineRule="exact"/>
              <w:rPr>
                <w:sz w:val="20"/>
                <w:szCs w:val="20"/>
                <w:color w:val="auto"/>
              </w:rPr>
            </w:pPr>
            <w:r>
              <w:rPr>
                <w:rFonts w:ascii="Arial" w:cs="Arial" w:eastAsia="Arial" w:hAnsi="Arial"/>
                <w:sz w:val="14"/>
                <w:szCs w:val="14"/>
                <w:color w:val="auto"/>
              </w:rPr>
              <w:t>Holdings</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Parent</w:t>
            </w:r>
          </w:p>
        </w:tc>
        <w:tc>
          <w:tcPr>
            <w:tcW w:w="9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line="149" w:lineRule="exact"/>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9"/>
        </w:trPr>
        <w:tc>
          <w:tcPr>
            <w:tcW w:w="48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68,775</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68,775</w:t>
            </w: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947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921</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(1,868)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947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921</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68,775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68,775</w:t>
            </w:r>
          </w:p>
        </w:tc>
      </w:tr>
      <w:tr>
        <w:trPr>
          <w:trHeight w:val="199"/>
        </w:trPr>
        <w:tc>
          <w:tcPr>
            <w:tcW w:w="20" w:type="dxa"/>
            <w:vAlign w:val="bottom"/>
          </w:tcPr>
          <w:p>
            <w:pPr>
              <w:spacing w:after="0"/>
              <w:rPr>
                <w:sz w:val="17"/>
                <w:szCs w:val="17"/>
                <w:color w:val="auto"/>
              </w:rPr>
            </w:pPr>
          </w:p>
        </w:tc>
        <w:tc>
          <w:tcPr>
            <w:tcW w:w="486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20,912</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20,912</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751</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921</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908</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19,127</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(1,868)</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19,839</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5,101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5,101</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6,303</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6,337</w:t>
            </w: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1,676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1,682</w:t>
            </w: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791</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921</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908</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53,119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53,871</w:t>
            </w:r>
          </w:p>
        </w:tc>
      </w:tr>
      <w:tr>
        <w:trPr>
          <w:trHeight w:val="177"/>
        </w:trPr>
        <w:tc>
          <w:tcPr>
            <w:tcW w:w="488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5"/>
                <w:szCs w:val="15"/>
                <w:color w:val="auto"/>
              </w:rPr>
            </w:pPr>
          </w:p>
        </w:tc>
        <w:tc>
          <w:tcPr>
            <w:tcW w:w="680" w:type="dxa"/>
            <w:vAlign w:val="bottom"/>
          </w:tcPr>
          <w:p>
            <w:pPr>
              <w:jc w:val="right"/>
              <w:ind w:right="55"/>
              <w:spacing w:after="0" w:line="177" w:lineRule="exact"/>
              <w:rPr>
                <w:sz w:val="20"/>
                <w:szCs w:val="20"/>
                <w:color w:val="auto"/>
              </w:rPr>
            </w:pPr>
            <w:r>
              <w:rPr>
                <w:rFonts w:ascii="Arial" w:cs="Arial" w:eastAsia="Arial" w:hAnsi="Arial"/>
                <w:sz w:val="18"/>
                <w:szCs w:val="18"/>
                <w:color w:val="auto"/>
              </w:rPr>
              <w:t>156</w:t>
            </w:r>
          </w:p>
        </w:tc>
        <w:tc>
          <w:tcPr>
            <w:tcW w:w="180" w:type="dxa"/>
            <w:vAlign w:val="bottom"/>
          </w:tcPr>
          <w:p>
            <w:pPr>
              <w:spacing w:after="0"/>
              <w:rPr>
                <w:sz w:val="15"/>
                <w:szCs w:val="15"/>
                <w:color w:val="auto"/>
              </w:rPr>
            </w:pPr>
          </w:p>
        </w:tc>
        <w:tc>
          <w:tcPr>
            <w:tcW w:w="6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(908)</w:t>
            </w:r>
          </w:p>
        </w:tc>
        <w:tc>
          <w:tcPr>
            <w:tcW w:w="180" w:type="dxa"/>
            <w:vAlign w:val="bottom"/>
          </w:tcPr>
          <w:p>
            <w:pPr>
              <w:spacing w:after="0"/>
              <w:rPr>
                <w:sz w:val="15"/>
                <w:szCs w:val="15"/>
                <w:color w:val="auto"/>
              </w:rPr>
            </w:pPr>
          </w:p>
        </w:tc>
        <w:tc>
          <w:tcPr>
            <w:tcW w:w="760" w:type="dxa"/>
            <w:vAlign w:val="bottom"/>
          </w:tcPr>
          <w:p>
            <w:pPr>
              <w:jc w:val="right"/>
              <w:ind w:right="35"/>
              <w:spacing w:after="0" w:line="177" w:lineRule="exact"/>
              <w:rPr>
                <w:sz w:val="20"/>
                <w:szCs w:val="20"/>
                <w:color w:val="auto"/>
              </w:rPr>
            </w:pPr>
            <w:r>
              <w:rPr>
                <w:rFonts w:ascii="Arial" w:cs="Arial" w:eastAsia="Arial" w:hAnsi="Arial"/>
                <w:sz w:val="18"/>
                <w:szCs w:val="18"/>
                <w:color w:val="auto"/>
              </w:rPr>
              <w:t>15,656</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14,904</w:t>
            </w:r>
          </w:p>
        </w:tc>
      </w:tr>
      <w:tr>
        <w:trPr>
          <w:trHeight w:val="225"/>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(1,621)</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(2,617)</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288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296</w:t>
            </w: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2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9,330</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8,843</w:t>
            </w:r>
          </w:p>
        </w:tc>
        <w:tc>
          <w:tcPr>
            <w:tcW w:w="20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8,350</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4,523</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3,212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(34,161)</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97</w:t>
            </w: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(215)</w:t>
            </w:r>
          </w:p>
        </w:tc>
      </w:tr>
      <w:tr>
        <w:trPr>
          <w:trHeight w:val="196"/>
        </w:trPr>
        <w:tc>
          <w:tcPr>
            <w:tcW w:w="20" w:type="dxa"/>
            <w:vAlign w:val="bottom"/>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196" w:lineRule="exact"/>
              <w:rPr>
                <w:sz w:val="20"/>
                <w:szCs w:val="20"/>
                <w:color w:val="auto"/>
              </w:rPr>
            </w:pPr>
            <w:r>
              <w:rPr>
                <w:rFonts w:ascii="Arial" w:cs="Arial" w:eastAsia="Arial" w:hAnsi="Arial"/>
                <w:sz w:val="18"/>
                <w:szCs w:val="18"/>
                <w:color w:val="auto"/>
              </w:rPr>
              <w:t>7,712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8,844</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8,056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4,033</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3,077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(34,161)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(2,439)</w:t>
            </w:r>
          </w:p>
        </w:tc>
      </w:tr>
      <w:tr>
        <w:trPr>
          <w:trHeight w:val="199"/>
        </w:trPr>
        <w:tc>
          <w:tcPr>
            <w:tcW w:w="488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7"/>
                <w:szCs w:val="17"/>
                <w:color w:val="auto"/>
              </w:rPr>
            </w:pPr>
          </w:p>
        </w:tc>
        <w:tc>
          <w:tcPr>
            <w:tcW w:w="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7,868</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8,844</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8,056</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3,125</w:t>
            </w:r>
          </w:p>
        </w:tc>
        <w:tc>
          <w:tcPr>
            <w:tcW w:w="180" w:type="dxa"/>
            <w:vAlign w:val="bottom"/>
          </w:tcPr>
          <w:p>
            <w:pPr>
              <w:spacing w:after="0"/>
              <w:rPr>
                <w:sz w:val="17"/>
                <w:szCs w:val="17"/>
                <w:color w:val="auto"/>
              </w:rPr>
            </w:pPr>
          </w:p>
        </w:tc>
        <w:tc>
          <w:tcPr>
            <w:tcW w:w="7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18,733</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(34,161)</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12,465</w:t>
            </w:r>
          </w:p>
        </w:tc>
      </w:tr>
      <w:tr>
        <w:trPr>
          <w:trHeight w:val="199"/>
        </w:trPr>
        <w:tc>
          <w:tcPr>
            <w:tcW w:w="48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512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103</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(4,478)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(3,873)</w:t>
            </w:r>
          </w:p>
        </w:tc>
      </w:tr>
      <w:tr>
        <w:trPr>
          <w:trHeight w:val="199"/>
        </w:trPr>
        <w:tc>
          <w:tcPr>
            <w:tcW w:w="488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7"/>
                <w:szCs w:val="17"/>
                <w:color w:val="auto"/>
              </w:rPr>
            </w:pPr>
          </w:p>
        </w:tc>
        <w:tc>
          <w:tcPr>
            <w:tcW w:w="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8,380</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8,844</w:t>
            </w:r>
          </w:p>
        </w:tc>
        <w:tc>
          <w:tcPr>
            <w:tcW w:w="20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8,159</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3,115</w:t>
            </w:r>
          </w:p>
        </w:tc>
        <w:tc>
          <w:tcPr>
            <w:tcW w:w="180" w:type="dxa"/>
            <w:vAlign w:val="bottom"/>
          </w:tcPr>
          <w:p>
            <w:pPr>
              <w:spacing w:after="0"/>
              <w:rPr>
                <w:sz w:val="17"/>
                <w:szCs w:val="17"/>
                <w:color w:val="auto"/>
              </w:rPr>
            </w:pPr>
          </w:p>
        </w:tc>
        <w:tc>
          <w:tcPr>
            <w:tcW w:w="7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14,255</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(34,161)</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8,592</w:t>
            </w: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8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redeemable subsidiary preferred stock</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(212)</w:t>
            </w:r>
          </w:p>
        </w:tc>
      </w:tr>
      <w:tr>
        <w:trPr>
          <w:trHeight w:val="196"/>
        </w:trPr>
        <w:tc>
          <w:tcPr>
            <w:tcW w:w="20" w:type="dxa"/>
            <w:vAlign w:val="bottom"/>
            <w:tcBorders>
              <w:bottom w:val="single" w:sz="8" w:color="0C6DFF"/>
            </w:tcBorders>
          </w:tcPr>
          <w:p>
            <w:pPr>
              <w:spacing w:after="0"/>
              <w:rPr>
                <w:sz w:val="17"/>
                <w:szCs w:val="17"/>
                <w:color w:val="auto"/>
              </w:rPr>
            </w:pPr>
          </w:p>
        </w:tc>
        <w:tc>
          <w:tcPr>
            <w:tcW w:w="48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 Corporation</w:t>
            </w:r>
          </w:p>
        </w:tc>
        <w:tc>
          <w:tcPr>
            <w:tcW w:w="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8,380</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8,844</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8,159</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3,115</w:t>
            </w:r>
          </w:p>
        </w:tc>
        <w:tc>
          <w:tcPr>
            <w:tcW w:w="1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14,043</w:t>
            </w:r>
          </w:p>
        </w:tc>
        <w:tc>
          <w:tcPr>
            <w:tcW w:w="2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(34,161)</w:t>
            </w:r>
          </w:p>
        </w:tc>
        <w:tc>
          <w:tcPr>
            <w:tcW w:w="2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8,380</w:t>
            </w:r>
          </w:p>
        </w:tc>
      </w:tr>
      <w:tr>
        <w:trPr>
          <w:trHeight w:val="177"/>
        </w:trPr>
        <w:tc>
          <w:tcPr>
            <w:tcW w:w="48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86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55"/>
              <w:spacing w:after="0"/>
              <w:rPr>
                <w:sz w:val="20"/>
                <w:szCs w:val="20"/>
                <w:color w:val="auto"/>
              </w:rPr>
            </w:pPr>
            <w:r>
              <w:rPr>
                <w:rFonts w:ascii="Arial" w:cs="Arial" w:eastAsia="Arial" w:hAnsi="Arial"/>
                <w:sz w:val="18"/>
                <w:szCs w:val="18"/>
                <w:b w:val="1"/>
                <w:bCs w:val="1"/>
                <w:color w:val="auto"/>
              </w:rPr>
              <w:t>8,178</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8,807</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8,163</w:t>
            </w:r>
          </w:p>
        </w:tc>
        <w:tc>
          <w:tcPr>
            <w:tcW w:w="3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2,972</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b w:val="1"/>
                <w:bCs w:val="1"/>
                <w:color w:val="auto"/>
              </w:rPr>
              <w:t>13,980</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(33,922)</w:t>
            </w:r>
          </w:p>
        </w:tc>
        <w:tc>
          <w:tcPr>
            <w:tcW w:w="26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8,178</w:t>
            </w:r>
          </w:p>
        </w:tc>
      </w:tr>
      <w:tr>
        <w:trPr>
          <w:trHeight w:val="506"/>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right"/>
              <w:spacing w:after="0"/>
              <w:rPr>
                <w:sz w:val="20"/>
                <w:szCs w:val="20"/>
                <w:color w:val="auto"/>
              </w:rPr>
            </w:pPr>
            <w:r>
              <w:rPr>
                <w:rFonts w:ascii="Arial" w:cs="Arial" w:eastAsia="Arial" w:hAnsi="Arial"/>
                <w:sz w:val="14"/>
                <w:szCs w:val="14"/>
                <w:color w:val="auto"/>
                <w:w w:val="99"/>
              </w:rPr>
              <w:t>Comcast 2016 Annual Report on Form 10-K</w:t>
            </w: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right"/>
              <w:ind w:right="34"/>
              <w:spacing w:after="0" w:line="149"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8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and</w:t>
            </w:r>
          </w:p>
        </w:tc>
        <w:tc>
          <w:tcPr>
            <w:tcW w:w="106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80" w:type="dxa"/>
            <w:vAlign w:val="bottom"/>
            <w:gridSpan w:val="2"/>
          </w:tcPr>
          <w:p>
            <w:pPr>
              <w:jc w:val="right"/>
              <w:ind w:right="34"/>
              <w:spacing w:after="0" w:line="149" w:lineRule="exact"/>
              <w:rPr>
                <w:sz w:val="20"/>
                <w:szCs w:val="20"/>
                <w:color w:val="auto"/>
              </w:rPr>
            </w:pPr>
            <w:r>
              <w:rPr>
                <w:rFonts w:ascii="Arial" w:cs="Arial" w:eastAsia="Arial" w:hAnsi="Arial"/>
                <w:sz w:val="14"/>
                <w:szCs w:val="14"/>
                <w:b w:val="1"/>
                <w:bCs w:val="1"/>
                <w:color w:val="auto"/>
              </w:rPr>
              <w:t>Comcast</w:t>
            </w: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52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7"/>
              </w:rPr>
              <w:t>CCCL</w:t>
            </w:r>
          </w:p>
        </w:tc>
        <w:tc>
          <w:tcPr>
            <w:tcW w:w="3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auto"/>
              </w:rPr>
              <w:t>Consolidation</w:t>
            </w:r>
          </w:p>
        </w:tc>
        <w:tc>
          <w:tcPr>
            <w:tcW w:w="28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840" w:type="dxa"/>
            <w:vAlign w:val="bottom"/>
            <w:gridSpan w:val="2"/>
          </w:tcPr>
          <w:p>
            <w:pPr>
              <w:spacing w:after="0"/>
              <w:rPr>
                <w:sz w:val="20"/>
                <w:szCs w:val="20"/>
                <w:color w:val="auto"/>
              </w:rPr>
            </w:pPr>
            <w:r>
              <w:rPr>
                <w:rFonts w:ascii="Arial" w:cs="Arial" w:eastAsia="Arial" w:hAnsi="Arial"/>
                <w:sz w:val="14"/>
                <w:szCs w:val="14"/>
                <w:color w:val="auto"/>
              </w:rPr>
              <w:t>For the Year Ended December 31, 2016 (in millions)</w:t>
            </w:r>
          </w:p>
        </w:tc>
        <w:tc>
          <w:tcPr>
            <w:tcW w:w="22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Holdings</w:t>
            </w:r>
          </w:p>
        </w:tc>
        <w:tc>
          <w:tcPr>
            <w:tcW w:w="7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4"/>
                <w:szCs w:val="14"/>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100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Adjustments</w:t>
            </w:r>
          </w:p>
        </w:tc>
        <w:tc>
          <w:tcPr>
            <w:tcW w:w="10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w:t>
            </w:r>
          </w:p>
        </w:tc>
        <w:tc>
          <w:tcPr>
            <w:tcW w:w="24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(100)</w:t>
            </w:r>
          </w:p>
        </w:tc>
        <w:tc>
          <w:tcPr>
            <w:tcW w:w="320" w:type="dxa"/>
            <w:vAlign w:val="bottom"/>
            <w:tcBorders>
              <w:top w:val="single" w:sz="8" w:color="auto"/>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(1,453)</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22,314</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19,240</w:t>
            </w:r>
          </w:p>
        </w:tc>
      </w:tr>
      <w:tr>
        <w:trPr>
          <w:trHeight w:val="199"/>
        </w:trPr>
        <w:tc>
          <w:tcPr>
            <w:tcW w:w="20" w:type="dxa"/>
            <w:vAlign w:val="bottom"/>
          </w:tcPr>
          <w:p>
            <w:pPr>
              <w:spacing w:after="0"/>
              <w:rPr>
                <w:sz w:val="17"/>
                <w:szCs w:val="17"/>
                <w:color w:val="auto"/>
              </w:rPr>
            </w:pPr>
          </w:p>
        </w:tc>
        <w:tc>
          <w:tcPr>
            <w:tcW w:w="482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(860)</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189</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2,642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(2,071)</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(9,122)</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(9,135)</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(1,677)</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(393)</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2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(3,929)</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(3,929)</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22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114</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218</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(1,447)</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(1,697)</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(1,749)</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(1,749)</w:t>
            </w:r>
          </w:p>
        </w:tc>
      </w:tr>
      <w:tr>
        <w:trPr>
          <w:trHeight w:val="199"/>
        </w:trPr>
        <w:tc>
          <w:tcPr>
            <w:tcW w:w="20" w:type="dxa"/>
            <w:vAlign w:val="bottom"/>
          </w:tcPr>
          <w:p>
            <w:pPr>
              <w:spacing w:after="0"/>
              <w:rPr>
                <w:sz w:val="17"/>
                <w:szCs w:val="17"/>
                <w:color w:val="auto"/>
              </w:rPr>
            </w:pPr>
          </w:p>
        </w:tc>
        <w:tc>
          <w:tcPr>
            <w:tcW w:w="48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164</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w:t>
            </w:r>
          </w:p>
        </w:tc>
      </w:tr>
      <w:tr>
        <w:trPr>
          <w:trHeight w:val="196"/>
        </w:trPr>
        <w:tc>
          <w:tcPr>
            <w:tcW w:w="20" w:type="dxa"/>
            <w:vAlign w:val="bottom"/>
          </w:tcPr>
          <w:p>
            <w:pPr>
              <w:spacing w:after="0"/>
              <w:rPr>
                <w:sz w:val="17"/>
                <w:szCs w:val="17"/>
                <w:color w:val="auto"/>
              </w:rPr>
            </w:pPr>
          </w:p>
        </w:tc>
        <w:tc>
          <w:tcPr>
            <w:tcW w:w="48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(1,065)</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189</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100</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2,501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(20,110)</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r>
      <w:tr>
        <w:trPr>
          <w:trHeight w:val="199"/>
        </w:trPr>
        <w:tc>
          <w:tcPr>
            <w:tcW w:w="20" w:type="dxa"/>
            <w:vAlign w:val="bottom"/>
          </w:tcPr>
          <w:p>
            <w:pPr>
              <w:spacing w:after="0"/>
              <w:rPr>
                <w:sz w:val="17"/>
                <w:szCs w:val="17"/>
                <w:color w:val="auto"/>
              </w:rPr>
            </w:pPr>
          </w:p>
        </w:tc>
        <w:tc>
          <w:tcPr>
            <w:tcW w:w="482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w w:val="99"/>
              </w:rPr>
              <w:t>Proceeds from (repayments of) short-term borrowings, net</w:t>
            </w:r>
          </w:p>
        </w:tc>
        <w:tc>
          <w:tcPr>
            <w:tcW w:w="22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1,339</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451</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1,790</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9,231</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9,231</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(1,005)</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(1,297)</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(3,052)</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(2,601)</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(2,601)</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2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w:t>
            </w: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20" w:type="dxa"/>
            <w:vAlign w:val="bottom"/>
          </w:tcPr>
          <w:p>
            <w:pPr>
              <w:ind w:left="420"/>
              <w:spacing w:after="0" w:line="202" w:lineRule="exact"/>
              <w:rPr>
                <w:sz w:val="20"/>
                <w:szCs w:val="20"/>
                <w:color w:val="auto"/>
              </w:rPr>
            </w:pPr>
            <w:r>
              <w:rPr>
                <w:rFonts w:ascii="Arial" w:cs="Arial" w:eastAsia="Arial" w:hAnsi="Arial"/>
                <w:sz w:val="18"/>
                <w:szCs w:val="18"/>
                <w:color w:val="auto"/>
              </w:rPr>
              <w:t>redeemable subsidiary preferred stock</w:t>
            </w:r>
          </w:p>
        </w:tc>
        <w:tc>
          <w:tcPr>
            <w:tcW w:w="22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r>
      <w:tr>
        <w:trPr>
          <w:trHeight w:val="199"/>
        </w:trPr>
        <w:tc>
          <w:tcPr>
            <w:tcW w:w="20" w:type="dxa"/>
            <w:vAlign w:val="bottom"/>
          </w:tcPr>
          <w:p>
            <w:pPr>
              <w:spacing w:after="0"/>
              <w:rPr>
                <w:sz w:val="17"/>
                <w:szCs w:val="17"/>
                <w:color w:val="auto"/>
              </w:rPr>
            </w:pPr>
          </w:p>
        </w:tc>
        <w:tc>
          <w:tcPr>
            <w:tcW w:w="48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155</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(167)</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13</w:t>
            </w:r>
          </w:p>
        </w:tc>
      </w:tr>
      <w:tr>
        <w:trPr>
          <w:trHeight w:val="196"/>
        </w:trPr>
        <w:tc>
          <w:tcPr>
            <w:tcW w:w="20" w:type="dxa"/>
            <w:vAlign w:val="bottom"/>
          </w:tcPr>
          <w:p>
            <w:pPr>
              <w:spacing w:after="0"/>
              <w:rPr>
                <w:sz w:val="17"/>
                <w:szCs w:val="17"/>
                <w:color w:val="auto"/>
              </w:rPr>
            </w:pPr>
          </w:p>
        </w:tc>
        <w:tc>
          <w:tcPr>
            <w:tcW w:w="48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2,397</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(1,266)</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151</w:t>
            </w:r>
          </w:p>
        </w:tc>
      </w:tr>
      <w:tr>
        <w:trPr>
          <w:trHeight w:val="199"/>
        </w:trPr>
        <w:tc>
          <w:tcPr>
            <w:tcW w:w="484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spacing w:after="0"/>
              <w:rPr>
                <w:sz w:val="17"/>
                <w:szCs w:val="17"/>
                <w:color w:val="auto"/>
              </w:rPr>
            </w:pPr>
          </w:p>
        </w:tc>
        <w:tc>
          <w:tcPr>
            <w:tcW w:w="6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8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938</w:t>
            </w:r>
          </w:p>
        </w:tc>
        <w:tc>
          <w:tcPr>
            <w:tcW w:w="220" w:type="dxa"/>
            <w:vAlign w:val="bottom"/>
          </w:tcPr>
          <w:p>
            <w:pPr>
              <w:spacing w:after="0"/>
              <w:rPr>
                <w:sz w:val="17"/>
                <w:szCs w:val="17"/>
                <w:color w:val="auto"/>
              </w:rPr>
            </w:pP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1,006</w:t>
            </w:r>
          </w:p>
        </w:tc>
      </w:tr>
      <w:tr>
        <w:trPr>
          <w:trHeight w:val="199"/>
        </w:trPr>
        <w:tc>
          <w:tcPr>
            <w:tcW w:w="48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414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1,881</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2,295</w:t>
            </w:r>
          </w:p>
        </w:tc>
      </w:tr>
      <w:tr>
        <w:trPr>
          <w:trHeight w:val="196"/>
        </w:trPr>
        <w:tc>
          <w:tcPr>
            <w:tcW w:w="48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C6DFF"/>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0C6DFF"/>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C6DFF"/>
            </w:tcBorders>
          </w:tcPr>
          <w:p>
            <w:pPr>
              <w:jc w:val="right"/>
              <w:ind w:right="79"/>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482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2,819</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C6DFF"/>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3,301</w:t>
            </w:r>
          </w:p>
        </w:tc>
      </w:tr>
      <w:tr>
        <w:trPr>
          <w:trHeight w:val="506"/>
        </w:trPr>
        <w:tc>
          <w:tcPr>
            <w:tcW w:w="4840" w:type="dxa"/>
            <w:vAlign w:val="bottom"/>
            <w:gridSpan w:val="2"/>
          </w:tcPr>
          <w:p>
            <w:pPr>
              <w:spacing w:after="0"/>
              <w:rPr>
                <w:sz w:val="20"/>
                <w:szCs w:val="20"/>
                <w:color w:val="auto"/>
              </w:rPr>
            </w:pPr>
            <w:r>
              <w:rPr>
                <w:rFonts w:ascii="Arial" w:cs="Arial" w:eastAsia="Arial" w:hAnsi="Arial"/>
                <w:sz w:val="14"/>
                <w:szCs w:val="14"/>
                <w:color w:val="auto"/>
              </w:rPr>
              <w:t>Comcast 2016 Annual Report on Form 10-K</w:t>
            </w:r>
          </w:p>
        </w:tc>
        <w:tc>
          <w:tcPr>
            <w:tcW w:w="220" w:type="dxa"/>
            <w:vAlign w:val="bottom"/>
          </w:tcPr>
          <w:p>
            <w:pPr>
              <w:spacing w:after="0"/>
              <w:rPr>
                <w:sz w:val="24"/>
                <w:szCs w:val="24"/>
                <w:color w:val="auto"/>
              </w:rPr>
            </w:pPr>
          </w:p>
        </w:tc>
        <w:tc>
          <w:tcPr>
            <w:tcW w:w="90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118</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color w:val="auto"/>
                <w:w w:val="96"/>
              </w:rPr>
              <w:t>Elimination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vMerge w:val="restart"/>
          </w:tcPr>
          <w:p>
            <w:pPr>
              <w:jc w:val="right"/>
              <w:ind w:right="35"/>
              <w:spacing w:after="0"/>
              <w:rPr>
                <w:sz w:val="20"/>
                <w:szCs w:val="20"/>
                <w:color w:val="auto"/>
              </w:rPr>
            </w:pPr>
            <w:r>
              <w:rPr>
                <w:rFonts w:ascii="Arial" w:cs="Arial" w:eastAsia="Arial" w:hAnsi="Arial"/>
                <w:sz w:val="14"/>
                <w:szCs w:val="14"/>
                <w:color w:val="auto"/>
                <w:w w:val="97"/>
              </w:rPr>
              <w:t>Comcast</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1"/>
                <w:szCs w:val="11"/>
                <w:color w:val="auto"/>
              </w:rPr>
            </w:pPr>
          </w:p>
        </w:tc>
        <w:tc>
          <w:tcPr>
            <w:tcW w:w="540" w:type="dxa"/>
            <w:vAlign w:val="bottom"/>
          </w:tcPr>
          <w:p>
            <w:pPr>
              <w:jc w:val="right"/>
              <w:ind w:right="54"/>
              <w:spacing w:after="0" w:line="135" w:lineRule="exact"/>
              <w:rPr>
                <w:sz w:val="20"/>
                <w:szCs w:val="20"/>
                <w:color w:val="auto"/>
              </w:rPr>
            </w:pPr>
            <w:r>
              <w:rPr>
                <w:rFonts w:ascii="Arial" w:cs="Arial" w:eastAsia="Arial" w:hAnsi="Arial"/>
                <w:sz w:val="14"/>
                <w:szCs w:val="14"/>
                <w:color w:val="auto"/>
                <w:w w:val="99"/>
              </w:rPr>
              <w:t>CCCL</w:t>
            </w:r>
          </w:p>
        </w:tc>
        <w:tc>
          <w:tcPr>
            <w:tcW w:w="280" w:type="dxa"/>
            <w:vAlign w:val="bottom"/>
          </w:tcPr>
          <w:p>
            <w:pPr>
              <w:spacing w:after="0"/>
              <w:rPr>
                <w:sz w:val="11"/>
                <w:szCs w:val="11"/>
                <w:color w:val="auto"/>
              </w:rPr>
            </w:pPr>
          </w:p>
        </w:tc>
        <w:tc>
          <w:tcPr>
            <w:tcW w:w="760" w:type="dxa"/>
            <w:vAlign w:val="bottom"/>
          </w:tcPr>
          <w:p>
            <w:pPr>
              <w:jc w:val="right"/>
              <w:ind w:right="54"/>
              <w:spacing w:after="0" w:line="135"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1"/>
                <w:szCs w:val="11"/>
                <w:color w:val="auto"/>
              </w:rPr>
            </w:pPr>
          </w:p>
        </w:tc>
        <w:tc>
          <w:tcPr>
            <w:tcW w:w="760" w:type="dxa"/>
            <w:vAlign w:val="bottom"/>
          </w:tcPr>
          <w:p>
            <w:pPr>
              <w:jc w:val="right"/>
              <w:ind w:right="35"/>
              <w:spacing w:after="0" w:line="135" w:lineRule="exact"/>
              <w:rPr>
                <w:sz w:val="20"/>
                <w:szCs w:val="20"/>
                <w:color w:val="auto"/>
              </w:rPr>
            </w:pPr>
            <w:r>
              <w:rPr>
                <w:rFonts w:ascii="Arial" w:cs="Arial" w:eastAsia="Arial" w:hAnsi="Arial"/>
                <w:sz w:val="14"/>
                <w:szCs w:val="14"/>
                <w:color w:val="auto"/>
                <w:w w:val="98"/>
              </w:rPr>
              <w:t>Guarantor</w:t>
            </w:r>
          </w:p>
        </w:tc>
        <w:tc>
          <w:tcPr>
            <w:tcW w:w="980" w:type="dxa"/>
            <w:vAlign w:val="bottom"/>
            <w:gridSpan w:val="2"/>
          </w:tcPr>
          <w:p>
            <w:pPr>
              <w:jc w:val="right"/>
              <w:ind w:right="14"/>
              <w:spacing w:after="0" w:line="135"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1"/>
                <w:szCs w:val="11"/>
                <w:color w:val="auto"/>
              </w:rPr>
            </w:pPr>
          </w:p>
        </w:tc>
        <w:tc>
          <w:tcPr>
            <w:tcW w:w="760" w:type="dxa"/>
            <w:vAlign w:val="bottom"/>
          </w:tcPr>
          <w:p>
            <w:pPr>
              <w:jc w:val="right"/>
              <w:ind w:right="13"/>
              <w:spacing w:after="0" w:line="135" w:lineRule="exact"/>
              <w:rPr>
                <w:sz w:val="20"/>
                <w:szCs w:val="20"/>
                <w:color w:val="auto"/>
              </w:rPr>
            </w:pPr>
            <w:r>
              <w:rPr>
                <w:rFonts w:ascii="Arial" w:cs="Arial" w:eastAsia="Arial" w:hAnsi="Arial"/>
                <w:sz w:val="14"/>
                <w:szCs w:val="14"/>
                <w:color w:val="auto"/>
              </w:rPr>
              <w:t>Comcast</w:t>
            </w:r>
          </w:p>
        </w:tc>
        <w:tc>
          <w:tcPr>
            <w:tcW w:w="0" w:type="dxa"/>
            <w:vAlign w:val="bottom"/>
          </w:tcPr>
          <w:p>
            <w:pPr>
              <w:spacing w:after="0"/>
              <w:rPr>
                <w:sz w:val="1"/>
                <w:szCs w:val="1"/>
                <w:color w:val="auto"/>
              </w:rPr>
            </w:pPr>
          </w:p>
        </w:tc>
      </w:tr>
      <w:tr>
        <w:trPr>
          <w:trHeight w:val="163"/>
        </w:trPr>
        <w:tc>
          <w:tcPr>
            <w:tcW w:w="4980" w:type="dxa"/>
            <w:vAlign w:val="bottom"/>
            <w:gridSpan w:val="2"/>
          </w:tcPr>
          <w:p>
            <w:pPr>
              <w:spacing w:after="0"/>
              <w:rPr>
                <w:sz w:val="20"/>
                <w:szCs w:val="20"/>
                <w:color w:val="auto"/>
              </w:rPr>
            </w:pPr>
            <w:r>
              <w:rPr>
                <w:rFonts w:ascii="Arial" w:cs="Arial" w:eastAsia="Arial" w:hAnsi="Arial"/>
                <w:sz w:val="14"/>
                <w:szCs w:val="14"/>
                <w:color w:val="auto"/>
              </w:rPr>
              <w:t>For the Year Ended December 31, 2015 (in millions)</w:t>
            </w:r>
          </w:p>
        </w:tc>
        <w:tc>
          <w:tcPr>
            <w:tcW w:w="36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Parent</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color w:val="auto"/>
                <w:w w:val="92"/>
              </w:rPr>
              <w:t>Parent</w:t>
            </w:r>
          </w:p>
        </w:tc>
        <w:tc>
          <w:tcPr>
            <w:tcW w:w="28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35"/>
              <w:spacing w:after="0"/>
              <w:rPr>
                <w:sz w:val="20"/>
                <w:szCs w:val="20"/>
                <w:color w:val="auto"/>
              </w:rPr>
            </w:pPr>
            <w:r>
              <w:rPr>
                <w:rFonts w:ascii="Arial" w:cs="Arial" w:eastAsia="Arial" w:hAnsi="Arial"/>
                <w:sz w:val="14"/>
                <w:szCs w:val="14"/>
                <w:color w:val="auto"/>
              </w:rPr>
              <w:t>Subsidiaries</w:t>
            </w:r>
          </w:p>
        </w:tc>
        <w:tc>
          <w:tcPr>
            <w:tcW w:w="980" w:type="dxa"/>
            <w:vAlign w:val="bottom"/>
            <w:gridSpan w:val="2"/>
          </w:tcPr>
          <w:p>
            <w:pPr>
              <w:jc w:val="right"/>
              <w:ind w:right="14"/>
              <w:spacing w:after="0"/>
              <w:rPr>
                <w:sz w:val="20"/>
                <w:szCs w:val="20"/>
                <w:color w:val="auto"/>
              </w:rPr>
            </w:pPr>
            <w:r>
              <w:rPr>
                <w:rFonts w:ascii="Arial" w:cs="Arial" w:eastAsia="Arial" w:hAnsi="Arial"/>
                <w:sz w:val="14"/>
                <w:szCs w:val="14"/>
                <w:color w:val="auto"/>
              </w:rPr>
              <w:t>Adjustments</w:t>
            </w:r>
          </w:p>
        </w:tc>
        <w:tc>
          <w:tcPr>
            <w:tcW w:w="1000" w:type="dxa"/>
            <w:vAlign w:val="bottom"/>
            <w:gridSpan w:val="2"/>
          </w:tcPr>
          <w:p>
            <w:pPr>
              <w:jc w:val="right"/>
              <w:ind w:right="1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w:t>
            </w:r>
          </w:p>
        </w:tc>
        <w:tc>
          <w:tcPr>
            <w:tcW w:w="26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48</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w:t>
            </w:r>
          </w:p>
        </w:tc>
        <w:tc>
          <w:tcPr>
            <w:tcW w:w="280" w:type="dxa"/>
            <w:vAlign w:val="bottom"/>
            <w:tcBorders>
              <w:top w:val="single" w:sz="8" w:color="auto"/>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(1,398)</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21,087</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18,778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6,559</w:t>
            </w: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840</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2,839</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(10,190)</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(8,472)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429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(407)</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Deposits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236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6,526</w:t>
            </w: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840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2,431</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(21,713)</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400</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5,486</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(2,650)</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(1,004)</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(6,750)</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(2,437)</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36</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420"/>
              <w:spacing w:after="0" w:line="202" w:lineRule="exact"/>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181</w:t>
            </w: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(470)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(5,734)</w:t>
            </w: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(673)</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(1,004)</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(8,429)</w:t>
            </w:r>
          </w:p>
        </w:tc>
        <w:tc>
          <w:tcPr>
            <w:tcW w:w="0" w:type="dxa"/>
            <w:vAlign w:val="bottom"/>
          </w:tcPr>
          <w:p>
            <w:pPr>
              <w:spacing w:after="0"/>
              <w:rPr>
                <w:sz w:val="1"/>
                <w:szCs w:val="1"/>
                <w:color w:val="auto"/>
              </w:rPr>
            </w:pPr>
          </w:p>
        </w:tc>
      </w:tr>
      <w:tr>
        <w:trPr>
          <w:trHeight w:val="199"/>
        </w:trPr>
        <w:tc>
          <w:tcPr>
            <w:tcW w:w="498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17"/>
                <w:szCs w:val="17"/>
                <w:color w:val="auto"/>
              </w:rPr>
            </w:pPr>
          </w:p>
        </w:tc>
        <w:tc>
          <w:tcPr>
            <w:tcW w:w="6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(1,644)</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199"/>
        </w:trPr>
        <w:tc>
          <w:tcPr>
            <w:tcW w:w="49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385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3,525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196"/>
        </w:trPr>
        <w:tc>
          <w:tcPr>
            <w:tcW w:w="4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39"/>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414</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1,881</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2,295</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960" w:type="dxa"/>
            <w:vAlign w:val="bottom"/>
            <w:tcBorders>
              <w:top w:val="single" w:sz="8" w:color="0C6DFF"/>
            </w:tcBorders>
          </w:tcPr>
          <w:p>
            <w:pPr>
              <w:spacing w:after="0"/>
              <w:rPr>
                <w:sz w:val="24"/>
                <w:szCs w:val="24"/>
                <w:color w:val="auto"/>
              </w:rPr>
            </w:pPr>
          </w:p>
        </w:tc>
        <w:tc>
          <w:tcPr>
            <w:tcW w:w="360" w:type="dxa"/>
            <w:vAlign w:val="bottom"/>
            <w:tcBorders>
              <w:top w:val="single" w:sz="8" w:color="0C6DFF"/>
            </w:tcBorders>
          </w:tcPr>
          <w:p>
            <w:pPr>
              <w:spacing w:after="0"/>
              <w:rPr>
                <w:sz w:val="24"/>
                <w:szCs w:val="24"/>
                <w:color w:val="auto"/>
              </w:rPr>
            </w:pPr>
          </w:p>
        </w:tc>
        <w:tc>
          <w:tcPr>
            <w:tcW w:w="680" w:type="dxa"/>
            <w:vAlign w:val="bottom"/>
            <w:tcBorders>
              <w:top w:val="single" w:sz="8" w:color="0C6DFF"/>
            </w:tcBorders>
          </w:tcPr>
          <w:p>
            <w:pPr>
              <w:jc w:val="right"/>
              <w:ind w:right="115"/>
              <w:spacing w:after="0"/>
              <w:rPr>
                <w:sz w:val="20"/>
                <w:szCs w:val="20"/>
                <w:color w:val="auto"/>
              </w:rPr>
            </w:pPr>
            <w:r>
              <w:rPr>
                <w:rFonts w:ascii="Arial" w:cs="Arial" w:eastAsia="Arial" w:hAnsi="Arial"/>
                <w:sz w:val="14"/>
                <w:szCs w:val="14"/>
                <w:b w:val="1"/>
                <w:bCs w:val="1"/>
                <w:color w:val="auto"/>
              </w:rPr>
              <w:t>119</w:t>
            </w:r>
          </w:p>
        </w:tc>
        <w:tc>
          <w:tcPr>
            <w:tcW w:w="260" w:type="dxa"/>
            <w:vAlign w:val="bottom"/>
            <w:tcBorders>
              <w:top w:val="single" w:sz="8" w:color="0C6DFF"/>
            </w:tcBorders>
          </w:tcPr>
          <w:p>
            <w:pPr>
              <w:spacing w:after="0"/>
              <w:rPr>
                <w:sz w:val="24"/>
                <w:szCs w:val="24"/>
                <w:color w:val="auto"/>
              </w:rPr>
            </w:pPr>
          </w:p>
        </w:tc>
        <w:tc>
          <w:tcPr>
            <w:tcW w:w="46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540" w:type="dxa"/>
            <w:vAlign w:val="bottom"/>
            <w:tcBorders>
              <w:top w:val="single" w:sz="8" w:color="0C6DFF"/>
            </w:tcBorders>
          </w:tcPr>
          <w:p>
            <w:pPr>
              <w:spacing w:after="0"/>
              <w:rPr>
                <w:sz w:val="24"/>
                <w:szCs w:val="24"/>
                <w:color w:val="auto"/>
              </w:rPr>
            </w:pPr>
          </w:p>
        </w:tc>
        <w:tc>
          <w:tcPr>
            <w:tcW w:w="280" w:type="dxa"/>
            <w:vAlign w:val="bottom"/>
            <w:tcBorders>
              <w:top w:val="single" w:sz="8" w:color="0C6DFF"/>
            </w:tcBorders>
          </w:tcPr>
          <w:p>
            <w:pPr>
              <w:spacing w:after="0"/>
              <w:rPr>
                <w:sz w:val="24"/>
                <w:szCs w:val="24"/>
                <w:color w:val="auto"/>
              </w:rPr>
            </w:pPr>
          </w:p>
        </w:tc>
        <w:tc>
          <w:tcPr>
            <w:tcW w:w="76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2740" w:type="dxa"/>
            <w:vAlign w:val="bottom"/>
            <w:tcBorders>
              <w:top w:val="single" w:sz="8" w:color="0C6DFF"/>
            </w:tcBorders>
            <w:gridSpan w:val="5"/>
          </w:tcPr>
          <w:p>
            <w:pPr>
              <w:jc w:val="right"/>
              <w:spacing w:after="0"/>
              <w:rPr>
                <w:sz w:val="20"/>
                <w:szCs w:val="20"/>
                <w:color w:val="auto"/>
              </w:rPr>
            </w:pPr>
            <w:r>
              <w:rPr>
                <w:rFonts w:ascii="Arial" w:cs="Arial" w:eastAsia="Arial" w:hAnsi="Arial"/>
                <w:sz w:val="14"/>
                <w:szCs w:val="14"/>
                <w:color w:val="auto"/>
                <w:w w:val="99"/>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color w:val="auto"/>
                <w:w w:val="96"/>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7"/>
              </w:rPr>
              <w:t>Comcast</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540" w:type="dxa"/>
            <w:vAlign w:val="bottom"/>
          </w:tcPr>
          <w:p>
            <w:pPr>
              <w:jc w:val="right"/>
              <w:ind w:right="54"/>
              <w:spacing w:after="0" w:line="149" w:lineRule="exact"/>
              <w:rPr>
                <w:sz w:val="20"/>
                <w:szCs w:val="20"/>
                <w:color w:val="auto"/>
              </w:rPr>
            </w:pPr>
            <w:r>
              <w:rPr>
                <w:rFonts w:ascii="Arial" w:cs="Arial" w:eastAsia="Arial" w:hAnsi="Arial"/>
                <w:sz w:val="14"/>
                <w:szCs w:val="14"/>
                <w:color w:val="auto"/>
                <w:w w:val="99"/>
              </w:rPr>
              <w:t>CCCL</w:t>
            </w:r>
          </w:p>
        </w:tc>
        <w:tc>
          <w:tcPr>
            <w:tcW w:w="280" w:type="dxa"/>
            <w:vAlign w:val="bottom"/>
          </w:tcPr>
          <w:p>
            <w:pPr>
              <w:spacing w:after="0"/>
              <w:rPr>
                <w:sz w:val="12"/>
                <w:szCs w:val="12"/>
                <w:color w:val="auto"/>
              </w:rPr>
            </w:pPr>
          </w:p>
        </w:tc>
        <w:tc>
          <w:tcPr>
            <w:tcW w:w="7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98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For the Year Ended December 31, 2014 (in millions)</w:t>
            </w:r>
          </w:p>
        </w:tc>
        <w:tc>
          <w:tcPr>
            <w:tcW w:w="360" w:type="dxa"/>
            <w:vAlign w:val="bottom"/>
          </w:tcPr>
          <w:p>
            <w:pPr>
              <w:spacing w:after="0"/>
              <w:rPr>
                <w:sz w:val="12"/>
                <w:szCs w:val="12"/>
                <w:color w:val="auto"/>
              </w:rPr>
            </w:pPr>
          </w:p>
        </w:tc>
        <w:tc>
          <w:tcPr>
            <w:tcW w:w="680" w:type="dxa"/>
            <w:vAlign w:val="bottom"/>
          </w:tcPr>
          <w:p>
            <w:pPr>
              <w:jc w:val="right"/>
              <w:ind w:right="35"/>
              <w:spacing w:after="0" w:line="149" w:lineRule="exact"/>
              <w:rPr>
                <w:sz w:val="20"/>
                <w:szCs w:val="20"/>
                <w:color w:val="auto"/>
              </w:rPr>
            </w:pPr>
            <w:r>
              <w:rPr>
                <w:rFonts w:ascii="Arial" w:cs="Arial" w:eastAsia="Arial" w:hAnsi="Arial"/>
                <w:sz w:val="14"/>
                <w:szCs w:val="14"/>
                <w:color w:val="auto"/>
              </w:rPr>
              <w:t>Parent</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Holdings</w:t>
            </w:r>
          </w:p>
        </w:tc>
        <w:tc>
          <w:tcPr>
            <w:tcW w:w="180" w:type="dxa"/>
            <w:vAlign w:val="bottom"/>
          </w:tcPr>
          <w:p>
            <w:pPr>
              <w:spacing w:after="0"/>
              <w:rPr>
                <w:sz w:val="12"/>
                <w:szCs w:val="12"/>
                <w:color w:val="auto"/>
              </w:rPr>
            </w:pPr>
          </w:p>
        </w:tc>
        <w:tc>
          <w:tcPr>
            <w:tcW w:w="540" w:type="dxa"/>
            <w:vAlign w:val="bottom"/>
          </w:tcPr>
          <w:p>
            <w:pPr>
              <w:jc w:val="right"/>
              <w:ind w:right="54"/>
              <w:spacing w:after="0" w:line="149" w:lineRule="exact"/>
              <w:rPr>
                <w:sz w:val="20"/>
                <w:szCs w:val="20"/>
                <w:color w:val="auto"/>
              </w:rPr>
            </w:pPr>
            <w:r>
              <w:rPr>
                <w:rFonts w:ascii="Arial" w:cs="Arial" w:eastAsia="Arial" w:hAnsi="Arial"/>
                <w:sz w:val="14"/>
                <w:szCs w:val="14"/>
                <w:color w:val="auto"/>
                <w:w w:val="92"/>
              </w:rPr>
              <w:t>Parent</w:t>
            </w:r>
          </w:p>
        </w:tc>
        <w:tc>
          <w:tcPr>
            <w:tcW w:w="280" w:type="dxa"/>
            <w:vAlign w:val="bottom"/>
          </w:tcPr>
          <w:p>
            <w:pPr>
              <w:spacing w:after="0"/>
              <w:rPr>
                <w:sz w:val="12"/>
                <w:szCs w:val="12"/>
                <w:color w:val="auto"/>
              </w:rPr>
            </w:pPr>
          </w:p>
        </w:tc>
        <w:tc>
          <w:tcPr>
            <w:tcW w:w="7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Subsidiaries</w:t>
            </w:r>
          </w:p>
        </w:tc>
        <w:tc>
          <w:tcPr>
            <w:tcW w:w="98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Adjustments</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Corporation</w:t>
            </w:r>
          </w:p>
        </w:tc>
      </w:tr>
      <w:tr>
        <w:trPr>
          <w:trHeight w:val="196"/>
        </w:trPr>
        <w:tc>
          <w:tcPr>
            <w:tcW w:w="20" w:type="dxa"/>
            <w:vAlign w:val="bottom"/>
          </w:tcPr>
          <w:p>
            <w:pPr>
              <w:spacing w:after="0"/>
              <w:rPr>
                <w:sz w:val="17"/>
                <w:szCs w:val="17"/>
                <w:color w:val="auto"/>
              </w:rPr>
            </w:pPr>
          </w:p>
        </w:tc>
        <w:tc>
          <w:tcPr>
            <w:tcW w:w="496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w:t>
            </w:r>
          </w:p>
        </w:tc>
        <w:tc>
          <w:tcPr>
            <w:tcW w:w="30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9</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280" w:type="dxa"/>
            <w:vAlign w:val="bottom"/>
            <w:tcBorders>
              <w:top w:val="single" w:sz="8" w:color="auto"/>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18,728</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2"/>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16,945</w:t>
            </w:r>
          </w:p>
        </w:tc>
      </w:tr>
      <w:tr>
        <w:trPr>
          <w:trHeight w:val="199"/>
        </w:trPr>
        <w:tc>
          <w:tcPr>
            <w:tcW w:w="2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4,784</w:t>
            </w:r>
          </w:p>
        </w:tc>
        <w:tc>
          <w:tcPr>
            <w:tcW w:w="3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139</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2,247</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(7,161)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(7,417)</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(7,420)</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(1,116)</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658</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666</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Deposits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9"/>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(146)</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4,756</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139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2,250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(15,869)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(8,733)</w:t>
            </w:r>
          </w:p>
        </w:tc>
      </w:tr>
      <w:tr>
        <w:trPr>
          <w:trHeight w:val="199"/>
        </w:trPr>
        <w:tc>
          <w:tcPr>
            <w:tcW w:w="2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(1,350)</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846</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4,180</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4,182</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(902)</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(1,273)</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(3,175)</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(4,251)</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(4,251)</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(2,254)</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(2,254)</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35</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w:t>
            </w: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420"/>
              <w:spacing w:after="0" w:line="202" w:lineRule="exact"/>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r>
      <w:tr>
        <w:trPr>
          <w:trHeight w:val="199"/>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238</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167</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(4,402)</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(902)</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(6,020)</w:t>
            </w:r>
          </w:p>
        </w:tc>
      </w:tr>
      <w:tr>
        <w:trPr>
          <w:trHeight w:val="199"/>
        </w:trPr>
        <w:tc>
          <w:tcPr>
            <w:tcW w:w="498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17"/>
                <w:szCs w:val="17"/>
                <w:color w:val="auto"/>
              </w:rPr>
            </w:pPr>
          </w:p>
        </w:tc>
        <w:tc>
          <w:tcPr>
            <w:tcW w:w="6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49</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2,143</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2,192</w:t>
            </w:r>
          </w:p>
        </w:tc>
      </w:tr>
      <w:tr>
        <w:trPr>
          <w:trHeight w:val="199"/>
        </w:trPr>
        <w:tc>
          <w:tcPr>
            <w:tcW w:w="49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336</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1,382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1,718</w:t>
            </w:r>
          </w:p>
        </w:tc>
      </w:tr>
      <w:tr>
        <w:trPr>
          <w:trHeight w:val="196"/>
        </w:trPr>
        <w:tc>
          <w:tcPr>
            <w:tcW w:w="49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3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C6DFF"/>
            </w:tcBorders>
          </w:tcPr>
          <w:p>
            <w:pPr>
              <w:jc w:val="right"/>
              <w:ind w:right="39"/>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385</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3,525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C6DFF"/>
            </w:tcBorders>
          </w:tcPr>
          <w:p>
            <w:pPr>
              <w:jc w:val="right"/>
              <w:ind w:right="2"/>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3,910</w:t>
            </w:r>
          </w:p>
        </w:tc>
      </w:tr>
      <w:tr>
        <w:trPr>
          <w:trHeight w:val="506"/>
        </w:trPr>
        <w:tc>
          <w:tcPr>
            <w:tcW w:w="4980" w:type="dxa"/>
            <w:vAlign w:val="bottom"/>
            <w:gridSpan w:val="2"/>
          </w:tcPr>
          <w:p>
            <w:pPr>
              <w:spacing w:after="0"/>
              <w:rPr>
                <w:sz w:val="20"/>
                <w:szCs w:val="20"/>
                <w:color w:val="auto"/>
              </w:rPr>
            </w:pPr>
            <w:r>
              <w:rPr>
                <w:rFonts w:ascii="Arial" w:cs="Arial" w:eastAsia="Arial" w:hAnsi="Arial"/>
                <w:sz w:val="14"/>
                <w:szCs w:val="14"/>
                <w:color w:val="auto"/>
              </w:rPr>
              <w:t>Comcast 2016 Annual Report on Form 10-K</w:t>
            </w:r>
          </w:p>
        </w:tc>
        <w:tc>
          <w:tcPr>
            <w:tcW w:w="360" w:type="dxa"/>
            <w:vAlign w:val="bottom"/>
          </w:tcPr>
          <w:p>
            <w:pPr>
              <w:spacing w:after="0"/>
              <w:rPr>
                <w:sz w:val="24"/>
                <w:szCs w:val="2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120</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9A: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Comcast’s Internal Control Over Financial Reporting on page 73.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74.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4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our acquisition of DreamWorks Animation on August 22, 2016, our internal control over financial reporting, subsequent to the date of acquisition, includes certain additional internal controls relating to DreamWorks Animation. Except as described above, there were no changes in Comcast’s internal control over financial reporting identified in connection with the evaluation required by paragraph (d) of Exchange Act Rules 13a-15 or 15d-15 that occurred during our last fiscal quarter that have materially affected, or are reasonably likely to materially affect, Comcast’s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Exchange Act Rules 13a-15(e) and 15d-15(e))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020" w:right="1240" w:hanging="215"/>
        <w:spacing w:after="0" w:line="239"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020" w:right="1240" w:hanging="215"/>
        <w:spacing w:after="0" w:line="281"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83" w:lineRule="exact"/>
        <w:rPr>
          <w:rFonts w:ascii="Arial" w:cs="Arial" w:eastAsia="Arial" w:hAnsi="Arial"/>
          <w:sz w:val="16"/>
          <w:szCs w:val="16"/>
          <w:color w:val="auto"/>
        </w:rPr>
      </w:pPr>
    </w:p>
    <w:p>
      <w:pPr>
        <w:ind w:left="1020" w:right="1240" w:hanging="215"/>
        <w:spacing w:after="0" w:line="23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w:t>
      </w:r>
      <w:r>
        <w:rPr>
          <w:rFonts w:ascii="Arial" w:cs="Arial" w:eastAsia="Arial" w:hAnsi="Arial"/>
          <w:sz w:val="18"/>
          <w:szCs w:val="18"/>
          <w:i w:val="1"/>
          <w:iCs w:val="1"/>
          <w:color w:val="auto"/>
        </w:rPr>
        <w:t>2013</w:t>
      </w:r>
      <w:r>
        <w:rPr>
          <w:rFonts w:ascii="Arial" w:cs="Arial" w:eastAsia="Arial" w:hAnsi="Arial"/>
          <w:sz w:val="18"/>
          <w:szCs w:val="18"/>
          <w:color w:val="auto"/>
        </w:rPr>
        <w:t>) issued by the Committee of Sponsoring Organizations of the Treadway Commission.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evaluation, our management concluded that NBCUniversal’s system of internal control over financial reporting was effective as of December 31, 2016. Our assessment of the effectiveness of internal control over financial reporting as of December 31, 2016 did not include the internal controls of DreamWorks Animation, which we acquired on August 22, 2016, as permitted by Securities and Exchange Commission guidelines that allow companies to exclude certain acquisitions from their assessment of internal control over financial reporting during the first year of an acquisition. The total assets and total revenues of DreamWorks Animation represented approximately 6% of NBCUniversal’s total assets as of December 31, 2016, and approximately 1% of its total revenues for the year ended December 31, 2016.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4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our acquisition of DreamWorks Animation on August 22, 2016, NBCUniversal’s internal control over financial reporting, subsequent to the date of acquisition, includes certain additional internal controls relating to DreamWorks Animation. Except as described above, there were no changes in NBCUniversal’s internal control over financial reporting identified in connection with the evaluation required by paragraph (d) of Exchange Act Rules 13a-15 or 15d-15 that occurred during our last fiscal quarter that have materially affected, or are reasonably likely to materially affect, NBCUniversal’s internal control over financial reporting.</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0C6DFF"/>
        </w:rPr>
        <w:t>Item 9B: Other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4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w:t>
      </w:r>
      <w:r>
        <w:rPr>
          <w:rFonts w:ascii="Arial" w:cs="Arial" w:eastAsia="Arial" w:hAnsi="Arial"/>
          <w:sz w:val="18"/>
          <w:szCs w:val="18"/>
          <w:i w:val="1"/>
          <w:iCs w:val="1"/>
          <w:color w:val="auto"/>
        </w:rPr>
        <w:t>de minimis</w:t>
      </w:r>
      <w:r>
        <w:rPr>
          <w:rFonts w:ascii="Arial" w:cs="Arial" w:eastAsia="Arial" w:hAnsi="Arial"/>
          <w:sz w:val="18"/>
          <w:szCs w:val="18"/>
          <w:color w:val="auto"/>
        </w:rPr>
        <w:t>. As of the date of this report, we are not aware of any activity, transaction or dealing during the year ended December 31, 2016 that requires disclosure under the Act, except with respect to a January 2016 licensing agreement by a non-U.S. subsidiary of DreamWorks Animation prior to our August 2016 DreamWorks Animation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122</w:t>
            </w: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10: Directors, Executive Officers and Corporate Governance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June 2017. We refer to this proxy statement as the 2017 Proxy Statement.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2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Age</w:t>
            </w: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94"/>
              </w:rPr>
              <w:t>Officer Since</w:t>
            </w:r>
          </w:p>
        </w:tc>
        <w:tc>
          <w:tcPr>
            <w:tcW w:w="63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Position with Comcast</w:t>
            </w:r>
          </w:p>
        </w:tc>
      </w:tr>
      <w:tr>
        <w:trPr>
          <w:trHeight w:val="199"/>
        </w:trPr>
        <w:tc>
          <w:tcPr>
            <w:tcW w:w="24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1280" w:type="dxa"/>
            <w:vAlign w:val="bottom"/>
          </w:tcPr>
          <w:p>
            <w:pPr>
              <w:ind w:left="880"/>
              <w:spacing w:after="0" w:line="200" w:lineRule="exact"/>
              <w:rPr>
                <w:sz w:val="20"/>
                <w:szCs w:val="20"/>
                <w:color w:val="auto"/>
              </w:rPr>
            </w:pPr>
            <w:r>
              <w:rPr>
                <w:rFonts w:ascii="Arial" w:cs="Arial" w:eastAsia="Arial" w:hAnsi="Arial"/>
                <w:sz w:val="18"/>
                <w:szCs w:val="18"/>
                <w:color w:val="auto"/>
              </w:rPr>
              <w:t>57</w:t>
            </w:r>
          </w:p>
        </w:tc>
        <w:tc>
          <w:tcPr>
            <w:tcW w:w="1280" w:type="dxa"/>
            <w:vAlign w:val="bottom"/>
          </w:tcPr>
          <w:p>
            <w:pPr>
              <w:jc w:val="center"/>
              <w:ind w:right="75"/>
              <w:spacing w:after="0" w:line="200" w:lineRule="exact"/>
              <w:rPr>
                <w:sz w:val="20"/>
                <w:szCs w:val="20"/>
                <w:color w:val="auto"/>
              </w:rPr>
            </w:pPr>
            <w:r>
              <w:rPr>
                <w:rFonts w:ascii="Arial" w:cs="Arial" w:eastAsia="Arial" w:hAnsi="Arial"/>
                <w:sz w:val="18"/>
                <w:szCs w:val="18"/>
                <w:color w:val="auto"/>
                <w:w w:val="99"/>
              </w:rPr>
              <w:t>1986</w:t>
            </w:r>
          </w:p>
        </w:tc>
        <w:tc>
          <w:tcPr>
            <w:tcW w:w="6380" w:type="dxa"/>
            <w:vAlign w:val="bottom"/>
          </w:tcPr>
          <w:p>
            <w:pPr>
              <w:ind w:left="340"/>
              <w:spacing w:after="0" w:line="200" w:lineRule="exact"/>
              <w:rPr>
                <w:sz w:val="20"/>
                <w:szCs w:val="20"/>
                <w:color w:val="auto"/>
              </w:rPr>
            </w:pPr>
            <w:r>
              <w:rPr>
                <w:rFonts w:ascii="Arial" w:cs="Arial" w:eastAsia="Arial" w:hAnsi="Arial"/>
                <w:sz w:val="18"/>
                <w:szCs w:val="18"/>
                <w:color w:val="auto"/>
              </w:rPr>
              <w:t>Chairman and Chief Executive Officer;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Michael J. Cavanagh</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51</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2015</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Executive Vice President; Chief Financial Officer</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58</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1998</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Executive Vice President; President and Chief Executive Officer,</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NBCUniversal Holdings and NBCUniversal</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61</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2002</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Executive Vice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Neil Smit</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58</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2011</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Executive Vice President; President and Chief Executive Officer,</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Comcast Cable</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62</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1993</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 General Counsel; Secretary</w:t>
            </w:r>
          </w:p>
        </w:tc>
      </w:tr>
      <w:tr>
        <w:trPr>
          <w:trHeight w:val="199"/>
        </w:trPr>
        <w:tc>
          <w:tcPr>
            <w:tcW w:w="24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1280" w:type="dxa"/>
            <w:vAlign w:val="bottom"/>
            <w:tcBorders>
              <w:bottom w:val="single" w:sz="8" w:color="auto"/>
            </w:tcBorders>
          </w:tcPr>
          <w:p>
            <w:pPr>
              <w:ind w:left="880"/>
              <w:spacing w:after="0" w:line="200" w:lineRule="exact"/>
              <w:rPr>
                <w:sz w:val="20"/>
                <w:szCs w:val="20"/>
                <w:color w:val="auto"/>
              </w:rPr>
            </w:pPr>
            <w:r>
              <w:rPr>
                <w:rFonts w:ascii="Arial" w:cs="Arial" w:eastAsia="Arial" w:hAnsi="Arial"/>
                <w:sz w:val="18"/>
                <w:szCs w:val="18"/>
                <w:color w:val="auto"/>
              </w:rPr>
              <w:t>60</w:t>
            </w:r>
          </w:p>
        </w:tc>
        <w:tc>
          <w:tcPr>
            <w:tcW w:w="1280" w:type="dxa"/>
            <w:vAlign w:val="bottom"/>
            <w:tcBorders>
              <w:bottom w:val="single" w:sz="8" w:color="auto"/>
            </w:tcBorders>
          </w:tcPr>
          <w:p>
            <w:pPr>
              <w:jc w:val="center"/>
              <w:ind w:right="75"/>
              <w:spacing w:after="0" w:line="200" w:lineRule="exact"/>
              <w:rPr>
                <w:sz w:val="20"/>
                <w:szCs w:val="20"/>
                <w:color w:val="auto"/>
              </w:rPr>
            </w:pPr>
            <w:r>
              <w:rPr>
                <w:rFonts w:ascii="Arial" w:cs="Arial" w:eastAsia="Arial" w:hAnsi="Arial"/>
                <w:sz w:val="18"/>
                <w:szCs w:val="18"/>
                <w:color w:val="auto"/>
                <w:w w:val="99"/>
              </w:rPr>
              <w:t>2000</w:t>
            </w:r>
          </w:p>
        </w:tc>
        <w:tc>
          <w:tcPr>
            <w:tcW w:w="6380" w:type="dxa"/>
            <w:vAlign w:val="bottom"/>
            <w:tcBorders>
              <w:bottom w:val="single" w:sz="8" w:color="auto"/>
            </w:tcBorders>
          </w:tcPr>
          <w:p>
            <w:pPr>
              <w:ind w:left="340"/>
              <w:spacing w:after="0" w:line="200" w:lineRule="exact"/>
              <w:rPr>
                <w:sz w:val="20"/>
                <w:szCs w:val="20"/>
                <w:color w:val="auto"/>
              </w:rPr>
            </w:pPr>
            <w:r>
              <w:rPr>
                <w:rFonts w:ascii="Arial" w:cs="Arial" w:eastAsia="Arial" w:hAnsi="Arial"/>
                <w:sz w:val="18"/>
                <w:szCs w:val="18"/>
                <w:color w:val="auto"/>
              </w:rPr>
              <w:t>Executive Vice President; Chief Accounting Officer</w:t>
            </w:r>
          </w:p>
        </w:tc>
      </w:tr>
    </w:tbl>
    <w:p>
      <w:pPr>
        <w:spacing w:after="0" w:line="14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Chief Executive Officer and Chairman of the Board for more than five years. As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2016, Mr. Roberts had sole voting power over approximately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our two classes of common stock. He is a son of our late founder, Mr. Ralph J. Roberts. Mr. Roberts is also a director of the National Cable and Telecommunications Association.</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Michael J. Cavanagh </w:t>
      </w:r>
      <w:r>
        <w:rPr>
          <w:rFonts w:ascii="Arial" w:cs="Arial" w:eastAsia="Arial" w:hAnsi="Arial"/>
          <w:sz w:val="18"/>
          <w:szCs w:val="18"/>
          <w:color w:val="auto"/>
        </w:rPr>
        <w:t>has served as the Chief Financial Officer of Comcast Corporation since July 2015. Prior to joining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Mr. Cavanagh had 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 Mr. Cavanagh is also a director of Yum Brands, Incorporated.</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a Senior Executive Vice President since March 2015 and previously had served as an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five years. In January 2011, Mr. Burke became the President and Chief Executive Officer of NBCUniversal Holdings and NBCUniversal and resigned from his position as our Chief Operating Officer. Mr. Burke also had been the President of Comcast Cable until March 2010. Mr. Burke is also a director of JPMorgan Chase &amp; Co. and Berkshire Hathaway, Incorporated.</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 Senior Executive Vice President since March 2015 and previously had served as an Executive Vice President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five years. Mr. Cohen is also a director of the FS Global Credit Opportunities Funds, the FS Global Credit Opportunities Fund A and the FS Global Credit Opportunities Fund D.</w:t>
      </w:r>
    </w:p>
    <w:p>
      <w:pPr>
        <w:spacing w:after="0" w:line="318"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123</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Neil Smit </w:t>
      </w:r>
      <w:r>
        <w:rPr>
          <w:rFonts w:ascii="Arial" w:cs="Arial" w:eastAsia="Arial" w:hAnsi="Arial"/>
          <w:sz w:val="18"/>
          <w:szCs w:val="18"/>
          <w:color w:val="auto"/>
        </w:rPr>
        <w:t>has served as a Senior Executive Vice President since March 2015 and previously had served as an Executive Vice President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five years. Mr. Smit has been the President of Comcast Cable since March 2010 and was appointed as Chief Executive Officer of Comcast Cable in November 2011. Before joining Comcast, Mr. Smit was the President and Chief Executive Officer and a director of Charter Communications, Inc., a cable company, since August 2005. Charter Communications filed a voluntary petition for reorganization under Chapter 11 of the U.S. Bankruptcy Code in March 2009 and emerged from Chapter 11 bankruptcy in November 2009. Mr. Smit is also the Chairman of the Board of Directors of the National Cable and Telecommunications Association and Chairman of CableLabs.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an Executive Vice President since March 2015 and previously had served as a Senior Vice President for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He has been our General Counsel and Secretary for more than five years.</w:t>
      </w:r>
    </w:p>
    <w:p>
      <w:pPr>
        <w:spacing w:after="0" w:line="119"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an Executive Vice President since March 2015 and previously had served as a Senior Vice President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five years. He has been our Chief Accounting Officer for more than five years and prior to July 2015, was also our Controller.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under this Item 10 has been omitted pursuant to General Instruction I(2)(c) to Form 10-K.</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table below sets forth certain information with respect to each of NBCUniversal’s executive officers as of December 31, 2016, each of whom has served as such since the close of the NBCUniversal transaction in January 2011, except for Michael J. Cavanagh, who has served since July 2015. The table also sets forth NBCUniversal Holdings’ directors as of December 31,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7540" w:type="dxa"/>
            <w:vAlign w:val="bottom"/>
            <w:tcBorders>
              <w:bottom w:val="single" w:sz="8" w:color="auto"/>
            </w:tcBorders>
          </w:tcPr>
          <w:p>
            <w:pPr>
              <w:ind w:left="2240"/>
              <w:spacing w:after="0"/>
              <w:rPr>
                <w:sz w:val="20"/>
                <w:szCs w:val="20"/>
                <w:color w:val="auto"/>
              </w:rPr>
            </w:pPr>
            <w:r>
              <w:rPr>
                <w:rFonts w:ascii="Arial" w:cs="Arial" w:eastAsia="Arial" w:hAnsi="Arial"/>
                <w:sz w:val="14"/>
                <w:szCs w:val="14"/>
                <w:color w:val="auto"/>
              </w:rPr>
              <w:t>Title</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7540" w:type="dxa"/>
            <w:vAlign w:val="bottom"/>
          </w:tcPr>
          <w:p>
            <w:pPr>
              <w:ind w:left="2240"/>
              <w:spacing w:after="0" w:line="200" w:lineRule="exact"/>
              <w:rPr>
                <w:sz w:val="20"/>
                <w:szCs w:val="20"/>
                <w:color w:val="auto"/>
              </w:rPr>
            </w:pPr>
            <w:r>
              <w:rPr>
                <w:rFonts w:ascii="Arial" w:cs="Arial" w:eastAsia="Arial" w:hAnsi="Arial"/>
                <w:sz w:val="18"/>
                <w:szCs w:val="18"/>
                <w:color w:val="auto"/>
              </w:rPr>
              <w:t>Principal Executive Officer</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Michael J. Cavanagh</w:t>
            </w:r>
          </w:p>
        </w:tc>
        <w:tc>
          <w:tcPr>
            <w:tcW w:w="7540" w:type="dxa"/>
            <w:vAlign w:val="bottom"/>
          </w:tcPr>
          <w:p>
            <w:pPr>
              <w:ind w:left="2240"/>
              <w:spacing w:after="0" w:line="202" w:lineRule="exact"/>
              <w:rPr>
                <w:sz w:val="20"/>
                <w:szCs w:val="20"/>
                <w:color w:val="auto"/>
              </w:rPr>
            </w:pPr>
            <w:r>
              <w:rPr>
                <w:rFonts w:ascii="Arial" w:cs="Arial" w:eastAsia="Arial" w:hAnsi="Arial"/>
                <w:sz w:val="18"/>
                <w:szCs w:val="18"/>
                <w:color w:val="auto"/>
              </w:rPr>
              <w:t>Principal Financial Officer; Director of NBCUniversal Holdings</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7540" w:type="dxa"/>
            <w:vAlign w:val="bottom"/>
          </w:tcPr>
          <w:p>
            <w:pPr>
              <w:ind w:left="2240"/>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7540" w:type="dxa"/>
            <w:vAlign w:val="bottom"/>
          </w:tcPr>
          <w:p>
            <w:pPr>
              <w:ind w:left="2240"/>
              <w:spacing w:after="0" w:line="202" w:lineRule="exact"/>
              <w:rPr>
                <w:sz w:val="20"/>
                <w:szCs w:val="20"/>
                <w:color w:val="auto"/>
              </w:rPr>
            </w:pPr>
            <w:r>
              <w:rPr>
                <w:rFonts w:ascii="Arial" w:cs="Arial" w:eastAsia="Arial" w:hAnsi="Arial"/>
                <w:sz w:val="18"/>
                <w:szCs w:val="18"/>
                <w:color w:val="auto"/>
                <w:w w:val="97"/>
              </w:rPr>
              <w:t>Senior Executive Vice President; Director of NBCUniversal Holdings</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7540" w:type="dxa"/>
            <w:vAlign w:val="bottom"/>
          </w:tcPr>
          <w:p>
            <w:pPr>
              <w:ind w:left="2240"/>
              <w:spacing w:after="0" w:line="202" w:lineRule="exact"/>
              <w:rPr>
                <w:sz w:val="20"/>
                <w:szCs w:val="20"/>
                <w:color w:val="auto"/>
              </w:rPr>
            </w:pPr>
            <w:r>
              <w:rPr>
                <w:rFonts w:ascii="Arial" w:cs="Arial" w:eastAsia="Arial" w:hAnsi="Arial"/>
                <w:sz w:val="18"/>
                <w:szCs w:val="18"/>
                <w:color w:val="auto"/>
              </w:rPr>
              <w:t>Executive Vice President; Director of NBCUniversal Holdings</w:t>
            </w:r>
          </w:p>
        </w:tc>
      </w:tr>
      <w:tr>
        <w:trPr>
          <w:trHeight w:val="199"/>
        </w:trPr>
        <w:tc>
          <w:tcPr>
            <w:tcW w:w="3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7540" w:type="dxa"/>
            <w:vAlign w:val="bottom"/>
            <w:tcBorders>
              <w:bottom w:val="single" w:sz="8" w:color="auto"/>
            </w:tcBorders>
          </w:tcPr>
          <w:p>
            <w:pPr>
              <w:ind w:left="2240"/>
              <w:spacing w:after="0" w:line="200" w:lineRule="exact"/>
              <w:rPr>
                <w:sz w:val="20"/>
                <w:szCs w:val="20"/>
                <w:color w:val="auto"/>
              </w:rPr>
            </w:pPr>
            <w:r>
              <w:rPr>
                <w:rFonts w:ascii="Arial" w:cs="Arial" w:eastAsia="Arial" w:hAnsi="Arial"/>
                <w:sz w:val="18"/>
                <w:szCs w:val="18"/>
                <w:color w:val="auto"/>
              </w:rPr>
              <w:t>Executive Vice President</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2016, NBCUniversal reimbursed Comcast $40 million for direct services provided by our executive officers.</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11: Executive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2017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13" w:lineRule="exact"/>
        <w:rPr>
          <w:sz w:val="20"/>
          <w:szCs w:val="20"/>
          <w:color w:val="auto"/>
        </w:rPr>
      </w:pPr>
    </w:p>
    <w:p>
      <w:pPr>
        <w:ind w:right="520"/>
        <w:spacing w:after="0" w:line="260" w:lineRule="auto"/>
        <w:rPr>
          <w:sz w:val="20"/>
          <w:szCs w:val="20"/>
          <w:color w:val="auto"/>
        </w:rPr>
      </w:pPr>
      <w:r>
        <w:rPr>
          <w:rFonts w:ascii="Arial" w:cs="Arial" w:eastAsia="Arial" w:hAnsi="Arial"/>
          <w:sz w:val="24"/>
          <w:szCs w:val="24"/>
          <w:color w:val="0C6DFF"/>
        </w:rPr>
        <w:t>Item 12: Security Ownership of Certain Beneficial Owners and Management and Related Stockholder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2017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124</w:t>
            </w: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13: Certain Relationships and Related Transactions, and Director Independence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2017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14: Principal Accountant Fees and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2017 Proxy Statement.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of Comcast’s Board of Directors appointed Deloitte &amp; Touche LLP as NBCUniversal’s independent registered public accounting firm for the years ended December 31, 2016 and 2015. Set forth below are the fees paid or accrued for the services of Deloitte &amp; Touche LLP, the member firms of Deloitte Touche Tohmatsu and their respective affiliates in 2016 and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r>
      <w:tr>
        <w:trPr>
          <w:trHeight w:val="177"/>
        </w:trPr>
        <w:tc>
          <w:tcPr>
            <w:tcW w:w="5680" w:type="dxa"/>
            <w:vAlign w:val="bottom"/>
          </w:tcPr>
          <w:p>
            <w:pPr>
              <w:spacing w:after="0" w:line="177" w:lineRule="exact"/>
              <w:rPr>
                <w:sz w:val="20"/>
                <w:szCs w:val="20"/>
                <w:color w:val="auto"/>
              </w:rPr>
            </w:pPr>
            <w:r>
              <w:rPr>
                <w:rFonts w:ascii="Arial" w:cs="Arial" w:eastAsia="Arial" w:hAnsi="Arial"/>
                <w:sz w:val="18"/>
                <w:szCs w:val="18"/>
                <w:color w:val="auto"/>
              </w:rPr>
              <w:t>Audit fees</w:t>
            </w:r>
          </w:p>
        </w:tc>
        <w:tc>
          <w:tcPr>
            <w:tcW w:w="4980" w:type="dxa"/>
            <w:vAlign w:val="bottom"/>
          </w:tcPr>
          <w:p>
            <w:pPr>
              <w:jc w:val="right"/>
              <w:ind w:right="96"/>
              <w:spacing w:after="0" w:line="177" w:lineRule="exact"/>
              <w:rPr>
                <w:sz w:val="20"/>
                <w:szCs w:val="20"/>
                <w:color w:val="auto"/>
              </w:rPr>
            </w:pPr>
            <w:r>
              <w:rPr>
                <w:rFonts w:ascii="Arial" w:cs="Arial" w:eastAsia="Arial" w:hAnsi="Arial"/>
                <w:sz w:val="18"/>
                <w:szCs w:val="18"/>
                <w:b w:val="1"/>
                <w:bCs w:val="1"/>
                <w:color w:val="auto"/>
              </w:rPr>
              <w:t>$ 11.0</w:t>
            </w:r>
          </w:p>
        </w:tc>
        <w:tc>
          <w:tcPr>
            <w:tcW w:w="76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$ 10.6</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498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1.0</w:t>
            </w: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0.8</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498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0.2</w:t>
            </w: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0.1</w:t>
            </w:r>
          </w:p>
        </w:tc>
      </w:tr>
      <w:tr>
        <w:trPr>
          <w:trHeight w:val="221"/>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fees</w:t>
            </w:r>
          </w:p>
        </w:tc>
        <w:tc>
          <w:tcPr>
            <w:tcW w:w="49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0.1</w:t>
            </w:r>
          </w:p>
        </w:tc>
      </w:tr>
      <w:tr>
        <w:trPr>
          <w:trHeight w:val="196"/>
        </w:trPr>
        <w:tc>
          <w:tcPr>
            <w:tcW w:w="5680" w:type="dxa"/>
            <w:vAlign w:val="bottom"/>
            <w:tcBorders>
              <w:bottom w:val="single" w:sz="8" w:color="0C6DFF"/>
            </w:tcBorders>
          </w:tcPr>
          <w:p>
            <w:pPr>
              <w:spacing w:after="0"/>
              <w:rPr>
                <w:sz w:val="17"/>
                <w:szCs w:val="17"/>
                <w:color w:val="auto"/>
              </w:rPr>
            </w:pPr>
          </w:p>
        </w:tc>
        <w:tc>
          <w:tcPr>
            <w:tcW w:w="4980" w:type="dxa"/>
            <w:vAlign w:val="bottom"/>
            <w:tcBorders>
              <w:bottom w:val="single" w:sz="8" w:color="0C6DFF"/>
            </w:tcBorders>
          </w:tcPr>
          <w:p>
            <w:pPr>
              <w:jc w:val="right"/>
              <w:ind w:right="96"/>
              <w:spacing w:after="0" w:line="196" w:lineRule="exact"/>
              <w:rPr>
                <w:sz w:val="20"/>
                <w:szCs w:val="20"/>
                <w:color w:val="auto"/>
              </w:rPr>
            </w:pPr>
            <w:r>
              <w:rPr>
                <w:rFonts w:ascii="Arial" w:cs="Arial" w:eastAsia="Arial" w:hAnsi="Arial"/>
                <w:sz w:val="18"/>
                <w:szCs w:val="18"/>
                <w:b w:val="1"/>
                <w:bCs w:val="1"/>
                <w:color w:val="auto"/>
              </w:rPr>
              <w:t>$ 12.2</w:t>
            </w:r>
          </w:p>
        </w:tc>
        <w:tc>
          <w:tcPr>
            <w:tcW w:w="76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$ 11.6</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Audit fees in 2016 and 2015 consisted of fees paid or accrued for services rendered to NBCUniversal and its subsidiaries for the audits of its annual financial statements, reviews of its quarterly financial statements and audit services provided in connection with other statutory or regulatory filings.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Audit-related fees in 2016 and 2015 consisted primarily of fees paid or accrued for audits associated with employee benefit plans and attestation services related to contractual and regulatory compliance.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Tax fees in 2016 and 2015 consisted of fees paid or accrued for domestic and foreign tax compliance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in 2015 primarily consisted of fees paid or accrued for consulting services regarding content security.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consolidated subsidiary of Comcast, NBCUniversal is subject to the policies of Comcast’s Audit Committee regarding the preapproval of services provided by the independent auditors. This policy requires that the Audit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125</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IV</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15: Exhibits and Financial Statement Schedules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firstLine="8"/>
        <w:spacing w:after="0" w:line="237" w:lineRule="auto"/>
        <w:tabs>
          <w:tab w:leader="none" w:pos="2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Comcast’s consolidated financial statements are filed as a part of this report on Form 10-K in Item 8, Financial Statements and Supplementary Data, and a list of Comcast’s consolidated financial statements are found on page 72 of this report. Schedule II, Valuation and Qualifying Accounts, is found on page 169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Exhibits required to be filed by Item 601 of Regulation S-K (all of which are under Commission File No. 001-32871, except as otherwise noted):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8"/>
              </w:rPr>
              <w:t>Amended and Restated Articles of Incorporation of Comcast Corporation (incorporated by reference to Exhibit 3.1 to Comcast’s Current</w:t>
            </w:r>
          </w:p>
        </w:tc>
      </w:tr>
      <w:tr>
        <w:trPr>
          <w:trHeight w:val="211"/>
        </w:trPr>
        <w:tc>
          <w:tcPr>
            <w:tcW w:w="54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rPr>
              <w:t>Report on Form 8-K filed on December 15, 2015).</w:t>
            </w:r>
          </w:p>
        </w:tc>
        <w:tc>
          <w:tcPr>
            <w:tcW w:w="628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Amended and Restated By-Laws of Comcast Corporation (incorporated by reference to Exhibit 3.1 to Comcast’s Current Report on</w:t>
            </w:r>
          </w:p>
        </w:tc>
      </w:tr>
      <w:tr>
        <w:trPr>
          <w:trHeight w:val="211"/>
        </w:trPr>
        <w:tc>
          <w:tcPr>
            <w:tcW w:w="54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rPr>
              <w:t>Form 8-K filed on January 27, 2017).</w:t>
            </w:r>
          </w:p>
        </w:tc>
        <w:tc>
          <w:tcPr>
            <w:tcW w:w="628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Specimen Class A Common Stock Certificate (incorporated by reference to Exhibit 4.1 to Comcast’s Annual Report on Form 10-K for the</w:t>
            </w:r>
          </w:p>
        </w:tc>
      </w:tr>
      <w:tr>
        <w:trPr>
          <w:trHeight w:val="211"/>
        </w:trPr>
        <w:tc>
          <w:tcPr>
            <w:tcW w:w="54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rPr>
              <w:t>year ended December 31, 2002).</w:t>
            </w:r>
          </w:p>
        </w:tc>
        <w:tc>
          <w:tcPr>
            <w:tcW w:w="628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Indenture, dated January 7, 2003, between Comcast Corporation, the subsidiary guarantor party thereto, and The Bank of New York</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Mellon (f/k/a The Bank of New York), as trustee (incorporated by reference to Exhibit 4.4 to Comcast’s Annual Report on Form 10-K for</w:t>
            </w:r>
          </w:p>
        </w:tc>
      </w:tr>
      <w:tr>
        <w:trPr>
          <w:trHeight w:val="211"/>
        </w:trPr>
        <w:tc>
          <w:tcPr>
            <w:tcW w:w="54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rPr>
              <w:t>the year ended December 31, 2008).</w:t>
            </w:r>
          </w:p>
        </w:tc>
        <w:tc>
          <w:tcPr>
            <w:tcW w:w="628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First Supplemental Indenture, dated March 25, 2003, to the Indenture between Comcast Corporation, the subsidiary guarantors party</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thereto, and The Bank of New York Mellon (f/k/a The Bank of New York), as trustee, dated January 7, 2003 (incorporated by reference to</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Exhibit 4.5 to Comcast’s Annual Report on Form 10-K for the year ended December 31, 2008).</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Second Supplemental Indenture, dated August 31, 2009, to the Indenture between Comcast Corporation, the subsidiary guarantors</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party thereto, and The Bank of New York Mellon, as Trustee, dated January 7, 2003, as supplemented by a First Supplemental</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Indenture dated March 25, 2003 (incorporated by reference to Exhibit 4.1 to Comcast’s Current Report on Form 8-K filed on</w:t>
            </w:r>
          </w:p>
        </w:tc>
      </w:tr>
      <w:tr>
        <w:trPr>
          <w:trHeight w:val="211"/>
        </w:trPr>
        <w:tc>
          <w:tcPr>
            <w:tcW w:w="54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rPr>
              <w:t>September 2, 2009).</w:t>
            </w:r>
          </w:p>
        </w:tc>
        <w:tc>
          <w:tcPr>
            <w:tcW w:w="628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9"/>
              </w:rPr>
              <w:t>Third Supplemental Indenture, dated March 27, 2013, to the Indenture between Comcast Corporation, the subsidiary guarantors party</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thereto, and The Bank of New York Mellon (f/k/a The Bank of New York), as trustee, dated January 7, 2003, as supplemented by a First</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Supplemental Indenture dated March 25, 2003 and a second Supplemental Indenture dated August 31, 2009 (incorporated by reference</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to Exhibit 4.4 to Comcast’s Quarterly Report on Form 10-Q for the quarter ended March 31, 2013).</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4.6</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Fourth Supplemental Indenture, dated October 1, 2015, to the Indenture dated January 7, 2003 between Comcast Corporation, the</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subsidiary guarantors party thereto, and The Bank of New York Mellon (f/k/a The Bank of New York), as trustee, as supplemented by a</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First Supplemental Indenture dated March 25, 2003, a second Supplemental Indenture dated August 31, 2009 and a third Supplemental</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Indenture dated March 27, 2013 (incorporated by reference to Exhibit 4.1 to Comcast’s Quarterly Report on Form 10-Q for the quarter</w:t>
            </w:r>
          </w:p>
        </w:tc>
      </w:tr>
      <w:tr>
        <w:trPr>
          <w:trHeight w:val="211"/>
        </w:trPr>
        <w:tc>
          <w:tcPr>
            <w:tcW w:w="54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rPr>
              <w:t>ended September 30, 2015).</w:t>
            </w:r>
          </w:p>
        </w:tc>
        <w:tc>
          <w:tcPr>
            <w:tcW w:w="628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4.7</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Senior Indenture dated September 18, 2013, among Comcast Corporation, the guarantors party thereto and The Bank of New York</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Mellon, as trustee (incorporated by reference to Exhibit 4.3 to Comcast’s Registration Statement on Form S-3 filed September 18, 2013).</w:t>
            </w:r>
          </w:p>
        </w:tc>
      </w:tr>
      <w:tr>
        <w:trPr>
          <w:trHeight w:val="501"/>
        </w:trPr>
        <w:tc>
          <w:tcPr>
            <w:tcW w:w="5140" w:type="dxa"/>
            <w:vAlign w:val="bottom"/>
            <w:gridSpan w:val="2"/>
          </w:tcPr>
          <w:p>
            <w:pPr>
              <w:spacing w:after="0"/>
              <w:rPr>
                <w:sz w:val="20"/>
                <w:szCs w:val="20"/>
                <w:color w:val="auto"/>
              </w:rPr>
            </w:pPr>
            <w:r>
              <w:rPr>
                <w:rFonts w:ascii="Arial" w:cs="Arial" w:eastAsia="Arial" w:hAnsi="Arial"/>
                <w:sz w:val="14"/>
                <w:szCs w:val="14"/>
                <w:color w:val="auto"/>
              </w:rPr>
              <w:t>Comcast 2016 Annual Report on Form 10-K</w:t>
            </w:r>
          </w:p>
        </w:tc>
        <w:tc>
          <w:tcPr>
            <w:tcW w:w="6280" w:type="dxa"/>
            <w:vAlign w:val="bottom"/>
          </w:tcPr>
          <w:p>
            <w:pPr>
              <w:jc w:val="right"/>
              <w:ind w:right="5532"/>
              <w:spacing w:after="0"/>
              <w:rPr>
                <w:sz w:val="20"/>
                <w:szCs w:val="20"/>
                <w:color w:val="auto"/>
              </w:rPr>
            </w:pPr>
            <w:r>
              <w:rPr>
                <w:rFonts w:ascii="Arial" w:cs="Arial" w:eastAsia="Arial" w:hAnsi="Arial"/>
                <w:sz w:val="14"/>
                <w:szCs w:val="14"/>
                <w:b w:val="1"/>
                <w:bCs w:val="1"/>
                <w:color w:val="auto"/>
              </w:rPr>
              <w:t>126</w:t>
            </w: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920" w:hanging="869"/>
        <w:spacing w:after="0" w:line="238" w:lineRule="auto"/>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First Supplemental Indenture dated as of November 17, 2015, to the Senior Indenture dated September 18, 2013, among Comcast Corporation, the guarantors party thereto, and The Bank of New York Mellon, as trustee (incorporated by reference to Exhibit 4.4 to Post Effective Amendment No. 2 to Comcast’s Registration Statement on Form S-3 filed November 23, 2015).</w:t>
      </w:r>
    </w:p>
    <w:p>
      <w:pPr>
        <w:spacing w:after="0" w:line="59" w:lineRule="exact"/>
        <w:rPr>
          <w:sz w:val="20"/>
          <w:szCs w:val="20"/>
          <w:color w:val="auto"/>
        </w:rPr>
      </w:pPr>
    </w:p>
    <w:p>
      <w:pPr>
        <w:jc w:val="both"/>
        <w:ind w:left="920" w:hanging="869"/>
        <w:spacing w:after="0" w:line="238" w:lineRule="auto"/>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Indenture, dated as of April 30, 2010, between NBC Universal, Inc. (n/k/a NBCUniversal Media, LLC) and The Bank of New York Mellon, as trustee (incorporated by reference to Exhibit 4.1 to the Registration Statement on Form S-4 of NBCUniversal Media, LLC (Commission File No. 333-174175) filed on May 13, 2011).</w:t>
      </w:r>
    </w:p>
    <w:p>
      <w:pPr>
        <w:spacing w:after="0" w:line="59" w:lineRule="exact"/>
        <w:rPr>
          <w:sz w:val="20"/>
          <w:szCs w:val="20"/>
          <w:color w:val="auto"/>
        </w:rPr>
      </w:pPr>
    </w:p>
    <w:p>
      <w:pPr>
        <w:jc w:val="both"/>
        <w:ind w:left="920" w:hanging="869"/>
        <w:spacing w:after="0" w:line="238" w:lineRule="auto"/>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First Supplemental Indenture, dated March 27, 2013, to the Indenture between NBCUniversal Media, LLC (f/k/a NBC Universal, Inc.) and The Bank of New York Mellon, as trustee, dated April 30, 2010 (incorporated by reference to Exhibit 4.3 to Comcast’s Quarterly Report on Form 10-Q for the quarter ended March 31, 2013).</w:t>
      </w:r>
    </w:p>
    <w:p>
      <w:pPr>
        <w:spacing w:after="0" w:line="59" w:lineRule="exact"/>
        <w:rPr>
          <w:sz w:val="20"/>
          <w:szCs w:val="20"/>
          <w:color w:val="auto"/>
        </w:rPr>
      </w:pPr>
    </w:p>
    <w:p>
      <w:pPr>
        <w:jc w:val="both"/>
        <w:ind w:left="920" w:hanging="869"/>
        <w:spacing w:after="0" w:line="237" w:lineRule="auto"/>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Second Supplemental Indenture, dated October 1, 2015, to the Indenture dated April 30, 2010 between NBC Universal, Inc. (n/k/a NBCUniversal Media, LLC) and The Bank of New York Mellon, as trustee, as supplemented by a First Supplemental Indenture dated March 27, 2013 (incorporated by reference to Exhibit 4.2 to Comcast’s Quarterly Report on Form 10-Q for the quarter ended September 30, 2015).</w:t>
      </w:r>
    </w:p>
    <w:p>
      <w:pPr>
        <w:spacing w:after="0" w:line="60" w:lineRule="exact"/>
        <w:rPr>
          <w:sz w:val="20"/>
          <w:szCs w:val="20"/>
          <w:color w:val="auto"/>
        </w:rPr>
      </w:pPr>
    </w:p>
    <w:p>
      <w:pPr>
        <w:jc w:val="both"/>
        <w:ind w:left="920" w:hanging="869"/>
        <w:spacing w:after="0" w:line="238" w:lineRule="auto"/>
        <w:tabs>
          <w:tab w:leader="none" w:pos="9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Indenture, dated March 19, 2013, among NBCUniversal Enterprise, Inc. (f/k/a Navy Holdings, Inc.), Comcast Corporation, the Cable Guarantors party thereto, and The Bank of New York Mellon, as trustee (incorporated by reference to Exhibit 4.1 to Comcast’s Quarterly Report on Form 10-Q for the quarter ended March 31, 2013).</w:t>
      </w:r>
    </w:p>
    <w:p>
      <w:pPr>
        <w:spacing w:after="0" w:line="59" w:lineRule="exact"/>
        <w:rPr>
          <w:sz w:val="20"/>
          <w:szCs w:val="20"/>
          <w:color w:val="auto"/>
        </w:rPr>
      </w:pPr>
    </w:p>
    <w:p>
      <w:pPr>
        <w:jc w:val="both"/>
        <w:ind w:left="920"/>
        <w:spacing w:after="0" w:line="237" w:lineRule="auto"/>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 amount of securities authorized under each of which does not exceed ten percent of the total assets of the registrant and its subsidiaries on a consolidated basis), are omitted pursuant to Item 601(b)(4)(iii)(A) of Regulation S-K. We agree to furnish copies of any such instruments to the SEC upon request.</w:t>
      </w:r>
    </w:p>
    <w:p>
      <w:pPr>
        <w:spacing w:after="0" w:line="60" w:lineRule="exact"/>
        <w:rPr>
          <w:sz w:val="20"/>
          <w:szCs w:val="20"/>
          <w:color w:val="auto"/>
        </w:rPr>
      </w:pPr>
    </w:p>
    <w:p>
      <w:pPr>
        <w:jc w:val="both"/>
        <w:ind w:left="920" w:hanging="917"/>
        <w:spacing w:after="0" w:line="23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May 31, 2016).</w:t>
      </w:r>
    </w:p>
    <w:p>
      <w:pPr>
        <w:spacing w:after="0" w:line="60"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Second Amended and Restated Certificate of Incorporation of NBCUniversal Enterprise, Inc. (f/k/a/ Navy Holdings, Inc.), dated March 19, 2013 (incorporated by reference to Exhibit 10.3 to Comcast’s Quarterly Report on Form 10-Q for the quarter ended March 31, 2013).</w:t>
      </w:r>
    </w:p>
    <w:p>
      <w:pPr>
        <w:spacing w:after="0" w:line="59"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Certificate of Designations for Series A Cumulative Preferred Stock of NBCUniversal Enterprise, Inc. (f/k/a/ Navy Holdings, Inc.), dated March 19, 2013 (incorporated by reference to Exhibit 10.4 to Comcast’s Quarterly Report on Form 10-Q for the quarter ended March 31, 2013).</w:t>
      </w:r>
    </w:p>
    <w:p>
      <w:pPr>
        <w:spacing w:after="0" w:line="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Amendment to Certificate of Designations for Series A Cumulative Preferred Stock of NBCUniversal Enterprise, Inc. dated March 19,</w:t>
      </w:r>
    </w:p>
    <w:p>
      <w:pPr>
        <w:ind w:left="920"/>
        <w:spacing w:after="0"/>
        <w:rPr>
          <w:sz w:val="20"/>
          <w:szCs w:val="20"/>
          <w:color w:val="auto"/>
        </w:rPr>
      </w:pPr>
      <w:r>
        <w:rPr>
          <w:rFonts w:ascii="Arial" w:cs="Arial" w:eastAsia="Arial" w:hAnsi="Arial"/>
          <w:sz w:val="16"/>
          <w:szCs w:val="16"/>
          <w:color w:val="auto"/>
        </w:rPr>
        <w:t>2013 (incorporated by reference to Exhibit 10.5 to Comcast’s Quarterly Report on Form 10-Q for the quarter ended March 31, 2013).</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Comcast Corporation 2003 Stock Option Plan, as amended and restated December 5, 2016.</w:t>
      </w:r>
    </w:p>
    <w:p>
      <w:pPr>
        <w:spacing w:after="0" w:line="63" w:lineRule="exact"/>
        <w:rPr>
          <w:sz w:val="20"/>
          <w:szCs w:val="20"/>
          <w:color w:val="auto"/>
        </w:rPr>
      </w:pPr>
    </w:p>
    <w:p>
      <w:pPr>
        <w:jc w:val="both"/>
        <w:ind w:left="920" w:hanging="917"/>
        <w:spacing w:after="0" w:line="239"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Comcast Corporation 2002 Deferred Compensation Plan, as amended and restated effective February 10, 2009 (incorporated by reference to Exhibit 10.5 to Comcast’s Annual Report on Form 10-K for the year ended December 31, 2009).</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127</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Comcast Corporation 2005 Deferred Compensation Plan, as amended and restated effective May 20, 2015 (incorporated by reference to Exhibit 10.5 to Comcast’s Quarterly Report on Form 10-Q for the quarter ended June 30, 2015).</w:t>
      </w:r>
    </w:p>
    <w:p>
      <w:pPr>
        <w:spacing w:after="0" w:line="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Comcast Corporation 2002 Restricted Stock Plan, as amended and restated effective December 5, 2016.</w:t>
      </w:r>
    </w:p>
    <w:p>
      <w:pPr>
        <w:spacing w:after="0" w:line="63"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Comcast Corporation 2006 Cash Bonus Plan, as amended and restated effective February 18, 2015 (incorporated by reference to Exhibit 10.11 to Comcast’s Annual Report on Form 10-K for the year ended December 31, 2015).</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Comcast Corporation Retirement-Investment Plan, as amended and restated effective January 1, 2016 (incorporated by reference to Exhibit 10.12 to Comcast’s Annual Report on Form 10-K for the year ended December 31, 2015).</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Comcast Corporation 2002 Non-Employee Director Compensation Plan, as amended and restated effective May 14, 2013 (incorporated by reference to Exhibit 10.1 to Comcast’s Quarterly Report on Form 10-Q for the quarter ended June 30, 2013).</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Comcast Corporation 2002 Employee Stock Purchase Plan, as amended and restated effective February 22, 2016 (incorporated by reference to Appendix C to our Definitive Proxy Statement on Schedule 14A filed on April 8, 2016).</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Comcast-NBCUniversal 2011 Employee Stock Purchase Plan, as amended and restated effective February 22, 2016 (incorporated by reference to Appendix D to our Definitive Proxy Statement on Schedule 14A filed on April 8, 2016).</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Employment Agreement between Comcast Corporation and Brian L. Roberts, dated as of June 1, 2005 (incorporated by reference to Exhibit 99.1 to Comcast’s Current Report on Form 8-K filed on August 5, 2005).</w:t>
      </w:r>
    </w:p>
    <w:p>
      <w:pPr>
        <w:spacing w:after="0" w:line="60" w:lineRule="exact"/>
        <w:rPr>
          <w:sz w:val="20"/>
          <w:szCs w:val="20"/>
          <w:color w:val="auto"/>
        </w:rPr>
      </w:pPr>
    </w:p>
    <w:p>
      <w:pPr>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Amendment to Employment Agreement between Comcast Corporation and Brian L. Roberts, dated as of February 13, 2009 (incorporated by reference to Exhibit 99.1 to Comcast’s Current Report on Form 8-K filed on February 13, 2009).</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Amendment No. 2 to Employment Agreement between Comcast Corporation and Brian L. Roberts, dated as of December 31, 2009 (incorporated by reference to Exhibit 10.23 to Comcast’s Annual Report on Form 10-K for the year ended December 31, 2009).</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Amendment No. 3 to Employment Agreement between Comcast Corporation and Brian L. Roberts, dated as of June 30, 2010 (incorporated by reference to Exhibit 99.1 to Comcast’s Current Report on Form 8-K filed on July 7, 2010).</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Amendment No. 4 to Employment Agreement between Comcast Corporation and Brian L. Roberts, dated as of December 31, 2010 (incorporated by reference to Exhibit 10.25 to Comcast’s Annual Report on Form 10-K for the year ended December 31, 2010).</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Amendment No. 5 to Employment Agreement between Comcast Corporation and Brian L. Roberts, dated as of June 30, 2011 (incorporated by reference to Exhibit 99.1 to Comcast’s Current Report on Form 8-K filed on July 1, 2011).</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No. 6 to Employment Agreement between Comcast Corporation and Brian L. Roberts, dated as of December 15, 2011 (incorporated by reference to Exhibit 10.21 to Comcast’s Annual Report on Form 10-K for the year ended December 31, 2011).</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Amendment No. 7 to Employment Agreement between Comcast Corporation and Brian L. Roberts, effective as of June 30, 2012 (incorporated by reference to Exhibit 99.1 to Comcast’s Current Report on Form 8-K filed on September 14,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128</w:t>
            </w: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Amendment No. 8 to Employment Agreement between Comcast Corporation and Brian L. Roberts, dated as of December 14, 2012 (incorporated by reference to Exhibit 10.23 to Comcast’s Annual Report on Form 10-K for the year ended December 31, 2012).</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No. 10 to Employment Agreement with Brian L. Roberts, effective as of June 30, 2013 (incorporated by reference to Exhibit 99.1 to Comcast’s Current Report on Form 8-K filed on July 24, 2013).</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11 to Employment Agreement with Brian L. Roberts, effective as of December 18, 2013 (incorporated by reference to Exhibit 10.29 to Comcast’s Annual Report on Form 10-K filed on February 12, 2014).</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No. 12 to Employment Agreement with Brian L. Roberts, effective as of June 30, 2014 (incorporated by reference to Exhibit 99.1 to Comcast’s Current Report on Form 8-K filed on July 1, 2014).</w:t>
      </w:r>
    </w:p>
    <w:p>
      <w:pPr>
        <w:spacing w:after="0" w:line="60" w:lineRule="exact"/>
        <w:rPr>
          <w:sz w:val="20"/>
          <w:szCs w:val="20"/>
          <w:color w:val="auto"/>
        </w:rPr>
      </w:pPr>
    </w:p>
    <w:p>
      <w:pPr>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No. 13 to Employment Agreement with Brian L. Roberts, effective as of December 9, 2014 (incorporated by reference to Exhibit 10.30 to Comcast’s Annual Report on Form 10-K for the year ended December 31, 2014).</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No. 14 to Employment Agreement with Brian L. Roberts, dated June 30, 2015 (incorporated by reference to Exhibit 99.1 to Comcast’s Current Report on Form 8-K filed on July 7, 2015).</w:t>
      </w:r>
    </w:p>
    <w:p>
      <w:pPr>
        <w:spacing w:after="0" w:line="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Amendment No. 15 to Employment Agreement with Brian L. Roberts, dated December 17, 2015 (incorporated by reference to Exhibit</w:t>
      </w:r>
    </w:p>
    <w:p>
      <w:pPr>
        <w:ind w:left="1040"/>
        <w:spacing w:after="0"/>
        <w:rPr>
          <w:sz w:val="20"/>
          <w:szCs w:val="20"/>
          <w:color w:val="auto"/>
        </w:rPr>
      </w:pPr>
      <w:r>
        <w:rPr>
          <w:rFonts w:ascii="Arial" w:cs="Arial" w:eastAsia="Arial" w:hAnsi="Arial"/>
          <w:sz w:val="18"/>
          <w:szCs w:val="18"/>
          <w:color w:val="auto"/>
        </w:rPr>
        <w:t>10.31 to Comcast’s Annual Report on Form 10-K for the year ended December 31, 2015).</w:t>
      </w:r>
    </w:p>
    <w:p>
      <w:pPr>
        <w:spacing w:after="0" w:line="63"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Amendment No. 16 to Employment Agreement with Brian L. Roberts, dated June 30, 2016 (incorporated by reference to Exhibit 99.1 to Comcast’s Current Report on Form 8-K filed on July 1, 2016).</w:t>
      </w:r>
    </w:p>
    <w:p>
      <w:pPr>
        <w:spacing w:after="0" w:line="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Amendment No. 17 to Employment Agreement with Brian L. Roberts, dated December 12, 2016.</w:t>
      </w:r>
    </w:p>
    <w:p>
      <w:pPr>
        <w:spacing w:after="0" w:line="63"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Employment Agreement between Comcast Corporation and Stephen B. Burke, dated as of December 16, 2009 (incorporated by reference to Exhibit 99.1 to Comcast’s Current Report on Form 8-K filed on December 22, 2009).</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No. 2 to Employment Agreement with Stephen B. Burke, dated as of August 16, 2013 (incorporated by reference to Exhibit 99.1 to Comcast’s Current Report on Form 8-K filed on August 16, 2013).</w:t>
      </w:r>
    </w:p>
    <w:p>
      <w:pPr>
        <w:spacing w:after="0" w:line="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Amendment No. 3 to Employment Agreement with Stephen B. Burke dated as of July 25, 2016 (incorporated by reference to Exhibit</w:t>
      </w:r>
    </w:p>
    <w:p>
      <w:pPr>
        <w:ind w:left="1040"/>
        <w:spacing w:after="0"/>
        <w:rPr>
          <w:sz w:val="20"/>
          <w:szCs w:val="20"/>
          <w:color w:val="auto"/>
        </w:rPr>
      </w:pPr>
      <w:r>
        <w:rPr>
          <w:rFonts w:ascii="Arial" w:cs="Arial" w:eastAsia="Arial" w:hAnsi="Arial"/>
          <w:sz w:val="18"/>
          <w:szCs w:val="18"/>
          <w:color w:val="auto"/>
        </w:rPr>
        <w:t>99.1 to Comcast’s Current Report on Form 8-K filed on July 28, 2016).</w:t>
      </w:r>
    </w:p>
    <w:p>
      <w:pPr>
        <w:spacing w:after="0" w:line="63"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Employment Agreement between Comcast Corporation and David L. Cohen, dated as of October 23, 2015 (incorporated by reference to Exhibit 10.1 to Comcast’s Quarterly Report on Form 10-Q for the quarter ended September 30, 2015).</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Employment Agreement between Comcast Corporation and Neil Smit, dated as of November 21, 2011 (incorporated by reference to Exhibit 10.37 to Comcast’s Annual Report on Form 10-K for the year ended December 31, 2011).</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Employment Agreement between Comcast Corporation and Neil Smit, dated as of December 22, 2014 (incorporated by reference to Exhibit 99.1 to Comcast’s Current Report on Form 8-K filed on December 23, 2014).</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129</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Form of Amendment, dated as of December 16, 2008, to the Employment Agreements with Ralph J. Roberts and Brian L. Roberts (incorporated by reference to Exhibit 10.38 to Comcast’s Annual Report on Form 10-K for the year ended December 31, 2008).</w:t>
      </w:r>
    </w:p>
    <w:p>
      <w:pPr>
        <w:spacing w:after="0" w:line="60"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Form of Amendment, dated as of December 14, 2012, to the Employment Agreements with Brian L. Roberts, Stephen B. Burke, Neil Smit and David L. Cohen (incorporated by reference to Exhibit 10.41 to Comcast’s Annual Report on Form 10-K for the year ended December 31, 2012).</w:t>
      </w:r>
    </w:p>
    <w:p>
      <w:pPr>
        <w:spacing w:after="0" w:line="59" w:lineRule="exact"/>
        <w:rPr>
          <w:sz w:val="20"/>
          <w:szCs w:val="20"/>
          <w:color w:val="auto"/>
        </w:rPr>
      </w:pPr>
    </w:p>
    <w:p>
      <w:pPr>
        <w:jc w:val="both"/>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Employment Agreement dated May 10, 2015 between Comcast Corporation and Michael J. Cavanagh (incorporated by reference to Exhibit 99.1 to Comcast’s Current Report on Form 8-K filed on May 11, 2015).</w:t>
      </w:r>
    </w:p>
    <w:p>
      <w:pPr>
        <w:spacing w:after="0" w:line="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Form of Non-Qualified Stock Option under the Comcast Corporation 2003 Stock Option Plan (incorporated by reference to Exhibit</w:t>
      </w:r>
    </w:p>
    <w:p>
      <w:pPr>
        <w:ind w:left="1040"/>
        <w:spacing w:after="0"/>
        <w:rPr>
          <w:sz w:val="20"/>
          <w:szCs w:val="20"/>
          <w:color w:val="auto"/>
        </w:rPr>
      </w:pPr>
      <w:r>
        <w:rPr>
          <w:rFonts w:ascii="Arial" w:cs="Arial" w:eastAsia="Arial" w:hAnsi="Arial"/>
          <w:sz w:val="18"/>
          <w:szCs w:val="18"/>
          <w:color w:val="auto"/>
        </w:rPr>
        <w:t>10.40 to Comcast’s Annual Report on Form 10-K for the year ended December 31, 2008).</w:t>
      </w:r>
    </w:p>
    <w:p>
      <w:pPr>
        <w:spacing w:after="0" w:line="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Form of Non-Qualified Stock Option under the Comcast Corporation 2003 Stock Option Plan (incorporated by reference to Exhibit</w:t>
      </w:r>
    </w:p>
    <w:p>
      <w:pPr>
        <w:ind w:left="1040"/>
        <w:spacing w:after="0"/>
        <w:rPr>
          <w:sz w:val="20"/>
          <w:szCs w:val="20"/>
          <w:color w:val="auto"/>
        </w:rPr>
      </w:pPr>
      <w:r>
        <w:rPr>
          <w:rFonts w:ascii="Arial" w:cs="Arial" w:eastAsia="Arial" w:hAnsi="Arial"/>
          <w:sz w:val="18"/>
          <w:szCs w:val="18"/>
          <w:color w:val="auto"/>
        </w:rPr>
        <w:t>10.2 to Comcast’s Quarterly Report on Form 10-Q for the quarter ended March 31, 2016).</w:t>
      </w:r>
    </w:p>
    <w:p>
      <w:pPr>
        <w:spacing w:after="0" w:line="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Form of Non-Qualified Stock Option under the Comcast Corporation 2003 Stock Option Plan.</w:t>
      </w:r>
    </w:p>
    <w:p>
      <w:pPr>
        <w:spacing w:after="0" w:line="63"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10.7 to Comcast’s Quarterly Report on Form 10-Q for the quarter ended March 31, 2011).</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10.1 to Comcast’s Quarterly Report on Form 10-Q for the quarter ended March 31, 2012).</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10.6 to Comcast’s Quarterly Report on Form 10-Q for the quarter ended March 31, 2013).</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10.1 to Comcast’s Quarterly Report on Form 10-Q for the quarter ended March 31, 2016).</w:t>
      </w:r>
    </w:p>
    <w:p>
      <w:pPr>
        <w:spacing w:after="0" w:line="60"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Form of Restricted Stock Unit Award and Long-Term Incentive Awards Summary Schedule under the Comcast Corporation 2002 Restricted Stock Plan (incorporated by reference to Exhibit 10.2 to Comcast’s Quarterly Report on Form 10-Q for the quarter ended September 30, 2015).</w:t>
      </w:r>
    </w:p>
    <w:p>
      <w:pPr>
        <w:spacing w:after="0" w:line="59" w:lineRule="exact"/>
        <w:rPr>
          <w:sz w:val="20"/>
          <w:szCs w:val="20"/>
          <w:color w:val="auto"/>
        </w:rPr>
      </w:pPr>
    </w:p>
    <w:p>
      <w:pPr>
        <w:jc w:val="both"/>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Form of Airplane Time Sharing Agreement (incorporated by reference to Exhibit 10.60 to Comcast’s Annual Report on Form 10-K for the year ended December 31, 2014).</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Form of Director Indemnification Agreement (incorporated by reference to Exhibit 10.3 to Comcast’s Quarterly Report on Form 10-Q for the quarter ended June 30, 2009).</w:t>
      </w:r>
    </w:p>
    <w:p>
      <w:pPr>
        <w:spacing w:after="0" w:line="60"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Shareholders Agreement, effective as of January 1, 2016, among Atairos Group, Inc., Comcast AG Holdings, LLC, Atairos Partners, L.P., Atairos Management, L.P., and Comcast Corporation (incorporated by reference to Exhibit 10.66 to Comcast’s Annual Report on Form 10-K for the year ended December 31, 2015).</w:t>
      </w:r>
    </w:p>
    <w:p>
      <w:pPr>
        <w:spacing w:after="0" w:line="59"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Advisor Agreement, effective as of January 1, 2016, between Comcast Corporation and Michael J. Angelakis (incorporated by reference to Exhibit 10.67 to Comcast’s Annual Report on Form 10-K for the year ended December 31, 2015).</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8"/>
          <w:szCs w:val="18"/>
          <w:color w:val="auto"/>
        </w:rPr>
        <w:t>Letter Agreement dated November 24, 2015 between Comcast Corporation and Michael J. Angelakis (incorporated by reference to Exhibit 10.68 to Comcast’s Annual Report on Form 10-K for the year ended December 31, 2015).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130</w:t>
            </w: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10.53†</w:t>
            </w:r>
          </w:p>
        </w:tc>
        <w:tc>
          <w:tcPr>
            <w:tcW w:w="10540" w:type="dxa"/>
            <w:vAlign w:val="bottom"/>
          </w:tcPr>
          <w:p>
            <w:pPr>
              <w:ind w:left="280"/>
              <w:spacing w:after="0"/>
              <w:rPr>
                <w:sz w:val="20"/>
                <w:szCs w:val="20"/>
                <w:color w:val="auto"/>
              </w:rPr>
            </w:pPr>
            <w:r>
              <w:rPr>
                <w:rFonts w:ascii="Arial" w:cs="Arial" w:eastAsia="Arial" w:hAnsi="Arial"/>
                <w:sz w:val="18"/>
                <w:szCs w:val="18"/>
                <w:color w:val="auto"/>
                <w:w w:val="98"/>
              </w:rPr>
              <w:t>Consultant Agreement, dated as of January 20, 1987, between Steven Spielberg and Universal City Florida Partners (incorporated</w:t>
            </w:r>
          </w:p>
        </w:tc>
      </w:tr>
      <w:tr>
        <w:trPr>
          <w:trHeight w:val="203"/>
        </w:trPr>
        <w:tc>
          <w:tcPr>
            <w:tcW w:w="82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rPr>
              <w:t>by reference to Exhibit 10.49 to the Registration Statement on Form S-4 of Universal City Development Partners, Ltd. and UCDP</w:t>
            </w:r>
          </w:p>
        </w:tc>
      </w:tr>
      <w:tr>
        <w:trPr>
          <w:trHeight w:val="211"/>
        </w:trPr>
        <w:tc>
          <w:tcPr>
            <w:tcW w:w="82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Finance, Inc. filed on January 20, 2010 (File No. 333-164431)).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10.54</w:t>
            </w:r>
          </w:p>
        </w:tc>
        <w:tc>
          <w:tcPr>
            <w:tcW w:w="10540" w:type="dxa"/>
            <w:vAlign w:val="bottom"/>
          </w:tcPr>
          <w:p>
            <w:pPr>
              <w:ind w:left="280"/>
              <w:spacing w:after="0"/>
              <w:rPr>
                <w:sz w:val="20"/>
                <w:szCs w:val="20"/>
                <w:color w:val="auto"/>
              </w:rPr>
            </w:pPr>
            <w:r>
              <w:rPr>
                <w:rFonts w:ascii="Arial" w:cs="Arial" w:eastAsia="Arial" w:hAnsi="Arial"/>
                <w:sz w:val="18"/>
                <w:szCs w:val="18"/>
                <w:color w:val="auto"/>
              </w:rPr>
              <w:t>Amendment dated February 5, 2001 to the Consultant Agreement dated as of January 20, 1987, between the Consultant and</w:t>
            </w:r>
          </w:p>
        </w:tc>
      </w:tr>
      <w:tr>
        <w:trPr>
          <w:trHeight w:val="203"/>
        </w:trPr>
        <w:tc>
          <w:tcPr>
            <w:tcW w:w="82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9"/>
              </w:rPr>
              <w:t>Universal City Florida Partners (incorporated by reference to Exhibit 10.50 to the Registration Statement on Form S-4 of Universal</w:t>
            </w:r>
          </w:p>
        </w:tc>
      </w:tr>
      <w:tr>
        <w:trPr>
          <w:trHeight w:val="211"/>
        </w:trPr>
        <w:tc>
          <w:tcPr>
            <w:tcW w:w="82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10.55†</w:t>
            </w:r>
          </w:p>
        </w:tc>
        <w:tc>
          <w:tcPr>
            <w:tcW w:w="10540" w:type="dxa"/>
            <w:vAlign w:val="bottom"/>
          </w:tcPr>
          <w:p>
            <w:pPr>
              <w:ind w:left="280"/>
              <w:spacing w:after="0"/>
              <w:rPr>
                <w:sz w:val="20"/>
                <w:szCs w:val="20"/>
                <w:color w:val="auto"/>
              </w:rPr>
            </w:pPr>
            <w:r>
              <w:rPr>
                <w:rFonts w:ascii="Arial" w:cs="Arial" w:eastAsia="Arial" w:hAnsi="Arial"/>
                <w:sz w:val="18"/>
                <w:szCs w:val="18"/>
                <w:color w:val="auto"/>
                <w:w w:val="99"/>
              </w:rPr>
              <w:t>Amendment to the Consultant Agreement, dated as of October 18, 2009, between Steven Spielberg, Diamond Lane Productions,</w:t>
            </w:r>
          </w:p>
        </w:tc>
      </w:tr>
      <w:tr>
        <w:trPr>
          <w:trHeight w:val="203"/>
        </w:trPr>
        <w:tc>
          <w:tcPr>
            <w:tcW w:w="82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rPr>
              <w:t>Inc. and Universal City Development Partners, Ltd. (incorporated by reference to Exhibit 10.52 to the Registration Statement on</w:t>
            </w:r>
          </w:p>
        </w:tc>
      </w:tr>
      <w:tr>
        <w:trPr>
          <w:trHeight w:val="211"/>
        </w:trPr>
        <w:tc>
          <w:tcPr>
            <w:tcW w:w="82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w w:val="99"/>
              </w:rPr>
              <w:t>Form S-4 of Universal City Development Partners, Ltd. and UCDP Finance, Inc. filed on January 20, 2010 (File No. 333-164431)).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10.56†</w:t>
            </w:r>
          </w:p>
        </w:tc>
        <w:tc>
          <w:tcPr>
            <w:tcW w:w="10540" w:type="dxa"/>
            <w:vAlign w:val="bottom"/>
          </w:tcPr>
          <w:p>
            <w:pPr>
              <w:ind w:left="280"/>
              <w:spacing w:after="0"/>
              <w:rPr>
                <w:sz w:val="20"/>
                <w:szCs w:val="20"/>
                <w:color w:val="auto"/>
              </w:rPr>
            </w:pPr>
            <w:r>
              <w:rPr>
                <w:rFonts w:ascii="Arial" w:cs="Arial" w:eastAsia="Arial" w:hAnsi="Arial"/>
                <w:sz w:val="18"/>
                <w:szCs w:val="18"/>
                <w:color w:val="auto"/>
                <w:w w:val="97"/>
              </w:rPr>
              <w:t>Letter Agreement dated July 15, 2003, among Diamond Lane Productions, Vivendi Universal Entertainment LLLP and Universal City</w:t>
            </w:r>
          </w:p>
        </w:tc>
      </w:tr>
      <w:tr>
        <w:trPr>
          <w:trHeight w:val="203"/>
        </w:trPr>
        <w:tc>
          <w:tcPr>
            <w:tcW w:w="82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8"/>
              </w:rPr>
              <w:t>Development Partners, Ltd. (incorporated by reference to Exhibit 10.51 to the Registration Statement on Form S-4 of Universal City</w:t>
            </w:r>
          </w:p>
        </w:tc>
      </w:tr>
      <w:tr>
        <w:trPr>
          <w:trHeight w:val="211"/>
        </w:trPr>
        <w:tc>
          <w:tcPr>
            <w:tcW w:w="82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10540" w:type="dxa"/>
            <w:vAlign w:val="bottom"/>
          </w:tcPr>
          <w:p>
            <w:pPr>
              <w:ind w:left="280"/>
              <w:spacing w:after="0"/>
              <w:rPr>
                <w:sz w:val="20"/>
                <w:szCs w:val="20"/>
                <w:color w:val="auto"/>
              </w:rPr>
            </w:pPr>
            <w:r>
              <w:rPr>
                <w:rFonts w:ascii="Arial" w:cs="Arial" w:eastAsia="Arial" w:hAnsi="Arial"/>
                <w:sz w:val="18"/>
                <w:szCs w:val="18"/>
                <w:color w:val="auto"/>
              </w:rPr>
              <w:t>Statement of Earnings to Fixed Charges and Earnings to Combined Fixed Charges and Preferred Dividends.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10540" w:type="dxa"/>
            <w:vAlign w:val="bottom"/>
          </w:tcPr>
          <w:p>
            <w:pPr>
              <w:ind w:left="280"/>
              <w:spacing w:after="0"/>
              <w:rPr>
                <w:sz w:val="20"/>
                <w:szCs w:val="20"/>
                <w:color w:val="auto"/>
              </w:rPr>
            </w:pPr>
            <w:r>
              <w:rPr>
                <w:rFonts w:ascii="Arial" w:cs="Arial" w:eastAsia="Arial" w:hAnsi="Arial"/>
                <w:sz w:val="18"/>
                <w:szCs w:val="18"/>
                <w:color w:val="auto"/>
              </w:rPr>
              <w:t>List of subsidiaries.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540" w:type="dxa"/>
            <w:vAlign w:val="bottom"/>
          </w:tcPr>
          <w:p>
            <w:pPr>
              <w:ind w:left="28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bl>
    <w:p>
      <w:pPr>
        <w:spacing w:after="0" w:line="59" w:lineRule="exact"/>
        <w:rPr>
          <w:sz w:val="20"/>
          <w:szCs w:val="20"/>
          <w:color w:val="auto"/>
        </w:rPr>
      </w:pPr>
    </w:p>
    <w:p>
      <w:pPr>
        <w:jc w:val="both"/>
        <w:ind w:left="1160" w:hanging="1152"/>
        <w:spacing w:after="0" w:line="264" w:lineRule="auto"/>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Annual Report on Form 10-K for the year ended December 31, 2016, filed with the Securities and Exchange Commission on February 3, 2017, formatted in XBRL (eXtensible Business Reporting Language): (1) the Consolidated Balance Sheet; (2) the Consolidated Statement of Income; (3) the Consolidated Statement of Comprehensive Income; (4) the Consolidated Statement of Cash Flows; (5) the Consolidated Statement of Changes in Equity; and</w:t>
      </w:r>
    </w:p>
    <w:p>
      <w:pPr>
        <w:ind w:left="1160"/>
        <w:spacing w:after="0"/>
        <w:rPr>
          <w:rFonts w:ascii="Arial" w:cs="Arial" w:eastAsia="Arial" w:hAnsi="Arial"/>
          <w:sz w:val="16"/>
          <w:szCs w:val="16"/>
          <w:color w:val="auto"/>
        </w:rPr>
      </w:pPr>
      <w:r>
        <w:rPr>
          <w:rFonts w:ascii="Arial" w:cs="Arial" w:eastAsia="Arial" w:hAnsi="Arial"/>
          <w:sz w:val="18"/>
          <w:szCs w:val="18"/>
          <w:color w:val="auto"/>
        </w:rPr>
        <w:t>(6)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Confidential treatment granted.</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firstLine="8"/>
        <w:spacing w:after="0" w:line="237" w:lineRule="auto"/>
        <w:tabs>
          <w:tab w:leader="none" w:pos="2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NBCUniversal’s consolidated financial statements are filed as a part of this report on Form 10-K and a list of the consolidated financial statements are found on page 137 of this report. Schedule II – Valuation and Qualifying Accounts is found on page 169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66"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Formation of NBCUniversal Media, LLC (incorporated by reference to Exhibit 3.1 to NBCUniversal’s Registration Statement on Form S-4 filed on May 13, 2011).</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Certificate of Formation of NBCUniversal Media, LLC (incorporated by reference to Exhibit 3.2 to NBCUniversal’s Registration Statement on Form S-4 filed on May 13, 2011).</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Limited Liability Company Agreement of NBCUniversal Media, LLC (incorporated by reference to Exhibit 3.2 to Amendment No. 2 to NBCUniversal’s Registration Statement on Form S-4 filed on July 12, 2011).</w:t>
      </w:r>
    </w:p>
    <w:p>
      <w:pPr>
        <w:spacing w:after="0" w:line="60" w:lineRule="exact"/>
        <w:rPr>
          <w:sz w:val="20"/>
          <w:szCs w:val="20"/>
          <w:color w:val="auto"/>
        </w:rPr>
      </w:pPr>
    </w:p>
    <w:p>
      <w:pPr>
        <w:jc w:val="both"/>
        <w:ind w:left="820" w:right="20" w:hanging="809"/>
        <w:spacing w:after="0" w:line="29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as of April 30, 2010 between NBC Universal, Inc. (n/k/a NBCUniversal Media, LLC) and The Bank of New York Mellon, as Trustee (incorporated by reference to Exhibit 4.1 to NBCUniversal’s Registration Statement on Form S-4 filed on May 13, 2011).</w:t>
      </w:r>
    </w:p>
    <w:p>
      <w:pPr>
        <w:spacing w:after="0" w:line="14" w:lineRule="exact"/>
        <w:rPr>
          <w:sz w:val="20"/>
          <w:szCs w:val="20"/>
          <w:color w:val="auto"/>
        </w:rPr>
      </w:pPr>
    </w:p>
    <w:p>
      <w:pPr>
        <w:jc w:val="both"/>
        <w:ind w:left="820" w:hanging="809"/>
        <w:spacing w:after="0" w:line="238"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March 27, 2013, to the Indenture between NBCUniversal Media, LLC (f/k/a NBC Universal, Inc.) and The Bank of New York Mellon, as trustee, dated April 30, 2010 (incorporated by reference to Exhibit 4.3 of the Quarterly Report on Form 10-Q of Comcast Corporation for the quarter ended March 31, 2013).</w:t>
      </w:r>
    </w:p>
    <w:p>
      <w:pPr>
        <w:spacing w:after="0" w:line="59"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Second Supplemental Indenture, dated October 1, 2015, to the Indenture dated April 30, 2010 between NBC Universal, Inc. (n/k/a NBCUniversal Media, LLC) and The Bank of New York Mellon, as trustee, as supplemented by a First Supplemental Indenture dated March 27, 2013 (incorporated by reference to Exhibit 4.2 of the Quarterly Report on Form 10-Q of Comcast Corporation for the quarter ended September 30, 2015).</w:t>
      </w:r>
    </w:p>
    <w:p>
      <w:pPr>
        <w:spacing w:after="0" w:line="60" w:lineRule="exact"/>
        <w:rPr>
          <w:sz w:val="20"/>
          <w:szCs w:val="20"/>
          <w:color w:val="auto"/>
        </w:rPr>
      </w:pPr>
    </w:p>
    <w:p>
      <w:pPr>
        <w:jc w:val="both"/>
        <w:ind w:left="820" w:right="20" w:hanging="809"/>
        <w:spacing w:after="0" w:line="238" w:lineRule="auto"/>
        <w:tabs>
          <w:tab w:leader="none" w:pos="8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Indenture, dated January 7, 2003, between Comcast Corporation, the subsidiary guarantor party thereto, and The Bank of New York Mellon (f/k/a The Bank of New York), as trustee (incorporated by reference to Exhibit 4.4 to the Annual Report on Form 10-K of Comcast Corporation for the year ended December 31, 2008).</w:t>
      </w:r>
    </w:p>
    <w:p>
      <w:pPr>
        <w:spacing w:after="0" w:line="59" w:lineRule="exact"/>
        <w:rPr>
          <w:sz w:val="20"/>
          <w:szCs w:val="20"/>
          <w:color w:val="auto"/>
        </w:rPr>
      </w:pPr>
    </w:p>
    <w:p>
      <w:pPr>
        <w:jc w:val="both"/>
        <w:ind w:left="820" w:hanging="809"/>
        <w:spacing w:after="0" w:line="238" w:lineRule="auto"/>
        <w:tabs>
          <w:tab w:leader="none" w:pos="8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First Supplemental Indenture, dated March 25, 2003, to the Indenture between Comcast Corporation, the subsidiary guarantors party thereto, and The Bank of New York Mellon (f/k/a The Bank of New York), as trustee, dated January 7, 2003 (incorporated by reference to Exhibit 4.5 to the Annual Report on Form 10-K of Comcast Corporation for the year ended December 31, 2008).</w:t>
      </w:r>
    </w:p>
    <w:p>
      <w:pPr>
        <w:spacing w:after="0" w:line="59"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Second Supplemental Indenture, dated August 31, 2009, to the Indenture between Comcast Corporation, the subsidiary guarantors party thereto, and The Bank of New York Mellon, as Trustee, dated January 7, 2003, as supplemented by a First Supplemental Indenture dated March 25, 2003 (incorporated by reference to Exhibit 4.1 to the Current Report on Form 8-K of Comcast Corporation filed on September 2, 2009).</w:t>
      </w:r>
    </w:p>
    <w:p>
      <w:pPr>
        <w:spacing w:after="0" w:line="60"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Third Supplemental Indenture, dated March 27, 2013, to the Indenture between Comcast Corporation, the subsidiary guarantors party thereto, and The Bank of New York Mellon (f/k/a The Bank of New York), as trustee, dated January 7, 2003, as supplemented by a First Supplemental Indenture dated March 25, 2003 and a Second Supplemental Indenture dated August 31, 2009 (incorporated by reference to Exhibit 4.4 of the Quarterly Report on Form 10-Q of Comcast Corporation for the quarter ended March 31, 2013).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132</w:t>
            </w: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4.8</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Fourth Supplemental Indenture, dated October 1, 2015, to the Indenture dated January 7, 2003 between Comcast Corporation, the</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subsidiary guarantors party thereto, and The Bank of New York Mellon (f/k/a The Bank of New York), as trustee, as supplemented by</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 First Supplemental Indenture dated March 25, 2003, a second Supplemental Indenture dated August 31, 2009 and a third</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Supplemental Indenture dated March 27, 2013 (incorporated by reference to Exhibit 4.1 of the Quarterly Report on Form 10-Q of</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Comcast Corporation for the quarter ended September 30, 2015).</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4.9</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Senior Indenture dated September 18, 2013, among Comcast Corporation, the guarantors party thereto and The Bank of New York</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Mellon, as trustee (incorporated by reference to Exhibit 4.3 to Comcast’s Registration Statement on Form S-3 filed September 18,</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2013).</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4.10</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First Supplemental Indenture dated as of November 17, 2015, to the Senior Indenture dated September 18, 2013, among Comcast</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Corporation, the guarantors party thereto, and The Bank of New York Mellon, as trustee (incorporated by reference to Exhibit 4.4 to</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Post Effective Amendment No. 2 to Comcast’s Registration Statement on Form S-3 filed November 23, 2015).</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7"/>
              </w:rPr>
              <w:t>Second Amended and Restated Limited Liability Company Agreement of NBCUniversal, LLC, dated March 19, 2013 (incorporated by</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10.2 of the Quarterly Report on Form 10-Q of Comcast Corporation for the quarter ended March 31, 2013).</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Credit Agreement dated as of May 26, 2016, among Comcast Corporation, the financial institutions party thereto, JPMorgan Chase</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Bank, N.A., as administrative agent, Citibank, N.A., as syndication agent, Morgan Stanley MUFG Partners, LLC, Wells Fargo Bank,</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National Association and Mizuho Bank, Ltd., as co-documentation agents (incorporated by reference to exhibit 10.1 to Comcast’s</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Current Report on Form 8-K filed on May 31, 2016.</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7"/>
              </w:rPr>
              <w:t>Consultant Agreement, dated as of January 20, 1987, between Steven Spielberg and Universal City Florida Partners (incorporated by</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reference to Exhibit 10.49 to the Registration Statement on Form S-4 of Universal City Development Partners, Ltd. and UCDP</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Finance, Inc. filed on January 20, 2010 (File No. 333-164431)).</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Amendment dated February 5, 2001 to the Consultant Agreement dated as of January 20, 1987, between the Consultant and</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Universal City Florida Partners (incorporated by reference to Exhibit 10.50 to the Registration Statement on Form S-4 of Universal</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7"/>
              </w:rPr>
              <w:t>Amendment to the Consultant Agreement, dated as of October 18, 2009, between Steven Spielberg, Diamond Lane Productions, Inc.</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and Universal City Development Partners, Ltd. (incorporated by reference to Exhibit 10.52 to the Registration Statement on Form S-4</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of Universal City Development Partners, Ltd. and UCDP Finance, Inc. filed on January 20, 2010 (File No. 333-164431)).</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8"/>
              </w:rPr>
              <w:t>Letter Agreement dated July 15, 2003, among Diamond Lane Productions, Vivendi Universal Entertainment LLLP and Universal City</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Development Partners, Ltd. (incorporated by reference to Exhibit 10.51 to the Registration Statement on Form S-4 of Universal City</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23.2</w:t>
            </w:r>
          </w:p>
        </w:tc>
        <w:tc>
          <w:tcPr>
            <w:tcW w:w="6720" w:type="dxa"/>
            <w:vAlign w:val="bottom"/>
          </w:tcPr>
          <w:p>
            <w:pPr>
              <w:ind w:left="300"/>
              <w:spacing w:after="0"/>
              <w:rPr>
                <w:sz w:val="20"/>
                <w:szCs w:val="20"/>
                <w:color w:val="auto"/>
              </w:rPr>
            </w:pPr>
            <w:r>
              <w:rPr>
                <w:rFonts w:ascii="Arial" w:cs="Arial" w:eastAsia="Arial" w:hAnsi="Arial"/>
                <w:sz w:val="18"/>
                <w:szCs w:val="18"/>
                <w:color w:val="auto"/>
              </w:rPr>
              <w:t>Consent of Deloitte &amp; Touche LLP.</w:t>
            </w:r>
          </w:p>
        </w:tc>
        <w:tc>
          <w:tcPr>
            <w:tcW w:w="3960" w:type="dxa"/>
            <w:vAlign w:val="bottom"/>
          </w:tcPr>
          <w:p>
            <w:pPr>
              <w:spacing w:after="0"/>
              <w:rPr>
                <w:sz w:val="23"/>
                <w:szCs w:val="23"/>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302 of the Sarbanes-Oxley Act of 2002.</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906 of the Sarbanes-Oxley Act of 2002.</w:t>
            </w:r>
          </w:p>
        </w:tc>
      </w:tr>
      <w:tr>
        <w:trPr>
          <w:trHeight w:val="501"/>
        </w:trPr>
        <w:tc>
          <w:tcPr>
            <w:tcW w:w="740" w:type="dxa"/>
            <w:vAlign w:val="bottom"/>
          </w:tcPr>
          <w:p>
            <w:pPr>
              <w:spacing w:after="0"/>
              <w:rPr>
                <w:sz w:val="24"/>
                <w:szCs w:val="24"/>
                <w:color w:val="auto"/>
              </w:rPr>
            </w:pPr>
          </w:p>
        </w:tc>
        <w:tc>
          <w:tcPr>
            <w:tcW w:w="6720" w:type="dxa"/>
            <w:vAlign w:val="bottom"/>
          </w:tcPr>
          <w:p>
            <w:pPr>
              <w:ind w:left="4860"/>
              <w:spacing w:after="0"/>
              <w:rPr>
                <w:sz w:val="20"/>
                <w:szCs w:val="20"/>
                <w:color w:val="auto"/>
              </w:rPr>
            </w:pPr>
            <w:r>
              <w:rPr>
                <w:rFonts w:ascii="Arial" w:cs="Arial" w:eastAsia="Arial" w:hAnsi="Arial"/>
                <w:sz w:val="14"/>
                <w:szCs w:val="14"/>
                <w:b w:val="1"/>
                <w:bCs w:val="1"/>
                <w:color w:val="auto"/>
              </w:rPr>
              <w:t>133</w:t>
            </w:r>
          </w:p>
        </w:tc>
        <w:tc>
          <w:tcPr>
            <w:tcW w:w="3960" w:type="dxa"/>
            <w:vAlign w:val="bottom"/>
          </w:tcPr>
          <w:p>
            <w:pPr>
              <w:ind w:left="1320"/>
              <w:spacing w:after="0"/>
              <w:rPr>
                <w:sz w:val="20"/>
                <w:szCs w:val="20"/>
                <w:color w:val="auto"/>
              </w:rPr>
            </w:pPr>
            <w:r>
              <w:rPr>
                <w:rFonts w:ascii="Arial" w:cs="Arial" w:eastAsia="Arial" w:hAnsi="Arial"/>
                <w:sz w:val="14"/>
                <w:szCs w:val="14"/>
                <w:color w:val="auto"/>
                <w:w w:val="95"/>
              </w:rPr>
              <w:t>Comcast 2016 Annual Report on Form 10-K</w:t>
            </w: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1080" w:hanging="1072"/>
        <w:spacing w:after="0" w:line="264"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Annual Report on Form 10-K for the year ended December 31, 2016, filed with the Securities and Exchange Commission on February 3, 2017, formatted in XBRL (eXtensible Business Reporting Language): (1) the Consolidated Balance Sheet; (2) the Consolidated Statement of Income; (3) the Consolidated Statement of Comprehensive Income; (4) the Consolidated Statement of Cash Flows; (5) the Consolidated Statement of Changes in Equity; and</w:t>
      </w:r>
    </w:p>
    <w:p>
      <w:pPr>
        <w:ind w:left="1080"/>
        <w:spacing w:after="0"/>
        <w:rPr>
          <w:rFonts w:ascii="Arial" w:cs="Arial" w:eastAsia="Arial" w:hAnsi="Arial"/>
          <w:sz w:val="16"/>
          <w:szCs w:val="16"/>
          <w:color w:val="auto"/>
        </w:rPr>
      </w:pPr>
      <w:r>
        <w:rPr>
          <w:rFonts w:ascii="Arial" w:cs="Arial" w:eastAsia="Arial" w:hAnsi="Arial"/>
          <w:sz w:val="18"/>
          <w:szCs w:val="18"/>
          <w:color w:val="auto"/>
        </w:rPr>
        <w:t>(6)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Confidential treatment granted.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134</w:t>
            </w: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3, 2017.</w:t>
      </w:r>
    </w:p>
    <w:p>
      <w:pPr>
        <w:spacing w:after="0" w:line="195" w:lineRule="exact"/>
        <w:rPr>
          <w:sz w:val="20"/>
          <w:szCs w:val="20"/>
          <w:color w:val="auto"/>
        </w:rPr>
      </w:pPr>
    </w:p>
    <w:p>
      <w:pPr>
        <w:ind w:left="686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8"/>
          <w:szCs w:val="18"/>
          <w:color w:val="auto"/>
        </w:rPr>
        <w:t>Brian L. Roberts</w:t>
      </w:r>
    </w:p>
    <w:p>
      <w:pPr>
        <w:jc w:val="center"/>
        <w:ind w:left="7280"/>
        <w:spacing w:after="0"/>
        <w:rPr>
          <w:sz w:val="20"/>
          <w:szCs w:val="20"/>
          <w:color w:val="auto"/>
        </w:rPr>
      </w:pPr>
      <w:r>
        <w:rPr>
          <w:rFonts w:ascii="Arial" w:cs="Arial" w:eastAsia="Arial" w:hAnsi="Arial"/>
          <w:sz w:val="18"/>
          <w:szCs w:val="18"/>
          <w:i w:val="1"/>
          <w:iCs w:val="1"/>
          <w:color w:val="auto"/>
        </w:rPr>
        <w:t>Chairman and CEO</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404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90"/>
              </w:rPr>
              <w:t>Title</w:t>
            </w:r>
          </w:p>
        </w:tc>
        <w:tc>
          <w:tcPr>
            <w:tcW w:w="2700" w:type="dxa"/>
            <w:vAlign w:val="bottom"/>
            <w:tcBorders>
              <w:bottom w:val="single" w:sz="8" w:color="auto"/>
            </w:tcBorders>
          </w:tcPr>
          <w:p>
            <w:pPr>
              <w:jc w:val="center"/>
              <w:ind w:left="575"/>
              <w:spacing w:after="0"/>
              <w:rPr>
                <w:sz w:val="20"/>
                <w:szCs w:val="20"/>
                <w:color w:val="auto"/>
              </w:rPr>
            </w:pPr>
            <w:r>
              <w:rPr>
                <w:rFonts w:ascii="Arial" w:cs="Arial" w:eastAsia="Arial" w:hAnsi="Arial"/>
                <w:sz w:val="14"/>
                <w:szCs w:val="14"/>
                <w:color w:val="auto"/>
                <w:w w:val="94"/>
              </w:rPr>
              <w:t>Date</w:t>
            </w:r>
          </w:p>
        </w:tc>
      </w:tr>
      <w:tr>
        <w:trPr>
          <w:trHeight w:val="358"/>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7"/>
              </w:rPr>
              <w:t>Chairman and CEO; 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Brian L. Roberts</w:t>
            </w:r>
          </w:p>
        </w:tc>
        <w:tc>
          <w:tcPr>
            <w:tcW w:w="4040" w:type="dxa"/>
            <w:vAlign w:val="bottom"/>
          </w:tcPr>
          <w:p>
            <w:pPr>
              <w:jc w:val="center"/>
              <w:ind w:left="594"/>
              <w:spacing w:after="0" w:line="195" w:lineRule="exact"/>
              <w:rPr>
                <w:sz w:val="20"/>
                <w:szCs w:val="20"/>
                <w:color w:val="auto"/>
              </w:rPr>
            </w:pPr>
            <w:r>
              <w:rPr>
                <w:rFonts w:ascii="Arial" w:cs="Arial" w:eastAsia="Arial" w:hAnsi="Arial"/>
                <w:sz w:val="18"/>
                <w:szCs w:val="18"/>
                <w:color w:val="auto"/>
                <w:w w:val="97"/>
              </w:rPr>
              <w:t>(Principal Executive Officer)</w:t>
            </w: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4040" w:type="dxa"/>
            <w:vAlign w:val="bottom"/>
          </w:tcPr>
          <w:p>
            <w:pPr>
              <w:jc w:val="center"/>
              <w:ind w:left="574"/>
              <w:spacing w:after="0"/>
              <w:rPr>
                <w:sz w:val="20"/>
                <w:szCs w:val="20"/>
                <w:color w:val="auto"/>
              </w:rPr>
            </w:pPr>
            <w:r>
              <w:rPr>
                <w:rFonts w:ascii="Arial" w:cs="Arial" w:eastAsia="Arial" w:hAnsi="Arial"/>
                <w:sz w:val="18"/>
                <w:szCs w:val="18"/>
                <w:color w:val="auto"/>
                <w:w w:val="97"/>
              </w:rPr>
              <w:t>Senior Executive Vice President and CFO</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Michael J. Cavanagh</w:t>
            </w:r>
          </w:p>
        </w:tc>
        <w:tc>
          <w:tcPr>
            <w:tcW w:w="4040" w:type="dxa"/>
            <w:vAlign w:val="bottom"/>
          </w:tcPr>
          <w:p>
            <w:pPr>
              <w:jc w:val="center"/>
              <w:ind w:left="574"/>
              <w:spacing w:after="0" w:line="195" w:lineRule="exact"/>
              <w:rPr>
                <w:sz w:val="20"/>
                <w:szCs w:val="20"/>
                <w:color w:val="auto"/>
              </w:rPr>
            </w:pPr>
            <w:r>
              <w:rPr>
                <w:rFonts w:ascii="Arial" w:cs="Arial" w:eastAsia="Arial" w:hAnsi="Arial"/>
                <w:sz w:val="18"/>
                <w:szCs w:val="18"/>
                <w:color w:val="auto"/>
                <w:w w:val="97"/>
              </w:rPr>
              <w:t>(Principal Financial Officer)</w:t>
            </w: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7"/>
              </w:rPr>
              <w:t>Executive Vice President and</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186"/>
        </w:trPr>
        <w:tc>
          <w:tcPr>
            <w:tcW w:w="4680" w:type="dxa"/>
            <w:vAlign w:val="bottom"/>
          </w:tcPr>
          <w:p>
            <w:pPr>
              <w:jc w:val="center"/>
              <w:spacing w:after="0" w:line="186" w:lineRule="exact"/>
              <w:rPr>
                <w:sz w:val="20"/>
                <w:szCs w:val="20"/>
                <w:color w:val="auto"/>
              </w:rPr>
            </w:pPr>
            <w:r>
              <w:rPr>
                <w:rFonts w:ascii="Arial" w:cs="Arial" w:eastAsia="Arial" w:hAnsi="Arial"/>
                <w:sz w:val="18"/>
                <w:szCs w:val="18"/>
                <w:color w:val="auto"/>
                <w:w w:val="97"/>
              </w:rPr>
              <w:t>Lawrence J. Salva</w:t>
            </w:r>
          </w:p>
        </w:tc>
        <w:tc>
          <w:tcPr>
            <w:tcW w:w="4040" w:type="dxa"/>
            <w:vAlign w:val="bottom"/>
          </w:tcPr>
          <w:p>
            <w:pPr>
              <w:jc w:val="center"/>
              <w:ind w:left="594"/>
              <w:spacing w:after="0" w:line="186" w:lineRule="exact"/>
              <w:rPr>
                <w:sz w:val="20"/>
                <w:szCs w:val="20"/>
                <w:color w:val="auto"/>
              </w:rPr>
            </w:pPr>
            <w:r>
              <w:rPr>
                <w:rFonts w:ascii="Arial" w:cs="Arial" w:eastAsia="Arial" w:hAnsi="Arial"/>
                <w:sz w:val="18"/>
                <w:szCs w:val="18"/>
                <w:color w:val="auto"/>
                <w:w w:val="96"/>
              </w:rPr>
              <w:t>Chief Accounting Officer</w:t>
            </w:r>
          </w:p>
        </w:tc>
        <w:tc>
          <w:tcPr>
            <w:tcW w:w="2700" w:type="dxa"/>
            <w:vAlign w:val="bottom"/>
          </w:tcPr>
          <w:p>
            <w:pPr>
              <w:spacing w:after="0"/>
              <w:rPr>
                <w:sz w:val="16"/>
                <w:szCs w:val="16"/>
                <w:color w:val="auto"/>
              </w:rPr>
            </w:pPr>
          </w:p>
        </w:tc>
      </w:tr>
      <w:tr>
        <w:trPr>
          <w:trHeight w:val="211"/>
        </w:trPr>
        <w:tc>
          <w:tcPr>
            <w:tcW w:w="4680" w:type="dxa"/>
            <w:vAlign w:val="bottom"/>
          </w:tcPr>
          <w:p>
            <w:pPr>
              <w:spacing w:after="0"/>
              <w:rPr>
                <w:sz w:val="18"/>
                <w:szCs w:val="18"/>
                <w:color w:val="auto"/>
              </w:rPr>
            </w:pP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7"/>
              </w:rPr>
              <w:t>(Principal Accounting Officer)</w:t>
            </w: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J. B</w:t>
            </w:r>
            <w:r>
              <w:rPr>
                <w:rFonts w:ascii="Arial" w:cs="Arial" w:eastAsia="Arial" w:hAnsi="Arial"/>
                <w:sz w:val="14"/>
                <w:szCs w:val="14"/>
                <w:color w:val="auto"/>
              </w:rPr>
              <w:t>ACON</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Kenneth J. Bacon</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ADELINE</w:t>
            </w:r>
            <w:r>
              <w:rPr>
                <w:rFonts w:ascii="Arial" w:cs="Arial" w:eastAsia="Arial" w:hAnsi="Arial"/>
                <w:sz w:val="18"/>
                <w:szCs w:val="18"/>
                <w:color w:val="auto"/>
              </w:rPr>
              <w:t xml:space="preserve"> S. B</w:t>
            </w:r>
            <w:r>
              <w:rPr>
                <w:rFonts w:ascii="Arial" w:cs="Arial" w:eastAsia="Arial" w:hAnsi="Arial"/>
                <w:sz w:val="14"/>
                <w:szCs w:val="14"/>
                <w:color w:val="auto"/>
              </w:rPr>
              <w:t>ELL</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Madeline S. Bell</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Sheldon M. Bonovitz</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DWARD</w:t>
            </w:r>
            <w:r>
              <w:rPr>
                <w:rFonts w:ascii="Arial" w:cs="Arial" w:eastAsia="Arial" w:hAnsi="Arial"/>
                <w:sz w:val="18"/>
                <w:szCs w:val="18"/>
                <w:color w:val="auto"/>
              </w:rPr>
              <w:t xml:space="preserve"> D. B</w:t>
            </w:r>
            <w:r>
              <w:rPr>
                <w:rFonts w:ascii="Arial" w:cs="Arial" w:eastAsia="Arial" w:hAnsi="Arial"/>
                <w:sz w:val="14"/>
                <w:szCs w:val="14"/>
                <w:color w:val="auto"/>
              </w:rPr>
              <w:t>REEN</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Edward D. Breen</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J. C</w:t>
            </w:r>
            <w:r>
              <w:rPr>
                <w:rFonts w:ascii="Arial" w:cs="Arial" w:eastAsia="Arial" w:hAnsi="Arial"/>
                <w:sz w:val="14"/>
                <w:szCs w:val="14"/>
                <w:color w:val="auto"/>
              </w:rPr>
              <w:t>OLLINS</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Joseph J. Collins</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Gerald L. Hassell</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Jeffrey A. Honickman</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DUARDO</w:t>
            </w:r>
            <w:r>
              <w:rPr>
                <w:rFonts w:ascii="Arial" w:cs="Arial" w:eastAsia="Arial" w:hAnsi="Arial"/>
                <w:sz w:val="18"/>
                <w:szCs w:val="18"/>
                <w:color w:val="auto"/>
              </w:rPr>
              <w:t xml:space="preserve"> G. M</w:t>
            </w:r>
            <w:r>
              <w:rPr>
                <w:rFonts w:ascii="Arial" w:cs="Arial" w:eastAsia="Arial" w:hAnsi="Arial"/>
                <w:sz w:val="14"/>
                <w:szCs w:val="14"/>
                <w:color w:val="auto"/>
              </w:rPr>
              <w:t>ESTRE</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Eduardo G. Mestre</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C. N</w:t>
            </w:r>
            <w:r>
              <w:rPr>
                <w:rFonts w:ascii="Arial" w:cs="Arial" w:eastAsia="Arial" w:hAnsi="Arial"/>
                <w:sz w:val="14"/>
                <w:szCs w:val="14"/>
                <w:color w:val="auto"/>
              </w:rPr>
              <w:t>OVAK</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David C. Novak</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OHNATHAN</w:t>
            </w:r>
            <w:r>
              <w:rPr>
                <w:rFonts w:ascii="Arial" w:cs="Arial" w:eastAsia="Arial" w:hAnsi="Arial"/>
                <w:sz w:val="18"/>
                <w:szCs w:val="18"/>
                <w:color w:val="auto"/>
              </w:rPr>
              <w:t xml:space="preserve"> A. R</w:t>
            </w:r>
            <w:r>
              <w:rPr>
                <w:rFonts w:ascii="Arial" w:cs="Arial" w:eastAsia="Arial" w:hAnsi="Arial"/>
                <w:sz w:val="14"/>
                <w:szCs w:val="14"/>
                <w:color w:val="auto"/>
              </w:rPr>
              <w:t>ODGERS</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Johnathan A. Rodgers</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R</w:t>
            </w:r>
            <w:r>
              <w:rPr>
                <w:rFonts w:ascii="Arial" w:cs="Arial" w:eastAsia="Arial" w:hAnsi="Arial"/>
                <w:sz w:val="18"/>
                <w:szCs w:val="18"/>
                <w:color w:val="auto"/>
              </w:rPr>
              <w:t>. J</w:t>
            </w:r>
            <w:r>
              <w:rPr>
                <w:rFonts w:ascii="Arial" w:cs="Arial" w:eastAsia="Arial" w:hAnsi="Arial"/>
                <w:sz w:val="14"/>
                <w:szCs w:val="14"/>
                <w:color w:val="auto"/>
              </w:rPr>
              <w:t>UDITH</w:t>
            </w:r>
            <w:r>
              <w:rPr>
                <w:rFonts w:ascii="Arial" w:cs="Arial" w:eastAsia="Arial" w:hAnsi="Arial"/>
                <w:sz w:val="18"/>
                <w:szCs w:val="18"/>
                <w:color w:val="auto"/>
              </w:rPr>
              <w:t xml:space="preserve"> R</w:t>
            </w:r>
            <w:r>
              <w:rPr>
                <w:rFonts w:ascii="Arial" w:cs="Arial" w:eastAsia="Arial" w:hAnsi="Arial"/>
                <w:sz w:val="14"/>
                <w:szCs w:val="14"/>
                <w:color w:val="auto"/>
              </w:rPr>
              <w:t>ODIN</w:t>
            </w:r>
          </w:p>
        </w:tc>
        <w:tc>
          <w:tcPr>
            <w:tcW w:w="4040" w:type="dxa"/>
            <w:vAlign w:val="bottom"/>
          </w:tcPr>
          <w:p>
            <w:pPr>
              <w:jc w:val="center"/>
              <w:ind w:left="594"/>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ind w:left="555"/>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Dr. Judith Rodin</w:t>
            </w:r>
          </w:p>
        </w:tc>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515"/>
        </w:trPr>
        <w:tc>
          <w:tcPr>
            <w:tcW w:w="4680" w:type="dxa"/>
            <w:vAlign w:val="bottom"/>
          </w:tcPr>
          <w:p>
            <w:pPr>
              <w:spacing w:after="0"/>
              <w:rPr>
                <w:sz w:val="24"/>
                <w:szCs w:val="24"/>
                <w:color w:val="auto"/>
              </w:rPr>
            </w:pPr>
          </w:p>
        </w:tc>
        <w:tc>
          <w:tcPr>
            <w:tcW w:w="4040" w:type="dxa"/>
            <w:vAlign w:val="bottom"/>
          </w:tcPr>
          <w:p>
            <w:pPr>
              <w:jc w:val="right"/>
              <w:ind w:right="2814"/>
              <w:spacing w:after="0"/>
              <w:rPr>
                <w:sz w:val="20"/>
                <w:szCs w:val="20"/>
                <w:color w:val="auto"/>
              </w:rPr>
            </w:pPr>
            <w:r>
              <w:rPr>
                <w:rFonts w:ascii="Arial" w:cs="Arial" w:eastAsia="Arial" w:hAnsi="Arial"/>
                <w:sz w:val="14"/>
                <w:szCs w:val="14"/>
                <w:b w:val="1"/>
                <w:bCs w:val="1"/>
                <w:color w:val="auto"/>
              </w:rPr>
              <w:t>135</w:t>
            </w:r>
          </w:p>
        </w:tc>
        <w:tc>
          <w:tcPr>
            <w:tcW w:w="2700" w:type="dxa"/>
            <w:vAlign w:val="bottom"/>
          </w:tcPr>
          <w:p>
            <w:pPr>
              <w:ind w:left="60"/>
              <w:spacing w:after="0"/>
              <w:rPr>
                <w:sz w:val="20"/>
                <w:szCs w:val="20"/>
                <w:color w:val="auto"/>
              </w:rPr>
            </w:pPr>
            <w:r>
              <w:rPr>
                <w:rFonts w:ascii="Arial" w:cs="Arial" w:eastAsia="Arial" w:hAnsi="Arial"/>
                <w:sz w:val="14"/>
                <w:szCs w:val="14"/>
                <w:color w:val="auto"/>
                <w:w w:val="95"/>
              </w:rPr>
              <w:t>Comcast 2016 Annual Report on Form 10-K</w:t>
            </w: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3, 2017.</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ind w:left="6860"/>
        <w:spacing w:after="0"/>
        <w:rPr>
          <w:sz w:val="20"/>
          <w:szCs w:val="20"/>
          <w:color w:val="auto"/>
        </w:rPr>
      </w:pPr>
      <w:r>
        <w:rPr>
          <w:rFonts w:ascii="Arial" w:cs="Arial" w:eastAsia="Arial" w:hAnsi="Arial"/>
          <w:sz w:val="18"/>
          <w:szCs w:val="18"/>
          <w:color w:val="auto"/>
        </w:rPr>
        <w:t>By: NBCUNIVERSAL, LLC, its sole member</w:t>
      </w:r>
    </w:p>
    <w:p>
      <w:pPr>
        <w:spacing w:after="0" w:line="63"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B. B</w:t>
      </w:r>
      <w:r>
        <w:rPr>
          <w:rFonts w:ascii="Arial" w:cs="Arial" w:eastAsia="Arial" w:hAnsi="Arial"/>
          <w:sz w:val="14"/>
          <w:szCs w:val="14"/>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8"/>
          <w:szCs w:val="18"/>
          <w:color w:val="auto"/>
        </w:rPr>
        <w:t>Stephen B. Burke</w:t>
      </w:r>
    </w:p>
    <w:p>
      <w:pPr>
        <w:jc w:val="center"/>
        <w:ind w:left="7280"/>
        <w:spacing w:after="0"/>
        <w:rPr>
          <w:sz w:val="20"/>
          <w:szCs w:val="20"/>
          <w:color w:val="auto"/>
        </w:rPr>
      </w:pPr>
      <w:r>
        <w:rPr>
          <w:rFonts w:ascii="Arial" w:cs="Arial" w:eastAsia="Arial" w:hAnsi="Arial"/>
          <w:sz w:val="18"/>
          <w:szCs w:val="18"/>
          <w:i w:val="1"/>
          <w:iCs w:val="1"/>
          <w:color w:val="auto"/>
        </w:rPr>
        <w:t>Chief Executive Officer</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4300" w:type="dxa"/>
            <w:vAlign w:val="bottom"/>
            <w:tcBorders>
              <w:bottom w:val="single" w:sz="8" w:color="auto"/>
            </w:tcBorders>
          </w:tcPr>
          <w:p>
            <w:pPr>
              <w:jc w:val="center"/>
              <w:ind w:left="336"/>
              <w:spacing w:after="0"/>
              <w:rPr>
                <w:sz w:val="20"/>
                <w:szCs w:val="20"/>
                <w:color w:val="auto"/>
              </w:rPr>
            </w:pPr>
            <w:r>
              <w:rPr>
                <w:rFonts w:ascii="Arial" w:cs="Arial" w:eastAsia="Arial" w:hAnsi="Arial"/>
                <w:sz w:val="14"/>
                <w:szCs w:val="14"/>
                <w:color w:val="auto"/>
                <w:w w:val="90"/>
              </w:rPr>
              <w:t>Title</w:t>
            </w:r>
          </w:p>
        </w:tc>
        <w:tc>
          <w:tcPr>
            <w:tcW w:w="2440" w:type="dxa"/>
            <w:vAlign w:val="bottom"/>
            <w:tcBorders>
              <w:bottom w:val="single" w:sz="8" w:color="auto"/>
            </w:tcBorders>
          </w:tcPr>
          <w:p>
            <w:pPr>
              <w:jc w:val="center"/>
              <w:ind w:left="316"/>
              <w:spacing w:after="0"/>
              <w:rPr>
                <w:sz w:val="20"/>
                <w:szCs w:val="20"/>
                <w:color w:val="auto"/>
              </w:rPr>
            </w:pPr>
            <w:r>
              <w:rPr>
                <w:rFonts w:ascii="Arial" w:cs="Arial" w:eastAsia="Arial" w:hAnsi="Arial"/>
                <w:sz w:val="14"/>
                <w:szCs w:val="14"/>
                <w:color w:val="auto"/>
                <w:w w:val="94"/>
              </w:rPr>
              <w:t>Date</w:t>
            </w:r>
          </w:p>
        </w:tc>
      </w:tr>
      <w:tr>
        <w:trPr>
          <w:trHeight w:val="358"/>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 R</w:t>
            </w:r>
            <w:r>
              <w:rPr>
                <w:rFonts w:ascii="Arial" w:cs="Arial" w:eastAsia="Arial" w:hAnsi="Arial"/>
                <w:sz w:val="14"/>
                <w:szCs w:val="14"/>
                <w:color w:val="auto"/>
              </w:rPr>
              <w:t>OBERTS</w:t>
            </w:r>
          </w:p>
        </w:tc>
        <w:tc>
          <w:tcPr>
            <w:tcW w:w="4300" w:type="dxa"/>
            <w:vAlign w:val="bottom"/>
          </w:tcPr>
          <w:p>
            <w:pPr>
              <w:jc w:val="center"/>
              <w:ind w:left="336"/>
              <w:spacing w:after="0"/>
              <w:rPr>
                <w:sz w:val="20"/>
                <w:szCs w:val="20"/>
                <w:color w:val="auto"/>
              </w:rPr>
            </w:pPr>
            <w:r>
              <w:rPr>
                <w:rFonts w:ascii="Arial" w:cs="Arial" w:eastAsia="Arial" w:hAnsi="Arial"/>
                <w:sz w:val="18"/>
                <w:szCs w:val="18"/>
                <w:color w:val="auto"/>
                <w:w w:val="97"/>
              </w:rPr>
              <w:t>Principal Executive Officer</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Brian L. Roberts</w:t>
            </w:r>
          </w:p>
        </w:tc>
        <w:tc>
          <w:tcPr>
            <w:tcW w:w="4300" w:type="dxa"/>
            <w:vAlign w:val="bottom"/>
          </w:tcPr>
          <w:p>
            <w:pPr>
              <w:jc w:val="center"/>
              <w:ind w:left="336"/>
              <w:spacing w:after="0" w:line="195" w:lineRule="exact"/>
              <w:rPr>
                <w:sz w:val="20"/>
                <w:szCs w:val="20"/>
                <w:color w:val="auto"/>
              </w:rPr>
            </w:pPr>
            <w:r>
              <w:rPr>
                <w:rFonts w:ascii="Arial" w:cs="Arial" w:eastAsia="Arial" w:hAnsi="Arial"/>
                <w:sz w:val="18"/>
                <w:szCs w:val="18"/>
                <w:color w:val="auto"/>
                <w:w w:val="97"/>
              </w:rPr>
              <w:t>of NBCUniversal Media, LLC</w:t>
            </w:r>
          </w:p>
        </w:tc>
        <w:tc>
          <w:tcPr>
            <w:tcW w:w="244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4300" w:type="dxa"/>
            <w:vAlign w:val="bottom"/>
          </w:tcPr>
          <w:p>
            <w:pPr>
              <w:jc w:val="center"/>
              <w:ind w:left="336"/>
              <w:spacing w:after="0"/>
              <w:rPr>
                <w:sz w:val="20"/>
                <w:szCs w:val="20"/>
                <w:color w:val="auto"/>
              </w:rPr>
            </w:pPr>
            <w:r>
              <w:rPr>
                <w:rFonts w:ascii="Arial" w:cs="Arial" w:eastAsia="Arial" w:hAnsi="Arial"/>
                <w:sz w:val="18"/>
                <w:szCs w:val="18"/>
                <w:color w:val="auto"/>
                <w:w w:val="97"/>
              </w:rPr>
              <w:t>Principal Financial Officer</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3, 2017</w:t>
            </w:r>
          </w:p>
        </w:tc>
      </w:tr>
      <w:tr>
        <w:trPr>
          <w:trHeight w:val="186"/>
        </w:trPr>
        <w:tc>
          <w:tcPr>
            <w:tcW w:w="4680" w:type="dxa"/>
            <w:vAlign w:val="bottom"/>
          </w:tcPr>
          <w:p>
            <w:pPr>
              <w:jc w:val="center"/>
              <w:spacing w:after="0" w:line="186" w:lineRule="exact"/>
              <w:rPr>
                <w:sz w:val="20"/>
                <w:szCs w:val="20"/>
                <w:color w:val="auto"/>
              </w:rPr>
            </w:pPr>
            <w:r>
              <w:rPr>
                <w:rFonts w:ascii="Arial" w:cs="Arial" w:eastAsia="Arial" w:hAnsi="Arial"/>
                <w:sz w:val="18"/>
                <w:szCs w:val="18"/>
                <w:color w:val="auto"/>
                <w:w w:val="97"/>
              </w:rPr>
              <w:t>Michael J. Cavanagh</w:t>
            </w:r>
          </w:p>
        </w:tc>
        <w:tc>
          <w:tcPr>
            <w:tcW w:w="4300" w:type="dxa"/>
            <w:vAlign w:val="bottom"/>
          </w:tcPr>
          <w:p>
            <w:pPr>
              <w:jc w:val="center"/>
              <w:ind w:left="336"/>
              <w:spacing w:after="0" w:line="186" w:lineRule="exact"/>
              <w:rPr>
                <w:sz w:val="20"/>
                <w:szCs w:val="20"/>
                <w:color w:val="auto"/>
              </w:rPr>
            </w:pPr>
            <w:r>
              <w:rPr>
                <w:rFonts w:ascii="Arial" w:cs="Arial" w:eastAsia="Arial" w:hAnsi="Arial"/>
                <w:sz w:val="18"/>
                <w:szCs w:val="18"/>
                <w:color w:val="auto"/>
                <w:w w:val="96"/>
              </w:rPr>
              <w:t>of NBCUniversal Media, LLC;</w:t>
            </w:r>
          </w:p>
        </w:tc>
        <w:tc>
          <w:tcPr>
            <w:tcW w:w="2440" w:type="dxa"/>
            <w:vAlign w:val="bottom"/>
          </w:tcPr>
          <w:p>
            <w:pPr>
              <w:spacing w:after="0"/>
              <w:rPr>
                <w:sz w:val="16"/>
                <w:szCs w:val="16"/>
                <w:color w:val="auto"/>
              </w:rPr>
            </w:pPr>
          </w:p>
        </w:tc>
      </w:tr>
      <w:tr>
        <w:trPr>
          <w:trHeight w:val="211"/>
        </w:trPr>
        <w:tc>
          <w:tcPr>
            <w:tcW w:w="4680" w:type="dxa"/>
            <w:vAlign w:val="bottom"/>
          </w:tcPr>
          <w:p>
            <w:pPr>
              <w:spacing w:after="0"/>
              <w:rPr>
                <w:sz w:val="18"/>
                <w:szCs w:val="18"/>
                <w:color w:val="auto"/>
              </w:rPr>
            </w:pPr>
          </w:p>
        </w:tc>
        <w:tc>
          <w:tcPr>
            <w:tcW w:w="4300" w:type="dxa"/>
            <w:vAlign w:val="bottom"/>
          </w:tcPr>
          <w:p>
            <w:pPr>
              <w:jc w:val="center"/>
              <w:ind w:left="316"/>
              <w:spacing w:after="0"/>
              <w:rPr>
                <w:sz w:val="20"/>
                <w:szCs w:val="20"/>
                <w:color w:val="auto"/>
              </w:rPr>
            </w:pPr>
            <w:r>
              <w:rPr>
                <w:rFonts w:ascii="Arial" w:cs="Arial" w:eastAsia="Arial" w:hAnsi="Arial"/>
                <w:sz w:val="18"/>
                <w:szCs w:val="18"/>
                <w:color w:val="auto"/>
                <w:w w:val="97"/>
              </w:rPr>
              <w:t>Director of NBCUniversal, LLC</w:t>
            </w:r>
          </w:p>
        </w:tc>
        <w:tc>
          <w:tcPr>
            <w:tcW w:w="244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4300" w:type="dxa"/>
            <w:vAlign w:val="bottom"/>
          </w:tcPr>
          <w:p>
            <w:pPr>
              <w:jc w:val="center"/>
              <w:ind w:left="316"/>
              <w:spacing w:after="0"/>
              <w:rPr>
                <w:sz w:val="20"/>
                <w:szCs w:val="20"/>
                <w:color w:val="auto"/>
              </w:rPr>
            </w:pPr>
            <w:r>
              <w:rPr>
                <w:rFonts w:ascii="Arial" w:cs="Arial" w:eastAsia="Arial" w:hAnsi="Arial"/>
                <w:sz w:val="18"/>
                <w:szCs w:val="18"/>
                <w:color w:val="auto"/>
                <w:w w:val="97"/>
              </w:rPr>
              <w:t>Director of NBCUniversal, LLC</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Arthur R. Block</w:t>
            </w:r>
          </w:p>
        </w:tc>
        <w:tc>
          <w:tcPr>
            <w:tcW w:w="43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L. C</w:t>
            </w:r>
            <w:r>
              <w:rPr>
                <w:rFonts w:ascii="Arial" w:cs="Arial" w:eastAsia="Arial" w:hAnsi="Arial"/>
                <w:sz w:val="14"/>
                <w:szCs w:val="14"/>
                <w:color w:val="auto"/>
              </w:rPr>
              <w:t>OHEN</w:t>
            </w:r>
          </w:p>
        </w:tc>
        <w:tc>
          <w:tcPr>
            <w:tcW w:w="4300" w:type="dxa"/>
            <w:vAlign w:val="bottom"/>
          </w:tcPr>
          <w:p>
            <w:pPr>
              <w:jc w:val="center"/>
              <w:ind w:left="316"/>
              <w:spacing w:after="0"/>
              <w:rPr>
                <w:sz w:val="20"/>
                <w:szCs w:val="20"/>
                <w:color w:val="auto"/>
              </w:rPr>
            </w:pPr>
            <w:r>
              <w:rPr>
                <w:rFonts w:ascii="Arial" w:cs="Arial" w:eastAsia="Arial" w:hAnsi="Arial"/>
                <w:sz w:val="18"/>
                <w:szCs w:val="18"/>
                <w:color w:val="auto"/>
                <w:w w:val="97"/>
              </w:rPr>
              <w:t>Director of NBCUniversal, LLC</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David L. Cohen</w:t>
            </w:r>
          </w:p>
        </w:tc>
        <w:tc>
          <w:tcPr>
            <w:tcW w:w="43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4300" w:type="dxa"/>
            <w:vAlign w:val="bottom"/>
          </w:tcPr>
          <w:p>
            <w:pPr>
              <w:jc w:val="center"/>
              <w:ind w:left="336"/>
              <w:spacing w:after="0"/>
              <w:rPr>
                <w:sz w:val="20"/>
                <w:szCs w:val="20"/>
                <w:color w:val="auto"/>
              </w:rPr>
            </w:pPr>
            <w:r>
              <w:rPr>
                <w:rFonts w:ascii="Arial" w:cs="Arial" w:eastAsia="Arial" w:hAnsi="Arial"/>
                <w:sz w:val="18"/>
                <w:szCs w:val="18"/>
                <w:color w:val="auto"/>
                <w:w w:val="97"/>
              </w:rPr>
              <w:t>Principal Accounting Officer</w:t>
            </w:r>
          </w:p>
        </w:tc>
        <w:tc>
          <w:tcPr>
            <w:tcW w:w="2440" w:type="dxa"/>
            <w:vAlign w:val="bottom"/>
          </w:tcPr>
          <w:p>
            <w:pPr>
              <w:jc w:val="center"/>
              <w:ind w:left="296"/>
              <w:spacing w:after="0"/>
              <w:rPr>
                <w:sz w:val="20"/>
                <w:szCs w:val="20"/>
                <w:color w:val="auto"/>
              </w:rPr>
            </w:pPr>
            <w:r>
              <w:rPr>
                <w:rFonts w:ascii="Arial" w:cs="Arial" w:eastAsia="Arial" w:hAnsi="Arial"/>
                <w:sz w:val="18"/>
                <w:szCs w:val="18"/>
                <w:color w:val="auto"/>
                <w:w w:val="97"/>
              </w:rPr>
              <w:t>February 3, 2017</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Lawrence J. Salva</w:t>
            </w:r>
          </w:p>
        </w:tc>
        <w:tc>
          <w:tcPr>
            <w:tcW w:w="4300" w:type="dxa"/>
            <w:vAlign w:val="bottom"/>
          </w:tcPr>
          <w:p>
            <w:pPr>
              <w:jc w:val="center"/>
              <w:ind w:left="336"/>
              <w:spacing w:after="0" w:line="195" w:lineRule="exact"/>
              <w:rPr>
                <w:sz w:val="20"/>
                <w:szCs w:val="20"/>
                <w:color w:val="auto"/>
              </w:rPr>
            </w:pPr>
            <w:r>
              <w:rPr>
                <w:rFonts w:ascii="Arial" w:cs="Arial" w:eastAsia="Arial" w:hAnsi="Arial"/>
                <w:sz w:val="18"/>
                <w:szCs w:val="18"/>
                <w:color w:val="auto"/>
                <w:w w:val="97"/>
              </w:rPr>
              <w:t>of NBCUniversal Media, LLC</w:t>
            </w:r>
          </w:p>
        </w:tc>
        <w:tc>
          <w:tcPr>
            <w:tcW w:w="2440" w:type="dxa"/>
            <w:vAlign w:val="bottom"/>
          </w:tcPr>
          <w:p>
            <w:pPr>
              <w:spacing w:after="0"/>
              <w:rPr>
                <w:sz w:val="18"/>
                <w:szCs w:val="18"/>
                <w:color w:val="auto"/>
              </w:rPr>
            </w:pPr>
          </w:p>
        </w:tc>
      </w:tr>
      <w:tr>
        <w:trPr>
          <w:trHeight w:val="515"/>
        </w:trPr>
        <w:tc>
          <w:tcPr>
            <w:tcW w:w="468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4300" w:type="dxa"/>
            <w:vAlign w:val="bottom"/>
          </w:tcPr>
          <w:p>
            <w:pPr>
              <w:jc w:val="right"/>
              <w:ind w:right="3076"/>
              <w:spacing w:after="0"/>
              <w:rPr>
                <w:sz w:val="20"/>
                <w:szCs w:val="20"/>
                <w:color w:val="auto"/>
              </w:rPr>
            </w:pPr>
            <w:r>
              <w:rPr>
                <w:rFonts w:ascii="Arial" w:cs="Arial" w:eastAsia="Arial" w:hAnsi="Arial"/>
                <w:sz w:val="14"/>
                <w:szCs w:val="14"/>
                <w:b w:val="1"/>
                <w:bCs w:val="1"/>
                <w:color w:val="auto"/>
              </w:rPr>
              <w:t>136</w:t>
            </w:r>
          </w:p>
        </w:tc>
        <w:tc>
          <w:tcPr>
            <w:tcW w:w="2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NBCUniversal Media, LLC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Index</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4500" w:type="dxa"/>
            <w:vAlign w:val="bottom"/>
            <w:tcBorders>
              <w:bottom w:val="single" w:sz="8" w:color="0000EE"/>
            </w:tcBorders>
            <w:gridSpan w:val="7"/>
          </w:tcPr>
          <w:p>
            <w:pPr>
              <w:spacing w:after="0" w:line="170" w:lineRule="exact"/>
              <w:rPr>
                <w:rFonts w:ascii="Arial" w:cs="Arial" w:eastAsia="Arial" w:hAnsi="Arial"/>
                <w:sz w:val="18"/>
                <w:szCs w:val="18"/>
                <w:color w:val="0000EE"/>
                <w:w w:val="97"/>
              </w:rPr>
            </w:pPr>
            <w:hyperlink w:anchor="page141">
              <w:r>
                <w:rPr>
                  <w:rFonts w:ascii="Arial" w:cs="Arial" w:eastAsia="Arial" w:hAnsi="Arial"/>
                  <w:sz w:val="18"/>
                  <w:szCs w:val="18"/>
                  <w:color w:val="0000EE"/>
                  <w:w w:val="97"/>
                </w:rPr>
                <w:t>Report of Independent Registered Public Accounting Firm</w:t>
              </w:r>
            </w:hyperlink>
          </w:p>
        </w:tc>
        <w:tc>
          <w:tcPr>
            <w:tcW w:w="2800" w:type="dxa"/>
            <w:vAlign w:val="bottom"/>
          </w:tcPr>
          <w:p>
            <w:pPr>
              <w:spacing w:after="0"/>
              <w:rPr>
                <w:sz w:val="14"/>
                <w:szCs w:val="14"/>
                <w:color w:val="auto"/>
              </w:rPr>
            </w:pPr>
          </w:p>
        </w:tc>
        <w:tc>
          <w:tcPr>
            <w:tcW w:w="4120" w:type="dxa"/>
            <w:vAlign w:val="bottom"/>
          </w:tcPr>
          <w:p>
            <w:pPr>
              <w:jc w:val="right"/>
              <w:spacing w:after="0" w:line="170" w:lineRule="exact"/>
              <w:rPr>
                <w:sz w:val="20"/>
                <w:szCs w:val="20"/>
                <w:color w:val="auto"/>
              </w:rPr>
            </w:pPr>
            <w:r>
              <w:rPr>
                <w:rFonts w:ascii="Arial" w:cs="Arial" w:eastAsia="Arial" w:hAnsi="Arial"/>
                <w:sz w:val="18"/>
                <w:szCs w:val="18"/>
                <w:color w:val="auto"/>
              </w:rPr>
              <w:t>138</w:t>
            </w:r>
          </w:p>
        </w:tc>
      </w:tr>
      <w:tr>
        <w:trPr>
          <w:trHeight w:val="304"/>
        </w:trPr>
        <w:tc>
          <w:tcPr>
            <w:tcW w:w="7300" w:type="dxa"/>
            <w:vAlign w:val="bottom"/>
            <w:gridSpan w:val="8"/>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Consolidated Balance Sheet</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2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04"/>
        </w:trPr>
        <w:tc>
          <w:tcPr>
            <w:tcW w:w="7300" w:type="dxa"/>
            <w:vAlign w:val="bottom"/>
            <w:gridSpan w:val="8"/>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Consolidated Statement of Income</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2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04"/>
        </w:trPr>
        <w:tc>
          <w:tcPr>
            <w:tcW w:w="39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44">
              <w:r>
                <w:rPr>
                  <w:rFonts w:ascii="Arial" w:cs="Arial" w:eastAsia="Arial" w:hAnsi="Arial"/>
                  <w:sz w:val="18"/>
                  <w:szCs w:val="18"/>
                  <w:color w:val="0000EE"/>
                  <w:w w:val="97"/>
                </w:rPr>
                <w:t>Consolidated Statement of Comprehensive Income</w:t>
              </w:r>
            </w:hyperlink>
          </w:p>
        </w:tc>
        <w:tc>
          <w:tcPr>
            <w:tcW w:w="3320" w:type="dxa"/>
            <w:vAlign w:val="bottom"/>
            <w:gridSpan w:val="2"/>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04"/>
        </w:trPr>
        <w:tc>
          <w:tcPr>
            <w:tcW w:w="7300" w:type="dxa"/>
            <w:vAlign w:val="bottom"/>
            <w:gridSpan w:val="8"/>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Consolidated Statement of Cash Flows</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04"/>
        </w:trPr>
        <w:tc>
          <w:tcPr>
            <w:tcW w:w="35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46">
              <w:r>
                <w:rPr>
                  <w:rFonts w:ascii="Arial" w:cs="Arial" w:eastAsia="Arial" w:hAnsi="Arial"/>
                  <w:sz w:val="18"/>
                  <w:szCs w:val="18"/>
                  <w:color w:val="0000EE"/>
                  <w:w w:val="97"/>
                </w:rPr>
                <w:t>Consolidated Statement of Changes in Equity</w:t>
              </w:r>
            </w:hyperlink>
          </w:p>
        </w:tc>
        <w:tc>
          <w:tcPr>
            <w:tcW w:w="3740" w:type="dxa"/>
            <w:vAlign w:val="bottom"/>
            <w:gridSpan w:val="3"/>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04"/>
        </w:trPr>
        <w:tc>
          <w:tcPr>
            <w:tcW w:w="7300" w:type="dxa"/>
            <w:vAlign w:val="bottom"/>
            <w:gridSpan w:val="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Notes to Consolidated Financial Statements</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
        </w:trPr>
        <w:tc>
          <w:tcPr>
            <w:tcW w:w="2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r>
        <w:trPr>
          <w:trHeight w:val="506"/>
        </w:trPr>
        <w:tc>
          <w:tcPr>
            <w:tcW w:w="7300" w:type="dxa"/>
            <w:vAlign w:val="bottom"/>
            <w:gridSpan w:val="8"/>
          </w:tcPr>
          <w:p>
            <w:pPr>
              <w:ind w:left="5600"/>
              <w:spacing w:after="0"/>
              <w:rPr>
                <w:sz w:val="20"/>
                <w:szCs w:val="20"/>
                <w:color w:val="auto"/>
              </w:rPr>
            </w:pPr>
            <w:r>
              <w:rPr>
                <w:rFonts w:ascii="Arial" w:cs="Arial" w:eastAsia="Arial" w:hAnsi="Arial"/>
                <w:sz w:val="14"/>
                <w:szCs w:val="14"/>
                <w:b w:val="1"/>
                <w:bCs w:val="1"/>
                <w:color w:val="auto"/>
              </w:rPr>
              <w:t>137</w:t>
            </w:r>
          </w:p>
        </w:tc>
        <w:tc>
          <w:tcPr>
            <w:tcW w:w="4120" w:type="dxa"/>
            <w:vAlign w:val="bottom"/>
          </w:tcPr>
          <w:p>
            <w:pPr>
              <w:jc w:val="right"/>
              <w:spacing w:after="0"/>
              <w:rPr>
                <w:sz w:val="20"/>
                <w:szCs w:val="20"/>
                <w:color w:val="auto"/>
              </w:rPr>
            </w:pPr>
            <w:r>
              <w:rPr>
                <w:rFonts w:ascii="Arial" w:cs="Arial" w:eastAsia="Arial" w:hAnsi="Arial"/>
                <w:sz w:val="14"/>
                <w:szCs w:val="14"/>
                <w:color w:val="auto"/>
              </w:rPr>
              <w:t>Comcast 2016 Annual Report on Form 10-K</w:t>
            </w: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NBCUniversal Media, LLC and subsidiaries (the “Company”) as of December 31, 2016 and 2015, and the related consolidated statements of income, comprehensive income, cash flows and changes in equity for each of the three years in the period ended December 31, 2016. These financial statements are the responsibility of the Company’s management. Our responsibility is to express an opinion on these financial statements based on our audits.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their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NBCUniversal Media, LLC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February 3, 2017</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138</w:t>
            </w: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1,966</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24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6,302</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1,241</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938</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5"/>
                <w:szCs w:val="15"/>
                <w:color w:val="auto"/>
              </w:rPr>
            </w:pPr>
          </w:p>
        </w:tc>
        <w:tc>
          <w:tcPr>
            <w:tcW w:w="76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10,447</w:t>
            </w:r>
          </w:p>
        </w:tc>
        <w:tc>
          <w:tcPr>
            <w:tcW w:w="2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7,245</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1,263</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10,511</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9,521</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23,323</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20,364</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13,777</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1,688</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68,254</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60,690</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1,647</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24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1,726</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Program obligations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807</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1,016</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1,888</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Note payable to Comcast</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2,703</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127</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5"/>
                <w:szCs w:val="15"/>
                <w:color w:val="auto"/>
              </w:rPr>
            </w:pPr>
          </w:p>
        </w:tc>
        <w:tc>
          <w:tcPr>
            <w:tcW w:w="76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9,914</w:t>
            </w:r>
          </w:p>
        </w:tc>
        <w:tc>
          <w:tcPr>
            <w:tcW w:w="2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11,461</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Accrued participations, residuals and program obligations</w:t>
            </w:r>
          </w:p>
        </w:tc>
        <w:tc>
          <w:tcPr>
            <w:tcW w:w="242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1,202</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5"/>
        </w:trPr>
        <w:tc>
          <w:tcPr>
            <w:tcW w:w="73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2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b w:val="1"/>
                <w:bCs w:val="1"/>
                <w:color w:val="auto"/>
              </w:rPr>
              <w:t>4,130</w:t>
            </w:r>
          </w:p>
        </w:tc>
        <w:tc>
          <w:tcPr>
            <w:tcW w:w="26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15)</w:t>
            </w:r>
          </w:p>
        </w:tc>
        <w:tc>
          <w:tcPr>
            <w:tcW w:w="2420" w:type="dxa"/>
            <w:vAlign w:val="bottom"/>
          </w:tcPr>
          <w:p>
            <w:pPr>
              <w:spacing w:after="0"/>
              <w:rPr>
                <w:sz w:val="17"/>
                <w:szCs w:val="17"/>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530</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4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420" w:type="dxa"/>
            <w:vAlign w:val="bottom"/>
          </w:tcPr>
          <w:p>
            <w:pPr>
              <w:spacing w:after="0"/>
              <w:rPr>
                <w:sz w:val="17"/>
                <w:szCs w:val="17"/>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39,036</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Member’s capital</w:t>
            </w:r>
          </w:p>
        </w:tc>
        <w:tc>
          <w:tcPr>
            <w:tcW w:w="2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(135)</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Total NBCUniversal member’s equity</w:t>
            </w:r>
          </w:p>
        </w:tc>
        <w:tc>
          <w:tcPr>
            <w:tcW w:w="2420" w:type="dxa"/>
            <w:vAlign w:val="bottom"/>
          </w:tcPr>
          <w:p>
            <w:pPr>
              <w:spacing w:after="0"/>
              <w:rPr>
                <w:sz w:val="15"/>
                <w:szCs w:val="15"/>
                <w:color w:val="auto"/>
              </w:rPr>
            </w:pPr>
          </w:p>
        </w:tc>
        <w:tc>
          <w:tcPr>
            <w:tcW w:w="76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38,901</w:t>
            </w:r>
          </w:p>
        </w:tc>
        <w:tc>
          <w:tcPr>
            <w:tcW w:w="2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32,622</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2,116</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41,017</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34,303</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68,254</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60,690</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2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139</w:t>
            </w:r>
          </w:p>
        </w:tc>
        <w:tc>
          <w:tcPr>
            <w:tcW w:w="4120" w:type="dxa"/>
            <w:vAlign w:val="bottom"/>
            <w:gridSpan w:val="4"/>
          </w:tcPr>
          <w:p>
            <w:pPr>
              <w:jc w:val="right"/>
              <w:spacing w:after="0"/>
              <w:rPr>
                <w:sz w:val="20"/>
                <w:szCs w:val="20"/>
                <w:color w:val="auto"/>
              </w:rPr>
            </w:pPr>
            <w:r>
              <w:rPr>
                <w:rFonts w:ascii="Arial" w:cs="Arial" w:eastAsia="Arial" w:hAnsi="Arial"/>
                <w:sz w:val="14"/>
                <w:szCs w:val="14"/>
                <w:color w:val="auto"/>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39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49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9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31,593</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28,462</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25,428</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392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14,540</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6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39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13,418</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12,318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92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7,059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5,891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92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2,767</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2,795</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92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861</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669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3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944</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870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26,171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23,643</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21,335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392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5,422</w:t>
            </w:r>
          </w:p>
        </w:tc>
        <w:tc>
          <w:tcPr>
            <w:tcW w:w="2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4,819</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39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(595)</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6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39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(495)</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92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9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(99)</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3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93</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(571)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177"/>
        </w:trPr>
        <w:tc>
          <w:tcPr>
            <w:tcW w:w="498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392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4,851</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3,851</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21"/>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3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77"/>
        </w:trPr>
        <w:tc>
          <w:tcPr>
            <w:tcW w:w="498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392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4,546</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3,624</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21"/>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NBCUniversal</w:t>
            </w:r>
          </w:p>
        </w:tc>
        <w:tc>
          <w:tcPr>
            <w:tcW w:w="39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4,235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3,414</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09"/>
        </w:trPr>
        <w:tc>
          <w:tcPr>
            <w:tcW w:w="498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980" w:type="dxa"/>
            <w:vAlign w:val="bottom"/>
            <w:gridSpan w:val="2"/>
          </w:tcPr>
          <w:p>
            <w:pPr>
              <w:spacing w:after="0"/>
              <w:rPr>
                <w:sz w:val="20"/>
                <w:szCs w:val="20"/>
                <w:color w:val="auto"/>
              </w:rPr>
            </w:pPr>
            <w:r>
              <w:rPr>
                <w:rFonts w:ascii="Arial" w:cs="Arial" w:eastAsia="Arial" w:hAnsi="Arial"/>
                <w:sz w:val="14"/>
                <w:szCs w:val="14"/>
                <w:color w:val="auto"/>
              </w:rPr>
              <w:t>Comcast 2016 Annual Report on Form 10-K</w:t>
            </w:r>
          </w:p>
        </w:tc>
        <w:tc>
          <w:tcPr>
            <w:tcW w:w="3920" w:type="dxa"/>
            <w:vAlign w:val="bottom"/>
          </w:tcPr>
          <w:p>
            <w:pPr>
              <w:jc w:val="right"/>
              <w:ind w:right="2999"/>
              <w:spacing w:after="0"/>
              <w:rPr>
                <w:sz w:val="20"/>
                <w:szCs w:val="20"/>
                <w:color w:val="auto"/>
              </w:rPr>
            </w:pPr>
            <w:r>
              <w:rPr>
                <w:rFonts w:ascii="Arial" w:cs="Arial" w:eastAsia="Arial" w:hAnsi="Arial"/>
                <w:sz w:val="14"/>
                <w:szCs w:val="14"/>
                <w:b w:val="1"/>
                <w:bCs w:val="1"/>
                <w:color w:val="auto"/>
              </w:rPr>
              <w:t>140</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4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2014</w:t>
            </w:r>
          </w:p>
        </w:tc>
      </w:tr>
      <w:tr>
        <w:trPr>
          <w:trHeight w:val="177"/>
        </w:trPr>
        <w:tc>
          <w:tcPr>
            <w:tcW w:w="7400" w:type="dxa"/>
            <w:vAlign w:val="bottom"/>
          </w:tcPr>
          <w:p>
            <w:pPr>
              <w:spacing w:after="0" w:line="177" w:lineRule="exact"/>
              <w:rPr>
                <w:sz w:val="20"/>
                <w:szCs w:val="20"/>
                <w:color w:val="auto"/>
              </w:rPr>
            </w:pPr>
            <w:r>
              <w:rPr>
                <w:rFonts w:ascii="Arial" w:cs="Arial" w:eastAsia="Arial" w:hAnsi="Arial"/>
                <w:sz w:val="18"/>
                <w:szCs w:val="18"/>
                <w:color w:val="auto"/>
              </w:rPr>
              <w:t>Net income</w:t>
            </w:r>
          </w:p>
        </w:tc>
        <w:tc>
          <w:tcPr>
            <w:tcW w:w="240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$ 4,546</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$ 3,624</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$ 3,297</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 net</w:t>
            </w:r>
          </w:p>
        </w:tc>
        <w:tc>
          <w:tcPr>
            <w:tcW w:w="24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w:t>
            </w:r>
          </w:p>
        </w:tc>
        <w:tc>
          <w:tcPr>
            <w:tcW w:w="24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15</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21"/>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w:t>
            </w:r>
          </w:p>
        </w:tc>
        <w:tc>
          <w:tcPr>
            <w:tcW w:w="2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112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177"/>
        </w:trPr>
        <w:tc>
          <w:tcPr>
            <w:tcW w:w="740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240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4,697</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3,542</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3,154</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noncontrolling interests</w:t>
            </w:r>
          </w:p>
        </w:tc>
        <w:tc>
          <w:tcPr>
            <w:tcW w:w="2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r>
      <w:tr>
        <w:trPr>
          <w:trHeight w:val="221"/>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196"/>
        </w:trPr>
        <w:tc>
          <w:tcPr>
            <w:tcW w:w="74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NBCUniversal</w:t>
            </w:r>
          </w:p>
        </w:tc>
        <w:tc>
          <w:tcPr>
            <w:tcW w:w="24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$ 4,312</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$ 3,361</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$ 2,972</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23"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141</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4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54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43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$ 4,546</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4320" w:type="dxa"/>
            <w:vAlign w:val="bottom"/>
            <w:vMerge w:val="continue"/>
          </w:tcPr>
          <w:p>
            <w:pPr>
              <w:spacing w:after="0"/>
              <w:rPr>
                <w:sz w:val="17"/>
                <w:szCs w:val="17"/>
                <w:color w:val="auto"/>
              </w:rPr>
            </w:pP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$ 3,624</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$ 3,297</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w:t>
            </w:r>
          </w:p>
        </w:tc>
        <w:tc>
          <w:tcPr>
            <w:tcW w:w="4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provided by operating activities:</w:t>
            </w:r>
          </w:p>
        </w:tc>
        <w:tc>
          <w:tcPr>
            <w:tcW w:w="43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1,805</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6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4320" w:type="dxa"/>
            <w:vAlign w:val="bottom"/>
            <w:vMerge w:val="continue"/>
          </w:tcPr>
          <w:p>
            <w:pPr>
              <w:spacing w:after="0"/>
              <w:rPr>
                <w:sz w:val="15"/>
                <w:szCs w:val="15"/>
                <w:color w:val="auto"/>
              </w:rPr>
            </w:pPr>
          </w:p>
        </w:tc>
        <w:tc>
          <w:tcPr>
            <w:tcW w:w="8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1,539</w:t>
            </w:r>
          </w:p>
        </w:tc>
        <w:tc>
          <w:tcPr>
            <w:tcW w:w="80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43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99</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376</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43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68</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60</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(80)</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56</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320" w:type="dxa"/>
            <w:vAlign w:val="bottom"/>
          </w:tcPr>
          <w:p>
            <w:pPr>
              <w:jc w:val="right"/>
              <w:ind w:right="54"/>
              <w:spacing w:after="0"/>
              <w:rPr>
                <w:sz w:val="20"/>
                <w:szCs w:val="20"/>
                <w:color w:val="auto"/>
              </w:rPr>
            </w:pPr>
            <w:r>
              <w:rPr>
                <w:rFonts w:ascii="Arial" w:cs="Arial" w:eastAsia="Arial" w:hAnsi="Arial"/>
                <w:sz w:val="18"/>
                <w:szCs w:val="18"/>
                <w:b w:val="1"/>
                <w:bCs w:val="1"/>
                <w:color w:val="auto"/>
              </w:rPr>
              <w:t>89</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1"/>
        </w:trPr>
        <w:tc>
          <w:tcPr>
            <w:tcW w:w="9800" w:type="dxa"/>
            <w:vAlign w:val="bottom"/>
            <w:gridSpan w:val="3"/>
          </w:tcPr>
          <w:p>
            <w:pPr>
              <w:spacing w:after="0" w:line="181"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Current and noncurrent receivables, net</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Film and television costs, net</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w w:val="99"/>
              </w:rPr>
              <w:t>Accounts payable and accrued expenses related to trade creditors</w:t>
            </w:r>
          </w:p>
        </w:tc>
        <w:tc>
          <w:tcPr>
            <w:tcW w:w="43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51</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97</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operating assets and liabilities</w:t>
            </w: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585</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43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4,897</w:t>
            </w:r>
          </w:p>
        </w:tc>
        <w:tc>
          <w:tcPr>
            <w:tcW w:w="8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5,304</w:t>
            </w:r>
          </w:p>
        </w:tc>
        <w:tc>
          <w:tcPr>
            <w:tcW w:w="8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199"/>
        </w:trPr>
        <w:tc>
          <w:tcPr>
            <w:tcW w:w="54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4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(1,452)</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6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4320" w:type="dxa"/>
            <w:vAlign w:val="bottom"/>
            <w:vMerge w:val="continue"/>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(1,386)</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(1,522)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43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109</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218</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(649)</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4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(2,244)</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(3,400)</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199"/>
        </w:trPr>
        <w:tc>
          <w:tcPr>
            <w:tcW w:w="54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4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(1,565)</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60" w:type="dxa"/>
            <w:vAlign w:val="bottom"/>
          </w:tcPr>
          <w:p>
            <w:pPr>
              <w:ind w:left="200"/>
              <w:spacing w:after="0" w:line="181" w:lineRule="exact"/>
              <w:rPr>
                <w:sz w:val="20"/>
                <w:szCs w:val="20"/>
                <w:color w:val="auto"/>
              </w:rPr>
            </w:pPr>
            <w:r>
              <w:rPr>
                <w:rFonts w:ascii="Arial" w:cs="Arial" w:eastAsia="Arial" w:hAnsi="Arial"/>
                <w:sz w:val="18"/>
                <w:szCs w:val="18"/>
                <w:color w:val="auto"/>
              </w:rPr>
              <w:t>Repurchases and repayments of debt</w:t>
            </w:r>
          </w:p>
        </w:tc>
        <w:tc>
          <w:tcPr>
            <w:tcW w:w="4320" w:type="dxa"/>
            <w:vAlign w:val="bottom"/>
            <w:vMerge w:val="continue"/>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(1,022)</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borrowings from Comcast, net</w:t>
            </w:r>
          </w:p>
        </w:tc>
        <w:tc>
          <w:tcPr>
            <w:tcW w:w="43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928</w:t>
            </w:r>
          </w:p>
        </w:tc>
        <w:tc>
          <w:tcPr>
            <w:tcW w:w="8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854</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member</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(1,606)</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(1,385)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w:t>
            </w:r>
          </w:p>
        </w:tc>
        <w:tc>
          <w:tcPr>
            <w:tcW w:w="4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(189)</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356</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4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(2,097)</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(1,742)</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177"/>
        </w:trPr>
        <w:tc>
          <w:tcPr>
            <w:tcW w:w="548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43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556</w:t>
            </w:r>
          </w:p>
        </w:tc>
        <w:tc>
          <w:tcPr>
            <w:tcW w:w="8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162</w:t>
            </w:r>
          </w:p>
        </w:tc>
        <w:tc>
          <w:tcPr>
            <w:tcW w:w="80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4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1,410</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1,248</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43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$ 1,966</w:t>
            </w:r>
          </w:p>
        </w:tc>
        <w:tc>
          <w:tcPr>
            <w:tcW w:w="8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$ 1,410</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$ 1,248</w:t>
            </w:r>
          </w:p>
        </w:tc>
        <w:tc>
          <w:tcPr>
            <w:tcW w:w="0" w:type="dxa"/>
            <w:vAlign w:val="bottom"/>
          </w:tcPr>
          <w:p>
            <w:pPr>
              <w:spacing w:after="0"/>
              <w:rPr>
                <w:sz w:val="1"/>
                <w:szCs w:val="1"/>
                <w:color w:val="auto"/>
              </w:rPr>
            </w:pPr>
          </w:p>
        </w:tc>
      </w:tr>
      <w:tr>
        <w:trPr>
          <w:trHeight w:val="209"/>
        </w:trPr>
        <w:tc>
          <w:tcPr>
            <w:tcW w:w="548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480" w:type="dxa"/>
            <w:vAlign w:val="bottom"/>
            <w:gridSpan w:val="2"/>
          </w:tcPr>
          <w:p>
            <w:pPr>
              <w:spacing w:after="0"/>
              <w:rPr>
                <w:sz w:val="20"/>
                <w:szCs w:val="20"/>
                <w:color w:val="auto"/>
              </w:rPr>
            </w:pPr>
            <w:r>
              <w:rPr>
                <w:rFonts w:ascii="Arial" w:cs="Arial" w:eastAsia="Arial" w:hAnsi="Arial"/>
                <w:sz w:val="14"/>
                <w:szCs w:val="14"/>
                <w:color w:val="auto"/>
              </w:rPr>
              <w:t>Comcast 2016 Annual Report on Form 10-K</w:t>
            </w:r>
          </w:p>
        </w:tc>
        <w:tc>
          <w:tcPr>
            <w:tcW w:w="4320" w:type="dxa"/>
            <w:vAlign w:val="bottom"/>
          </w:tcPr>
          <w:p>
            <w:pPr>
              <w:jc w:val="right"/>
              <w:ind w:right="3894"/>
              <w:spacing w:after="0"/>
              <w:rPr>
                <w:sz w:val="20"/>
                <w:szCs w:val="20"/>
                <w:color w:val="auto"/>
              </w:rPr>
            </w:pPr>
            <w:r>
              <w:rPr>
                <w:rFonts w:ascii="Arial" w:cs="Arial" w:eastAsia="Arial" w:hAnsi="Arial"/>
                <w:sz w:val="14"/>
                <w:szCs w:val="14"/>
                <w:b w:val="1"/>
                <w:bCs w:val="1"/>
                <w:color w:val="auto"/>
              </w:rPr>
              <w:t>142</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5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Borders>
              <w:right w:val="single" w:sz="8" w:color="auto"/>
            </w:tcBorders>
          </w:tcPr>
          <w:p>
            <w:pPr>
              <w:jc w:val="right"/>
              <w:ind w:right="275"/>
              <w:spacing w:after="0" w:line="149" w:lineRule="exact"/>
              <w:rPr>
                <w:sz w:val="20"/>
                <w:szCs w:val="20"/>
                <w:color w:val="auto"/>
              </w:rPr>
            </w:pPr>
            <w:r>
              <w:rPr>
                <w:rFonts w:ascii="Arial" w:cs="Arial" w:eastAsia="Arial" w:hAnsi="Arial"/>
                <w:sz w:val="14"/>
                <w:szCs w:val="14"/>
                <w:color w:val="auto"/>
                <w:w w:val="93"/>
              </w:rPr>
              <w:t>Redeemable</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60"/>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6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Non-</w:t>
            </w:r>
          </w:p>
        </w:tc>
        <w:tc>
          <w:tcPr>
            <w:tcW w:w="88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2100" w:type="dxa"/>
            <w:vAlign w:val="bottom"/>
            <w:tcBorders>
              <w:right w:val="single" w:sz="8" w:color="auto"/>
            </w:tcBorders>
            <w:gridSpan w:val="2"/>
          </w:tcPr>
          <w:p>
            <w:pPr>
              <w:jc w:val="right"/>
              <w:ind w:right="275"/>
              <w:spacing w:after="0" w:line="149" w:lineRule="exact"/>
              <w:rPr>
                <w:sz w:val="20"/>
                <w:szCs w:val="20"/>
                <w:color w:val="auto"/>
              </w:rPr>
            </w:pPr>
            <w:r>
              <w:rPr>
                <w:rFonts w:ascii="Arial" w:cs="Arial" w:eastAsia="Arial" w:hAnsi="Arial"/>
                <w:sz w:val="14"/>
                <w:szCs w:val="14"/>
                <w:color w:val="auto"/>
              </w:rPr>
              <w:t>Noncontrolling</w:t>
            </w:r>
          </w:p>
        </w:tc>
        <w:tc>
          <w:tcPr>
            <w:tcW w:w="920" w:type="dxa"/>
            <w:vAlign w:val="bottom"/>
          </w:tcPr>
          <w:p>
            <w:pPr>
              <w:jc w:val="right"/>
              <w:ind w:right="54"/>
              <w:spacing w:after="0" w:line="149" w:lineRule="exact"/>
              <w:rPr>
                <w:sz w:val="20"/>
                <w:szCs w:val="20"/>
                <w:color w:val="auto"/>
              </w:rPr>
            </w:pPr>
            <w:r>
              <w:rPr>
                <w:rFonts w:ascii="Arial" w:cs="Arial" w:eastAsia="Arial" w:hAnsi="Arial"/>
                <w:sz w:val="14"/>
                <w:szCs w:val="14"/>
                <w:color w:val="auto"/>
              </w:rPr>
              <w:t>Member’s</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Comprehensive</w:t>
            </w:r>
          </w:p>
        </w:tc>
        <w:tc>
          <w:tcPr>
            <w:tcW w:w="82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controlling</w:t>
            </w:r>
          </w:p>
        </w:tc>
        <w:tc>
          <w:tcPr>
            <w:tcW w:w="8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55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275"/>
              <w:spacing w:after="0" w:line="149" w:lineRule="exact"/>
              <w:rPr>
                <w:sz w:val="20"/>
                <w:szCs w:val="20"/>
                <w:color w:val="auto"/>
              </w:rPr>
            </w:pPr>
            <w:r>
              <w:rPr>
                <w:rFonts w:ascii="Arial" w:cs="Arial" w:eastAsia="Arial" w:hAnsi="Arial"/>
                <w:sz w:val="14"/>
                <w:szCs w:val="14"/>
                <w:color w:val="auto"/>
              </w:rPr>
              <w:t>Interests</w:t>
            </w:r>
          </w:p>
        </w:tc>
        <w:tc>
          <w:tcPr>
            <w:tcW w:w="920" w:type="dxa"/>
            <w:vAlign w:val="bottom"/>
            <w:tcBorders>
              <w:bottom w:val="single" w:sz="8" w:color="auto"/>
            </w:tcBorders>
          </w:tcPr>
          <w:p>
            <w:pPr>
              <w:jc w:val="right"/>
              <w:ind w:right="54"/>
              <w:spacing w:after="0" w:line="149" w:lineRule="exact"/>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0"/>
              <w:spacing w:after="0" w:line="149" w:lineRule="exact"/>
              <w:rPr>
                <w:sz w:val="20"/>
                <w:szCs w:val="20"/>
                <w:color w:val="auto"/>
              </w:rPr>
            </w:pPr>
            <w:r>
              <w:rPr>
                <w:rFonts w:ascii="Arial" w:cs="Arial" w:eastAsia="Arial" w:hAnsi="Arial"/>
                <w:sz w:val="14"/>
                <w:szCs w:val="14"/>
                <w:color w:val="auto"/>
                <w:w w:val="94"/>
              </w:rPr>
              <w:t>Income (Loss)</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4"/>
              <w:spacing w:after="0" w:line="149" w:lineRule="exact"/>
              <w:rPr>
                <w:sz w:val="20"/>
                <w:szCs w:val="20"/>
                <w:color w:val="auto"/>
              </w:rPr>
            </w:pPr>
            <w:r>
              <w:rPr>
                <w:rFonts w:ascii="Arial" w:cs="Arial" w:eastAsia="Arial" w:hAnsi="Arial"/>
                <w:sz w:val="14"/>
                <w:szCs w:val="14"/>
                <w:color w:val="auto"/>
                <w:w w:val="93"/>
              </w:rPr>
              <w:t>Interests</w:t>
            </w:r>
          </w:p>
        </w:tc>
        <w:tc>
          <w:tcPr>
            <w:tcW w:w="8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Equity</w:t>
            </w: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Balance, December 31, 2013</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ind w:right="275"/>
              <w:spacing w:after="0" w:line="200" w:lineRule="exact"/>
              <w:rPr>
                <w:sz w:val="20"/>
                <w:szCs w:val="20"/>
                <w:color w:val="auto"/>
              </w:rPr>
            </w:pPr>
            <w:r>
              <w:rPr>
                <w:rFonts w:ascii="Arial" w:cs="Arial" w:eastAsia="Arial" w:hAnsi="Arial"/>
                <w:sz w:val="18"/>
                <w:szCs w:val="18"/>
                <w:color w:val="auto"/>
              </w:rPr>
              <w:t>231</w:t>
            </w:r>
          </w:p>
        </w:tc>
        <w:tc>
          <w:tcPr>
            <w:tcW w:w="9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$ 29,056</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(16)</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287</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$ 29,327</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(1,641)</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Issuance of subsidiary shares from noncontrolling interests</w:t>
            </w:r>
          </w:p>
        </w:tc>
        <w:tc>
          <w:tcPr>
            <w:tcW w:w="980" w:type="dxa"/>
            <w:vAlign w:val="bottom"/>
          </w:tcPr>
          <w:p>
            <w:pPr>
              <w:spacing w:after="0"/>
              <w:rPr>
                <w:sz w:val="17"/>
                <w:szCs w:val="17"/>
                <w:color w:val="auto"/>
              </w:rPr>
            </w:pPr>
          </w:p>
        </w:tc>
        <w:tc>
          <w:tcPr>
            <w:tcW w:w="1120" w:type="dxa"/>
            <w:vAlign w:val="bottom"/>
            <w:tcBorders>
              <w:right w:val="single" w:sz="8" w:color="auto"/>
            </w:tcBorders>
          </w:tcPr>
          <w:p>
            <w:pPr>
              <w:jc w:val="right"/>
              <w:ind w:right="275"/>
              <w:spacing w:after="0" w:line="202" w:lineRule="exact"/>
              <w:rPr>
                <w:sz w:val="20"/>
                <w:szCs w:val="20"/>
                <w:color w:val="auto"/>
              </w:rPr>
            </w:pPr>
            <w:r>
              <w:rPr>
                <w:rFonts w:ascii="Arial" w:cs="Arial" w:eastAsia="Arial" w:hAnsi="Arial"/>
                <w:sz w:val="18"/>
                <w:szCs w:val="18"/>
                <w:color w:val="auto"/>
              </w:rPr>
              <w:t>85</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 noncontrolling interests, net</w:t>
            </w:r>
          </w:p>
        </w:tc>
        <w:tc>
          <w:tcPr>
            <w:tcW w:w="980" w:type="dxa"/>
            <w:vAlign w:val="bottom"/>
          </w:tcPr>
          <w:p>
            <w:pPr>
              <w:spacing w:after="0"/>
              <w:rPr>
                <w:sz w:val="17"/>
                <w:szCs w:val="17"/>
                <w:color w:val="auto"/>
              </w:rPr>
            </w:pPr>
          </w:p>
        </w:tc>
        <w:tc>
          <w:tcPr>
            <w:tcW w:w="1120" w:type="dxa"/>
            <w:vAlign w:val="bottom"/>
            <w:tcBorders>
              <w:right w:val="single" w:sz="8" w:color="auto"/>
            </w:tcBorders>
          </w:tcPr>
          <w:p>
            <w:pPr>
              <w:jc w:val="right"/>
              <w:ind w:right="215"/>
              <w:spacing w:after="0" w:line="202" w:lineRule="exact"/>
              <w:rPr>
                <w:sz w:val="20"/>
                <w:szCs w:val="20"/>
                <w:color w:val="auto"/>
              </w:rPr>
            </w:pPr>
            <w:r>
              <w:rPr>
                <w:rFonts w:ascii="Arial" w:cs="Arial" w:eastAsia="Arial" w:hAnsi="Arial"/>
                <w:sz w:val="18"/>
                <w:szCs w:val="18"/>
                <w:color w:val="auto"/>
              </w:rPr>
              <w:t>(24)</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75"/>
              <w:spacing w:after="0" w:line="200" w:lineRule="exact"/>
              <w:rPr>
                <w:sz w:val="20"/>
                <w:szCs w:val="20"/>
                <w:color w:val="auto"/>
              </w:rPr>
            </w:pPr>
            <w:r>
              <w:rPr>
                <w:rFonts w:ascii="Arial" w:cs="Arial" w:eastAsia="Arial" w:hAnsi="Arial"/>
                <w:sz w:val="18"/>
                <w:szCs w:val="18"/>
                <w:color w:val="auto"/>
              </w:rPr>
              <w:t>38</w:t>
            </w:r>
          </w:p>
        </w:tc>
        <w:tc>
          <w:tcPr>
            <w:tcW w:w="9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3,115</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144</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3,259</w:t>
            </w: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Balance, December 31, 2014</w:t>
            </w:r>
          </w:p>
        </w:tc>
        <w:tc>
          <w:tcPr>
            <w:tcW w:w="980" w:type="dxa"/>
            <w:vAlign w:val="bottom"/>
          </w:tcPr>
          <w:p>
            <w:pPr>
              <w:spacing w:after="0"/>
              <w:rPr>
                <w:sz w:val="17"/>
                <w:szCs w:val="17"/>
                <w:color w:val="auto"/>
              </w:rPr>
            </w:pPr>
          </w:p>
        </w:tc>
        <w:tc>
          <w:tcPr>
            <w:tcW w:w="1120" w:type="dxa"/>
            <w:vAlign w:val="bottom"/>
            <w:tcBorders>
              <w:right w:val="single" w:sz="8" w:color="auto"/>
            </w:tcBorders>
          </w:tcPr>
          <w:p>
            <w:pPr>
              <w:jc w:val="right"/>
              <w:ind w:right="275"/>
              <w:spacing w:after="0" w:line="200" w:lineRule="exact"/>
              <w:rPr>
                <w:sz w:val="20"/>
                <w:szCs w:val="20"/>
                <w:color w:val="auto"/>
              </w:rPr>
            </w:pPr>
            <w:r>
              <w:rPr>
                <w:rFonts w:ascii="Arial" w:cs="Arial" w:eastAsia="Arial" w:hAnsi="Arial"/>
                <w:sz w:val="18"/>
                <w:szCs w:val="18"/>
                <w:color w:val="auto"/>
              </w:rPr>
              <w:t>330</w:t>
            </w:r>
          </w:p>
        </w:tc>
        <w:tc>
          <w:tcPr>
            <w:tcW w:w="9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30,529</w:t>
            </w:r>
          </w:p>
        </w:tc>
        <w:tc>
          <w:tcPr>
            <w:tcW w:w="16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(159)</w:t>
            </w:r>
          </w:p>
        </w:tc>
        <w:tc>
          <w:tcPr>
            <w:tcW w:w="160" w:type="dxa"/>
            <w:vAlign w:val="bottom"/>
          </w:tcPr>
          <w:p>
            <w:pPr>
              <w:spacing w:after="0"/>
              <w:rPr>
                <w:sz w:val="17"/>
                <w:szCs w:val="17"/>
                <w:color w:val="auto"/>
              </w:rPr>
            </w:pPr>
          </w:p>
        </w:tc>
        <w:tc>
          <w:tcPr>
            <w:tcW w:w="6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267</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30,637</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(1,385)</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(1,385)</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 noncontrolling interests, net</w:t>
            </w:r>
          </w:p>
        </w:tc>
        <w:tc>
          <w:tcPr>
            <w:tcW w:w="980" w:type="dxa"/>
            <w:vAlign w:val="bottom"/>
          </w:tcPr>
          <w:p>
            <w:pPr>
              <w:spacing w:after="0"/>
              <w:rPr>
                <w:sz w:val="17"/>
                <w:szCs w:val="17"/>
                <w:color w:val="auto"/>
              </w:rPr>
            </w:pPr>
          </w:p>
        </w:tc>
        <w:tc>
          <w:tcPr>
            <w:tcW w:w="1120" w:type="dxa"/>
            <w:vAlign w:val="bottom"/>
            <w:tcBorders>
              <w:right w:val="single" w:sz="8" w:color="auto"/>
            </w:tcBorders>
          </w:tcPr>
          <w:p>
            <w:pPr>
              <w:jc w:val="right"/>
              <w:ind w:right="215"/>
              <w:spacing w:after="0" w:line="202" w:lineRule="exact"/>
              <w:rPr>
                <w:sz w:val="20"/>
                <w:szCs w:val="20"/>
                <w:color w:val="auto"/>
              </w:rPr>
            </w:pPr>
            <w:r>
              <w:rPr>
                <w:rFonts w:ascii="Arial" w:cs="Arial" w:eastAsia="Arial" w:hAnsi="Arial"/>
                <w:sz w:val="18"/>
                <w:szCs w:val="18"/>
                <w:color w:val="auto"/>
              </w:rPr>
              <w:t>(30)</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Contribution from member</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252</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252</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Universal Studios Japan</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1,440</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1,429</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1120" w:type="dxa"/>
            <w:vAlign w:val="bottom"/>
            <w:tcBorders>
              <w:right w:val="single" w:sz="8" w:color="auto"/>
            </w:tcBorders>
          </w:tcPr>
          <w:p>
            <w:pPr>
              <w:jc w:val="right"/>
              <w:ind w:right="275"/>
              <w:spacing w:after="0" w:line="202" w:lineRule="exact"/>
              <w:rPr>
                <w:sz w:val="20"/>
                <w:szCs w:val="20"/>
                <w:color w:val="auto"/>
              </w:rPr>
            </w:pPr>
            <w:r>
              <w:rPr>
                <w:rFonts w:ascii="Arial" w:cs="Arial" w:eastAsia="Arial" w:hAnsi="Arial"/>
                <w:sz w:val="18"/>
                <w:szCs w:val="18"/>
                <w:color w:val="auto"/>
              </w:rPr>
              <w:t>28</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w:t>
            </w: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275"/>
              <w:spacing w:after="0" w:line="200" w:lineRule="exact"/>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3,414</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166</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3,580</w:t>
            </w: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Balance, December 31, 2015</w:t>
            </w:r>
          </w:p>
        </w:tc>
        <w:tc>
          <w:tcPr>
            <w:tcW w:w="980" w:type="dxa"/>
            <w:vAlign w:val="bottom"/>
          </w:tcPr>
          <w:p>
            <w:pPr>
              <w:spacing w:after="0"/>
              <w:rPr>
                <w:sz w:val="15"/>
                <w:szCs w:val="15"/>
                <w:color w:val="auto"/>
              </w:rPr>
            </w:pPr>
          </w:p>
        </w:tc>
        <w:tc>
          <w:tcPr>
            <w:tcW w:w="1120" w:type="dxa"/>
            <w:vAlign w:val="bottom"/>
            <w:tcBorders>
              <w:right w:val="single" w:sz="8" w:color="auto"/>
            </w:tcBorders>
          </w:tcPr>
          <w:p>
            <w:pPr>
              <w:jc w:val="right"/>
              <w:ind w:right="275"/>
              <w:spacing w:after="0" w:line="177" w:lineRule="exact"/>
              <w:rPr>
                <w:sz w:val="20"/>
                <w:szCs w:val="20"/>
                <w:color w:val="auto"/>
              </w:rPr>
            </w:pPr>
            <w:r>
              <w:rPr>
                <w:rFonts w:ascii="Arial" w:cs="Arial" w:eastAsia="Arial" w:hAnsi="Arial"/>
                <w:sz w:val="18"/>
                <w:szCs w:val="18"/>
                <w:color w:val="auto"/>
              </w:rPr>
              <w:t>372</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32,834</w:t>
            </w:r>
          </w:p>
        </w:tc>
        <w:tc>
          <w:tcPr>
            <w:tcW w:w="16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(212)</w:t>
            </w:r>
          </w:p>
        </w:tc>
        <w:tc>
          <w:tcPr>
            <w:tcW w:w="160" w:type="dxa"/>
            <w:vAlign w:val="bottom"/>
          </w:tcPr>
          <w:p>
            <w:pPr>
              <w:spacing w:after="0"/>
              <w:rPr>
                <w:sz w:val="15"/>
                <w:szCs w:val="15"/>
                <w:color w:val="auto"/>
              </w:rPr>
            </w:pPr>
          </w:p>
        </w:tc>
        <w:tc>
          <w:tcPr>
            <w:tcW w:w="660" w:type="dxa"/>
            <w:vAlign w:val="bottom"/>
          </w:tcPr>
          <w:p>
            <w:pPr>
              <w:jc w:val="right"/>
              <w:ind w:right="54"/>
              <w:spacing w:after="0" w:line="177" w:lineRule="exact"/>
              <w:rPr>
                <w:sz w:val="20"/>
                <w:szCs w:val="20"/>
                <w:color w:val="auto"/>
              </w:rPr>
            </w:pPr>
            <w:r>
              <w:rPr>
                <w:rFonts w:ascii="Arial" w:cs="Arial" w:eastAsia="Arial" w:hAnsi="Arial"/>
                <w:sz w:val="18"/>
                <w:szCs w:val="18"/>
                <w:color w:val="auto"/>
              </w:rPr>
              <w:t>1,681</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34,303</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(1,606)</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(1,606)</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w w:val="98"/>
              </w:rPr>
              <w:t>Contributions from (distributions to) noncontrolling interests, net</w:t>
            </w:r>
          </w:p>
        </w:tc>
        <w:tc>
          <w:tcPr>
            <w:tcW w:w="980" w:type="dxa"/>
            <w:vAlign w:val="bottom"/>
          </w:tcPr>
          <w:p>
            <w:pPr>
              <w:spacing w:after="0"/>
              <w:rPr>
                <w:sz w:val="17"/>
                <w:szCs w:val="17"/>
                <w:color w:val="auto"/>
              </w:rPr>
            </w:pPr>
          </w:p>
        </w:tc>
        <w:tc>
          <w:tcPr>
            <w:tcW w:w="1120" w:type="dxa"/>
            <w:vAlign w:val="bottom"/>
            <w:tcBorders>
              <w:right w:val="single" w:sz="8" w:color="auto"/>
            </w:tcBorders>
          </w:tcPr>
          <w:p>
            <w:pPr>
              <w:jc w:val="right"/>
              <w:ind w:right="215"/>
              <w:spacing w:after="0" w:line="202" w:lineRule="exact"/>
              <w:rPr>
                <w:sz w:val="20"/>
                <w:szCs w:val="20"/>
                <w:color w:val="auto"/>
              </w:rPr>
            </w:pPr>
            <w:r>
              <w:rPr>
                <w:rFonts w:ascii="Arial" w:cs="Arial" w:eastAsia="Arial" w:hAnsi="Arial"/>
                <w:sz w:val="18"/>
                <w:szCs w:val="18"/>
                <w:b w:val="1"/>
                <w:bCs w:val="1"/>
                <w:color w:val="auto"/>
              </w:rPr>
              <w:t>(59)</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(148)</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(148)</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DreamWorks Animation contributions</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3,566</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89</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3,655</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98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60"/>
              <w:spacing w:after="0" w:line="202" w:lineRule="exact"/>
              <w:rPr>
                <w:sz w:val="20"/>
                <w:szCs w:val="20"/>
                <w:color w:val="auto"/>
              </w:rPr>
            </w:pPr>
            <w:r>
              <w:rPr>
                <w:rFonts w:ascii="Arial" w:cs="Arial" w:eastAsia="Arial" w:hAnsi="Arial"/>
                <w:sz w:val="18"/>
                <w:szCs w:val="18"/>
                <w:b w:val="1"/>
                <w:bCs w:val="1"/>
                <w:color w:val="auto"/>
              </w:rPr>
              <w:t>77</w:t>
            </w:r>
          </w:p>
        </w:tc>
        <w:tc>
          <w:tcPr>
            <w:tcW w:w="16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74</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151</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980" w:type="dxa"/>
            <w:vAlign w:val="bottom"/>
          </w:tcPr>
          <w:p>
            <w:pPr>
              <w:spacing w:after="0"/>
              <w:rPr>
                <w:sz w:val="17"/>
                <w:szCs w:val="17"/>
                <w:color w:val="auto"/>
              </w:rPr>
            </w:pPr>
          </w:p>
        </w:tc>
        <w:tc>
          <w:tcPr>
            <w:tcW w:w="1120" w:type="dxa"/>
            <w:vAlign w:val="bottom"/>
            <w:tcBorders>
              <w:right w:val="single" w:sz="8" w:color="auto"/>
            </w:tcBorders>
          </w:tcPr>
          <w:p>
            <w:pPr>
              <w:jc w:val="right"/>
              <w:ind w:right="275"/>
              <w:spacing w:after="0" w:line="202" w:lineRule="exact"/>
              <w:rPr>
                <w:sz w:val="20"/>
                <w:szCs w:val="20"/>
                <w:color w:val="auto"/>
              </w:rPr>
            </w:pPr>
            <w:r>
              <w:rPr>
                <w:rFonts w:ascii="Arial" w:cs="Arial" w:eastAsia="Arial" w:hAnsi="Arial"/>
                <w:sz w:val="18"/>
                <w:szCs w:val="18"/>
                <w:b w:val="1"/>
                <w:bCs w:val="1"/>
                <w:color w:val="auto"/>
              </w:rPr>
              <w:t>168</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158</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165</w:t>
            </w: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98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49</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4,235</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262</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4,497</w:t>
            </w: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2016</w:t>
            </w:r>
          </w:p>
        </w:tc>
        <w:tc>
          <w:tcPr>
            <w:tcW w:w="9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0C6DFF"/>
              <w:right w:val="single" w:sz="8" w:color="auto"/>
            </w:tcBorders>
          </w:tcPr>
          <w:p>
            <w:pPr>
              <w:jc w:val="right"/>
              <w:ind w:right="275"/>
              <w:spacing w:after="0" w:line="196" w:lineRule="exact"/>
              <w:rPr>
                <w:sz w:val="20"/>
                <w:szCs w:val="20"/>
                <w:color w:val="auto"/>
              </w:rPr>
            </w:pPr>
            <w:r>
              <w:rPr>
                <w:rFonts w:ascii="Arial" w:cs="Arial" w:eastAsia="Arial" w:hAnsi="Arial"/>
                <w:sz w:val="18"/>
                <w:szCs w:val="18"/>
                <w:b w:val="1"/>
                <w:bCs w:val="1"/>
                <w:color w:val="auto"/>
              </w:rPr>
              <w:t>530</w:t>
            </w:r>
          </w:p>
        </w:tc>
        <w:tc>
          <w:tcPr>
            <w:tcW w:w="9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$ 39,036</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(135)</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2,116</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$ 41,017</w:t>
            </w: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500"/>
        </w:trPr>
        <w:tc>
          <w:tcPr>
            <w:tcW w:w="5540" w:type="dxa"/>
            <w:vAlign w:val="bottom"/>
          </w:tcPr>
          <w:p>
            <w:pPr>
              <w:spacing w:after="0"/>
              <w:rPr>
                <w:sz w:val="24"/>
                <w:szCs w:val="24"/>
                <w:color w:val="auto"/>
              </w:rPr>
            </w:pPr>
          </w:p>
        </w:tc>
        <w:tc>
          <w:tcPr>
            <w:tcW w:w="980" w:type="dxa"/>
            <w:vAlign w:val="bottom"/>
          </w:tcPr>
          <w:p>
            <w:pPr>
              <w:jc w:val="right"/>
              <w:ind w:right="622"/>
              <w:spacing w:after="0"/>
              <w:rPr>
                <w:sz w:val="20"/>
                <w:szCs w:val="20"/>
                <w:color w:val="auto"/>
              </w:rPr>
            </w:pPr>
            <w:r>
              <w:rPr>
                <w:rFonts w:ascii="Arial" w:cs="Arial" w:eastAsia="Arial" w:hAnsi="Arial"/>
                <w:sz w:val="14"/>
                <w:szCs w:val="14"/>
                <w:b w:val="1"/>
                <w:bCs w:val="1"/>
                <w:color w:val="auto"/>
              </w:rPr>
              <w:t>143</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color w:val="auto"/>
                <w:w w:val="98"/>
              </w:rPr>
              <w:t>Comcast 2016 Annual Report on Form 10-K</w:t>
            </w: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Unless indicated otherwise, throughout these notes to the consolidated financial statements, we refer to NBCUniversal and its consolidated subsidiaries as “we,” “us” and “our.” We are one of the world’s leading media and entertainment companies that develops, produces and distributes entertainment, news and information, sports, and other content for global audiences, and owns and operates theme parks worldwide.</w:t>
      </w:r>
    </w:p>
    <w:p>
      <w:pPr>
        <w:spacing w:after="0" w:line="1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our operations as the following four reportable business segments: Cable Networks, Broadcast Television, Filmed Entertainment and Theme Parks. See Note 16 for additional information on our reportable business segments.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and our cable television studio production operations.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owned NBC and Telemundo local broadcast television stations, the NBC Universo national cable network, and our broadcast television studio production operations.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Illumination and Focus Features names and in August 2016, Comcast acquired DreamWorks Animation. See Note 4 for additional information on the acquisition.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and our 51% interest in the Universal Studios theme park in Osaka, Japan (“Universal Studios Japan”), which we acquired in November 2015. See Note 4 for additional information on the acquisition.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 Transactions between NBCUniversal and both Comcast and Comcast’s consolidated subsidiaries are reflected in these consolidated financial statements and disclosed as related party transactions when material.</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operations where the functional currency is the local currency, primarily the Japanese yen, euro and British pound,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144</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recognition (see below)</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film and television costs (see Note 6)</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goodwill and intangible assets (see Note 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policy is specific to the industries in which we operate:</w:t>
      </w:r>
    </w:p>
    <w:p>
      <w:pPr>
        <w:spacing w:after="0" w:line="7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capitalization and amortization of film and television costs (see Note 6)</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our other accounting policies and methods that are used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 Segments</w:t>
      </w:r>
    </w:p>
    <w:p>
      <w:pPr>
        <w:jc w:val="both"/>
        <w:spacing w:after="0" w:line="235"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from the sale of advertising on our cable networks and related digital media properties, from the licensing of our owned programming to cable and broadcast networks and subscription video on demand services, from the sale of our owned programming on standard-definition digital video discs and Blu-ray discs (together, “DVDs”) and through digital distribution services such as iTunes, and from the sale of programming by our cable television studio production operations to third-party networks and subscription video on demand services. Our Broadcast Television segment generates revenue primarily from the sale of advertising on our broadcast networks, owned local broadcast television stations and related digital media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for our Cable Networks and Broadcast Television segments is recognized in the period in which commercials are aired or viewed. In some instances, we guarantee audience ratings for the commercials. To the extent there is a shortfall in the ratings that were guaranteed, a portion of the revenue is deferred until the shortfall is settled, primarily by providing additional advertising units. We recognize revenue from the licensing of our owned programming and programming produced by our studios for third parties when the content is made available for use by the licensee, and when certain other conditions are met. When license fees include advertising time, we recognize the component of revenue associated with the advertisements when they are aired or viewed.</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145</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from the licensing of our owned and acquired films through various distribution platforms, and from the sale of our owned and acquired films on DVDs and through digital distribution services. Our Filmed Entertainment segment also generates revenue from producing and licensing live stage plays, from the distribution of filmed entertainment produced by third parties, and from Fandango, our movie ticketing and entertainment business. We recognize revenue from the distribution of films to movie theaters when the films are exhibited. We recognize revenue from the licensing of a film when the film is available for use by the licensee, and when certain other conditions are met. We recognize revenue from the sale of DVDs, net of estimated returns and customer incentives, on the date that the DVDs are delivered to and made available for sale by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Theme Parks Segment</w:t>
      </w: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ticket sales and guest spending at our Universal theme parks. We recognize revenue from advance theme park ticket sales when the tickets are used. For annual passes, we recognize revenue on a straight-line basis over the period following the activation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carrying amounts of our cash equivalents approximate their fair values. Our cash equivalents consist primarily of money market funds and U.S. government obligations, as well as commercial paper and certificates of deposit with maturities of three months or less when purchased.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derivative financial instruments are recorded in our consolidated balance sheet at fair value. The impact of our derivative financial instruments on our consolidated financial statements was not material for all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114" w:lineRule="exact"/>
        <w:rPr>
          <w:sz w:val="20"/>
          <w:szCs w:val="20"/>
          <w:color w:val="auto"/>
        </w:rPr>
      </w:pPr>
    </w:p>
    <w:p>
      <w:pPr>
        <w:ind w:left="1020" w:hanging="21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2: Values are determined using quoted prices for similar financial instruments and valuation models whose inputs are observable</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3: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146</w:t>
            </w: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 these levels of hierarchy for the measurement of fair value related to acquisitions, investments, long-term debt and impairment testing, among others. Our assessment of the significance of a particular input to the fair value measurement requires judgment and may affect the valuation and classification within the fair value hierarchy. Our financial instruments that are accounted for at fair value on a recurring basis were not material as of December 31, 2016 and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a majority of our revenue arrangements and expect our review to be completed in the second quarter of 2017. As a result of our review, we do not expect any material impact on our consolidated financial statements. However, we do expect that the new standard will impact the timing of recognition for our Cable Networks, Broadcast Television and Filmed Entertainment segments’ content licensing revenue associated with renewals or extensions of existing program licensing agreements, which upon adoption will be recognized as revenue when the licensed content becomes available under the renewal or extension instead of when the agreement is renewed or extended.</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guidance provides companies with alternative methods of adoption and we are in the process of determining our method of adoption, which depends in part upon our completion of the evaluation of our remaining revenue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and voting interest entity models. The updated accounting guidance modifies the consolidation guidance for VIEs, limited partnerships and similar legal entities. We have adopted this guidance as of January 1, 2016 and it did not have a material impact on our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with certain exceptions, a cumulative effect adjustment to beginning retained earnings when the guidance is adopted. We are currently in the process of determining the impact that the updated accounting guidance will have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w:t>
      </w:r>
    </w:p>
    <w:p>
      <w:pPr>
        <w:spacing w:after="0" w:line="324"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147</w:t>
      </w:r>
      <w:r>
        <w:rPr>
          <w:sz w:val="20"/>
          <w:szCs w:val="20"/>
          <w:color w:val="auto"/>
        </w:rPr>
        <w:tab/>
      </w:r>
      <w:r>
        <w:rPr>
          <w:rFonts w:ascii="Arial" w:cs="Arial" w:eastAsia="Arial" w:hAnsi="Arial"/>
          <w:sz w:val="12"/>
          <w:szCs w:val="12"/>
          <w:color w:val="auto"/>
        </w:rPr>
        <w:t>Comcast 2016 Annual Report on Form 10-K</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 See Note 15 for a summary of our undiscounted minimum rental commitments under operating leases as of December 31,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March 2016, the FASB updated the accounting guidance that affects several aspects of the accounting for share-based compensation.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are under the current guidance. In addition, the updated guidance requires when an employer withholds shares upon exercise of options or the vesting of restricted stock for the purpose of meeting withholding tax requirements, that the cash paid for withholding taxes be classified as a financing activity.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will adopt the updated guidance in the first quarter of 2017. As a limited liability company, the updated guidance related to the excess income tax benefits or deficiencies to be recognized in the statement of income will not have a material impact on our consolidated financial statements. In addition, as the share-based compensation expense is settled in cash with Comcast, we do not expect the updated accounting guidance to have a material impact on our statement of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4: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DreamWorks Animation</w:t>
      </w:r>
    </w:p>
    <w:p>
      <w:pPr>
        <w:jc w:val="both"/>
        <w:spacing w:after="0" w:line="238" w:lineRule="auto"/>
        <w:rPr>
          <w:sz w:val="20"/>
          <w:szCs w:val="20"/>
          <w:color w:val="auto"/>
        </w:rPr>
      </w:pPr>
      <w:r>
        <w:rPr>
          <w:rFonts w:ascii="Arial" w:cs="Arial" w:eastAsia="Arial" w:hAnsi="Arial"/>
          <w:sz w:val="18"/>
          <w:szCs w:val="18"/>
          <w:color w:val="auto"/>
        </w:rPr>
        <w:t>On August 22, 2016, Comcast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Following the acquisition, Comcast converted DreamWorks Animation to a limited liability company and contributed its equity to us as a capital contribution. The net assets contributed to us excluded deferred income taxes and other tax-related items recorded by Comcast. The results of operations for DreamWorks Animation are reported in our Filmed Entertainment segment following the acquisition date and are presented as if the equity contribution occurred on the date of Comcast’s acquisition.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Preliminary Allocation of Purchase Price</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preliminary valuation analyses. In valuing acquired assets and liabilities, fair value estimates are primarily based on Level 3 inputs including future expected cash flows, market rate assumptions and discount rates. The fair value of the assumed debt was primarily based on quoted market values. The fair value of the liability related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148</w:t>
            </w: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a tax receivable agreement that DreamWorks Animation had previously entered into with one of its former stockholders (the “tax receivable agreement”) was based on the contractual settlement provisions in the agreement. We will adjust the assets and liabilities as valuations are completed and we obtain information necessary to complete the analyses, but no later than one year from the acquisition date.</w:t>
      </w:r>
    </w:p>
    <w:p>
      <w:pPr>
        <w:spacing w:after="0" w:line="154" w:lineRule="exact"/>
        <w:rPr>
          <w:sz w:val="20"/>
          <w:szCs w:val="20"/>
          <w:color w:val="auto"/>
        </w:rPr>
      </w:pPr>
    </w:p>
    <w:p>
      <w:pPr>
        <w:ind w:right="1520"/>
        <w:spacing w:after="0" w:line="420" w:lineRule="auto"/>
        <w:rPr>
          <w:sz w:val="20"/>
          <w:szCs w:val="20"/>
          <w:color w:val="auto"/>
        </w:rPr>
      </w:pPr>
      <w:r>
        <w:rPr>
          <w:rFonts w:ascii="Arial" w:cs="Arial" w:eastAsia="Arial" w:hAnsi="Arial"/>
          <w:sz w:val="18"/>
          <w:szCs w:val="18"/>
          <w:color w:val="auto"/>
        </w:rPr>
        <w:t xml:space="preserve">The table below presents the preliminary allocation of the purchase price to the assets and liabilities of DreamWorks Animation. </w:t>
      </w:r>
      <w:r>
        <w:rPr>
          <w:rFonts w:ascii="Arial" w:cs="Arial" w:eastAsia="Arial" w:hAnsi="Arial"/>
          <w:sz w:val="18"/>
          <w:szCs w:val="18"/>
          <w:color w:val="0C6DFF"/>
        </w:rPr>
        <w:t>Preliminary 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Film and television costs (see Note 6)</w:t>
            </w:r>
          </w:p>
        </w:tc>
        <w:tc>
          <w:tcPr>
            <w:tcW w:w="35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854</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Intangible assets (see Note 9)</w:t>
            </w:r>
          </w:p>
        </w:tc>
        <w:tc>
          <w:tcPr>
            <w:tcW w:w="35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164</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5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248</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Debt (see Note 10)</w:t>
            </w:r>
          </w:p>
        </w:tc>
        <w:tc>
          <w:tcPr>
            <w:tcW w:w="35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Tax receivable agreement</w:t>
            </w:r>
            <w:r>
              <w:rPr>
                <w:rFonts w:ascii="Arial" w:cs="Arial" w:eastAsia="Arial" w:hAnsi="Arial"/>
                <w:sz w:val="11"/>
                <w:szCs w:val="11"/>
                <w:color w:val="auto"/>
              </w:rPr>
              <w:t>(a)</w:t>
            </w:r>
          </w:p>
        </w:tc>
        <w:tc>
          <w:tcPr>
            <w:tcW w:w="35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199"/>
        </w:trPr>
        <w:tc>
          <w:tcPr>
            <w:tcW w:w="7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and liabilities and other</w:t>
            </w:r>
            <w:r>
              <w:rPr>
                <w:rFonts w:ascii="Arial" w:cs="Arial" w:eastAsia="Arial" w:hAnsi="Arial"/>
                <w:sz w:val="11"/>
                <w:szCs w:val="11"/>
                <w:color w:val="auto"/>
              </w:rPr>
              <w:t>(b)</w:t>
            </w:r>
          </w:p>
        </w:tc>
        <w:tc>
          <w:tcPr>
            <w:tcW w:w="3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503</w:t>
            </w:r>
          </w:p>
        </w:tc>
      </w:tr>
      <w:tr>
        <w:trPr>
          <w:trHeight w:val="199"/>
        </w:trPr>
        <w:tc>
          <w:tcPr>
            <w:tcW w:w="7280" w:type="dxa"/>
            <w:vAlign w:val="bottom"/>
          </w:tcPr>
          <w:p>
            <w:pPr>
              <w:spacing w:after="0" w:line="200" w:lineRule="exact"/>
              <w:rPr>
                <w:sz w:val="20"/>
                <w:szCs w:val="20"/>
                <w:color w:val="auto"/>
              </w:rPr>
            </w:pPr>
            <w:r>
              <w:rPr>
                <w:rFonts w:ascii="Arial" w:cs="Arial" w:eastAsia="Arial" w:hAnsi="Arial"/>
                <w:sz w:val="18"/>
                <w:szCs w:val="18"/>
                <w:color w:val="auto"/>
              </w:rPr>
              <w:t>Identifiable net assets (liabilities) acquired</w:t>
            </w:r>
          </w:p>
        </w:tc>
        <w:tc>
          <w:tcPr>
            <w:tcW w:w="3560" w:type="dxa"/>
            <w:vAlign w:val="bottom"/>
          </w:tcPr>
          <w:p>
            <w:pPr>
              <w:spacing w:after="0"/>
              <w:rPr>
                <w:sz w:val="17"/>
                <w:szCs w:val="17"/>
                <w:color w:val="auto"/>
              </w:rPr>
            </w:pPr>
          </w:p>
        </w:tc>
        <w:tc>
          <w:tcPr>
            <w:tcW w:w="5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1,242</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35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r>
      <w:tr>
        <w:trPr>
          <w:trHeight w:val="199"/>
        </w:trPr>
        <w:tc>
          <w:tcPr>
            <w:tcW w:w="7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 (see Note 9)</w:t>
            </w:r>
          </w:p>
        </w:tc>
        <w:tc>
          <w:tcPr>
            <w:tcW w:w="3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2,620</w:t>
            </w:r>
          </w:p>
        </w:tc>
      </w:tr>
      <w:tr>
        <w:trPr>
          <w:trHeight w:val="196"/>
        </w:trPr>
        <w:tc>
          <w:tcPr>
            <w:tcW w:w="72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Cash consideration transferred by Comcast</w:t>
            </w:r>
          </w:p>
        </w:tc>
        <w:tc>
          <w:tcPr>
            <w:tcW w:w="3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3,773</w:t>
            </w:r>
          </w:p>
        </w:tc>
      </w:tr>
    </w:tbl>
    <w:p>
      <w:pPr>
        <w:spacing w:after="0" w:line="67" w:lineRule="exact"/>
        <w:rPr>
          <w:sz w:val="20"/>
          <w:szCs w:val="20"/>
          <w:color w:val="auto"/>
        </w:rPr>
      </w:pPr>
    </w:p>
    <w:p>
      <w:pPr>
        <w:ind w:left="300" w:hanging="292"/>
        <w:spacing w:after="0" w:line="231" w:lineRule="auto"/>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tax receivable agreement was settled immediately following the acquisition and the payment was recorded as an operating activity in our consolidated statement of cash flows. Comcast made a separate cash capital contribution of $146 million to fund the settlement which was recorded as a financing activity in our consolidated statement of cash flows.</w:t>
      </w:r>
    </w:p>
    <w:p>
      <w:pPr>
        <w:spacing w:after="0" w:line="54"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Other included $353 million recorded to member’s capital that represented deferred income tax assets and other tax-related items recorded by Comcast but excluded from the net assets contributed to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Revenue and net income attributable to the acquisition of DreamWorks Animation were not material for 2016.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C6DFF"/>
        </w:rPr>
        <w:t>Universal Studios Japan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2015, we acquired a 51% economic interest in Universal Studios Japan for $1.5 billion.</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since we have the power to direct activities that most significantly impact its economic performance. There are no liquidity arrangements, guarantees or other financial commitments between us and Universal Studios Japan, and therefore our maximum risk of financial loss is our 51% interest. Universal Studios Japan’s results of operations are reported in our Theme Parks segment following the acquisition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Allocation of Purchase Price</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transaction was accounted for under the acquisition method of accounting and, accordingly, the acquired assets and liabilities and the 49% noncontrolling interest were recorded at their estimated fair values. In 2016, we updated the allocation of the purchase price for Universal Studios Japan based on final valuation analyses, which primarily resulted in increases to property and equipment and intangible assets and a decrease in goodwill. The changes did not have a material impact on our consolidated financial statements.</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149</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allocation of the purchase price to the assets and liabilities of Universal Studios Japan.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72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Property and equipment (see Note 8)</w:t>
            </w:r>
          </w:p>
        </w:tc>
        <w:tc>
          <w:tcPr>
            <w:tcW w:w="35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780</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Intangible assets (see Note 9)</w:t>
            </w:r>
          </w:p>
        </w:tc>
        <w:tc>
          <w:tcPr>
            <w:tcW w:w="358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323</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5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Debt (see Note 10)</w:t>
            </w:r>
          </w:p>
        </w:tc>
        <w:tc>
          <w:tcPr>
            <w:tcW w:w="35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(3,271)</w:t>
            </w:r>
          </w:p>
        </w:tc>
      </w:tr>
      <w:tr>
        <w:trPr>
          <w:trHeight w:val="199"/>
        </w:trPr>
        <w:tc>
          <w:tcPr>
            <w:tcW w:w="72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and liabilities and other</w:t>
            </w:r>
          </w:p>
        </w:tc>
        <w:tc>
          <w:tcPr>
            <w:tcW w:w="35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17</w:t>
            </w:r>
          </w:p>
        </w:tc>
      </w:tr>
      <w:tr>
        <w:trPr>
          <w:trHeight w:val="199"/>
        </w:trPr>
        <w:tc>
          <w:tcPr>
            <w:tcW w:w="7200" w:type="dxa"/>
            <w:vAlign w:val="bottom"/>
          </w:tcPr>
          <w:p>
            <w:pPr>
              <w:spacing w:after="0" w:line="200" w:lineRule="exact"/>
              <w:rPr>
                <w:sz w:val="20"/>
                <w:szCs w:val="20"/>
                <w:color w:val="auto"/>
              </w:rPr>
            </w:pPr>
            <w:r>
              <w:rPr>
                <w:rFonts w:ascii="Arial" w:cs="Arial" w:eastAsia="Arial" w:hAnsi="Arial"/>
                <w:sz w:val="18"/>
                <w:szCs w:val="18"/>
                <w:color w:val="auto"/>
              </w:rPr>
              <w:t>Identifiable net assets (liabilities) acquired</w:t>
            </w:r>
          </w:p>
        </w:tc>
        <w:tc>
          <w:tcPr>
            <w:tcW w:w="358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(2,184)</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Noncontrolling interest</w:t>
            </w:r>
          </w:p>
        </w:tc>
        <w:tc>
          <w:tcPr>
            <w:tcW w:w="35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(1,440)</w:t>
            </w:r>
          </w:p>
        </w:tc>
      </w:tr>
      <w:tr>
        <w:trPr>
          <w:trHeight w:val="199"/>
        </w:trPr>
        <w:tc>
          <w:tcPr>
            <w:tcW w:w="72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 (see Note 9)</w:t>
            </w:r>
          </w:p>
        </w:tc>
        <w:tc>
          <w:tcPr>
            <w:tcW w:w="35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5,123</w:t>
            </w:r>
          </w:p>
        </w:tc>
      </w:tr>
      <w:tr>
        <w:trPr>
          <w:trHeight w:val="196"/>
        </w:trPr>
        <w:tc>
          <w:tcPr>
            <w:tcW w:w="72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Cash consideration transferred</w:t>
            </w:r>
          </w:p>
        </w:tc>
        <w:tc>
          <w:tcPr>
            <w:tcW w:w="35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1,499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Actual and Unaudited Pro Forma Results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revenue in 2016 and 2015 included $1.4 billion and $169 million, respectively, from the acquisition of Universal Studios Japan. Our net income attributable to NBCUniversal in 2016 and 2015 included $124 million and $18 million, respectively, from the acquisition of Universal Studios Japan.</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unaudited pro forma information has been presented as if the acquisition of Universal Studios Japan occurred on January 1, 2014. This information is primarily based on historical results of operations, adjusted for the allocation of purchase price, and is not necessarily indicative of what our results would have been had we operated Universal Studios Japan since January 1, 2014. No pro forma adjustments have been made for our transaction-related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2014</w:t>
            </w:r>
          </w:p>
        </w:tc>
      </w:tr>
      <w:tr>
        <w:trPr>
          <w:trHeight w:val="199"/>
        </w:trPr>
        <w:tc>
          <w:tcPr>
            <w:tcW w:w="638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3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line="200" w:lineRule="exact"/>
              <w:rPr>
                <w:sz w:val="20"/>
                <w:szCs w:val="20"/>
                <w:color w:val="auto"/>
              </w:rPr>
            </w:pPr>
            <w:r>
              <w:rPr>
                <w:rFonts w:ascii="Arial" w:cs="Arial" w:eastAsia="Arial" w:hAnsi="Arial"/>
                <w:sz w:val="18"/>
                <w:szCs w:val="18"/>
                <w:color w:val="auto"/>
              </w:rPr>
              <w:t>29,514</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26,513</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3,801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3,409</w:t>
            </w:r>
          </w:p>
        </w:tc>
      </w:tr>
      <w:tr>
        <w:trPr>
          <w:trHeight w:val="199"/>
        </w:trPr>
        <w:tc>
          <w:tcPr>
            <w:tcW w:w="63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attributable to NBCUniversal</w:t>
            </w:r>
          </w:p>
        </w:tc>
        <w:tc>
          <w:tcPr>
            <w:tcW w:w="3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3,503</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3,170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5: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September 2016, as part of the Comcast cash management process, we and Comcast amended and restated our revolving credit agreements to increase the amount that we can borrow from Comcast and that Comcast can borrow from us from $3 billion to $5 billion and to extend the maturity date to 2026. Amounts owed by us to Comcast or to us by Comcast under the revolving credit agreement, including accrued interest, are presented under the captions “note payable to Comcast” and “note receivable from Comcast,” respectively, in our consolidated balance sheet and are presented as current as there are daily borrowings and repayments throughout the year based on our working capital needs. The revolving credit agreements bear interest at floating rates equal to the interest rate calculation under Comcast’s revolving credit facility.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150</w:t>
            </w: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interest rate on Comcast’s revolving credit facility consists of a base rate plus a borrowing margin that is determined based on Comcast’s credit rating. As of December 31, 2016, the borrowing margin for London Interbank Offered Rate-based borrowings was 1.00%.</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Comcast is also the counterparty to one of our contractual obligations. As of both December 31, 2016 and 2015, the carrying value of the liability associated with this contractual obligation was $383 million.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transactions with Comcast and its consolidated subsidiaries that are included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0C6DFF"/>
        </w:rPr>
        <w:t>Consolidated Balance Sheet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9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99"/>
        </w:trPr>
        <w:tc>
          <w:tcPr>
            <w:tcW w:w="7220" w:type="dxa"/>
            <w:vAlign w:val="bottom"/>
          </w:tcPr>
          <w:p>
            <w:pPr>
              <w:spacing w:after="0" w:line="200"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1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58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285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220" w:type="dxa"/>
            <w:vAlign w:val="bottom"/>
          </w:tcPr>
          <w:p>
            <w:pPr>
              <w:ind w:left="220"/>
              <w:spacing w:after="0" w:line="181" w:lineRule="exact"/>
              <w:rPr>
                <w:sz w:val="20"/>
                <w:szCs w:val="20"/>
                <w:color w:val="auto"/>
              </w:rPr>
            </w:pPr>
            <w:r>
              <w:rPr>
                <w:rFonts w:ascii="Arial" w:cs="Arial" w:eastAsia="Arial" w:hAnsi="Arial"/>
                <w:sz w:val="18"/>
                <w:szCs w:val="18"/>
                <w:color w:val="auto"/>
              </w:rPr>
              <w:t>Receivables, net</w:t>
            </w:r>
          </w:p>
        </w:tc>
        <w:tc>
          <w:tcPr>
            <w:tcW w:w="1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55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Note payable to Comcast</w:t>
            </w:r>
          </w:p>
        </w:tc>
        <w:tc>
          <w:tcPr>
            <w:tcW w:w="1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gridSpan w:val="2"/>
          </w:tcPr>
          <w:p>
            <w:pPr>
              <w:jc w:val="right"/>
              <w:ind w:right="137"/>
              <w:spacing w:after="0" w:line="202" w:lineRule="exact"/>
              <w:rPr>
                <w:sz w:val="20"/>
                <w:szCs w:val="20"/>
                <w:color w:val="auto"/>
              </w:rPr>
            </w:pPr>
            <w:r>
              <w:rPr>
                <w:rFonts w:ascii="Arial" w:cs="Arial" w:eastAsia="Arial" w:hAnsi="Arial"/>
                <w:sz w:val="18"/>
                <w:szCs w:val="18"/>
                <w:b w:val="1"/>
                <w:bCs w:val="1"/>
                <w:color w:val="auto"/>
              </w:rPr>
              <w:t>$ 2,703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1"/>
        </w:trPr>
        <w:tc>
          <w:tcPr>
            <w:tcW w:w="7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noncurrent liabilities</w:t>
            </w:r>
          </w:p>
        </w:tc>
        <w:tc>
          <w:tcPr>
            <w:tcW w:w="1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389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370"/>
        </w:trPr>
        <w:tc>
          <w:tcPr>
            <w:tcW w:w="7220" w:type="dxa"/>
            <w:vAlign w:val="bottom"/>
          </w:tcPr>
          <w:p>
            <w:pPr>
              <w:spacing w:after="0"/>
              <w:rPr>
                <w:sz w:val="20"/>
                <w:szCs w:val="20"/>
                <w:color w:val="auto"/>
              </w:rPr>
            </w:pPr>
            <w:r>
              <w:rPr>
                <w:rFonts w:ascii="Arial" w:cs="Arial" w:eastAsia="Arial" w:hAnsi="Arial"/>
                <w:sz w:val="18"/>
                <w:szCs w:val="18"/>
                <w:color w:val="0C6DFF"/>
              </w:rPr>
              <w:t>Consolidated Statement of Income</w:t>
            </w: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72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72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19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7220" w:type="dxa"/>
            <w:vAlign w:val="bottom"/>
          </w:tcPr>
          <w:p>
            <w:pPr>
              <w:spacing w:after="0" w:line="200"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1,742</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220" w:type="dxa"/>
            <w:vAlign w:val="bottom"/>
          </w:tcPr>
          <w:p>
            <w:pPr>
              <w:ind w:left="220"/>
              <w:spacing w:after="0" w:line="181" w:lineRule="exact"/>
              <w:rPr>
                <w:sz w:val="20"/>
                <w:szCs w:val="20"/>
                <w:color w:val="auto"/>
              </w:rPr>
            </w:pPr>
            <w:r>
              <w:rPr>
                <w:rFonts w:ascii="Arial" w:cs="Arial" w:eastAsia="Arial" w:hAnsi="Arial"/>
                <w:sz w:val="18"/>
                <w:szCs w:val="18"/>
                <w:color w:val="auto"/>
              </w:rPr>
              <w:t>Revenue</w:t>
            </w:r>
          </w:p>
        </w:tc>
        <w:tc>
          <w:tcPr>
            <w:tcW w:w="19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60" w:type="dxa"/>
            <w:vAlign w:val="bottom"/>
            <w:gridSpan w:val="2"/>
          </w:tcPr>
          <w:p>
            <w:pPr>
              <w:jc w:val="right"/>
              <w:ind w:right="57"/>
              <w:spacing w:after="0" w:line="181" w:lineRule="exact"/>
              <w:rPr>
                <w:sz w:val="20"/>
                <w:szCs w:val="20"/>
                <w:color w:val="auto"/>
              </w:rPr>
            </w:pPr>
            <w:r>
              <w:rPr>
                <w:rFonts w:ascii="Arial" w:cs="Arial" w:eastAsia="Arial" w:hAnsi="Arial"/>
                <w:sz w:val="18"/>
                <w:szCs w:val="18"/>
                <w:color w:val="auto"/>
              </w:rPr>
              <w:t>$ 1,349</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Operating costs and expenses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1"/>
        </w:trPr>
        <w:tc>
          <w:tcPr>
            <w:tcW w:w="7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income (expense)</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the transactions amounts presented in the table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at an annual rate of 8.25% on the $9.4 billion aggregate liquidation preference of its preferred units. These distributions are presented under the caption “distributions to member” in our consolidated statement of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6: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2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324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$ 1,750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2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$ 1,275</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32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50</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1,310</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6"/>
        </w:trPr>
        <w:tc>
          <w:tcPr>
            <w:tcW w:w="730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3240" w:type="dxa"/>
            <w:vAlign w:val="bottom"/>
          </w:tcPr>
          <w:p>
            <w:pPr>
              <w:jc w:val="right"/>
              <w:ind w:right="55"/>
              <w:spacing w:after="0"/>
              <w:rPr>
                <w:sz w:val="20"/>
                <w:szCs w:val="20"/>
                <w:color w:val="auto"/>
              </w:rPr>
            </w:pPr>
            <w:r>
              <w:rPr>
                <w:rFonts w:ascii="Arial" w:cs="Arial" w:eastAsia="Arial" w:hAnsi="Arial"/>
                <w:sz w:val="18"/>
                <w:szCs w:val="18"/>
                <w:b w:val="1"/>
                <w:bCs w:val="1"/>
                <w:color w:val="auto"/>
              </w:rPr>
              <w:t>3,110</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175"/>
        </w:trPr>
        <w:tc>
          <w:tcPr>
            <w:tcW w:w="7300" w:type="dxa"/>
            <w:vAlign w:val="bottom"/>
            <w:vMerge w:val="continue"/>
          </w:tcPr>
          <w:p>
            <w:pPr>
              <w:spacing w:after="0"/>
              <w:rPr>
                <w:sz w:val="15"/>
                <w:szCs w:val="15"/>
                <w:color w:val="auto"/>
              </w:rPr>
            </w:pPr>
          </w:p>
        </w:tc>
        <w:tc>
          <w:tcPr>
            <w:tcW w:w="324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1,953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2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853</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177"/>
        </w:trPr>
        <w:tc>
          <w:tcPr>
            <w:tcW w:w="7300" w:type="dxa"/>
            <w:vAlign w:val="bottom"/>
          </w:tcPr>
          <w:p>
            <w:pPr>
              <w:spacing w:after="0"/>
              <w:rPr>
                <w:sz w:val="15"/>
                <w:szCs w:val="15"/>
                <w:color w:val="auto"/>
              </w:rPr>
            </w:pPr>
          </w:p>
        </w:tc>
        <w:tc>
          <w:tcPr>
            <w:tcW w:w="324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2,806</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2,570</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177"/>
        </w:trPr>
        <w:tc>
          <w:tcPr>
            <w:tcW w:w="7300" w:type="dxa"/>
            <w:vAlign w:val="bottom"/>
          </w:tcPr>
          <w:p>
            <w:pPr>
              <w:spacing w:after="0"/>
              <w:rPr>
                <w:sz w:val="15"/>
                <w:szCs w:val="15"/>
                <w:color w:val="auto"/>
              </w:rPr>
            </w:pPr>
          </w:p>
        </w:tc>
        <w:tc>
          <w:tcPr>
            <w:tcW w:w="324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8,486</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1,241</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Film and television costs</w:t>
            </w:r>
          </w:p>
        </w:tc>
        <w:tc>
          <w:tcPr>
            <w:tcW w:w="324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$ 7,245</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$ 5,847</w:t>
            </w:r>
          </w:p>
        </w:tc>
        <w:tc>
          <w:tcPr>
            <w:tcW w:w="0" w:type="dxa"/>
            <w:vAlign w:val="bottom"/>
          </w:tcPr>
          <w:p>
            <w:pPr>
              <w:spacing w:after="0"/>
              <w:rPr>
                <w:sz w:val="1"/>
                <w:szCs w:val="1"/>
                <w:color w:val="auto"/>
              </w:rPr>
            </w:pPr>
          </w:p>
        </w:tc>
      </w:tr>
      <w:tr>
        <w:trPr>
          <w:trHeight w:val="506"/>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151</w:t>
            </w:r>
          </w:p>
        </w:tc>
        <w:tc>
          <w:tcPr>
            <w:tcW w:w="4120" w:type="dxa"/>
            <w:vAlign w:val="bottom"/>
            <w:gridSpan w:val="2"/>
          </w:tcPr>
          <w:p>
            <w:pPr>
              <w:jc w:val="right"/>
              <w:spacing w:after="0"/>
              <w:rPr>
                <w:sz w:val="20"/>
                <w:szCs w:val="20"/>
                <w:color w:val="auto"/>
              </w:rPr>
            </w:pPr>
            <w:r>
              <w:rPr>
                <w:rFonts w:ascii="Arial" w:cs="Arial" w:eastAsia="Arial" w:hAnsi="Arial"/>
                <w:sz w:val="14"/>
                <w:szCs w:val="14"/>
                <w:color w:val="auto"/>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Based on our current estimates of the total remaining revenue from all sources (“ultimate revenue”), in 2017 we expect to amortize approximately $1.9 billion of film and television costs associated with our original film and television productions that have been released, or are completed and have not been released. Through 2019, we expect to amortize approximately 88% of unamortized film and television costs for our released productions, excluding amounts allocated to acquired libraries.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acquired film and television libraries, which are included within the “released, less amortization” captions in the table above, had remaining unamortized costs of $596 million. These costs are generally amortized over a period not to exceed 20 years, and approximately 45% of these costs are expected to be amortized through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in the same ratio as the associated ultimate revenue. Estimates of ultimate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in movie theaters or the licensing or sale of a film or television production, which are primarily costs associated with the marketing and distribution of them.</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determining the method of amortization and estimated life of an acquired film or television library, we generally use the method and the life that most closely follow the undiscounted cash flows over the estimated life of the asset.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 The estimated fair value of a production is based on Level 3 inputs that primarily use an analysis of future expected cash flows. Adjustments to capitalized film and stage play production costs of $14 million, $42 million and $26 million were recorded in 2016, 2015 and 2014, respectively.</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the full risks and rewards for the portion of the film acquired in these arrangements. We account for the proceeds received from a third-party investor under these arrangements as a reduction to our capitalized film costs. Under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made available for use. We amortize capitalized programming costs as the associated programs are broadcast. We generally amortize multiyear, live-event sports programming rights using the ratio of the current period revenue to the estimated ultimate revenue or under the terms of the contract.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152</w:t>
            </w: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our Cable Networks segment is primarily tested on a channel basis for impairment, whereas programming acquired by our Broadcast Television segment is tested on a daypart basis. If we determine that the estimates of future cash flows are insufficient or if there is no plan to broadcast certain programming, we recognize an impairment charge to programming and production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7: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99"/>
        </w:trPr>
        <w:tc>
          <w:tcPr>
            <w:tcW w:w="572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43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94"/>
              <w:spacing w:after="0" w:line="200" w:lineRule="exact"/>
              <w:rPr>
                <w:sz w:val="20"/>
                <w:szCs w:val="20"/>
                <w:color w:val="auto"/>
              </w:rPr>
            </w:pPr>
            <w:r>
              <w:rPr>
                <w:rFonts w:ascii="Arial" w:cs="Arial" w:eastAsia="Arial" w:hAnsi="Arial"/>
                <w:sz w:val="18"/>
                <w:szCs w:val="18"/>
                <w:b w:val="1"/>
                <w:bCs w:val="1"/>
                <w:color w:val="auto"/>
              </w:rPr>
              <w:t>6</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4340" w:type="dxa"/>
            <w:vAlign w:val="bottom"/>
          </w:tcPr>
          <w:p>
            <w:pPr>
              <w:spacing w:after="0"/>
              <w:rPr>
                <w:sz w:val="17"/>
                <w:szCs w:val="17"/>
                <w:color w:val="auto"/>
              </w:rPr>
            </w:pPr>
          </w:p>
        </w:tc>
        <w:tc>
          <w:tcPr>
            <w:tcW w:w="64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225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720" w:type="dxa"/>
            <w:vAlign w:val="bottom"/>
          </w:tcPr>
          <w:p>
            <w:pPr>
              <w:ind w:left="220"/>
              <w:spacing w:after="0" w:line="181" w:lineRule="exact"/>
              <w:rPr>
                <w:sz w:val="20"/>
                <w:szCs w:val="20"/>
                <w:color w:val="auto"/>
              </w:rPr>
            </w:pPr>
            <w:r>
              <w:rPr>
                <w:rFonts w:ascii="Arial" w:cs="Arial" w:eastAsia="Arial" w:hAnsi="Arial"/>
                <w:sz w:val="18"/>
                <w:szCs w:val="18"/>
                <w:color w:val="auto"/>
              </w:rPr>
              <w:t>Hulu</w:t>
            </w:r>
          </w:p>
        </w:tc>
        <w:tc>
          <w:tcPr>
            <w:tcW w:w="43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336</w:t>
            </w: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6"/>
        </w:trPr>
        <w:tc>
          <w:tcPr>
            <w:tcW w:w="572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4340" w:type="dxa"/>
            <w:vAlign w:val="bottom"/>
          </w:tcPr>
          <w:p>
            <w:pPr>
              <w:spacing w:after="0"/>
              <w:rPr>
                <w:sz w:val="19"/>
                <w:szCs w:val="19"/>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b w:val="1"/>
                <w:bCs w:val="1"/>
                <w:color w:val="auto"/>
              </w:rPr>
              <w:t>561</w:t>
            </w:r>
          </w:p>
        </w:tc>
        <w:tc>
          <w:tcPr>
            <w:tcW w:w="280" w:type="dxa"/>
            <w:vAlign w:val="bottom"/>
          </w:tcPr>
          <w:p>
            <w:pPr>
              <w:spacing w:after="0"/>
              <w:rPr>
                <w:sz w:val="19"/>
                <w:szCs w:val="19"/>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175"/>
        </w:trPr>
        <w:tc>
          <w:tcPr>
            <w:tcW w:w="5720" w:type="dxa"/>
            <w:vAlign w:val="bottom"/>
            <w:vMerge w:val="continue"/>
          </w:tcPr>
          <w:p>
            <w:pPr>
              <w:spacing w:after="0"/>
              <w:rPr>
                <w:sz w:val="15"/>
                <w:szCs w:val="15"/>
                <w:color w:val="auto"/>
              </w:rPr>
            </w:pPr>
          </w:p>
        </w:tc>
        <w:tc>
          <w:tcPr>
            <w:tcW w:w="4340" w:type="dxa"/>
            <w:vAlign w:val="bottom"/>
          </w:tcPr>
          <w:p>
            <w:pPr>
              <w:spacing w:after="0"/>
              <w:rPr>
                <w:sz w:val="15"/>
                <w:szCs w:val="15"/>
                <w:color w:val="auto"/>
              </w:rPr>
            </w:pPr>
          </w:p>
        </w:tc>
        <w:tc>
          <w:tcPr>
            <w:tcW w:w="64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400</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20" w:type="dxa"/>
            <w:vAlign w:val="bottom"/>
          </w:tcPr>
          <w:p>
            <w:pPr>
              <w:ind w:left="220"/>
              <w:spacing w:after="0" w:line="181" w:lineRule="exact"/>
              <w:rPr>
                <w:sz w:val="20"/>
                <w:szCs w:val="20"/>
                <w:color w:val="auto"/>
              </w:rPr>
            </w:pPr>
            <w:r>
              <w:rPr>
                <w:rFonts w:ascii="Arial" w:cs="Arial" w:eastAsia="Arial" w:hAnsi="Arial"/>
                <w:sz w:val="18"/>
                <w:szCs w:val="18"/>
                <w:color w:val="auto"/>
              </w:rPr>
              <w:t>BuzzFeed</w:t>
            </w:r>
          </w:p>
        </w:tc>
        <w:tc>
          <w:tcPr>
            <w:tcW w:w="43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ind w:right="14"/>
              <w:spacing w:after="0" w:line="181"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296</w:t>
            </w: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696</w:t>
            </w: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 investments</w:t>
            </w:r>
          </w:p>
        </w:tc>
        <w:tc>
          <w:tcPr>
            <w:tcW w:w="43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94"/>
              <w:spacing w:after="0" w:line="196" w:lineRule="exact"/>
              <w:rPr>
                <w:sz w:val="20"/>
                <w:szCs w:val="20"/>
                <w:color w:val="auto"/>
              </w:rPr>
            </w:pPr>
            <w:r>
              <w:rPr>
                <w:rFonts w:ascii="Arial" w:cs="Arial" w:eastAsia="Arial" w:hAnsi="Arial"/>
                <w:sz w:val="18"/>
                <w:szCs w:val="18"/>
                <w:b w:val="1"/>
                <w:bCs w:val="1"/>
                <w:color w:val="auto"/>
                <w:w w:val="97"/>
              </w:rPr>
              <w:t>1,263</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or in which we hold a significant partnership or LLC interest.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w:t>
      </w:r>
    </w:p>
    <w:p>
      <w:pPr>
        <w:spacing w:after="0" w:line="1" w:lineRule="exact"/>
        <w:rPr>
          <w:sz w:val="20"/>
          <w:szCs w:val="20"/>
          <w:color w:val="auto"/>
        </w:rPr>
      </w:pPr>
    </w:p>
    <w:p>
      <w:pPr>
        <w:jc w:val="both"/>
        <w:ind w:firstLine="8"/>
        <w:spacing w:after="0" w:line="237"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(expense), net. If an equity method investee were to issue additional securities that would change our proportionate share of the entity, we would recognize the change, if any, as a gain or loss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Hulu</w:t>
      </w:r>
    </w:p>
    <w:p>
      <w:pPr>
        <w:jc w:val="both"/>
        <w:spacing w:after="0" w:line="236" w:lineRule="auto"/>
        <w:rPr>
          <w:sz w:val="20"/>
          <w:szCs w:val="20"/>
          <w:color w:val="auto"/>
        </w:rPr>
      </w:pPr>
      <w:r>
        <w:rPr>
          <w:rFonts w:ascii="Arial" w:cs="Arial" w:eastAsia="Arial" w:hAnsi="Arial"/>
          <w:sz w:val="18"/>
          <w:szCs w:val="18"/>
          <w:color w:val="auto"/>
        </w:rPr>
        <w:t>In August 2016, Time Warner Inc. acquired a 10% interest in Hulu, LLC, which diluted our interest in Hulu from 33% to 30%. For a period not to exceed 3 years, Time Warner may put its shares to Hulu or Hulu may call Time Warner’s shares under certain limited circumstances arising from regulatory review. Given the contingent nature of the put and call options, we recorded a deferred gain of $159 million and a corresponding increase to our investment in Hulu as a result of the dilution. The deferred gain will be recognized in other income (expense), net if and when the options expire unexercised.</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2015 and 2014, we recognized our proportionate share of losses of $168 million, $106 million and $20 million, respectively, related to our investment in Hulu.</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The Weather Channel</w:t>
      </w:r>
    </w:p>
    <w:p>
      <w:pPr>
        <w:jc w:val="both"/>
        <w:spacing w:after="0" w:line="239"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transaction, we continue to hold an investment in The Weather Channel cable network through a new holding company. As a result of the sale of our investment, we recognized a pretax gain of $108 million in other income (expense), net.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and December 2015, The Weather Channel recorded impairment charges related to goodwill. In 2015, we recorded expenses of $333 million that represented NBCUniversal’s proportionate share of these impairment charges in equity in net income (losses) of investees, net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Summarized Financial Information</w:t>
      </w:r>
    </w:p>
    <w:p>
      <w:pPr>
        <w:spacing w:after="0"/>
        <w:rPr>
          <w:sz w:val="20"/>
          <w:szCs w:val="20"/>
          <w:color w:val="auto"/>
        </w:rPr>
      </w:pPr>
      <w:r>
        <w:rPr>
          <w:rFonts w:ascii="Arial" w:cs="Arial" w:eastAsia="Arial" w:hAnsi="Arial"/>
          <w:sz w:val="18"/>
          <w:szCs w:val="18"/>
          <w:color w:val="auto"/>
        </w:rPr>
        <w:t>The tables below present the summarized combined financial information of our equity method investments.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2015</w:t>
            </w:r>
          </w:p>
        </w:tc>
      </w:tr>
      <w:tr>
        <w:trPr>
          <w:trHeight w:val="177"/>
        </w:trPr>
        <w:tc>
          <w:tcPr>
            <w:tcW w:w="5640" w:type="dxa"/>
            <w:vAlign w:val="bottom"/>
          </w:tcPr>
          <w:p>
            <w:pPr>
              <w:spacing w:after="0" w:line="177" w:lineRule="exact"/>
              <w:rPr>
                <w:sz w:val="20"/>
                <w:szCs w:val="20"/>
                <w:color w:val="auto"/>
              </w:rPr>
            </w:pPr>
            <w:r>
              <w:rPr>
                <w:rFonts w:ascii="Arial" w:cs="Arial" w:eastAsia="Arial" w:hAnsi="Arial"/>
                <w:sz w:val="18"/>
                <w:szCs w:val="18"/>
                <w:color w:val="auto"/>
              </w:rPr>
              <w:t>Current assets</w:t>
            </w:r>
          </w:p>
        </w:tc>
        <w:tc>
          <w:tcPr>
            <w:tcW w:w="3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w w:val="97"/>
              </w:rPr>
              <w:t>2,105</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1,904</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3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w w:val="97"/>
              </w:rPr>
              <w:t>2,724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3,584</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w w:val="97"/>
              </w:rPr>
              <w:t>1,921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1,225</w:t>
            </w:r>
          </w:p>
        </w:tc>
      </w:tr>
      <w:tr>
        <w:trPr>
          <w:trHeight w:val="221"/>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liabilities</w:t>
            </w:r>
          </w:p>
        </w:tc>
        <w:tc>
          <w:tcPr>
            <w:tcW w:w="3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w w:val="97"/>
              </w:rPr>
              <w:t>2,853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4,879</w:t>
            </w:r>
          </w:p>
        </w:tc>
      </w:tr>
      <w:tr>
        <w:trPr>
          <w:trHeight w:val="345"/>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2014</w:t>
            </w:r>
          </w:p>
        </w:tc>
      </w:tr>
      <w:tr>
        <w:trPr>
          <w:trHeight w:val="177"/>
        </w:trPr>
        <w:tc>
          <w:tcPr>
            <w:tcW w:w="5640" w:type="dxa"/>
            <w:vAlign w:val="bottom"/>
          </w:tcPr>
          <w:p>
            <w:pPr>
              <w:spacing w:after="0" w:line="177" w:lineRule="exact"/>
              <w:rPr>
                <w:sz w:val="20"/>
                <w:szCs w:val="20"/>
                <w:color w:val="auto"/>
              </w:rPr>
            </w:pPr>
            <w:r>
              <w:rPr>
                <w:rFonts w:ascii="Arial" w:cs="Arial" w:eastAsia="Arial" w:hAnsi="Arial"/>
                <w:sz w:val="18"/>
                <w:szCs w:val="18"/>
                <w:color w:val="auto"/>
              </w:rPr>
              <w:t>Revenue</w:t>
            </w:r>
          </w:p>
        </w:tc>
        <w:tc>
          <w:tcPr>
            <w:tcW w:w="35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7"/>
              <w:spacing w:after="0" w:line="177" w:lineRule="exact"/>
              <w:rPr>
                <w:sz w:val="20"/>
                <w:szCs w:val="20"/>
                <w:color w:val="auto"/>
              </w:rPr>
            </w:pPr>
            <w:r>
              <w:rPr>
                <w:rFonts w:ascii="Arial" w:cs="Arial" w:eastAsia="Arial" w:hAnsi="Arial"/>
                <w:sz w:val="18"/>
                <w:szCs w:val="18"/>
                <w:b w:val="1"/>
                <w:bCs w:val="1"/>
                <w:color w:val="auto"/>
              </w:rPr>
              <w:t>4,285</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7"/>
              <w:spacing w:after="0" w:line="177" w:lineRule="exact"/>
              <w:rPr>
                <w:sz w:val="20"/>
                <w:szCs w:val="20"/>
                <w:color w:val="auto"/>
              </w:rPr>
            </w:pPr>
            <w:r>
              <w:rPr>
                <w:rFonts w:ascii="Arial" w:cs="Arial" w:eastAsia="Arial" w:hAnsi="Arial"/>
                <w:sz w:val="18"/>
                <w:szCs w:val="18"/>
                <w:color w:val="auto"/>
              </w:rPr>
              <w:t>3,944</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3,756</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3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(1,609)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483</w:t>
            </w:r>
          </w:p>
        </w:tc>
      </w:tr>
      <w:tr>
        <w:trPr>
          <w:trHeight w:val="221"/>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3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243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 use the cost method to account for investments not accounted for under the fair value method or the equity method.</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September 2015, we acquired an interest in BuzzFeed, Inc. and made an additional investment in Vox Media, Inc. for $200 million each in cash. In November 2016, NBCUniversal made an additional investment of $200 million in BuzzFeed. BuzzFeed is a global media company that produces and distributes original news, entertainment and videos. Vox Media is a digital media company comprised of eight distinct brands.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available-for-sale securities and our cost method investments, we record the impairment to investment income (loss), net. For our equity method investments, we record the impairment to other income (expense),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154</w:t>
            </w: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340" w:type="dxa"/>
            <w:vAlign w:val="bottom"/>
          </w:tcPr>
          <w:p>
            <w:pPr>
              <w:jc w:val="right"/>
              <w:ind w:right="260"/>
              <w:spacing w:after="0"/>
              <w:rPr>
                <w:sz w:val="20"/>
                <w:szCs w:val="20"/>
                <w:color w:val="auto"/>
              </w:rPr>
            </w:pPr>
            <w:r>
              <w:rPr>
                <w:rFonts w:ascii="Arial" w:cs="Arial" w:eastAsia="Arial" w:hAnsi="Arial"/>
                <w:sz w:val="14"/>
                <w:szCs w:val="14"/>
                <w:color w:val="auto"/>
              </w:rPr>
              <w:t>Weighted-Average</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4340" w:type="dxa"/>
            <w:vAlign w:val="bottom"/>
          </w:tcPr>
          <w:p>
            <w:pPr>
              <w:jc w:val="right"/>
              <w:ind w:right="300"/>
              <w:spacing w:after="0" w:line="149" w:lineRule="exact"/>
              <w:rPr>
                <w:sz w:val="20"/>
                <w:szCs w:val="20"/>
                <w:color w:val="auto"/>
              </w:rPr>
            </w:pPr>
            <w:r>
              <w:rPr>
                <w:rFonts w:ascii="Arial" w:cs="Arial" w:eastAsia="Arial" w:hAnsi="Arial"/>
                <w:sz w:val="14"/>
                <w:szCs w:val="14"/>
                <w:color w:val="auto"/>
              </w:rPr>
              <w:t>Original Useful Life</w:t>
            </w:r>
          </w:p>
        </w:tc>
        <w:tc>
          <w:tcPr>
            <w:tcW w:w="6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4340" w:type="dxa"/>
            <w:vAlign w:val="bottom"/>
            <w:tcBorders>
              <w:bottom w:val="single" w:sz="8" w:color="auto"/>
            </w:tcBorders>
          </w:tcPr>
          <w:p>
            <w:pPr>
              <w:jc w:val="right"/>
              <w:ind w:right="260"/>
              <w:spacing w:after="0" w:line="149" w:lineRule="exact"/>
              <w:rPr>
                <w:sz w:val="20"/>
                <w:szCs w:val="20"/>
                <w:color w:val="auto"/>
              </w:rPr>
            </w:pPr>
            <w:r>
              <w:rPr>
                <w:rFonts w:ascii="Arial" w:cs="Arial" w:eastAsia="Arial" w:hAnsi="Arial"/>
                <w:sz w:val="14"/>
                <w:szCs w:val="14"/>
                <w:color w:val="auto"/>
              </w:rPr>
              <w:t>as of December 31, 2016</w:t>
            </w:r>
          </w:p>
        </w:tc>
        <w:tc>
          <w:tcPr>
            <w:tcW w:w="6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Buildings and leasehold improvements</w:t>
            </w:r>
          </w:p>
        </w:tc>
        <w:tc>
          <w:tcPr>
            <w:tcW w:w="4340" w:type="dxa"/>
            <w:vAlign w:val="bottom"/>
          </w:tcPr>
          <w:p>
            <w:pPr>
              <w:jc w:val="right"/>
              <w:spacing w:after="0" w:line="177" w:lineRule="exact"/>
              <w:rPr>
                <w:sz w:val="20"/>
                <w:szCs w:val="20"/>
                <w:color w:val="auto"/>
              </w:rPr>
            </w:pPr>
            <w:r>
              <w:rPr>
                <w:rFonts w:ascii="Arial" w:cs="Arial" w:eastAsia="Arial" w:hAnsi="Arial"/>
                <w:sz w:val="18"/>
                <w:szCs w:val="18"/>
                <w:color w:val="auto"/>
              </w:rPr>
              <w:t xml:space="preserve">30 years  </w:t>
            </w:r>
            <w:r>
              <w:rPr>
                <w:rFonts w:ascii="Arial" w:cs="Arial" w:eastAsia="Arial" w:hAnsi="Arial"/>
                <w:sz w:val="18"/>
                <w:szCs w:val="18"/>
                <w:b w:val="1"/>
                <w:bCs w:val="1"/>
                <w:color w:val="auto"/>
              </w:rPr>
              <w:t>$</w:t>
            </w:r>
          </w:p>
        </w:tc>
        <w:tc>
          <w:tcPr>
            <w:tcW w:w="680" w:type="dxa"/>
            <w:vAlign w:val="bottom"/>
          </w:tcPr>
          <w:p>
            <w:pPr>
              <w:jc w:val="right"/>
              <w:ind w:right="15"/>
              <w:spacing w:after="0" w:line="177" w:lineRule="exact"/>
              <w:rPr>
                <w:sz w:val="20"/>
                <w:szCs w:val="20"/>
                <w:color w:val="auto"/>
              </w:rPr>
            </w:pPr>
            <w:r>
              <w:rPr>
                <w:rFonts w:ascii="Arial" w:cs="Arial" w:eastAsia="Arial" w:hAnsi="Arial"/>
                <w:sz w:val="18"/>
                <w:szCs w:val="18"/>
                <w:b w:val="1"/>
                <w:bCs w:val="1"/>
                <w:color w:val="auto"/>
              </w:rPr>
              <w:t>7,543</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4340" w:type="dxa"/>
            <w:vAlign w:val="bottom"/>
          </w:tcPr>
          <w:p>
            <w:pPr>
              <w:jc w:val="right"/>
              <w:ind w:right="260"/>
              <w:spacing w:after="0" w:line="202" w:lineRule="exact"/>
              <w:rPr>
                <w:sz w:val="20"/>
                <w:szCs w:val="20"/>
                <w:color w:val="auto"/>
              </w:rPr>
            </w:pPr>
            <w:r>
              <w:rPr>
                <w:rFonts w:ascii="Arial" w:cs="Arial" w:eastAsia="Arial" w:hAnsi="Arial"/>
                <w:sz w:val="18"/>
                <w:szCs w:val="18"/>
                <w:color w:val="auto"/>
              </w:rPr>
              <w:t>11 years</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4,158</w:t>
            </w:r>
          </w:p>
        </w:tc>
        <w:tc>
          <w:tcPr>
            <w:tcW w:w="24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4340" w:type="dxa"/>
            <w:vAlign w:val="bottom"/>
          </w:tcPr>
          <w:p>
            <w:pPr>
              <w:jc w:val="right"/>
              <w:ind w:right="260"/>
              <w:spacing w:after="0" w:line="202" w:lineRule="exact"/>
              <w:rPr>
                <w:sz w:val="20"/>
                <w:szCs w:val="20"/>
                <w:color w:val="auto"/>
              </w:rPr>
            </w:pPr>
            <w:r>
              <w:rPr>
                <w:rFonts w:ascii="Arial" w:cs="Arial" w:eastAsia="Arial" w:hAnsi="Arial"/>
                <w:sz w:val="18"/>
                <w:szCs w:val="18"/>
                <w:color w:val="auto"/>
              </w:rPr>
              <w:t>N/A</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1,176</w:t>
            </w:r>
          </w:p>
        </w:tc>
        <w:tc>
          <w:tcPr>
            <w:tcW w:w="24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4340" w:type="dxa"/>
            <w:vAlign w:val="bottom"/>
            <w:tcBorders>
              <w:bottom w:val="single" w:sz="8" w:color="auto"/>
            </w:tcBorders>
          </w:tcPr>
          <w:p>
            <w:pPr>
              <w:jc w:val="right"/>
              <w:ind w:right="260"/>
              <w:spacing w:after="0"/>
              <w:rPr>
                <w:sz w:val="20"/>
                <w:szCs w:val="20"/>
                <w:color w:val="auto"/>
              </w:rPr>
            </w:pPr>
            <w:r>
              <w:rPr>
                <w:rFonts w:ascii="Arial" w:cs="Arial" w:eastAsia="Arial" w:hAnsi="Arial"/>
                <w:sz w:val="18"/>
                <w:szCs w:val="18"/>
                <w:color w:val="auto"/>
              </w:rPr>
              <w:t>N/A</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984</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340" w:type="dxa"/>
            <w:vAlign w:val="bottom"/>
          </w:tcPr>
          <w:p>
            <w:pPr>
              <w:spacing w:after="0"/>
              <w:rPr>
                <w:sz w:val="15"/>
                <w:szCs w:val="15"/>
                <w:color w:val="auto"/>
              </w:rPr>
            </w:pPr>
          </w:p>
        </w:tc>
        <w:tc>
          <w:tcPr>
            <w:tcW w:w="680" w:type="dxa"/>
            <w:vAlign w:val="bottom"/>
          </w:tcPr>
          <w:p>
            <w:pPr>
              <w:jc w:val="right"/>
              <w:ind w:right="15"/>
              <w:spacing w:after="0" w:line="177" w:lineRule="exact"/>
              <w:rPr>
                <w:sz w:val="20"/>
                <w:szCs w:val="20"/>
                <w:color w:val="auto"/>
              </w:rPr>
            </w:pPr>
            <w:r>
              <w:rPr>
                <w:rFonts w:ascii="Arial" w:cs="Arial" w:eastAsia="Arial" w:hAnsi="Arial"/>
                <w:sz w:val="18"/>
                <w:szCs w:val="18"/>
                <w:b w:val="1"/>
                <w:bCs w:val="1"/>
                <w:color w:val="auto"/>
              </w:rPr>
              <w:t>13,861</w:t>
            </w:r>
          </w:p>
        </w:tc>
        <w:tc>
          <w:tcPr>
            <w:tcW w:w="240" w:type="dxa"/>
            <w:vAlign w:val="bottom"/>
          </w:tcPr>
          <w:p>
            <w:pPr>
              <w:spacing w:after="0"/>
              <w:rPr>
                <w:sz w:val="15"/>
                <w:szCs w:val="15"/>
                <w:color w:val="auto"/>
              </w:rPr>
            </w:pPr>
          </w:p>
        </w:tc>
        <w:tc>
          <w:tcPr>
            <w:tcW w:w="6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3,350</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3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10,511</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9,521</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120" w:type="dxa"/>
            <w:vAlign w:val="bottom"/>
          </w:tcPr>
          <w:p>
            <w:pPr>
              <w:jc w:val="right"/>
              <w:ind w:right="56"/>
              <w:spacing w:after="0"/>
              <w:rPr>
                <w:sz w:val="20"/>
                <w:szCs w:val="20"/>
                <w:color w:val="auto"/>
              </w:rPr>
            </w:pPr>
            <w:r>
              <w:rPr>
                <w:rFonts w:ascii="Arial" w:cs="Arial" w:eastAsia="Arial" w:hAnsi="Arial"/>
                <w:sz w:val="14"/>
                <w:szCs w:val="14"/>
                <w:color w:val="auto"/>
              </w:rPr>
              <w:t>Cable</w:t>
            </w: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Broadcast</w:t>
            </w:r>
          </w:p>
        </w:tc>
        <w:tc>
          <w:tcPr>
            <w:tcW w:w="36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color w:val="auto"/>
              </w:rPr>
              <w:t>Filmed</w:t>
            </w:r>
          </w:p>
        </w:tc>
        <w:tc>
          <w:tcPr>
            <w:tcW w:w="22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color w:val="auto"/>
              </w:rPr>
              <w:t>Theme</w:t>
            </w:r>
          </w:p>
        </w:tc>
        <w:tc>
          <w:tcPr>
            <w:tcW w:w="880" w:type="dxa"/>
            <w:vAlign w:val="bottom"/>
          </w:tcPr>
          <w:p>
            <w:pPr>
              <w:spacing w:after="0"/>
              <w:rPr>
                <w:sz w:val="14"/>
                <w:szCs w:val="14"/>
                <w:color w:val="auto"/>
              </w:rPr>
            </w:pPr>
          </w:p>
        </w:tc>
      </w:tr>
      <w:tr>
        <w:trPr>
          <w:trHeight w:val="149"/>
        </w:trPr>
        <w:tc>
          <w:tcPr>
            <w:tcW w:w="46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12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4"/>
                <w:szCs w:val="14"/>
                <w:color w:val="auto"/>
              </w:rPr>
              <w:t>Networks</w:t>
            </w:r>
          </w:p>
        </w:tc>
        <w:tc>
          <w:tcPr>
            <w:tcW w:w="82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Television</w:t>
            </w:r>
          </w:p>
        </w:tc>
        <w:tc>
          <w:tcPr>
            <w:tcW w:w="108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Entertainment</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4"/>
                <w:szCs w:val="14"/>
                <w:color w:val="auto"/>
              </w:rPr>
              <w:t>Parks</w:t>
            </w:r>
          </w:p>
        </w:tc>
        <w:tc>
          <w:tcPr>
            <w:tcW w:w="8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4680" w:type="dxa"/>
            <w:vAlign w:val="bottom"/>
          </w:tcPr>
          <w:p>
            <w:pPr>
              <w:spacing w:after="0" w:line="200" w:lineRule="exact"/>
              <w:rPr>
                <w:sz w:val="20"/>
                <w:szCs w:val="20"/>
                <w:color w:val="auto"/>
              </w:rPr>
            </w:pPr>
            <w:r>
              <w:rPr>
                <w:rFonts w:ascii="Arial" w:cs="Arial" w:eastAsia="Arial" w:hAnsi="Arial"/>
                <w:sz w:val="18"/>
                <w:szCs w:val="18"/>
                <w:color w:val="auto"/>
              </w:rPr>
              <w:t>Balance, December 31, 2014</w:t>
            </w:r>
          </w:p>
        </w:tc>
        <w:tc>
          <w:tcPr>
            <w:tcW w:w="3120" w:type="dxa"/>
            <w:vAlign w:val="bottom"/>
          </w:tcPr>
          <w:p>
            <w:pPr>
              <w:jc w:val="right"/>
              <w:ind w:right="56"/>
              <w:spacing w:after="0" w:line="200" w:lineRule="exact"/>
              <w:rPr>
                <w:sz w:val="20"/>
                <w:szCs w:val="20"/>
                <w:color w:val="auto"/>
              </w:rPr>
            </w:pPr>
            <w:r>
              <w:rPr>
                <w:rFonts w:ascii="Arial" w:cs="Arial" w:eastAsia="Arial" w:hAnsi="Arial"/>
                <w:sz w:val="18"/>
                <w:szCs w:val="18"/>
                <w:color w:val="auto"/>
              </w:rPr>
              <w:t>$ 12,948</w:t>
            </w:r>
          </w:p>
        </w:tc>
        <w:tc>
          <w:tcPr>
            <w:tcW w:w="30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767</w:t>
            </w:r>
          </w:p>
        </w:tc>
        <w:tc>
          <w:tcPr>
            <w:tcW w:w="36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211</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6"/>
              <w:spacing w:after="0" w:line="200" w:lineRule="exact"/>
              <w:rPr>
                <w:sz w:val="20"/>
                <w:szCs w:val="20"/>
                <w:color w:val="auto"/>
              </w:rPr>
            </w:pPr>
            <w:r>
              <w:rPr>
                <w:rFonts w:ascii="Arial" w:cs="Arial" w:eastAsia="Arial" w:hAnsi="Arial"/>
                <w:sz w:val="18"/>
                <w:szCs w:val="18"/>
                <w:color w:val="auto"/>
              </w:rPr>
              <w:t>982</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$ 14,908</w:t>
            </w:r>
          </w:p>
        </w:tc>
      </w:tr>
      <w:tr>
        <w:trPr>
          <w:trHeight w:val="203"/>
        </w:trPr>
        <w:tc>
          <w:tcPr>
            <w:tcW w:w="4680" w:type="dxa"/>
            <w:vAlign w:val="bottom"/>
          </w:tcPr>
          <w:p>
            <w:pPr>
              <w:spacing w:after="0" w:line="203"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color w:val="auto"/>
                <w:vertAlign w:val="superscript"/>
              </w:rPr>
              <w:t>(a)</w:t>
            </w:r>
          </w:p>
        </w:tc>
        <w:tc>
          <w:tcPr>
            <w:tcW w:w="31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17</w:t>
            </w:r>
          </w:p>
        </w:tc>
        <w:tc>
          <w:tcPr>
            <w:tcW w:w="300" w:type="dxa"/>
            <w:vAlign w:val="bottom"/>
          </w:tcPr>
          <w:p>
            <w:pPr>
              <w:spacing w:after="0"/>
              <w:rPr>
                <w:sz w:val="17"/>
                <w:szCs w:val="17"/>
                <w:color w:val="auto"/>
              </w:rPr>
            </w:pPr>
          </w:p>
        </w:tc>
        <w:tc>
          <w:tcPr>
            <w:tcW w:w="5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39</w:t>
            </w:r>
          </w:p>
        </w:tc>
        <w:tc>
          <w:tcPr>
            <w:tcW w:w="3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5,373</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5,487</w:t>
            </w:r>
          </w:p>
        </w:tc>
      </w:tr>
      <w:tr>
        <w:trPr>
          <w:trHeight w:val="199"/>
        </w:trPr>
        <w:tc>
          <w:tcPr>
            <w:tcW w:w="46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Foreign currency translation</w:t>
            </w:r>
          </w:p>
        </w:tc>
        <w:tc>
          <w:tcPr>
            <w:tcW w:w="3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r>
      <w:tr>
        <w:trPr>
          <w:trHeight w:val="177"/>
        </w:trPr>
        <w:tc>
          <w:tcPr>
            <w:tcW w:w="4680" w:type="dxa"/>
            <w:vAlign w:val="bottom"/>
          </w:tcPr>
          <w:p>
            <w:pPr>
              <w:spacing w:after="0" w:line="177" w:lineRule="exact"/>
              <w:rPr>
                <w:sz w:val="20"/>
                <w:szCs w:val="20"/>
                <w:color w:val="auto"/>
              </w:rPr>
            </w:pPr>
            <w:r>
              <w:rPr>
                <w:rFonts w:ascii="Arial" w:cs="Arial" w:eastAsia="Arial" w:hAnsi="Arial"/>
                <w:sz w:val="18"/>
                <w:szCs w:val="18"/>
                <w:color w:val="auto"/>
              </w:rPr>
              <w:t>Balance, December 31, 2015</w:t>
            </w:r>
          </w:p>
        </w:tc>
        <w:tc>
          <w:tcPr>
            <w:tcW w:w="3120" w:type="dxa"/>
            <w:vAlign w:val="bottom"/>
          </w:tcPr>
          <w:p>
            <w:pPr>
              <w:jc w:val="right"/>
              <w:ind w:right="56"/>
              <w:spacing w:after="0" w:line="177" w:lineRule="exact"/>
              <w:rPr>
                <w:sz w:val="20"/>
                <w:szCs w:val="20"/>
                <w:color w:val="auto"/>
              </w:rPr>
            </w:pPr>
            <w:r>
              <w:rPr>
                <w:rFonts w:ascii="Arial" w:cs="Arial" w:eastAsia="Arial" w:hAnsi="Arial"/>
                <w:sz w:val="18"/>
                <w:szCs w:val="18"/>
                <w:color w:val="auto"/>
              </w:rPr>
              <w:t>12,947</w:t>
            </w:r>
          </w:p>
        </w:tc>
        <w:tc>
          <w:tcPr>
            <w:tcW w:w="300" w:type="dxa"/>
            <w:vAlign w:val="bottom"/>
          </w:tcPr>
          <w:p>
            <w:pPr>
              <w:spacing w:after="0"/>
              <w:rPr>
                <w:sz w:val="15"/>
                <w:szCs w:val="15"/>
                <w:color w:val="auto"/>
              </w:rPr>
            </w:pPr>
          </w:p>
        </w:tc>
        <w:tc>
          <w:tcPr>
            <w:tcW w:w="520" w:type="dxa"/>
            <w:vAlign w:val="bottom"/>
          </w:tcPr>
          <w:p>
            <w:pPr>
              <w:jc w:val="right"/>
              <w:ind w:right="32"/>
              <w:spacing w:after="0" w:line="177" w:lineRule="exact"/>
              <w:rPr>
                <w:sz w:val="20"/>
                <w:szCs w:val="20"/>
                <w:color w:val="auto"/>
              </w:rPr>
            </w:pPr>
            <w:r>
              <w:rPr>
                <w:rFonts w:ascii="Arial" w:cs="Arial" w:eastAsia="Arial" w:hAnsi="Arial"/>
                <w:sz w:val="18"/>
                <w:szCs w:val="18"/>
                <w:color w:val="auto"/>
              </w:rPr>
              <w:t>806</w:t>
            </w:r>
          </w:p>
        </w:tc>
        <w:tc>
          <w:tcPr>
            <w:tcW w:w="36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267</w:t>
            </w:r>
          </w:p>
        </w:tc>
        <w:tc>
          <w:tcPr>
            <w:tcW w:w="220" w:type="dxa"/>
            <w:vAlign w:val="bottom"/>
          </w:tcPr>
          <w:p>
            <w:pPr>
              <w:spacing w:after="0"/>
              <w:rPr>
                <w:sz w:val="15"/>
                <w:szCs w:val="15"/>
                <w:color w:val="auto"/>
              </w:rPr>
            </w:pPr>
          </w:p>
        </w:tc>
        <w:tc>
          <w:tcPr>
            <w:tcW w:w="620" w:type="dxa"/>
            <w:vAlign w:val="bottom"/>
          </w:tcPr>
          <w:p>
            <w:pPr>
              <w:jc w:val="right"/>
              <w:ind w:right="56"/>
              <w:spacing w:after="0" w:line="177" w:lineRule="exact"/>
              <w:rPr>
                <w:sz w:val="20"/>
                <w:szCs w:val="20"/>
                <w:color w:val="auto"/>
              </w:rPr>
            </w:pPr>
            <w:r>
              <w:rPr>
                <w:rFonts w:ascii="Arial" w:cs="Arial" w:eastAsia="Arial" w:hAnsi="Arial"/>
                <w:sz w:val="18"/>
                <w:szCs w:val="18"/>
                <w:color w:val="auto"/>
              </w:rPr>
              <w:t>6,344</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20,364</w:t>
            </w:r>
          </w:p>
        </w:tc>
      </w:tr>
      <w:tr>
        <w:trPr>
          <w:trHeight w:val="203"/>
        </w:trPr>
        <w:tc>
          <w:tcPr>
            <w:tcW w:w="4680" w:type="dxa"/>
            <w:vAlign w:val="bottom"/>
          </w:tcPr>
          <w:p>
            <w:pPr>
              <w:spacing w:after="0" w:line="203" w:lineRule="exact"/>
              <w:rPr>
                <w:sz w:val="20"/>
                <w:szCs w:val="20"/>
                <w:color w:val="auto"/>
              </w:rPr>
            </w:pPr>
            <w:r>
              <w:rPr>
                <w:rFonts w:ascii="Arial" w:cs="Arial" w:eastAsia="Arial" w:hAnsi="Arial"/>
                <w:sz w:val="18"/>
                <w:szCs w:val="18"/>
                <w:b w:val="1"/>
                <w:bCs w:val="1"/>
                <w:color w:val="auto"/>
              </w:rPr>
              <w:t>Acquisitions</w:t>
            </w:r>
            <w:r>
              <w:rPr>
                <w:rFonts w:ascii="Arial" w:cs="Arial" w:eastAsia="Arial" w:hAnsi="Arial"/>
                <w:sz w:val="22"/>
                <w:szCs w:val="22"/>
                <w:b w:val="1"/>
                <w:bCs w:val="1"/>
                <w:color w:val="auto"/>
                <w:vertAlign w:val="superscript"/>
              </w:rPr>
              <w:t>(b)</w:t>
            </w:r>
          </w:p>
        </w:tc>
        <w:tc>
          <w:tcPr>
            <w:tcW w:w="31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232</w:t>
            </w:r>
          </w:p>
        </w:tc>
        <w:tc>
          <w:tcPr>
            <w:tcW w:w="300" w:type="dxa"/>
            <w:vAlign w:val="bottom"/>
          </w:tcPr>
          <w:p>
            <w:pPr>
              <w:spacing w:after="0"/>
              <w:rPr>
                <w:sz w:val="17"/>
                <w:szCs w:val="17"/>
                <w:color w:val="auto"/>
              </w:rPr>
            </w:pPr>
          </w:p>
        </w:tc>
        <w:tc>
          <w:tcPr>
            <w:tcW w:w="5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2,717</w:t>
            </w:r>
          </w:p>
        </w:tc>
        <w:tc>
          <w:tcPr>
            <w:tcW w:w="22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2,949</w:t>
            </w:r>
          </w:p>
        </w:tc>
      </w:tr>
      <w:tr>
        <w:trPr>
          <w:trHeight w:val="203"/>
        </w:trPr>
        <w:tc>
          <w:tcPr>
            <w:tcW w:w="4680" w:type="dxa"/>
            <w:vAlign w:val="bottom"/>
          </w:tcPr>
          <w:p>
            <w:pPr>
              <w:spacing w:after="0" w:line="203"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22"/>
                <w:szCs w:val="22"/>
                <w:b w:val="1"/>
                <w:bCs w:val="1"/>
                <w:color w:val="auto"/>
                <w:vertAlign w:val="superscript"/>
              </w:rPr>
              <w:t>(c)</w:t>
            </w:r>
          </w:p>
        </w:tc>
        <w:tc>
          <w:tcPr>
            <w:tcW w:w="31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5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(250)</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(250)</w:t>
            </w:r>
          </w:p>
        </w:tc>
      </w:tr>
      <w:tr>
        <w:trPr>
          <w:trHeight w:val="221"/>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Foreign currency translation</w:t>
            </w:r>
          </w:p>
        </w:tc>
        <w:tc>
          <w:tcPr>
            <w:tcW w:w="3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247</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260</w:t>
            </w:r>
          </w:p>
        </w:tc>
      </w:tr>
      <w:tr>
        <w:trPr>
          <w:trHeight w:val="196"/>
        </w:trPr>
        <w:tc>
          <w:tcPr>
            <w:tcW w:w="46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2016</w:t>
            </w:r>
          </w:p>
        </w:tc>
        <w:tc>
          <w:tcPr>
            <w:tcW w:w="312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$ 13,183</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806</w:t>
            </w:r>
          </w:p>
        </w:tc>
        <w:tc>
          <w:tcPr>
            <w:tcW w:w="36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2,993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6,341</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$ 23,323</w:t>
            </w:r>
          </w:p>
        </w:tc>
      </w:tr>
    </w:tbl>
    <w:p>
      <w:pPr>
        <w:spacing w:after="0" w:line="67"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Acquisitions in 2015 in our Theme Parks segment included the Universal Studios Japan transaction (see Note 4 for additional information).</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Acquisitions in 2016 in our Filmed Entertainment segment primarily included the DreamWorks Animation acquisition (see Note 4 for additional information).</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Adjustments in 2016 included the updated allocation of the purchase price for Universal Studios Japan in our Theme Parks segment (see Note 4 for additional information).</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Goodwill is calculated as the excess of the consideration transferred over the identifiable net assets acquired in a business combination and represents the future economic benefits expected to arise from anticipated</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155</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synergies and intangible assets acquired that do not qualify for separate recognition, including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four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 We did not recognize any impairment charges in any of the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3200" w:type="dxa"/>
            <w:vAlign w:val="bottom"/>
            <w:vMerge w:val="restart"/>
          </w:tcPr>
          <w:p>
            <w:pPr>
              <w:jc w:val="right"/>
              <w:ind w:right="40"/>
              <w:spacing w:after="0"/>
              <w:rPr>
                <w:sz w:val="20"/>
                <w:szCs w:val="20"/>
                <w:color w:val="auto"/>
              </w:rPr>
            </w:pPr>
            <w:r>
              <w:rPr>
                <w:rFonts w:ascii="Arial" w:cs="Arial" w:eastAsia="Arial" w:hAnsi="Arial"/>
                <w:sz w:val="14"/>
                <w:szCs w:val="14"/>
                <w:color w:val="auto"/>
              </w:rPr>
              <w:t>Weighted-Average</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color w:val="auto"/>
              </w:rPr>
              <w:t>2015</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38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jc w:val="right"/>
              <w:ind w:right="20"/>
              <w:spacing w:after="0" w:line="125" w:lineRule="exact"/>
              <w:rPr>
                <w:sz w:val="20"/>
                <w:szCs w:val="20"/>
                <w:color w:val="auto"/>
              </w:rPr>
            </w:pPr>
            <w:r>
              <w:rPr>
                <w:rFonts w:ascii="Arial" w:cs="Arial" w:eastAsia="Arial" w:hAnsi="Arial"/>
                <w:sz w:val="14"/>
                <w:szCs w:val="14"/>
                <w:color w:val="auto"/>
              </w:rPr>
              <w:t>Gross</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3200" w:type="dxa"/>
            <w:vAlign w:val="bottom"/>
          </w:tcPr>
          <w:p>
            <w:pPr>
              <w:jc w:val="right"/>
              <w:ind w:right="40"/>
              <w:spacing w:after="0" w:line="149" w:lineRule="exact"/>
              <w:rPr>
                <w:sz w:val="20"/>
                <w:szCs w:val="20"/>
                <w:color w:val="auto"/>
              </w:rPr>
            </w:pPr>
            <w:r>
              <w:rPr>
                <w:rFonts w:ascii="Arial" w:cs="Arial" w:eastAsia="Arial" w:hAnsi="Arial"/>
                <w:sz w:val="14"/>
                <w:szCs w:val="14"/>
                <w:color w:val="auto"/>
              </w:rPr>
              <w:t>Original Useful Life as</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color w:val="auto"/>
              </w:rPr>
              <w:t>Carrying</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2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of December 31, 2016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Amount</w:t>
            </w:r>
          </w:p>
        </w:tc>
        <w:tc>
          <w:tcPr>
            <w:tcW w:w="1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4380" w:type="dxa"/>
            <w:vAlign w:val="bottom"/>
          </w:tcPr>
          <w:p>
            <w:pPr>
              <w:spacing w:after="0" w:line="200" w:lineRule="exact"/>
              <w:rPr>
                <w:sz w:val="20"/>
                <w:szCs w:val="20"/>
                <w:color w:val="auto"/>
              </w:rPr>
            </w:pPr>
            <w:r>
              <w:rPr>
                <w:rFonts w:ascii="Arial" w:cs="Arial" w:eastAsia="Arial" w:hAnsi="Arial"/>
                <w:sz w:val="18"/>
                <w:szCs w:val="18"/>
                <w:color w:val="auto"/>
              </w:rPr>
              <w:t>Finite-Lived Intangible Assets:</w:t>
            </w:r>
          </w:p>
        </w:tc>
        <w:tc>
          <w:tcPr>
            <w:tcW w:w="3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$ 13,173</w:t>
            </w:r>
          </w:p>
        </w:tc>
        <w:tc>
          <w:tcPr>
            <w:tcW w:w="4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(4,952)</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8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3200" w:type="dxa"/>
            <w:vAlign w:val="bottom"/>
          </w:tcPr>
          <w:p>
            <w:pPr>
              <w:jc w:val="right"/>
              <w:ind w:right="40"/>
              <w:spacing w:after="0" w:line="181" w:lineRule="exact"/>
              <w:rPr>
                <w:sz w:val="20"/>
                <w:szCs w:val="20"/>
                <w:color w:val="auto"/>
              </w:rPr>
            </w:pPr>
            <w:r>
              <w:rPr>
                <w:rFonts w:ascii="Arial" w:cs="Arial" w:eastAsia="Arial" w:hAnsi="Arial"/>
                <w:sz w:val="18"/>
                <w:szCs w:val="18"/>
                <w:color w:val="auto"/>
              </w:rPr>
              <w:t>19 years</w:t>
            </w: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tcPr>
          <w:p>
            <w:pPr>
              <w:jc w:val="right"/>
              <w:ind w:right="20"/>
              <w:spacing w:after="0" w:line="181" w:lineRule="exact"/>
              <w:rPr>
                <w:sz w:val="20"/>
                <w:szCs w:val="20"/>
                <w:color w:val="auto"/>
              </w:rPr>
            </w:pPr>
            <w:r>
              <w:rPr>
                <w:rFonts w:ascii="Arial" w:cs="Arial" w:eastAsia="Arial" w:hAnsi="Arial"/>
                <w:sz w:val="18"/>
                <w:szCs w:val="18"/>
                <w:color w:val="auto"/>
              </w:rPr>
              <w:t>$ 13,107</w:t>
            </w:r>
          </w:p>
        </w:tc>
        <w:tc>
          <w:tcPr>
            <w:tcW w:w="30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32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5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1,195</w:t>
            </w: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(563)</w:t>
            </w:r>
          </w:p>
        </w:tc>
        <w:tc>
          <w:tcPr>
            <w:tcW w:w="8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849</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5"/>
        </w:trPr>
        <w:tc>
          <w:tcPr>
            <w:tcW w:w="4380" w:type="dxa"/>
            <w:vAlign w:val="bottom"/>
          </w:tcPr>
          <w:p>
            <w:pPr>
              <w:ind w:left="220"/>
              <w:spacing w:after="0"/>
              <w:rPr>
                <w:sz w:val="20"/>
                <w:szCs w:val="20"/>
                <w:color w:val="auto"/>
              </w:rPr>
            </w:pPr>
            <w:r>
              <w:rPr>
                <w:rFonts w:ascii="Arial" w:cs="Arial" w:eastAsia="Arial" w:hAnsi="Arial"/>
                <w:sz w:val="18"/>
                <w:szCs w:val="18"/>
                <w:color w:val="auto"/>
              </w:rPr>
              <w:t>Other</w:t>
            </w:r>
          </w:p>
        </w:tc>
        <w:tc>
          <w:tcPr>
            <w:tcW w:w="3200" w:type="dxa"/>
            <w:vAlign w:val="bottom"/>
          </w:tcPr>
          <w:p>
            <w:pPr>
              <w:jc w:val="right"/>
              <w:ind w:right="40"/>
              <w:spacing w:after="0"/>
              <w:rPr>
                <w:sz w:val="20"/>
                <w:szCs w:val="20"/>
                <w:color w:val="auto"/>
              </w:rPr>
            </w:pPr>
            <w:r>
              <w:rPr>
                <w:rFonts w:ascii="Arial" w:cs="Arial" w:eastAsia="Arial" w:hAnsi="Arial"/>
                <w:sz w:val="18"/>
                <w:szCs w:val="18"/>
                <w:color w:val="auto"/>
              </w:rPr>
              <w:t>15 years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2,345</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(1,053)</w:t>
            </w: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1,996</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3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2,981</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80" w:type="dxa"/>
            <w:vAlign w:val="bottom"/>
          </w:tcPr>
          <w:p>
            <w:pPr>
              <w:ind w:left="220"/>
              <w:spacing w:after="0" w:line="181" w:lineRule="exact"/>
              <w:rPr>
                <w:sz w:val="20"/>
                <w:szCs w:val="20"/>
                <w:color w:val="auto"/>
              </w:rPr>
            </w:pPr>
            <w:r>
              <w:rPr>
                <w:rFonts w:ascii="Arial" w:cs="Arial" w:eastAsia="Arial" w:hAnsi="Arial"/>
                <w:sz w:val="18"/>
                <w:szCs w:val="18"/>
                <w:color w:val="auto"/>
              </w:rPr>
              <w:t>Trade names</w:t>
            </w:r>
          </w:p>
        </w:tc>
        <w:tc>
          <w:tcPr>
            <w:tcW w:w="3200" w:type="dxa"/>
            <w:vAlign w:val="bottom"/>
          </w:tcPr>
          <w:p>
            <w:pPr>
              <w:jc w:val="right"/>
              <w:ind w:right="40"/>
              <w:spacing w:after="0" w:line="181" w:lineRule="exact"/>
              <w:rPr>
                <w:sz w:val="20"/>
                <w:szCs w:val="20"/>
                <w:color w:val="auto"/>
              </w:rPr>
            </w:pPr>
            <w:r>
              <w:rPr>
                <w:rFonts w:ascii="Arial" w:cs="Arial" w:eastAsia="Arial" w:hAnsi="Arial"/>
                <w:sz w:val="18"/>
                <w:szCs w:val="18"/>
                <w:color w:val="auto"/>
              </w:rPr>
              <w:t>N/A</w:t>
            </w: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20"/>
              <w:spacing w:after="0" w:line="181" w:lineRule="exact"/>
              <w:rPr>
                <w:sz w:val="20"/>
                <w:szCs w:val="20"/>
                <w:color w:val="auto"/>
              </w:rPr>
            </w:pPr>
            <w:r>
              <w:rPr>
                <w:rFonts w:ascii="Arial" w:cs="Arial" w:eastAsia="Arial" w:hAnsi="Arial"/>
                <w:sz w:val="18"/>
                <w:szCs w:val="18"/>
                <w:color w:val="auto"/>
              </w:rPr>
              <w:t>2,857</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FCC licenses</w:t>
            </w:r>
          </w:p>
        </w:tc>
        <w:tc>
          <w:tcPr>
            <w:tcW w:w="32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N/A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651</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200" w:type="dxa"/>
            <w:vAlign w:val="bottom"/>
            <w:tcBorders>
              <w:bottom w:val="single" w:sz="8" w:color="0C6DFF"/>
            </w:tcBorders>
          </w:tcPr>
          <w:p>
            <w:pPr>
              <w:spacing w:after="0"/>
              <w:rPr>
                <w:sz w:val="17"/>
                <w:szCs w:val="17"/>
                <w:color w:val="auto"/>
              </w:rPr>
            </w:pP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$ 20,345</w:t>
            </w:r>
          </w:p>
        </w:tc>
        <w:tc>
          <w:tcPr>
            <w:tcW w:w="420" w:type="dxa"/>
            <w:vAlign w:val="bottom"/>
            <w:tcBorders>
              <w:bottom w:val="single" w:sz="8" w:color="0C6DFF"/>
            </w:tcBorders>
          </w:tcPr>
          <w:p>
            <w:pPr>
              <w:ind w:left="20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(6,568)</w:t>
            </w:r>
          </w:p>
        </w:tc>
        <w:tc>
          <w:tcPr>
            <w:tcW w:w="860" w:type="dxa"/>
            <w:vAlign w:val="bottom"/>
            <w:tcBorders>
              <w:bottom w:val="single" w:sz="8" w:color="0C6DFF"/>
            </w:tcBorders>
          </w:tcPr>
          <w:p>
            <w:pPr>
              <w:jc w:val="right"/>
              <w:ind w:right="20"/>
              <w:spacing w:after="0" w:line="196" w:lineRule="exact"/>
              <w:rPr>
                <w:sz w:val="20"/>
                <w:szCs w:val="20"/>
                <w:color w:val="auto"/>
              </w:rPr>
            </w:pPr>
            <w:r>
              <w:rPr>
                <w:rFonts w:ascii="Arial" w:cs="Arial" w:eastAsia="Arial" w:hAnsi="Arial"/>
                <w:sz w:val="18"/>
                <w:szCs w:val="18"/>
                <w:color w:val="auto"/>
              </w:rPr>
              <w:t>$ 19,460</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Indefinite-Lived Intangible Assets</w:t>
      </w:r>
    </w:p>
    <w:p>
      <w:pPr>
        <w:jc w:val="both"/>
        <w:spacing w:after="0" w:line="235" w:lineRule="auto"/>
        <w:rPr>
          <w:sz w:val="20"/>
          <w:szCs w:val="20"/>
          <w:color w:val="auto"/>
        </w:rPr>
      </w:pPr>
      <w:r>
        <w:rPr>
          <w:rFonts w:ascii="Arial" w:cs="Arial" w:eastAsia="Arial" w:hAnsi="Arial"/>
          <w:sz w:val="18"/>
          <w:szCs w:val="18"/>
          <w:color w:val="auto"/>
        </w:rPr>
        <w:t>Indefinite-lived intangible assets consist of trade names and FCC licenses. We assess the recoverability of our indefinite-lived intangible assets annually, or more frequently whenever events or substantive changes in circumstances indicate that the assets might be impaired. We evaluate the unit of account used to test for impairment of our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indefinite-lived intangible assets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indefinite-lived intangible assets was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156</w:t>
            </w: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Finite-Lived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620" w:type="dxa"/>
            <w:vAlign w:val="bottom"/>
            <w:tcBorders>
              <w:top w:val="single" w:sz="8" w:color="auto"/>
            </w:tcBorders>
          </w:tcPr>
          <w:p>
            <w:pPr>
              <w:jc w:val="right"/>
              <w:ind w:right="5132"/>
              <w:spacing w:after="0" w:line="200" w:lineRule="exact"/>
              <w:rPr>
                <w:sz w:val="20"/>
                <w:szCs w:val="20"/>
                <w:color w:val="auto"/>
              </w:rPr>
            </w:pPr>
            <w:r>
              <w:rPr>
                <w:rFonts w:ascii="Arial" w:cs="Arial" w:eastAsia="Arial" w:hAnsi="Arial"/>
                <w:sz w:val="18"/>
                <w:szCs w:val="18"/>
                <w:color w:val="auto"/>
                <w:w w:val="94"/>
              </w:rPr>
              <w:t>2017</w:t>
            </w:r>
          </w:p>
        </w:tc>
        <w:tc>
          <w:tcPr>
            <w:tcW w:w="580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$ 946</w:t>
            </w:r>
          </w:p>
        </w:tc>
      </w:tr>
      <w:tr>
        <w:trPr>
          <w:trHeight w:val="203"/>
        </w:trPr>
        <w:tc>
          <w:tcPr>
            <w:tcW w:w="5620" w:type="dxa"/>
            <w:vAlign w:val="bottom"/>
          </w:tcPr>
          <w:p>
            <w:pPr>
              <w:jc w:val="right"/>
              <w:ind w:right="5132"/>
              <w:spacing w:after="0" w:line="202" w:lineRule="exact"/>
              <w:rPr>
                <w:sz w:val="20"/>
                <w:szCs w:val="20"/>
                <w:color w:val="auto"/>
              </w:rPr>
            </w:pPr>
            <w:r>
              <w:rPr>
                <w:rFonts w:ascii="Arial" w:cs="Arial" w:eastAsia="Arial" w:hAnsi="Arial"/>
                <w:sz w:val="18"/>
                <w:szCs w:val="18"/>
                <w:color w:val="auto"/>
                <w:w w:val="94"/>
              </w:rPr>
              <w:t>2018</w:t>
            </w:r>
          </w:p>
        </w:tc>
        <w:tc>
          <w:tcPr>
            <w:tcW w:w="5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$ 929</w:t>
            </w:r>
          </w:p>
        </w:tc>
      </w:tr>
      <w:tr>
        <w:trPr>
          <w:trHeight w:val="203"/>
        </w:trPr>
        <w:tc>
          <w:tcPr>
            <w:tcW w:w="5620" w:type="dxa"/>
            <w:vAlign w:val="bottom"/>
          </w:tcPr>
          <w:p>
            <w:pPr>
              <w:jc w:val="right"/>
              <w:ind w:right="5132"/>
              <w:spacing w:after="0" w:line="202" w:lineRule="exact"/>
              <w:rPr>
                <w:sz w:val="20"/>
                <w:szCs w:val="20"/>
                <w:color w:val="auto"/>
              </w:rPr>
            </w:pPr>
            <w:r>
              <w:rPr>
                <w:rFonts w:ascii="Arial" w:cs="Arial" w:eastAsia="Arial" w:hAnsi="Arial"/>
                <w:sz w:val="18"/>
                <w:szCs w:val="18"/>
                <w:color w:val="auto"/>
                <w:w w:val="94"/>
              </w:rPr>
              <w:t>2019</w:t>
            </w:r>
          </w:p>
        </w:tc>
        <w:tc>
          <w:tcPr>
            <w:tcW w:w="5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$ 900</w:t>
            </w:r>
          </w:p>
        </w:tc>
      </w:tr>
      <w:tr>
        <w:trPr>
          <w:trHeight w:val="203"/>
        </w:trPr>
        <w:tc>
          <w:tcPr>
            <w:tcW w:w="5620" w:type="dxa"/>
            <w:vAlign w:val="bottom"/>
          </w:tcPr>
          <w:p>
            <w:pPr>
              <w:jc w:val="right"/>
              <w:ind w:right="5132"/>
              <w:spacing w:after="0" w:line="202" w:lineRule="exact"/>
              <w:rPr>
                <w:sz w:val="20"/>
                <w:szCs w:val="20"/>
                <w:color w:val="auto"/>
              </w:rPr>
            </w:pPr>
            <w:r>
              <w:rPr>
                <w:rFonts w:ascii="Arial" w:cs="Arial" w:eastAsia="Arial" w:hAnsi="Arial"/>
                <w:sz w:val="18"/>
                <w:szCs w:val="18"/>
                <w:color w:val="auto"/>
                <w:w w:val="94"/>
              </w:rPr>
              <w:t>2020</w:t>
            </w:r>
          </w:p>
        </w:tc>
        <w:tc>
          <w:tcPr>
            <w:tcW w:w="5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$ 873</w:t>
            </w:r>
          </w:p>
        </w:tc>
      </w:tr>
      <w:tr>
        <w:trPr>
          <w:trHeight w:val="199"/>
        </w:trPr>
        <w:tc>
          <w:tcPr>
            <w:tcW w:w="5620" w:type="dxa"/>
            <w:vAlign w:val="bottom"/>
            <w:tcBorders>
              <w:bottom w:val="single" w:sz="8" w:color="auto"/>
            </w:tcBorders>
          </w:tcPr>
          <w:p>
            <w:pPr>
              <w:jc w:val="right"/>
              <w:ind w:right="5132"/>
              <w:spacing w:after="0" w:line="200" w:lineRule="exact"/>
              <w:rPr>
                <w:sz w:val="20"/>
                <w:szCs w:val="20"/>
                <w:color w:val="auto"/>
              </w:rPr>
            </w:pPr>
            <w:r>
              <w:rPr>
                <w:rFonts w:ascii="Arial" w:cs="Arial" w:eastAsia="Arial" w:hAnsi="Arial"/>
                <w:sz w:val="18"/>
                <w:szCs w:val="18"/>
                <w:color w:val="auto"/>
                <w:w w:val="94"/>
              </w:rPr>
              <w:t>2021</w:t>
            </w:r>
          </w:p>
        </w:tc>
        <w:tc>
          <w:tcPr>
            <w:tcW w:w="58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$ 804</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intellectual property rights and software. Our finite-lived intangible assets are amortized primarily on a straight-line basis over their estimated useful life or the term of the associated agreement.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intangible assets and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98"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157</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10: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C6DFF"/>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jc w:val="right"/>
              <w:ind w:right="279"/>
              <w:spacing w:after="0"/>
              <w:rPr>
                <w:sz w:val="20"/>
                <w:szCs w:val="20"/>
                <w:color w:val="auto"/>
              </w:rPr>
            </w:pPr>
            <w:r>
              <w:rPr>
                <w:rFonts w:ascii="Arial" w:cs="Arial" w:eastAsia="Arial" w:hAnsi="Arial"/>
                <w:sz w:val="14"/>
                <w:szCs w:val="14"/>
                <w:color w:val="auto"/>
              </w:rPr>
              <w:t>Weighted-Average</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90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Interest Rate as of</w:t>
            </w:r>
          </w:p>
        </w:tc>
        <w:tc>
          <w:tcPr>
            <w:tcW w:w="220" w:type="dxa"/>
            <w:vAlign w:val="bottom"/>
          </w:tcPr>
          <w:p>
            <w:pPr>
              <w:spacing w:after="0"/>
              <w:rPr>
                <w:sz w:val="12"/>
                <w:szCs w:val="12"/>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1900" w:type="dxa"/>
            <w:vAlign w:val="bottom"/>
            <w:tcBorders>
              <w:bottom w:val="single" w:sz="8" w:color="auto"/>
            </w:tcBorders>
          </w:tcPr>
          <w:p>
            <w:pPr>
              <w:jc w:val="right"/>
              <w:ind w:right="279"/>
              <w:spacing w:after="0" w:line="149" w:lineRule="exact"/>
              <w:rPr>
                <w:sz w:val="20"/>
                <w:szCs w:val="20"/>
                <w:color w:val="auto"/>
              </w:rPr>
            </w:pPr>
            <w:r>
              <w:rPr>
                <w:rFonts w:ascii="Arial" w:cs="Arial" w:eastAsia="Arial" w:hAnsi="Arial"/>
                <w:sz w:val="14"/>
                <w:szCs w:val="14"/>
                <w:color w:val="auto"/>
              </w:rPr>
              <w:t>December 31, 2016</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7"/>
        </w:trPr>
        <w:tc>
          <w:tcPr>
            <w:tcW w:w="7700" w:type="dxa"/>
            <w:vAlign w:val="bottom"/>
          </w:tcPr>
          <w:p>
            <w:pPr>
              <w:spacing w:after="0" w:line="177" w:lineRule="exact"/>
              <w:rPr>
                <w:sz w:val="20"/>
                <w:szCs w:val="20"/>
                <w:color w:val="auto"/>
              </w:rPr>
            </w:pPr>
            <w:r>
              <w:rPr>
                <w:rFonts w:ascii="Arial" w:cs="Arial" w:eastAsia="Arial" w:hAnsi="Arial"/>
                <w:sz w:val="16"/>
                <w:szCs w:val="16"/>
                <w:color w:val="auto"/>
              </w:rPr>
              <w:t>Term loans</w:t>
            </w:r>
            <w:r>
              <w:rPr>
                <w:rFonts w:ascii="Arial" w:cs="Arial" w:eastAsia="Arial" w:hAnsi="Arial"/>
                <w:sz w:val="20"/>
                <w:szCs w:val="20"/>
                <w:color w:val="auto"/>
                <w:vertAlign w:val="superscript"/>
              </w:rPr>
              <w:t>(a)</w:t>
            </w:r>
          </w:p>
        </w:tc>
        <w:tc>
          <w:tcPr>
            <w:tcW w:w="190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2.93%</w:t>
            </w:r>
          </w:p>
        </w:tc>
        <w:tc>
          <w:tcPr>
            <w:tcW w:w="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3,262</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 at face value</w:t>
            </w:r>
          </w:p>
        </w:tc>
        <w:tc>
          <w:tcPr>
            <w:tcW w:w="190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4.76%</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4,000</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5 and 10 years, at face value</w:t>
            </w:r>
          </w:p>
        </w:tc>
        <w:tc>
          <w:tcPr>
            <w:tcW w:w="190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2.88%</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1,000</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greater than 10 years, at face value</w:t>
            </w:r>
          </w:p>
        </w:tc>
        <w:tc>
          <w:tcPr>
            <w:tcW w:w="190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5.62%</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3,200</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Other, including capital lease obligations</w:t>
            </w:r>
          </w:p>
        </w:tc>
        <w:tc>
          <w:tcPr>
            <w:tcW w:w="19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138</w:t>
            </w:r>
          </w:p>
        </w:tc>
        <w:tc>
          <w:tcPr>
            <w:tcW w:w="2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Debt issuance costs, premiums, discounts and fair value adjustments for hedged positions, net</w:t>
            </w: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7"/>
        </w:trPr>
        <w:tc>
          <w:tcPr>
            <w:tcW w:w="770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1900" w:type="dxa"/>
            <w:vAlign w:val="bottom"/>
          </w:tcPr>
          <w:p>
            <w:pPr>
              <w:jc w:val="right"/>
              <w:spacing w:after="0" w:line="177" w:lineRule="exact"/>
              <w:rPr>
                <w:sz w:val="20"/>
                <w:szCs w:val="20"/>
                <w:color w:val="auto"/>
              </w:rPr>
            </w:pPr>
            <w:r>
              <w:rPr>
                <w:rFonts w:ascii="Arial" w:cs="Arial" w:eastAsia="Arial" w:hAnsi="Arial"/>
                <w:sz w:val="16"/>
                <w:szCs w:val="16"/>
                <w:color w:val="auto"/>
              </w:rPr>
              <w:t>4.38%</w:t>
            </w:r>
            <w:r>
              <w:rPr>
                <w:rFonts w:ascii="Arial" w:cs="Arial" w:eastAsia="Arial" w:hAnsi="Arial"/>
                <w:sz w:val="20"/>
                <w:szCs w:val="20"/>
                <w:color w:val="auto"/>
                <w:vertAlign w:val="superscript"/>
              </w:rPr>
              <w:t>(b)</w:t>
            </w:r>
          </w:p>
        </w:tc>
        <w:tc>
          <w:tcPr>
            <w:tcW w:w="220" w:type="dxa"/>
            <w:vAlign w:val="bottom"/>
          </w:tcPr>
          <w:p>
            <w:pPr>
              <w:spacing w:after="0"/>
              <w:rPr>
                <w:sz w:val="15"/>
                <w:szCs w:val="15"/>
                <w:color w:val="auto"/>
              </w:rPr>
            </w:pPr>
          </w:p>
        </w:tc>
        <w:tc>
          <w:tcPr>
            <w:tcW w:w="7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11,588</w:t>
            </w:r>
          </w:p>
        </w:tc>
        <w:tc>
          <w:tcPr>
            <w:tcW w:w="200" w:type="dxa"/>
            <w:vAlign w:val="bottom"/>
          </w:tcPr>
          <w:p>
            <w:pPr>
              <w:spacing w:after="0"/>
              <w:rPr>
                <w:sz w:val="15"/>
                <w:szCs w:val="15"/>
                <w:color w:val="auto"/>
              </w:rPr>
            </w:pP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12,494</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127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Long-term debt</w:t>
            </w:r>
          </w:p>
        </w:tc>
        <w:tc>
          <w:tcPr>
            <w:tcW w:w="1900" w:type="dxa"/>
            <w:vAlign w:val="bottom"/>
            <w:tcBorders>
              <w:bottom w:val="single" w:sz="8" w:color="0C6DFF"/>
            </w:tcBorders>
          </w:tcPr>
          <w:p>
            <w:pPr>
              <w:spacing w:after="0"/>
              <w:rPr>
                <w:sz w:val="17"/>
                <w:szCs w:val="17"/>
                <w:color w:val="auto"/>
              </w:rPr>
            </w:pP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11,461</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December 31, 2016 and 2015 amounts consist of ¥382 billion and ¥400 billion, respectively, of Universal Studios Japan term loans translated using the exchange rates as of these dates.</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2016 and 2015, our debt, excluding the note payable to Comcast, had an estimated fair value of $12.6 billion and $13.4 billion, respectively.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Principal Maturities of Debt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Borders>
              <w:top w:val="single" w:sz="8" w:color="auto"/>
            </w:tcBorders>
          </w:tcPr>
          <w:p>
            <w:pPr>
              <w:spacing w:after="0"/>
              <w:rPr>
                <w:sz w:val="14"/>
                <w:szCs w:val="14"/>
                <w:color w:val="auto"/>
              </w:rPr>
            </w:pPr>
          </w:p>
        </w:tc>
        <w:tc>
          <w:tcPr>
            <w:tcW w:w="562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color w:val="auto"/>
              </w:rPr>
              <w:t>Weighted-Average</w:t>
            </w: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5620" w:type="dxa"/>
            <w:vAlign w:val="bottom"/>
          </w:tcPr>
          <w:p>
            <w:pPr>
              <w:jc w:val="right"/>
              <w:ind w:right="239"/>
              <w:spacing w:after="0" w:line="149" w:lineRule="exact"/>
              <w:rPr>
                <w:sz w:val="20"/>
                <w:szCs w:val="20"/>
                <w:color w:val="auto"/>
              </w:rPr>
            </w:pPr>
            <w:r>
              <w:rPr>
                <w:rFonts w:ascii="Arial" w:cs="Arial" w:eastAsia="Arial" w:hAnsi="Arial"/>
                <w:sz w:val="14"/>
                <w:szCs w:val="14"/>
                <w:color w:val="auto"/>
              </w:rPr>
              <w:t>Interest Rate as of</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9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5620" w:type="dxa"/>
            <w:vAlign w:val="bottom"/>
            <w:tcBorders>
              <w:bottom w:val="single" w:sz="8" w:color="auto"/>
            </w:tcBorders>
          </w:tcPr>
          <w:p>
            <w:pPr>
              <w:jc w:val="right"/>
              <w:ind w:right="199"/>
              <w:spacing w:after="0" w:line="149" w:lineRule="exact"/>
              <w:rPr>
                <w:sz w:val="20"/>
                <w:szCs w:val="20"/>
                <w:color w:val="auto"/>
              </w:rPr>
            </w:pPr>
            <w:r>
              <w:rPr>
                <w:rFonts w:ascii="Arial" w:cs="Arial" w:eastAsia="Arial" w:hAnsi="Arial"/>
                <w:sz w:val="14"/>
                <w:szCs w:val="14"/>
                <w:color w:val="auto"/>
              </w:rPr>
              <w:t>December 31, 2016</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color w:val="auto"/>
              </w:rPr>
              <w:t>2017</w:t>
            </w:r>
          </w:p>
        </w:tc>
        <w:tc>
          <w:tcPr>
            <w:tcW w:w="5620" w:type="dxa"/>
            <w:vAlign w:val="bottom"/>
          </w:tcPr>
          <w:p>
            <w:pPr>
              <w:jc w:val="right"/>
              <w:ind w:right="39"/>
              <w:spacing w:after="0" w:line="200" w:lineRule="exact"/>
              <w:rPr>
                <w:sz w:val="20"/>
                <w:szCs w:val="20"/>
                <w:color w:val="auto"/>
              </w:rPr>
            </w:pPr>
            <w:r>
              <w:rPr>
                <w:rFonts w:ascii="Arial" w:cs="Arial" w:eastAsia="Arial" w:hAnsi="Arial"/>
                <w:sz w:val="18"/>
                <w:szCs w:val="18"/>
                <w:color w:val="auto"/>
              </w:rPr>
              <w:t>2.94%</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127</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3.15%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148</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2.74%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247</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3.90%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4,797</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4.40%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2,008</w:t>
            </w:r>
          </w:p>
        </w:tc>
      </w:tr>
      <w:tr>
        <w:trPr>
          <w:trHeight w:val="199"/>
        </w:trPr>
        <w:tc>
          <w:tcPr>
            <w:tcW w:w="4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5.04%</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4,273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term loans consist of the Universal Studios Japan term loans, which have a final maturity of November 2020. These term loans contain financial and operating covenants and are secured by the assets of Universal Studios Japan and the equity interests of the other investors. We do not guarantee these term loans and they are otherwise nonrecourse to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Following Comcast’s acquisition of DreamWorks Animation, we paid $381 million to settle all of the debt we assumed in the DreamWorks Animation acquisition. In April 2016, we repaid at maturity $1 billion aggregate principal amount of 2.875% senior notes due 2016.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158</w:t>
            </w: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Comcast and a 100% owned cable holding company subsidiary of Comcast (“CCCL Parent”) fully and unconditionally guarantee each other’s debt securities, including the $7 billion Comcast revolving credit facility due 2021. As of December 31, 2016, outstanding debt securities of $44.7 billion of Comcast and CCCL Parent were subject to the guarantee structure.</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do not, however, guarantee the obligations of NBCUniversal Enterprise with respect to its $3.3 billion aggregate principal amount of senior notes, $1.5 billion revolving credit facility, commercial paper program, or $725 million liquidation preference of Series A cumulative preferred stock.</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11: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2014</w:t>
            </w:r>
          </w:p>
        </w:tc>
      </w:tr>
      <w:tr>
        <w:trPr>
          <w:trHeight w:val="177"/>
        </w:trPr>
        <w:tc>
          <w:tcPr>
            <w:tcW w:w="71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20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192</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6"/>
              <w:spacing w:after="0" w:line="177" w:lineRule="exact"/>
              <w:rPr>
                <w:sz w:val="20"/>
                <w:szCs w:val="20"/>
                <w:color w:val="auto"/>
              </w:rPr>
            </w:pPr>
            <w:r>
              <w:rPr>
                <w:rFonts w:ascii="Arial" w:cs="Arial" w:eastAsia="Arial" w:hAnsi="Arial"/>
                <w:sz w:val="18"/>
                <w:szCs w:val="18"/>
                <w:color w:val="auto"/>
              </w:rPr>
              <w:t>197</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209</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Plan funded status and recorded benefit obligation</w:t>
            </w:r>
          </w:p>
        </w:tc>
        <w:tc>
          <w:tcPr>
            <w:tcW w:w="2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w w:val="99"/>
              </w:rPr>
              <w:t>(192)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96"/>
              <w:spacing w:after="0" w:line="202" w:lineRule="exact"/>
              <w:rPr>
                <w:sz w:val="20"/>
                <w:szCs w:val="20"/>
                <w:color w:val="auto"/>
              </w:rPr>
            </w:pPr>
            <w:r>
              <w:rPr>
                <w:rFonts w:ascii="Arial" w:cs="Arial" w:eastAsia="Arial" w:hAnsi="Arial"/>
                <w:sz w:val="18"/>
                <w:szCs w:val="18"/>
                <w:color w:val="auto"/>
                <w:w w:val="99"/>
              </w:rPr>
              <w:t>(197)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76"/>
              <w:spacing w:after="0" w:line="202" w:lineRule="exact"/>
              <w:rPr>
                <w:sz w:val="20"/>
                <w:szCs w:val="20"/>
                <w:color w:val="auto"/>
              </w:rPr>
            </w:pPr>
            <w:r>
              <w:rPr>
                <w:rFonts w:ascii="Arial" w:cs="Arial" w:eastAsia="Arial" w:hAnsi="Arial"/>
                <w:sz w:val="18"/>
                <w:szCs w:val="18"/>
                <w:color w:val="auto"/>
                <w:w w:val="99"/>
              </w:rPr>
              <w:t>(209)</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 benefits expense</w:t>
            </w:r>
          </w:p>
        </w:tc>
        <w:tc>
          <w:tcPr>
            <w:tcW w:w="2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(42)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Benefits expense</w:t>
            </w:r>
          </w:p>
        </w:tc>
        <w:tc>
          <w:tcPr>
            <w:tcW w:w="2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13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12</w:t>
            </w:r>
          </w:p>
        </w:tc>
      </w:tr>
      <w:tr>
        <w:trPr>
          <w:trHeight w:val="221"/>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w:t>
            </w:r>
          </w:p>
        </w:tc>
        <w:tc>
          <w:tcPr>
            <w:tcW w:w="2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postretirement medical and life insurance plans that provide continuous coverage to employees eligible to receive such benefits and give credit for length of service provided before Comcast’s acquisition of a controlling interest in NBCUniversal Holdings in 2011 (the “joint venture transaction”).</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Substantially all of the employees that were contributed by Comcast as part of the joint venture transaction participate in a postretirement healthcare stipend program (the “stipend plan”). The stipend plan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for our postretirement benefit plans is determined using certain assumptions, including the discount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sponsor various qualified and nonqualified defined benefit pension plans for domestic employees. Since the future benefits have been frozen since the beginning of 2013, we did not recognize service costs related to our pension plans for all periods presented. The benefits expense we recognized for our defined benefit plans was not material for all periods presented. In addition to the defined benefit plans we sponsor, we are also obligated to reimburse General Electric (“GE”) for future benefit payments to those participants who were vested in the supplemental pension plan sponsored by GE at the time of the joint venture transaction. These pension plans are currently unfunded and we recorded a benefit obligation of $314 million and $309 million as of December 31, 2016 and 2015, respectively, which consists primarily of our obligations to reimburse GE.</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balance sheet also includes the assets and liabilities of certain legacy pension plans, as well as the assets and liabilities for pension plans of certain foreign subsidiaries. As of December 31, 2016 and 2015, the benefit obligations associated with these plans exceeded the fair value of the plan assets by $62 million and $67 million, respectively.</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159</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0C6DFF"/>
        </w:rPr>
        <w:t>Deferred Compensation Plans</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maintain unfunded, nonqualified deferred compensation plans for certain members of management (each, a “participant”). The amount of compensation deferred by each participant is based on participant elections. Participants in the plan designate one or more valuation funds, independently established funds or indices that are used to determine the amount of investment gain or loss in the participant’s account.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Additionally, certain members of management participate in Comcast’s unfunded, nonqualified deferred compensation plan. The amount of compensation deferred by each participant is based on participant elections. Participant accounts are credited with income primarily based on a fixed annual rate.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case of both deferred compensation plans, participants are eligible to receive distributions from their account based on elected deferral periods that are consistent with the plans and applicable tax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interest expense for our deferred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2014</w:t>
            </w:r>
          </w:p>
        </w:tc>
      </w:tr>
      <w:tr>
        <w:trPr>
          <w:trHeight w:val="177"/>
        </w:trPr>
        <w:tc>
          <w:tcPr>
            <w:tcW w:w="588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7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9"/>
              <w:spacing w:after="0" w:line="177" w:lineRule="exact"/>
              <w:rPr>
                <w:sz w:val="20"/>
                <w:szCs w:val="20"/>
                <w:color w:val="auto"/>
              </w:rPr>
            </w:pPr>
            <w:r>
              <w:rPr>
                <w:rFonts w:ascii="Arial" w:cs="Arial" w:eastAsia="Arial" w:hAnsi="Arial"/>
                <w:sz w:val="18"/>
                <w:szCs w:val="18"/>
                <w:b w:val="1"/>
                <w:bCs w:val="1"/>
                <w:color w:val="auto"/>
                <w:w w:val="99"/>
              </w:rPr>
              <w:t>494</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417</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349</w:t>
            </w:r>
          </w:p>
        </w:tc>
      </w:tr>
      <w:tr>
        <w:trPr>
          <w:trHeight w:val="22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Retirement Investment Plans</w:t>
      </w:r>
    </w:p>
    <w:p>
      <w:pPr>
        <w:jc w:val="both"/>
        <w:spacing w:after="0" w:line="237"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2016, 2015 and 2014, expenses related to these plans totaled $185 million, $174 million and $165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Multiemployer Benefit Plans</w:t>
      </w:r>
    </w:p>
    <w:p>
      <w:pPr>
        <w:jc w:val="both"/>
        <w:spacing w:after="0" w:line="236"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 and the largest plans in which we participate are funded at a level of 80% or greater.</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2016, 2015 and 2014, the total contributions we made to multiemployer pension plans were $84 million, $77 million and $58 million, respectively. In 2016, 2015 and 2014, the total contributions we made to multiemployer postretirement and other benefit plans were $136 million, $119 million and $125 million,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Severance Benefits</w:t>
      </w:r>
    </w:p>
    <w:p>
      <w:pPr>
        <w:jc w:val="both"/>
        <w:ind w:right="20"/>
        <w:spacing w:after="0" w:line="239" w:lineRule="auto"/>
        <w:rPr>
          <w:sz w:val="20"/>
          <w:szCs w:val="20"/>
          <w:color w:val="auto"/>
        </w:rPr>
      </w:pPr>
      <w:r>
        <w:rPr>
          <w:rFonts w:ascii="Arial" w:cs="Arial" w:eastAsia="Arial" w:hAnsi="Arial"/>
          <w:sz w:val="18"/>
          <w:szCs w:val="18"/>
          <w:color w:val="auto"/>
        </w:rPr>
        <w:t>We provide severance benefits to certain former employees. A liability is recorded when payment is probable, the amount is reasonably estimable, and the obligation relates to rights that have vested or accumulated. In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2016, 2015 and 2014, we recorded severance costs of $165 million, $113 million and $113 million, respectively. Severance costs in 2016 included $61 million of severance costs associated with the acquisition of DreamWorks Animation.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12: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condensed information on our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Recognized Share-Based Compensation Expense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77"/>
        </w:trPr>
        <w:tc>
          <w:tcPr>
            <w:tcW w:w="6140" w:type="dxa"/>
            <w:vAlign w:val="bottom"/>
          </w:tcPr>
          <w:p>
            <w:pPr>
              <w:spacing w:after="0" w:line="177" w:lineRule="exact"/>
              <w:rPr>
                <w:sz w:val="20"/>
                <w:szCs w:val="20"/>
                <w:color w:val="auto"/>
              </w:rPr>
            </w:pPr>
            <w:r>
              <w:rPr>
                <w:rFonts w:ascii="Arial" w:cs="Arial" w:eastAsia="Arial" w:hAnsi="Arial"/>
                <w:sz w:val="18"/>
                <w:szCs w:val="18"/>
                <w:color w:val="auto"/>
              </w:rPr>
              <w:t>Restricted share units</w:t>
            </w:r>
          </w:p>
        </w:tc>
        <w:tc>
          <w:tcPr>
            <w:tcW w:w="4120" w:type="dxa"/>
            <w:vAlign w:val="bottom"/>
          </w:tcPr>
          <w:p>
            <w:pPr>
              <w:jc w:val="right"/>
              <w:ind w:right="16"/>
              <w:spacing w:after="0" w:line="177" w:lineRule="exact"/>
              <w:rPr>
                <w:sz w:val="20"/>
                <w:szCs w:val="20"/>
                <w:color w:val="auto"/>
              </w:rPr>
            </w:pPr>
            <w:r>
              <w:rPr>
                <w:rFonts w:ascii="Arial" w:cs="Arial" w:eastAsia="Arial" w:hAnsi="Arial"/>
                <w:sz w:val="18"/>
                <w:szCs w:val="18"/>
                <w:b w:val="1"/>
                <w:bCs w:val="1"/>
                <w:color w:val="auto"/>
              </w:rPr>
              <w:t>$ 82</w:t>
            </w:r>
          </w:p>
        </w:tc>
        <w:tc>
          <w:tcPr>
            <w:tcW w:w="5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$ 78</w:t>
            </w:r>
          </w:p>
        </w:tc>
        <w:tc>
          <w:tcPr>
            <w:tcW w:w="5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$ 69</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Stock options</w:t>
            </w:r>
          </w:p>
        </w:tc>
        <w:tc>
          <w:tcPr>
            <w:tcW w:w="41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9</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10</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16</w:t>
            </w:r>
          </w:p>
        </w:tc>
      </w:tr>
      <w:tr>
        <w:trPr>
          <w:trHeight w:val="221"/>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4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w:t>
            </w:r>
          </w:p>
        </w:tc>
      </w:tr>
      <w:tr>
        <w:trPr>
          <w:trHeight w:val="196"/>
        </w:trPr>
        <w:tc>
          <w:tcPr>
            <w:tcW w:w="61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1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$ 99</w:t>
            </w:r>
          </w:p>
        </w:tc>
        <w:tc>
          <w:tcPr>
            <w:tcW w:w="5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$ 94</w:t>
            </w:r>
          </w:p>
        </w:tc>
        <w:tc>
          <w:tcPr>
            <w:tcW w:w="5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$ 91</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2016, we had unrecognized pretax compensation expense of $204 million related to nonvested Comcast restricted share units (“RSUs”) and unrecognized pretax compensation expense of $28 million related to nonvested Comcast stock options that will be recognized over a weighted-average period of approximately 1.9 years and 1.8 years, respectively.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maintains share-based compensation plans that primarily consist of awards of RSUs and stock options to certain employees and directors as part of its approach to long-term incentive compensation. Awards generally vest over a period of 5 years and in the case of stock options, have a 10 year term.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cost associated with Comcast’s share-based compensation is based on an award’s estimated fair value at the date of grant and is recognized over the period in which any related services are provided. RSUs are valued based on the closing price of Comcast common stock on the date of grant and are discounted for the lack of dividends, if any, during the vesting period. Comcast uses the Black-Scholes option pricing model to estimate the fair value of stock option awards. The table below presents the weighted-average fair value on the date of grant of RSUs and stock options awarded under Comcast’s various plans to employees of NBCUniversal and the related weighted-average valuation assumptions.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3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7"/>
        </w:trPr>
        <w:tc>
          <w:tcPr>
            <w:tcW w:w="728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2300" w:type="dxa"/>
            <w:vAlign w:val="bottom"/>
          </w:tcPr>
          <w:p>
            <w:pPr>
              <w:jc w:val="right"/>
              <w:ind w:right="157"/>
              <w:spacing w:after="0" w:line="177" w:lineRule="exact"/>
              <w:rPr>
                <w:sz w:val="20"/>
                <w:szCs w:val="20"/>
                <w:color w:val="auto"/>
              </w:rPr>
            </w:pPr>
            <w:r>
              <w:rPr>
                <w:rFonts w:ascii="Arial" w:cs="Arial" w:eastAsia="Arial" w:hAnsi="Arial"/>
                <w:sz w:val="18"/>
                <w:szCs w:val="18"/>
                <w:b w:val="1"/>
                <w:bCs w:val="1"/>
                <w:color w:val="auto"/>
              </w:rPr>
              <w:t>$ 59.58</w:t>
            </w:r>
          </w:p>
        </w:tc>
        <w:tc>
          <w:tcPr>
            <w:tcW w:w="940" w:type="dxa"/>
            <w:vAlign w:val="bottom"/>
          </w:tcPr>
          <w:p>
            <w:pPr>
              <w:jc w:val="right"/>
              <w:ind w:right="155"/>
              <w:spacing w:after="0" w:line="177" w:lineRule="exact"/>
              <w:rPr>
                <w:sz w:val="20"/>
                <w:szCs w:val="20"/>
                <w:color w:val="auto"/>
              </w:rPr>
            </w:pPr>
            <w:r>
              <w:rPr>
                <w:rFonts w:ascii="Arial" w:cs="Arial" w:eastAsia="Arial" w:hAnsi="Arial"/>
                <w:sz w:val="18"/>
                <w:szCs w:val="18"/>
                <w:color w:val="auto"/>
              </w:rPr>
              <w:t>$ 59.37</w:t>
            </w:r>
          </w:p>
        </w:tc>
        <w:tc>
          <w:tcPr>
            <w:tcW w:w="90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$ 48.04</w:t>
            </w:r>
          </w:p>
        </w:tc>
        <w:tc>
          <w:tcPr>
            <w:tcW w:w="0" w:type="dxa"/>
            <w:vAlign w:val="bottom"/>
          </w:tcPr>
          <w:p>
            <w:pPr>
              <w:spacing w:after="0"/>
              <w:rPr>
                <w:sz w:val="1"/>
                <w:szCs w:val="1"/>
                <w:color w:val="auto"/>
              </w:rPr>
            </w:pPr>
          </w:p>
        </w:tc>
      </w:tr>
      <w:tr>
        <w:trPr>
          <w:trHeight w:val="225"/>
        </w:trPr>
        <w:tc>
          <w:tcPr>
            <w:tcW w:w="728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2300" w:type="dxa"/>
            <w:vAlign w:val="bottom"/>
          </w:tcPr>
          <w:p>
            <w:pPr>
              <w:jc w:val="right"/>
              <w:ind w:right="157"/>
              <w:spacing w:after="0"/>
              <w:rPr>
                <w:sz w:val="20"/>
                <w:szCs w:val="20"/>
                <w:color w:val="auto"/>
              </w:rPr>
            </w:pPr>
            <w:r>
              <w:rPr>
                <w:rFonts w:ascii="Arial" w:cs="Arial" w:eastAsia="Arial" w:hAnsi="Arial"/>
                <w:sz w:val="18"/>
                <w:szCs w:val="18"/>
                <w:b w:val="1"/>
                <w:bCs w:val="1"/>
                <w:color w:val="auto"/>
              </w:rPr>
              <w:t>$ 13.17</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$ 11.79</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$ 11.09</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2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28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2300" w:type="dxa"/>
            <w:vAlign w:val="bottom"/>
            <w:vMerge w:val="continue"/>
          </w:tcPr>
          <w:p>
            <w:pPr>
              <w:spacing w:after="0"/>
              <w:rPr>
                <w:sz w:val="15"/>
                <w:szCs w:val="15"/>
                <w:color w:val="auto"/>
              </w:rPr>
            </w:pPr>
          </w:p>
        </w:tc>
        <w:tc>
          <w:tcPr>
            <w:tcW w:w="940" w:type="dxa"/>
            <w:vAlign w:val="bottom"/>
          </w:tcPr>
          <w:p>
            <w:pPr>
              <w:jc w:val="right"/>
              <w:ind w:right="15"/>
              <w:spacing w:after="0" w:line="181" w:lineRule="exact"/>
              <w:rPr>
                <w:sz w:val="20"/>
                <w:szCs w:val="20"/>
                <w:color w:val="auto"/>
              </w:rPr>
            </w:pPr>
            <w:r>
              <w:rPr>
                <w:rFonts w:ascii="Arial" w:cs="Arial" w:eastAsia="Arial" w:hAnsi="Arial"/>
                <w:sz w:val="18"/>
                <w:szCs w:val="18"/>
                <w:color w:val="auto"/>
              </w:rPr>
              <w:t>1.7%</w:t>
            </w: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23.2%</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23.0%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1"/>
        </w:trPr>
        <w:tc>
          <w:tcPr>
            <w:tcW w:w="7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23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7.5</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6.0</w:t>
            </w: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506"/>
        </w:trPr>
        <w:tc>
          <w:tcPr>
            <w:tcW w:w="7280" w:type="dxa"/>
            <w:vAlign w:val="bottom"/>
          </w:tcPr>
          <w:p>
            <w:pPr>
              <w:ind w:left="5600"/>
              <w:spacing w:after="0"/>
              <w:rPr>
                <w:sz w:val="20"/>
                <w:szCs w:val="20"/>
                <w:color w:val="auto"/>
              </w:rPr>
            </w:pPr>
            <w:r>
              <w:rPr>
                <w:rFonts w:ascii="Arial" w:cs="Arial" w:eastAsia="Arial" w:hAnsi="Arial"/>
                <w:sz w:val="14"/>
                <w:szCs w:val="14"/>
                <w:b w:val="1"/>
                <w:bCs w:val="1"/>
                <w:color w:val="auto"/>
              </w:rPr>
              <w:t>161</w:t>
            </w:r>
          </w:p>
        </w:tc>
        <w:tc>
          <w:tcPr>
            <w:tcW w:w="4140" w:type="dxa"/>
            <w:vAlign w:val="bottom"/>
            <w:gridSpan w:val="3"/>
          </w:tcPr>
          <w:p>
            <w:pPr>
              <w:jc w:val="right"/>
              <w:spacing w:after="0"/>
              <w:rPr>
                <w:sz w:val="20"/>
                <w:szCs w:val="20"/>
                <w:color w:val="auto"/>
              </w:rPr>
            </w:pPr>
            <w:r>
              <w:rPr>
                <w:rFonts w:ascii="Arial" w:cs="Arial" w:eastAsia="Arial" w:hAnsi="Arial"/>
                <w:sz w:val="14"/>
                <w:szCs w:val="14"/>
                <w:color w:val="auto"/>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13: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Income Tax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6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9"/>
        </w:trPr>
        <w:tc>
          <w:tcPr>
            <w:tcW w:w="6000" w:type="dxa"/>
            <w:vAlign w:val="bottom"/>
          </w:tcPr>
          <w:p>
            <w:pPr>
              <w:spacing w:after="0" w:line="200" w:lineRule="exact"/>
              <w:rPr>
                <w:sz w:val="20"/>
                <w:szCs w:val="20"/>
                <w:color w:val="auto"/>
              </w:rPr>
            </w:pPr>
            <w:r>
              <w:rPr>
                <w:rFonts w:ascii="Arial" w:cs="Arial" w:eastAsia="Arial" w:hAnsi="Arial"/>
                <w:sz w:val="18"/>
                <w:szCs w:val="18"/>
                <w:color w:val="auto"/>
              </w:rPr>
              <w:t>Foreign</w:t>
            </w:r>
          </w:p>
        </w:tc>
        <w:tc>
          <w:tcPr>
            <w:tcW w:w="3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rPr>
              <w:t>38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220"/>
              <w:spacing w:after="0" w:line="181" w:lineRule="exact"/>
              <w:rPr>
                <w:sz w:val="20"/>
                <w:szCs w:val="20"/>
                <w:color w:val="auto"/>
              </w:rPr>
            </w:pPr>
            <w:r>
              <w:rPr>
                <w:rFonts w:ascii="Arial" w:cs="Arial" w:eastAsia="Arial" w:hAnsi="Arial"/>
                <w:sz w:val="18"/>
                <w:szCs w:val="18"/>
                <w:color w:val="auto"/>
              </w:rPr>
              <w:t>Current income tax expense</w:t>
            </w:r>
          </w:p>
        </w:tc>
        <w:tc>
          <w:tcPr>
            <w:tcW w:w="36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181" w:lineRule="exact"/>
              <w:rPr>
                <w:sz w:val="20"/>
                <w:szCs w:val="20"/>
                <w:color w:val="auto"/>
              </w:rPr>
            </w:pPr>
            <w:r>
              <w:rPr>
                <w:rFonts w:ascii="Arial" w:cs="Arial" w:eastAsia="Arial" w:hAnsi="Arial"/>
                <w:sz w:val="18"/>
                <w:szCs w:val="18"/>
                <w:color w:val="auto"/>
              </w:rPr>
              <w:t>81</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181"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 expense</w:t>
            </w:r>
          </w:p>
        </w:tc>
        <w:tc>
          <w:tcPr>
            <w:tcW w:w="3640" w:type="dxa"/>
            <w:vAlign w:val="bottom"/>
          </w:tcPr>
          <w:p>
            <w:pPr>
              <w:spacing w:after="0"/>
              <w:rPr>
                <w:sz w:val="17"/>
                <w:szCs w:val="17"/>
                <w:color w:val="auto"/>
              </w:rPr>
            </w:pPr>
          </w:p>
        </w:tc>
        <w:tc>
          <w:tcPr>
            <w:tcW w:w="4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96</w:t>
            </w:r>
          </w:p>
        </w:tc>
        <w:tc>
          <w:tcPr>
            <w:tcW w:w="240" w:type="dxa"/>
            <w:vAlign w:val="bottom"/>
          </w:tcPr>
          <w:p>
            <w:pPr>
              <w:spacing w:after="0"/>
              <w:rPr>
                <w:sz w:val="17"/>
                <w:szCs w:val="17"/>
                <w:color w:val="auto"/>
              </w:rPr>
            </w:pP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Withholding tax expense</w:t>
            </w:r>
          </w:p>
        </w:tc>
        <w:tc>
          <w:tcPr>
            <w:tcW w:w="3640" w:type="dxa"/>
            <w:vAlign w:val="bottom"/>
          </w:tcPr>
          <w:p>
            <w:pPr>
              <w:spacing w:after="0"/>
              <w:rPr>
                <w:sz w:val="17"/>
                <w:szCs w:val="17"/>
                <w:color w:val="auto"/>
              </w:rPr>
            </w:pPr>
          </w:p>
        </w:tc>
        <w:tc>
          <w:tcPr>
            <w:tcW w:w="4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w w:val="99"/>
              </w:rPr>
              <w:t>158</w:t>
            </w:r>
          </w:p>
        </w:tc>
        <w:tc>
          <w:tcPr>
            <w:tcW w:w="240" w:type="dxa"/>
            <w:vAlign w:val="bottom"/>
          </w:tcPr>
          <w:p>
            <w:pPr>
              <w:spacing w:after="0"/>
              <w:rPr>
                <w:sz w:val="17"/>
                <w:szCs w:val="17"/>
                <w:color w:val="auto"/>
              </w:rPr>
            </w:pP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139</w:t>
            </w:r>
          </w:p>
        </w:tc>
        <w:tc>
          <w:tcPr>
            <w:tcW w:w="240" w:type="dxa"/>
            <w:vAlign w:val="bottom"/>
          </w:tcPr>
          <w:p>
            <w:pPr>
              <w:spacing w:after="0"/>
              <w:rPr>
                <w:sz w:val="17"/>
                <w:szCs w:val="17"/>
                <w:color w:val="auto"/>
              </w:rPr>
            </w:pP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domestic tax expense</w:t>
            </w:r>
          </w:p>
        </w:tc>
        <w:tc>
          <w:tcPr>
            <w:tcW w:w="3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3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w w:val="99"/>
              </w:rPr>
              <w:t>305</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227</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limited liability company, and our company is disregarded for U.S. federal income tax purposes as an entity separate from NBCUniversal Holdings, a tax partnership. For U.S. federal and state income tax purposes, our income is included in tax returns filed by Comcast and its subsidiaries, and therefore we are not expected to incur any significant current or deferred U.S. domestic income taxes. Our tax liability is comprised primarily of withholding tax on foreign licensing activity and income taxes on foreign earnings. As a result of our tax status, the deferred tax assets and liabilities included in our consolidated balance sheet at December 31, 2016 and 2015 were not material.</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jurisdictions in which we are subject to income taxes, 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6" w:lineRule="exact"/>
        <w:rPr>
          <w:sz w:val="20"/>
          <w:szCs w:val="20"/>
          <w:color w:val="auto"/>
        </w:rPr>
      </w:pPr>
    </w:p>
    <w:p>
      <w:pPr>
        <w:ind w:right="1760"/>
        <w:spacing w:after="0" w:line="328" w:lineRule="auto"/>
        <w:rPr>
          <w:sz w:val="20"/>
          <w:szCs w:val="20"/>
          <w:color w:val="auto"/>
        </w:rPr>
      </w:pPr>
      <w:r>
        <w:rPr>
          <w:rFonts w:ascii="Arial" w:cs="Arial" w:eastAsia="Arial" w:hAnsi="Arial"/>
          <w:sz w:val="18"/>
          <w:szCs w:val="18"/>
          <w:color w:val="auto"/>
        </w:rPr>
        <w:t xml:space="preserve">We classify interest and penalties, if any, associated with our uncertain tax positions as a component of income tax expense. </w:t>
      </w:r>
      <w:r>
        <w:rPr>
          <w:rFonts w:ascii="Arial" w:cs="Arial" w:eastAsia="Arial" w:hAnsi="Arial"/>
          <w:sz w:val="18"/>
          <w:szCs w:val="18"/>
          <w:b w:val="1"/>
          <w:bCs w:val="1"/>
          <w:color w:val="auto"/>
        </w:rPr>
        <w:t>Uncertain Tax Positions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retain liabilities for uncertain tax positions where we are the tax filer of record. GE and Comcast have indemnified NBCUniversal Holdings and us with respect to our income tax obligations attributable to periods prior to the close of the joint venture transaction, including indemnification of uncertain tax positions for these periods. The liabilities for uncertain tax positions included in our consolidated balance sheet were not material as of December 31, 2016 and 2015.</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Various domestic and foreign tax authorities are examining our tax returns through tax year 2015. The majority of the periods under examination relate to tax years 2009 and forward.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14: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Receivables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5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r>
      <w:tr>
        <w:trPr>
          <w:trHeight w:val="177"/>
        </w:trPr>
        <w:tc>
          <w:tcPr>
            <w:tcW w:w="484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5700" w:type="dxa"/>
            <w:vAlign w:val="bottom"/>
          </w:tcPr>
          <w:p>
            <w:pPr>
              <w:jc w:val="right"/>
              <w:ind w:right="59"/>
              <w:spacing w:after="0" w:line="177" w:lineRule="exact"/>
              <w:rPr>
                <w:sz w:val="20"/>
                <w:szCs w:val="20"/>
                <w:color w:val="auto"/>
              </w:rPr>
            </w:pPr>
            <w:r>
              <w:rPr>
                <w:rFonts w:ascii="Arial" w:cs="Arial" w:eastAsia="Arial" w:hAnsi="Arial"/>
                <w:sz w:val="18"/>
                <w:szCs w:val="18"/>
                <w:b w:val="1"/>
                <w:bCs w:val="1"/>
                <w:color w:val="auto"/>
              </w:rPr>
              <w:t>$ 6,799</w:t>
            </w:r>
          </w:p>
        </w:tc>
        <w:tc>
          <w:tcPr>
            <w:tcW w:w="8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$ 5,949</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5700" w:type="dxa"/>
            <w:vAlign w:val="bottom"/>
          </w:tcPr>
          <w:p>
            <w:pPr>
              <w:jc w:val="right"/>
              <w:ind w:right="59"/>
              <w:spacing w:after="0" w:line="202" w:lineRule="exact"/>
              <w:rPr>
                <w:sz w:val="20"/>
                <w:szCs w:val="20"/>
                <w:color w:val="auto"/>
              </w:rPr>
            </w:pPr>
            <w:r>
              <w:rPr>
                <w:rFonts w:ascii="Arial" w:cs="Arial" w:eastAsia="Arial" w:hAnsi="Arial"/>
                <w:sz w:val="18"/>
                <w:szCs w:val="18"/>
                <w:b w:val="1"/>
                <w:bCs w:val="1"/>
                <w:color w:val="auto"/>
              </w:rPr>
              <w:t>413</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469</w:t>
            </w:r>
          </w:p>
        </w:tc>
      </w:tr>
      <w:tr>
        <w:trPr>
          <w:trHeight w:val="221"/>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57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84</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69</w:t>
            </w:r>
          </w:p>
        </w:tc>
      </w:tr>
      <w:tr>
        <w:trPr>
          <w:trHeight w:val="196"/>
        </w:trPr>
        <w:tc>
          <w:tcPr>
            <w:tcW w:w="48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Receivables, net</w:t>
            </w:r>
          </w:p>
        </w:tc>
        <w:tc>
          <w:tcPr>
            <w:tcW w:w="5700" w:type="dxa"/>
            <w:vAlign w:val="bottom"/>
            <w:tcBorders>
              <w:bottom w:val="single" w:sz="8" w:color="0C6DFF"/>
            </w:tcBorders>
          </w:tcPr>
          <w:p>
            <w:pPr>
              <w:jc w:val="right"/>
              <w:ind w:right="59"/>
              <w:spacing w:after="0" w:line="196" w:lineRule="exact"/>
              <w:rPr>
                <w:sz w:val="20"/>
                <w:szCs w:val="20"/>
                <w:color w:val="auto"/>
              </w:rPr>
            </w:pPr>
            <w:r>
              <w:rPr>
                <w:rFonts w:ascii="Arial" w:cs="Arial" w:eastAsia="Arial" w:hAnsi="Arial"/>
                <w:sz w:val="18"/>
                <w:szCs w:val="18"/>
                <w:b w:val="1"/>
                <w:bCs w:val="1"/>
                <w:color w:val="auto"/>
              </w:rPr>
              <w:t>$ 6,302</w:t>
            </w:r>
          </w:p>
        </w:tc>
        <w:tc>
          <w:tcPr>
            <w:tcW w:w="8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$ 5,411</w:t>
            </w:r>
          </w:p>
        </w:tc>
      </w:tr>
      <w:tr>
        <w:trPr>
          <w:trHeight w:val="506"/>
        </w:trPr>
        <w:tc>
          <w:tcPr>
            <w:tcW w:w="484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5700" w:type="dxa"/>
            <w:vAlign w:val="bottom"/>
          </w:tcPr>
          <w:p>
            <w:pPr>
              <w:jc w:val="right"/>
              <w:ind w:right="4639"/>
              <w:spacing w:after="0"/>
              <w:rPr>
                <w:sz w:val="20"/>
                <w:szCs w:val="20"/>
                <w:color w:val="auto"/>
              </w:rPr>
            </w:pPr>
            <w:r>
              <w:rPr>
                <w:rFonts w:ascii="Arial" w:cs="Arial" w:eastAsia="Arial" w:hAnsi="Arial"/>
                <w:sz w:val="14"/>
                <w:szCs w:val="14"/>
                <w:b w:val="1"/>
                <w:bCs w:val="1"/>
                <w:color w:val="auto"/>
              </w:rPr>
              <w:t>162</w:t>
            </w: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In addition to the amounts in the table above, as of December 31, 2016 and 2015, noncurrent receivables of $939 million and $721 million, respectively, are included in other noncurrent assets, net that primarily relate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C6DFF"/>
        </w:rPr>
        <w:t>Accumulated Other Comprehensive Income (Loss)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7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2015</w:t>
            </w:r>
          </w:p>
        </w:tc>
      </w:tr>
      <w:tr>
        <w:trPr>
          <w:trHeight w:val="177"/>
        </w:trPr>
        <w:tc>
          <w:tcPr>
            <w:tcW w:w="7360" w:type="dxa"/>
            <w:vAlign w:val="bottom"/>
          </w:tcPr>
          <w:p>
            <w:pPr>
              <w:spacing w:after="0" w:line="177" w:lineRule="exact"/>
              <w:rPr>
                <w:sz w:val="20"/>
                <w:szCs w:val="20"/>
                <w:color w:val="auto"/>
              </w:rPr>
            </w:pPr>
            <w:r>
              <w:rPr>
                <w:rFonts w:ascii="Arial" w:cs="Arial" w:eastAsia="Arial" w:hAnsi="Arial"/>
                <w:sz w:val="18"/>
                <w:szCs w:val="18"/>
                <w:color w:val="auto"/>
              </w:rPr>
              <w:t>Deferred gains (losses) on cash flow hedges</w:t>
            </w:r>
          </w:p>
        </w:tc>
        <w:tc>
          <w:tcPr>
            <w:tcW w:w="27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96"/>
              <w:spacing w:after="0" w:line="177" w:lineRule="exact"/>
              <w:rPr>
                <w:sz w:val="20"/>
                <w:szCs w:val="20"/>
                <w:color w:val="auto"/>
              </w:rPr>
            </w:pPr>
            <w:r>
              <w:rPr>
                <w:rFonts w:ascii="Arial" w:cs="Arial" w:eastAsia="Arial" w:hAnsi="Arial"/>
                <w:sz w:val="18"/>
                <w:szCs w:val="18"/>
                <w:b w:val="1"/>
                <w:bCs w:val="1"/>
                <w:color w:val="auto"/>
              </w:rPr>
              <w:t>23</w:t>
            </w:r>
          </w:p>
        </w:tc>
        <w:tc>
          <w:tcPr>
            <w:tcW w:w="2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auto"/>
              </w:rPr>
              <w:t>(1)</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2740" w:type="dxa"/>
            <w:vAlign w:val="bottom"/>
          </w:tcPr>
          <w:p>
            <w:pPr>
              <w:spacing w:after="0"/>
              <w:rPr>
                <w:sz w:val="17"/>
                <w:szCs w:val="17"/>
                <w:color w:val="auto"/>
              </w:rPr>
            </w:pPr>
          </w:p>
        </w:tc>
        <w:tc>
          <w:tcPr>
            <w:tcW w:w="5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21"/>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2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(172)</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196"/>
        </w:trPr>
        <w:tc>
          <w:tcPr>
            <w:tcW w:w="73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Accumulated other comprehensive income (loss)</w:t>
            </w:r>
          </w:p>
        </w:tc>
        <w:tc>
          <w:tcPr>
            <w:tcW w:w="2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b w:val="1"/>
                <w:bCs w:val="1"/>
                <w:color w:val="auto"/>
                <w:w w:val="99"/>
              </w:rPr>
              <w:t>(135)</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(212)</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0C6DFF"/>
        </w:rPr>
        <w:t>Cash Payments for Interest and Income Taxes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2015</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2014</w:t>
            </w:r>
          </w:p>
        </w:tc>
      </w:tr>
      <w:tr>
        <w:trPr>
          <w:trHeight w:val="177"/>
        </w:trPr>
        <w:tc>
          <w:tcPr>
            <w:tcW w:w="588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4180" w:type="dxa"/>
            <w:vAlign w:val="bottom"/>
          </w:tcPr>
          <w:p>
            <w:pPr>
              <w:jc w:val="right"/>
              <w:ind w:right="19"/>
              <w:spacing w:after="0" w:line="177" w:lineRule="exact"/>
              <w:rPr>
                <w:sz w:val="20"/>
                <w:szCs w:val="20"/>
                <w:color w:val="auto"/>
              </w:rPr>
            </w:pPr>
            <w:r>
              <w:rPr>
                <w:rFonts w:ascii="Arial" w:cs="Arial" w:eastAsia="Arial" w:hAnsi="Arial"/>
                <w:sz w:val="18"/>
                <w:szCs w:val="18"/>
                <w:b w:val="1"/>
                <w:bCs w:val="1"/>
                <w:color w:val="auto"/>
              </w:rPr>
              <w:t>$ 548</w:t>
            </w:r>
          </w:p>
        </w:tc>
        <w:tc>
          <w:tcPr>
            <w:tcW w:w="68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$ 456</w:t>
            </w:r>
          </w:p>
        </w:tc>
        <w:tc>
          <w:tcPr>
            <w:tcW w:w="68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$ 485</w:t>
            </w:r>
          </w:p>
        </w:tc>
      </w:tr>
      <w:tr>
        <w:trPr>
          <w:trHeight w:val="22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4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$ 208</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$ 182</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$ 174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2016:</w:t>
      </w:r>
    </w:p>
    <w:p>
      <w:pPr>
        <w:spacing w:after="0" w:line="117" w:lineRule="exact"/>
        <w:rPr>
          <w:sz w:val="20"/>
          <w:szCs w:val="20"/>
          <w:color w:val="auto"/>
        </w:rPr>
      </w:pPr>
    </w:p>
    <w:p>
      <w:pPr>
        <w:ind w:left="1020" w:hanging="215"/>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acquired $189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Comcast contributed the net assets of DreamWorks Animation to us, which was primarily a noncash transaction (see Note 4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2015:</w:t>
      </w:r>
    </w:p>
    <w:p>
      <w:pPr>
        <w:spacing w:after="0" w:line="117" w:lineRule="exact"/>
        <w:rPr>
          <w:sz w:val="20"/>
          <w:szCs w:val="20"/>
          <w:color w:val="auto"/>
        </w:rPr>
      </w:pPr>
    </w:p>
    <w:p>
      <w:pPr>
        <w:ind w:left="1020" w:hanging="215"/>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acquired $287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Comcast contributed the net assets of $252 million related to an acquired business, which was a noncash transaction</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assumed liabilities related to the Universal Studios Japan transaction (see Note 4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2014:</w:t>
      </w:r>
    </w:p>
    <w:p>
      <w:pPr>
        <w:spacing w:after="0" w:line="11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acquired $148 million of property and equipment and intangible assets that were accrued but unpaid</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15: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enter into long-term commitments with third parties in the ordinary course of our business, including commitments to acquire film and television programming, obligations under various creative talent agreements, and various other television-related commitments. Many of our employees, including writers, directors, actors, technical and production personnel, and others, as well as some of our on-air and creative talent, are covered by collective bargaining agreements or works councils. As of December 31, 2016, the total number of full-time, part-time and hourly employees on our payroll covered by collective bargaining agreements was 8,500 full-time equivalent employees. Approximately 15% of these full-time equivalent employees were covered by collective bargaining agreements that have expired or are scheduled to expire during 2017.</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table below summarizes our minimum annual programming and talent commitments and our minimum annual rental commitments for office space and equipment under operating leases. Programming and talent commitments include acquired film and television programming, including U.S. broadcast rights to the Olympic Games through 2032, </w:t>
      </w:r>
      <w:r>
        <w:rPr>
          <w:rFonts w:ascii="Arial" w:cs="Arial" w:eastAsia="Arial" w:hAnsi="Arial"/>
          <w:sz w:val="16"/>
          <w:szCs w:val="16"/>
          <w:i w:val="1"/>
          <w:iCs w:val="1"/>
          <w:color w:val="auto"/>
        </w:rPr>
        <w:t>Sunday Night Football</w:t>
      </w:r>
      <w:r>
        <w:rPr>
          <w:rFonts w:ascii="Arial" w:cs="Arial" w:eastAsia="Arial" w:hAnsi="Arial"/>
          <w:sz w:val="16"/>
          <w:szCs w:val="16"/>
          <w:color w:val="auto"/>
        </w:rPr>
        <w:t xml:space="preserve"> through the 2022-23 season, </w:t>
      </w:r>
      <w:r>
        <w:rPr>
          <w:rFonts w:ascii="Arial" w:cs="Arial" w:eastAsia="Arial" w:hAnsi="Arial"/>
          <w:sz w:val="16"/>
          <w:szCs w:val="16"/>
          <w:i w:val="1"/>
          <w:iCs w:val="1"/>
          <w:color w:val="auto"/>
        </w:rPr>
        <w:t>Thursday Night Football</w:t>
      </w:r>
      <w:r>
        <w:rPr>
          <w:rFonts w:ascii="Arial" w:cs="Arial" w:eastAsia="Arial" w:hAnsi="Arial"/>
          <w:sz w:val="16"/>
          <w:szCs w:val="16"/>
          <w:color w:val="auto"/>
        </w:rPr>
        <w:t xml:space="preserve"> through the 2017-18 season, certain NASCAR events through 2024 and other programming commitments, as well as various contracts with creative talent.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60" w:type="dxa"/>
            <w:vAlign w:val="bottom"/>
          </w:tcPr>
          <w:p>
            <w:pPr>
              <w:jc w:val="right"/>
              <w:ind w:right="55"/>
              <w:spacing w:after="0"/>
              <w:rPr>
                <w:sz w:val="20"/>
                <w:szCs w:val="20"/>
                <w:color w:val="auto"/>
              </w:rPr>
            </w:pPr>
            <w:r>
              <w:rPr>
                <w:rFonts w:ascii="Arial" w:cs="Arial" w:eastAsia="Arial" w:hAnsi="Arial"/>
                <w:sz w:val="14"/>
                <w:szCs w:val="14"/>
                <w:color w:val="auto"/>
                <w:w w:val="98"/>
              </w:rPr>
              <w:t>Programming and</w:t>
            </w: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Operating</w:t>
            </w:r>
          </w:p>
        </w:tc>
      </w:tr>
      <w:tr>
        <w:trPr>
          <w:trHeight w:val="163"/>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December 31, 2016 (in millions)</w:t>
            </w:r>
          </w:p>
        </w:tc>
        <w:tc>
          <w:tcPr>
            <w:tcW w:w="4840" w:type="dxa"/>
            <w:vAlign w:val="bottom"/>
            <w:tcBorders>
              <w:bottom w:val="single" w:sz="8" w:color="auto"/>
            </w:tcBorders>
            <w:gridSpan w:val="2"/>
          </w:tcPr>
          <w:p>
            <w:pPr>
              <w:ind w:left="3460"/>
              <w:spacing w:after="0"/>
              <w:rPr>
                <w:sz w:val="20"/>
                <w:szCs w:val="20"/>
                <w:color w:val="auto"/>
              </w:rPr>
            </w:pPr>
            <w:r>
              <w:rPr>
                <w:rFonts w:ascii="Arial" w:cs="Arial" w:eastAsia="Arial" w:hAnsi="Arial"/>
                <w:sz w:val="14"/>
                <w:szCs w:val="14"/>
                <w:color w:val="auto"/>
              </w:rPr>
              <w:t>Talent Commitments</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Leases</w:t>
            </w:r>
          </w:p>
        </w:tc>
      </w:tr>
      <w:tr>
        <w:trPr>
          <w:trHeight w:val="199"/>
        </w:trPr>
        <w:tc>
          <w:tcPr>
            <w:tcW w:w="5700" w:type="dxa"/>
            <w:vAlign w:val="bottom"/>
          </w:tcPr>
          <w:p>
            <w:pPr>
              <w:spacing w:after="0" w:line="200" w:lineRule="exact"/>
              <w:rPr>
                <w:sz w:val="20"/>
                <w:szCs w:val="20"/>
                <w:color w:val="auto"/>
              </w:rPr>
            </w:pPr>
            <w:r>
              <w:rPr>
                <w:rFonts w:ascii="Arial" w:cs="Arial" w:eastAsia="Arial" w:hAnsi="Arial"/>
                <w:sz w:val="18"/>
                <w:szCs w:val="18"/>
                <w:color w:val="auto"/>
              </w:rPr>
              <w:t>2017</w:t>
            </w:r>
          </w:p>
        </w:tc>
        <w:tc>
          <w:tcPr>
            <w:tcW w:w="3580" w:type="dxa"/>
            <w:vAlign w:val="bottom"/>
          </w:tcPr>
          <w:p>
            <w:pPr>
              <w:ind w:left="3460"/>
              <w:spacing w:after="0" w:line="200"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5,213</w:t>
            </w:r>
          </w:p>
        </w:tc>
        <w:tc>
          <w:tcPr>
            <w:tcW w:w="30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198</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4,876</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182</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3,503</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173</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4,587</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163</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3580" w:type="dxa"/>
            <w:vAlign w:val="bottom"/>
          </w:tcPr>
          <w:p>
            <w:pPr>
              <w:ind w:left="346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3,177</w:t>
            </w:r>
          </w:p>
        </w:tc>
        <w:tc>
          <w:tcPr>
            <w:tcW w:w="3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147</w:t>
            </w:r>
          </w:p>
        </w:tc>
      </w:tr>
      <w:tr>
        <w:trPr>
          <w:trHeight w:val="199"/>
        </w:trPr>
        <w:tc>
          <w:tcPr>
            <w:tcW w:w="57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580" w:type="dxa"/>
            <w:vAlign w:val="bottom"/>
            <w:tcBorders>
              <w:bottom w:val="single" w:sz="8" w:color="auto"/>
            </w:tcBorders>
          </w:tcPr>
          <w:p>
            <w:pPr>
              <w:ind w:left="3460"/>
              <w:spacing w:after="0" w:line="200"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20,847</w:t>
            </w:r>
          </w:p>
        </w:tc>
        <w:tc>
          <w:tcPr>
            <w:tcW w:w="30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1,238</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rental expense charged to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2015</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2014</w:t>
            </w:r>
          </w:p>
        </w:tc>
      </w:tr>
      <w:tr>
        <w:trPr>
          <w:trHeight w:val="196"/>
        </w:trPr>
        <w:tc>
          <w:tcPr>
            <w:tcW w:w="5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Rental expense</w:t>
            </w:r>
          </w:p>
        </w:tc>
        <w:tc>
          <w:tcPr>
            <w:tcW w:w="41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$ 259</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$ 213</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$ 222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2016, our carrying value was $1.1 billion, and if the option had been exercisable as of December 31, 2016, the estimated value of the contractual obligation would have been approximately $1.4 billion, based on inputs to the contractual formula as of that date.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164</w:t>
            </w: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16: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present our operations in four reportable business segments: Cable Networks, Broadcast Television, Filmed Entertainment and Theme Parks. Our financial data by reportable business segment is presented in the tables below. We do not present a measure of total assets for our reportable business segments as this information is not used by management to allocate resources and capital.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40"/>
              <w:spacing w:after="0" w:line="149" w:lineRule="exact"/>
              <w:rPr>
                <w:sz w:val="20"/>
                <w:szCs w:val="20"/>
                <w:color w:val="auto"/>
              </w:rPr>
            </w:pPr>
            <w:r>
              <w:rPr>
                <w:rFonts w:ascii="Arial" w:cs="Arial" w:eastAsia="Arial" w:hAnsi="Arial"/>
                <w:sz w:val="14"/>
                <w:szCs w:val="14"/>
                <w:color w:val="auto"/>
              </w:rPr>
              <w:t>Before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8"/>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40"/>
              <w:spacing w:after="0" w:line="149" w:lineRule="exact"/>
              <w:rPr>
                <w:sz w:val="20"/>
                <w:szCs w:val="20"/>
                <w:color w:val="auto"/>
              </w:rPr>
            </w:pPr>
            <w:r>
              <w:rPr>
                <w:rFonts w:ascii="Arial" w:cs="Arial" w:eastAsia="Arial" w:hAnsi="Arial"/>
                <w:sz w:val="14"/>
                <w:szCs w:val="14"/>
                <w:color w:val="auto"/>
                <w:w w:val="96"/>
              </w:rPr>
              <w:t>Depreciation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9"/>
              </w:rPr>
              <w:t>Depreciation</w:t>
            </w:r>
          </w:p>
        </w:tc>
        <w:tc>
          <w:tcPr>
            <w:tcW w:w="900" w:type="dxa"/>
            <w:vAlign w:val="bottom"/>
          </w:tcPr>
          <w:p>
            <w:pPr>
              <w:jc w:val="right"/>
              <w:ind w:right="39"/>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8"/>
              <w:spacing w:after="0" w:line="149" w:lineRule="exact"/>
              <w:rPr>
                <w:sz w:val="20"/>
                <w:szCs w:val="20"/>
                <w:color w:val="auto"/>
              </w:rPr>
            </w:pPr>
            <w:r>
              <w:rPr>
                <w:rFonts w:ascii="Arial" w:cs="Arial" w:eastAsia="Arial" w:hAnsi="Arial"/>
                <w:sz w:val="14"/>
                <w:szCs w:val="14"/>
                <w:color w:val="auto"/>
                <w:w w:val="95"/>
              </w:rPr>
              <w:t>Paid for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84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00" w:type="dxa"/>
            <w:vAlign w:val="bottom"/>
          </w:tcPr>
          <w:p>
            <w:pPr>
              <w:spacing w:after="0"/>
              <w:rPr>
                <w:sz w:val="10"/>
                <w:szCs w:val="10"/>
                <w:color w:val="auto"/>
              </w:rPr>
            </w:pPr>
          </w:p>
        </w:tc>
        <w:tc>
          <w:tcPr>
            <w:tcW w:w="900" w:type="dxa"/>
            <w:vAlign w:val="bottom"/>
          </w:tcPr>
          <w:p>
            <w:pPr>
              <w:jc w:val="right"/>
              <w:ind w:right="40"/>
              <w:spacing w:after="0" w:line="123"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and</w:t>
            </w:r>
          </w:p>
        </w:tc>
        <w:tc>
          <w:tcPr>
            <w:tcW w:w="900" w:type="dxa"/>
            <w:vAlign w:val="bottom"/>
          </w:tcPr>
          <w:p>
            <w:pPr>
              <w:jc w:val="right"/>
              <w:ind w:right="79"/>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80" w:type="dxa"/>
            <w:vAlign w:val="bottom"/>
          </w:tcPr>
          <w:p>
            <w:pPr>
              <w:jc w:val="right"/>
              <w:ind w:right="15"/>
              <w:spacing w:after="0" w:line="123" w:lineRule="exact"/>
              <w:rPr>
                <w:sz w:val="20"/>
                <w:szCs w:val="20"/>
                <w:color w:val="auto"/>
              </w:rPr>
            </w:pPr>
            <w:r>
              <w:rPr>
                <w:rFonts w:ascii="Arial" w:cs="Arial" w:eastAsia="Arial" w:hAnsi="Arial"/>
                <w:sz w:val="14"/>
                <w:szCs w:val="14"/>
                <w:color w:val="auto"/>
              </w:rPr>
              <w:t>Capital</w:t>
            </w:r>
          </w:p>
        </w:tc>
        <w:tc>
          <w:tcPr>
            <w:tcW w:w="800" w:type="dxa"/>
            <w:vAlign w:val="bottom"/>
            <w:gridSpan w:val="2"/>
          </w:tcPr>
          <w:p>
            <w:pPr>
              <w:ind w:left="100"/>
              <w:spacing w:after="0" w:line="123" w:lineRule="exact"/>
              <w:rPr>
                <w:sz w:val="20"/>
                <w:szCs w:val="20"/>
                <w:color w:val="auto"/>
              </w:rPr>
            </w:pPr>
            <w:r>
              <w:rPr>
                <w:rFonts w:ascii="Arial" w:cs="Arial" w:eastAsia="Arial" w:hAnsi="Arial"/>
                <w:sz w:val="14"/>
                <w:szCs w:val="14"/>
                <w:color w:val="auto"/>
              </w:rPr>
              <w:t>Intangible</w:t>
            </w: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840" w:type="dxa"/>
            <w:vAlign w:val="bottom"/>
            <w:tcBorders>
              <w:bottom w:val="single" w:sz="8" w:color="auto"/>
            </w:tcBorders>
            <w:gridSpan w:val="2"/>
            <w:vMerge w:val="continue"/>
          </w:tcPr>
          <w:p>
            <w:pPr>
              <w:spacing w:after="0"/>
              <w:rPr>
                <w:sz w:val="15"/>
                <w:szCs w:val="15"/>
                <w:color w:val="auto"/>
              </w:rPr>
            </w:pPr>
          </w:p>
        </w:tc>
        <w:tc>
          <w:tcPr>
            <w:tcW w:w="1100" w:type="dxa"/>
            <w:vAlign w:val="bottom"/>
            <w:tcBorders>
              <w:bottom w:val="single" w:sz="8" w:color="auto"/>
            </w:tcBorders>
            <w:gridSpan w:val="2"/>
          </w:tcPr>
          <w:p>
            <w:pPr>
              <w:jc w:val="right"/>
              <w:ind w:right="4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7"/>
              </w:rPr>
              <w:t>Amortization</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(Loss)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9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2016</w:t>
            </w:r>
          </w:p>
        </w:tc>
        <w:tc>
          <w:tcPr>
            <w:tcW w:w="2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(a)</w:t>
            </w:r>
          </w:p>
        </w:tc>
        <w:tc>
          <w:tcPr>
            <w:tcW w:w="284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$ 10,464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3,709</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745</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$ 2,964</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(a)</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10,147</w:t>
            </w:r>
          </w:p>
        </w:tc>
        <w:tc>
          <w:tcPr>
            <w:tcW w:w="200" w:type="dxa"/>
            <w:vAlign w:val="bottom"/>
          </w:tcPr>
          <w:p>
            <w:pPr>
              <w:spacing w:after="0"/>
              <w:rPr>
                <w:sz w:val="17"/>
                <w:szCs w:val="17"/>
                <w:color w:val="auto"/>
              </w:rPr>
            </w:pP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1,320</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1,195</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153</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6,360</w:t>
            </w:r>
          </w:p>
        </w:tc>
        <w:tc>
          <w:tcPr>
            <w:tcW w:w="200" w:type="dxa"/>
            <w:vAlign w:val="bottom"/>
          </w:tcPr>
          <w:p>
            <w:pPr>
              <w:spacing w:after="0"/>
              <w:rPr>
                <w:sz w:val="17"/>
                <w:szCs w:val="17"/>
                <w:color w:val="auto"/>
              </w:rPr>
            </w:pP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697</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650</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4,946</w:t>
            </w:r>
          </w:p>
        </w:tc>
        <w:tc>
          <w:tcPr>
            <w:tcW w:w="200" w:type="dxa"/>
            <w:vAlign w:val="bottom"/>
          </w:tcPr>
          <w:p>
            <w:pPr>
              <w:spacing w:after="0"/>
              <w:rPr>
                <w:sz w:val="17"/>
                <w:szCs w:val="17"/>
                <w:color w:val="auto"/>
              </w:rPr>
            </w:pP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2,190</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512</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1,678</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922</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(b)</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(699)</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(1,075)</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(c)</w:t>
            </w:r>
          </w:p>
        </w:tc>
        <w:tc>
          <w:tcPr>
            <w:tcW w:w="2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(344)</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2840" w:type="dxa"/>
            <w:vAlign w:val="bottom"/>
            <w:tcBorders>
              <w:bottom w:val="single" w:sz="8" w:color="0C6DFF"/>
            </w:tcBorders>
            <w:gridSpan w:val="2"/>
          </w:tcPr>
          <w:p>
            <w:pPr>
              <w:jc w:val="right"/>
              <w:ind w:right="32"/>
              <w:spacing w:after="0" w:line="196" w:lineRule="exact"/>
              <w:rPr>
                <w:sz w:val="20"/>
                <w:szCs w:val="20"/>
                <w:color w:val="auto"/>
              </w:rPr>
            </w:pPr>
            <w:r>
              <w:rPr>
                <w:rFonts w:ascii="Arial" w:cs="Arial" w:eastAsia="Arial" w:hAnsi="Arial"/>
                <w:sz w:val="18"/>
                <w:szCs w:val="18"/>
                <w:b w:val="1"/>
                <w:bCs w:val="1"/>
                <w:color w:val="auto"/>
              </w:rPr>
              <w:t>$ 31,593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tcBorders>
          </w:tcPr>
          <w:p>
            <w:pPr>
              <w:jc w:val="right"/>
              <w:ind w:right="40"/>
              <w:spacing w:after="0" w:line="196" w:lineRule="exact"/>
              <w:rPr>
                <w:sz w:val="20"/>
                <w:szCs w:val="20"/>
                <w:color w:val="auto"/>
              </w:rPr>
            </w:pPr>
            <w:r>
              <w:rPr>
                <w:rFonts w:ascii="Arial" w:cs="Arial" w:eastAsia="Arial" w:hAnsi="Arial"/>
                <w:sz w:val="18"/>
                <w:szCs w:val="18"/>
                <w:b w:val="1"/>
                <w:bCs w:val="1"/>
                <w:color w:val="auto"/>
              </w:rPr>
              <w:t>7,227</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1,805</w:t>
            </w:r>
          </w:p>
        </w:tc>
        <w:tc>
          <w:tcPr>
            <w:tcW w:w="900" w:type="dxa"/>
            <w:vAlign w:val="bottom"/>
            <w:tcBorders>
              <w:bottom w:val="single" w:sz="8" w:color="0C6DFF"/>
            </w:tcBorders>
          </w:tcPr>
          <w:p>
            <w:pPr>
              <w:jc w:val="right"/>
              <w:ind w:right="39"/>
              <w:spacing w:after="0" w:line="196" w:lineRule="exact"/>
              <w:rPr>
                <w:sz w:val="20"/>
                <w:szCs w:val="20"/>
                <w:color w:val="auto"/>
              </w:rPr>
            </w:pPr>
            <w:r>
              <w:rPr>
                <w:rFonts w:ascii="Arial" w:cs="Arial" w:eastAsia="Arial" w:hAnsi="Arial"/>
                <w:sz w:val="18"/>
                <w:szCs w:val="18"/>
                <w:b w:val="1"/>
                <w:bCs w:val="1"/>
                <w:color w:val="auto"/>
              </w:rPr>
              <w:t>$ 5,422</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1,452</w:t>
            </w:r>
          </w:p>
        </w:tc>
        <w:tc>
          <w:tcPr>
            <w:tcW w:w="22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0C6DFF"/>
            </w:tcBorders>
          </w:tcPr>
          <w:p>
            <w:pPr>
              <w:jc w:val="right"/>
              <w:ind w:right="18"/>
              <w:spacing w:after="0" w:line="196" w:lineRule="exact"/>
              <w:rPr>
                <w:sz w:val="20"/>
                <w:szCs w:val="20"/>
                <w:color w:val="auto"/>
              </w:rPr>
            </w:pPr>
            <w:r>
              <w:rPr>
                <w:rFonts w:ascii="Arial" w:cs="Arial" w:eastAsia="Arial" w:hAnsi="Arial"/>
                <w:sz w:val="18"/>
                <w:szCs w:val="18"/>
                <w:b w:val="1"/>
                <w:bCs w:val="1"/>
                <w:color w:val="auto"/>
              </w:rPr>
              <w:t>283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40"/>
              <w:spacing w:after="0" w:line="149" w:lineRule="exact"/>
              <w:rPr>
                <w:sz w:val="20"/>
                <w:szCs w:val="20"/>
                <w:color w:val="auto"/>
              </w:rPr>
            </w:pPr>
            <w:r>
              <w:rPr>
                <w:rFonts w:ascii="Arial" w:cs="Arial" w:eastAsia="Arial" w:hAnsi="Arial"/>
                <w:sz w:val="14"/>
                <w:szCs w:val="14"/>
                <w:color w:val="auto"/>
              </w:rPr>
              <w:t>Before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8"/>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40"/>
              <w:spacing w:after="0" w:line="149" w:lineRule="exact"/>
              <w:rPr>
                <w:sz w:val="20"/>
                <w:szCs w:val="20"/>
                <w:color w:val="auto"/>
              </w:rPr>
            </w:pPr>
            <w:r>
              <w:rPr>
                <w:rFonts w:ascii="Arial" w:cs="Arial" w:eastAsia="Arial" w:hAnsi="Arial"/>
                <w:sz w:val="14"/>
                <w:szCs w:val="14"/>
                <w:color w:val="auto"/>
                <w:w w:val="96"/>
              </w:rPr>
              <w:t>Depreciation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9"/>
              </w:rPr>
              <w:t>Depreciation</w:t>
            </w:r>
          </w:p>
        </w:tc>
        <w:tc>
          <w:tcPr>
            <w:tcW w:w="900" w:type="dxa"/>
            <w:vAlign w:val="bottom"/>
          </w:tcPr>
          <w:p>
            <w:pPr>
              <w:jc w:val="right"/>
              <w:ind w:right="39"/>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8"/>
              <w:spacing w:after="0" w:line="149" w:lineRule="exact"/>
              <w:rPr>
                <w:sz w:val="20"/>
                <w:szCs w:val="20"/>
                <w:color w:val="auto"/>
              </w:rPr>
            </w:pPr>
            <w:r>
              <w:rPr>
                <w:rFonts w:ascii="Arial" w:cs="Arial" w:eastAsia="Arial" w:hAnsi="Arial"/>
                <w:sz w:val="14"/>
                <w:szCs w:val="14"/>
                <w:color w:val="auto"/>
                <w:w w:val="95"/>
              </w:rPr>
              <w:t>Paid for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84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00" w:type="dxa"/>
            <w:vAlign w:val="bottom"/>
          </w:tcPr>
          <w:p>
            <w:pPr>
              <w:spacing w:after="0"/>
              <w:rPr>
                <w:sz w:val="10"/>
                <w:szCs w:val="10"/>
                <w:color w:val="auto"/>
              </w:rPr>
            </w:pPr>
          </w:p>
        </w:tc>
        <w:tc>
          <w:tcPr>
            <w:tcW w:w="900" w:type="dxa"/>
            <w:vAlign w:val="bottom"/>
          </w:tcPr>
          <w:p>
            <w:pPr>
              <w:jc w:val="right"/>
              <w:ind w:right="40"/>
              <w:spacing w:after="0" w:line="123"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and</w:t>
            </w:r>
          </w:p>
        </w:tc>
        <w:tc>
          <w:tcPr>
            <w:tcW w:w="900" w:type="dxa"/>
            <w:vAlign w:val="bottom"/>
          </w:tcPr>
          <w:p>
            <w:pPr>
              <w:jc w:val="right"/>
              <w:ind w:right="79"/>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80" w:type="dxa"/>
            <w:vAlign w:val="bottom"/>
          </w:tcPr>
          <w:p>
            <w:pPr>
              <w:jc w:val="right"/>
              <w:ind w:right="15"/>
              <w:spacing w:after="0" w:line="123" w:lineRule="exact"/>
              <w:rPr>
                <w:sz w:val="20"/>
                <w:szCs w:val="20"/>
                <w:color w:val="auto"/>
              </w:rPr>
            </w:pPr>
            <w:r>
              <w:rPr>
                <w:rFonts w:ascii="Arial" w:cs="Arial" w:eastAsia="Arial" w:hAnsi="Arial"/>
                <w:sz w:val="14"/>
                <w:szCs w:val="14"/>
                <w:color w:val="auto"/>
              </w:rPr>
              <w:t>Capital</w:t>
            </w:r>
          </w:p>
        </w:tc>
        <w:tc>
          <w:tcPr>
            <w:tcW w:w="800" w:type="dxa"/>
            <w:vAlign w:val="bottom"/>
            <w:gridSpan w:val="2"/>
          </w:tcPr>
          <w:p>
            <w:pPr>
              <w:ind w:left="100"/>
              <w:spacing w:after="0" w:line="123" w:lineRule="exact"/>
              <w:rPr>
                <w:sz w:val="20"/>
                <w:szCs w:val="20"/>
                <w:color w:val="auto"/>
              </w:rPr>
            </w:pPr>
            <w:r>
              <w:rPr>
                <w:rFonts w:ascii="Arial" w:cs="Arial" w:eastAsia="Arial" w:hAnsi="Arial"/>
                <w:sz w:val="14"/>
                <w:szCs w:val="14"/>
                <w:color w:val="auto"/>
              </w:rPr>
              <w:t>Intangible</w:t>
            </w: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840" w:type="dxa"/>
            <w:vAlign w:val="bottom"/>
            <w:tcBorders>
              <w:bottom w:val="single" w:sz="8" w:color="auto"/>
            </w:tcBorders>
            <w:gridSpan w:val="2"/>
            <w:vMerge w:val="continue"/>
          </w:tcPr>
          <w:p>
            <w:pPr>
              <w:spacing w:after="0"/>
              <w:rPr>
                <w:sz w:val="15"/>
                <w:szCs w:val="15"/>
                <w:color w:val="auto"/>
              </w:rPr>
            </w:pPr>
          </w:p>
        </w:tc>
        <w:tc>
          <w:tcPr>
            <w:tcW w:w="1100" w:type="dxa"/>
            <w:vAlign w:val="bottom"/>
            <w:tcBorders>
              <w:bottom w:val="single" w:sz="8" w:color="auto"/>
            </w:tcBorders>
            <w:gridSpan w:val="2"/>
          </w:tcPr>
          <w:p>
            <w:pPr>
              <w:jc w:val="right"/>
              <w:ind w:right="4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7"/>
              </w:rPr>
              <w:t>Amortization</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(Loss)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9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2015</w:t>
            </w:r>
          </w:p>
        </w:tc>
        <w:tc>
          <w:tcPr>
            <w:tcW w:w="2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9,628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3,499</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$ 2,715</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(a)</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8,530</w:t>
            </w:r>
          </w:p>
        </w:tc>
        <w:tc>
          <w:tcPr>
            <w:tcW w:w="200" w:type="dxa"/>
            <w:vAlign w:val="bottom"/>
          </w:tcPr>
          <w:p>
            <w:pPr>
              <w:spacing w:after="0"/>
              <w:rPr>
                <w:sz w:val="17"/>
                <w:szCs w:val="17"/>
                <w:color w:val="auto"/>
              </w:rPr>
            </w:pP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780</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669</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117</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7,287</w:t>
            </w:r>
          </w:p>
        </w:tc>
        <w:tc>
          <w:tcPr>
            <w:tcW w:w="200" w:type="dxa"/>
            <w:vAlign w:val="bottom"/>
          </w:tcPr>
          <w:p>
            <w:pPr>
              <w:spacing w:after="0"/>
              <w:rPr>
                <w:sz w:val="17"/>
                <w:szCs w:val="17"/>
                <w:color w:val="auto"/>
              </w:rPr>
            </w:pP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1,234</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1,208</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3,339</w:t>
            </w:r>
          </w:p>
        </w:tc>
        <w:tc>
          <w:tcPr>
            <w:tcW w:w="200" w:type="dxa"/>
            <w:vAlign w:val="bottom"/>
          </w:tcPr>
          <w:p>
            <w:pPr>
              <w:spacing w:after="0"/>
              <w:rPr>
                <w:sz w:val="17"/>
                <w:szCs w:val="17"/>
                <w:color w:val="auto"/>
              </w:rPr>
            </w:pP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1,464</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1,172</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833</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(b)</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(951)</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378</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(c)</w:t>
            </w:r>
          </w:p>
        </w:tc>
        <w:tc>
          <w:tcPr>
            <w:tcW w:w="2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(336)</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9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28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$ 28,462</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40"/>
              <w:spacing w:after="0" w:line="196" w:lineRule="exact"/>
              <w:rPr>
                <w:sz w:val="20"/>
                <w:szCs w:val="20"/>
                <w:color w:val="auto"/>
              </w:rPr>
            </w:pPr>
            <w:r>
              <w:rPr>
                <w:rFonts w:ascii="Arial" w:cs="Arial" w:eastAsia="Arial" w:hAnsi="Arial"/>
                <w:sz w:val="18"/>
                <w:szCs w:val="18"/>
                <w:color w:val="auto"/>
              </w:rPr>
              <w:t>6,358</w:t>
            </w:r>
          </w:p>
        </w:tc>
        <w:tc>
          <w:tcPr>
            <w:tcW w:w="28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1,539</w:t>
            </w:r>
          </w:p>
        </w:tc>
        <w:tc>
          <w:tcPr>
            <w:tcW w:w="900" w:type="dxa"/>
            <w:vAlign w:val="bottom"/>
          </w:tcPr>
          <w:p>
            <w:pPr>
              <w:jc w:val="right"/>
              <w:ind w:right="39"/>
              <w:spacing w:after="0" w:line="196" w:lineRule="exact"/>
              <w:rPr>
                <w:sz w:val="20"/>
                <w:szCs w:val="20"/>
                <w:color w:val="auto"/>
              </w:rPr>
            </w:pPr>
            <w:r>
              <w:rPr>
                <w:rFonts w:ascii="Arial" w:cs="Arial" w:eastAsia="Arial" w:hAnsi="Arial"/>
                <w:sz w:val="18"/>
                <w:szCs w:val="18"/>
                <w:color w:val="auto"/>
              </w:rPr>
              <w:t>$ 4,819</w:t>
            </w:r>
          </w:p>
        </w:tc>
        <w:tc>
          <w:tcPr>
            <w:tcW w:w="3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196" w:lineRule="exact"/>
              <w:rPr>
                <w:sz w:val="20"/>
                <w:szCs w:val="20"/>
                <w:color w:val="auto"/>
              </w:rPr>
            </w:pPr>
            <w:r>
              <w:rPr>
                <w:rFonts w:ascii="Arial" w:cs="Arial" w:eastAsia="Arial" w:hAnsi="Arial"/>
                <w:sz w:val="18"/>
                <w:szCs w:val="18"/>
                <w:color w:val="auto"/>
              </w:rPr>
              <w:t>1,386</w:t>
            </w:r>
          </w:p>
        </w:tc>
        <w:tc>
          <w:tcPr>
            <w:tcW w:w="220" w:type="dxa"/>
            <w:vAlign w:val="bottom"/>
          </w:tcPr>
          <w:p>
            <w:pPr>
              <w:ind w:left="10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8"/>
              <w:spacing w:after="0" w:line="19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900" w:type="dxa"/>
            <w:vAlign w:val="bottom"/>
            <w:tcBorders>
              <w:top w:val="single" w:sz="8" w:color="0C6DFF"/>
            </w:tcBorders>
          </w:tcPr>
          <w:p>
            <w:pPr>
              <w:spacing w:after="0"/>
              <w:rPr>
                <w:sz w:val="24"/>
                <w:szCs w:val="24"/>
                <w:color w:val="auto"/>
              </w:rPr>
            </w:pPr>
          </w:p>
        </w:tc>
        <w:tc>
          <w:tcPr>
            <w:tcW w:w="2140" w:type="dxa"/>
            <w:vAlign w:val="bottom"/>
            <w:tcBorders>
              <w:top w:val="single" w:sz="8" w:color="0C6DFF"/>
            </w:tcBorders>
          </w:tcPr>
          <w:p>
            <w:pPr>
              <w:spacing w:after="0"/>
              <w:rPr>
                <w:sz w:val="24"/>
                <w:szCs w:val="24"/>
                <w:color w:val="auto"/>
              </w:rPr>
            </w:pPr>
          </w:p>
        </w:tc>
        <w:tc>
          <w:tcPr>
            <w:tcW w:w="700" w:type="dxa"/>
            <w:vAlign w:val="bottom"/>
            <w:tcBorders>
              <w:top w:val="single" w:sz="8" w:color="0C6DFF"/>
            </w:tcBorders>
          </w:tcPr>
          <w:p>
            <w:pPr>
              <w:spacing w:after="0"/>
              <w:rPr>
                <w:sz w:val="24"/>
                <w:szCs w:val="24"/>
                <w:color w:val="auto"/>
              </w:rPr>
            </w:pPr>
          </w:p>
        </w:tc>
        <w:tc>
          <w:tcPr>
            <w:tcW w:w="200" w:type="dxa"/>
            <w:vAlign w:val="bottom"/>
            <w:tcBorders>
              <w:top w:val="single" w:sz="8" w:color="0C6DFF"/>
            </w:tcBorders>
          </w:tcPr>
          <w:p>
            <w:pPr>
              <w:spacing w:after="0"/>
              <w:rPr>
                <w:sz w:val="24"/>
                <w:szCs w:val="24"/>
                <w:color w:val="auto"/>
              </w:rPr>
            </w:pPr>
          </w:p>
        </w:tc>
        <w:tc>
          <w:tcPr>
            <w:tcW w:w="900" w:type="dxa"/>
            <w:vAlign w:val="bottom"/>
            <w:tcBorders>
              <w:top w:val="single" w:sz="8" w:color="0C6DFF"/>
            </w:tcBorders>
          </w:tcPr>
          <w:p>
            <w:pPr>
              <w:jc w:val="right"/>
              <w:ind w:right="40"/>
              <w:spacing w:after="0"/>
              <w:rPr>
                <w:sz w:val="20"/>
                <w:szCs w:val="20"/>
                <w:color w:val="auto"/>
              </w:rPr>
            </w:pPr>
            <w:r>
              <w:rPr>
                <w:rFonts w:ascii="Arial" w:cs="Arial" w:eastAsia="Arial" w:hAnsi="Arial"/>
                <w:sz w:val="14"/>
                <w:szCs w:val="14"/>
                <w:color w:val="auto"/>
              </w:rPr>
              <w:t>Operating</w:t>
            </w:r>
          </w:p>
        </w:tc>
        <w:tc>
          <w:tcPr>
            <w:tcW w:w="280" w:type="dxa"/>
            <w:vAlign w:val="bottom"/>
            <w:tcBorders>
              <w:top w:val="single" w:sz="8" w:color="0C6DFF"/>
            </w:tcBorders>
          </w:tcPr>
          <w:p>
            <w:pPr>
              <w:spacing w:after="0"/>
              <w:rPr>
                <w:sz w:val="24"/>
                <w:szCs w:val="24"/>
                <w:color w:val="auto"/>
              </w:rPr>
            </w:pPr>
          </w:p>
        </w:tc>
        <w:tc>
          <w:tcPr>
            <w:tcW w:w="600" w:type="dxa"/>
            <w:vAlign w:val="bottom"/>
            <w:tcBorders>
              <w:top w:val="single" w:sz="8" w:color="0C6DFF"/>
            </w:tcBorders>
          </w:tcPr>
          <w:p>
            <w:pPr>
              <w:spacing w:after="0"/>
              <w:rPr>
                <w:sz w:val="24"/>
                <w:szCs w:val="24"/>
                <w:color w:val="auto"/>
              </w:rPr>
            </w:pPr>
          </w:p>
        </w:tc>
        <w:tc>
          <w:tcPr>
            <w:tcW w:w="900" w:type="dxa"/>
            <w:vAlign w:val="bottom"/>
            <w:tcBorders>
              <w:top w:val="single" w:sz="8" w:color="0C6DFF"/>
            </w:tcBorders>
          </w:tcPr>
          <w:p>
            <w:pPr>
              <w:spacing w:after="0"/>
              <w:rPr>
                <w:sz w:val="24"/>
                <w:szCs w:val="24"/>
                <w:color w:val="auto"/>
              </w:rPr>
            </w:pPr>
          </w:p>
        </w:tc>
        <w:tc>
          <w:tcPr>
            <w:tcW w:w="300" w:type="dxa"/>
            <w:vAlign w:val="bottom"/>
            <w:tcBorders>
              <w:top w:val="single" w:sz="8" w:color="0C6DFF"/>
            </w:tcBorders>
          </w:tcPr>
          <w:p>
            <w:pPr>
              <w:spacing w:after="0"/>
              <w:rPr>
                <w:sz w:val="24"/>
                <w:szCs w:val="24"/>
                <w:color w:val="auto"/>
              </w:rPr>
            </w:pPr>
          </w:p>
        </w:tc>
        <w:tc>
          <w:tcPr>
            <w:tcW w:w="680" w:type="dxa"/>
            <w:vAlign w:val="bottom"/>
            <w:tcBorders>
              <w:top w:val="single" w:sz="8" w:color="0C6DFF"/>
            </w:tcBorders>
          </w:tcPr>
          <w:p>
            <w:pPr>
              <w:spacing w:after="0"/>
              <w:rPr>
                <w:sz w:val="24"/>
                <w:szCs w:val="24"/>
                <w:color w:val="auto"/>
              </w:rPr>
            </w:pPr>
          </w:p>
        </w:tc>
        <w:tc>
          <w:tcPr>
            <w:tcW w:w="220" w:type="dxa"/>
            <w:vAlign w:val="bottom"/>
            <w:tcBorders>
              <w:top w:val="single" w:sz="8" w:color="0C6DFF"/>
            </w:tcBorders>
          </w:tcPr>
          <w:p>
            <w:pPr>
              <w:spacing w:after="0"/>
              <w:rPr>
                <w:sz w:val="24"/>
                <w:szCs w:val="24"/>
                <w:color w:val="auto"/>
              </w:rPr>
            </w:pPr>
          </w:p>
        </w:tc>
        <w:tc>
          <w:tcPr>
            <w:tcW w:w="580" w:type="dxa"/>
            <w:vAlign w:val="bottom"/>
            <w:tcBorders>
              <w:top w:val="single" w:sz="8" w:color="0C6DFF"/>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40"/>
              <w:spacing w:after="0" w:line="149" w:lineRule="exact"/>
              <w:rPr>
                <w:sz w:val="20"/>
                <w:szCs w:val="20"/>
                <w:color w:val="auto"/>
              </w:rPr>
            </w:pPr>
            <w:r>
              <w:rPr>
                <w:rFonts w:ascii="Arial" w:cs="Arial" w:eastAsia="Arial" w:hAnsi="Arial"/>
                <w:sz w:val="14"/>
                <w:szCs w:val="14"/>
                <w:color w:val="auto"/>
              </w:rPr>
              <w:t>Before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8"/>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40"/>
              <w:spacing w:after="0" w:line="149" w:lineRule="exact"/>
              <w:rPr>
                <w:sz w:val="20"/>
                <w:szCs w:val="20"/>
                <w:color w:val="auto"/>
              </w:rPr>
            </w:pPr>
            <w:r>
              <w:rPr>
                <w:rFonts w:ascii="Arial" w:cs="Arial" w:eastAsia="Arial" w:hAnsi="Arial"/>
                <w:sz w:val="14"/>
                <w:szCs w:val="14"/>
                <w:color w:val="auto"/>
                <w:w w:val="96"/>
              </w:rPr>
              <w:t>Depreciation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9"/>
              </w:rPr>
              <w:t>Depreciation</w:t>
            </w:r>
          </w:p>
        </w:tc>
        <w:tc>
          <w:tcPr>
            <w:tcW w:w="900" w:type="dxa"/>
            <w:vAlign w:val="bottom"/>
          </w:tcPr>
          <w:p>
            <w:pPr>
              <w:jc w:val="right"/>
              <w:ind w:right="39"/>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8"/>
              <w:spacing w:after="0" w:line="149" w:lineRule="exact"/>
              <w:rPr>
                <w:sz w:val="20"/>
                <w:szCs w:val="20"/>
                <w:color w:val="auto"/>
              </w:rPr>
            </w:pPr>
            <w:r>
              <w:rPr>
                <w:rFonts w:ascii="Arial" w:cs="Arial" w:eastAsia="Arial" w:hAnsi="Arial"/>
                <w:sz w:val="14"/>
                <w:szCs w:val="14"/>
                <w:color w:val="auto"/>
                <w:w w:val="95"/>
              </w:rPr>
              <w:t>Paid for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84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00" w:type="dxa"/>
            <w:vAlign w:val="bottom"/>
          </w:tcPr>
          <w:p>
            <w:pPr>
              <w:spacing w:after="0"/>
              <w:rPr>
                <w:sz w:val="10"/>
                <w:szCs w:val="10"/>
                <w:color w:val="auto"/>
              </w:rPr>
            </w:pPr>
          </w:p>
        </w:tc>
        <w:tc>
          <w:tcPr>
            <w:tcW w:w="900" w:type="dxa"/>
            <w:vAlign w:val="bottom"/>
          </w:tcPr>
          <w:p>
            <w:pPr>
              <w:jc w:val="right"/>
              <w:ind w:right="40"/>
              <w:spacing w:after="0" w:line="123"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and</w:t>
            </w:r>
          </w:p>
        </w:tc>
        <w:tc>
          <w:tcPr>
            <w:tcW w:w="900" w:type="dxa"/>
            <w:vAlign w:val="bottom"/>
          </w:tcPr>
          <w:p>
            <w:pPr>
              <w:jc w:val="right"/>
              <w:ind w:right="79"/>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80" w:type="dxa"/>
            <w:vAlign w:val="bottom"/>
          </w:tcPr>
          <w:p>
            <w:pPr>
              <w:jc w:val="right"/>
              <w:ind w:right="15"/>
              <w:spacing w:after="0" w:line="123" w:lineRule="exact"/>
              <w:rPr>
                <w:sz w:val="20"/>
                <w:szCs w:val="20"/>
                <w:color w:val="auto"/>
              </w:rPr>
            </w:pPr>
            <w:r>
              <w:rPr>
                <w:rFonts w:ascii="Arial" w:cs="Arial" w:eastAsia="Arial" w:hAnsi="Arial"/>
                <w:sz w:val="14"/>
                <w:szCs w:val="14"/>
                <w:color w:val="auto"/>
              </w:rPr>
              <w:t>Capital</w:t>
            </w:r>
          </w:p>
        </w:tc>
        <w:tc>
          <w:tcPr>
            <w:tcW w:w="800" w:type="dxa"/>
            <w:vAlign w:val="bottom"/>
            <w:gridSpan w:val="2"/>
          </w:tcPr>
          <w:p>
            <w:pPr>
              <w:ind w:left="100"/>
              <w:spacing w:after="0" w:line="123" w:lineRule="exact"/>
              <w:rPr>
                <w:sz w:val="20"/>
                <w:szCs w:val="20"/>
                <w:color w:val="auto"/>
              </w:rPr>
            </w:pPr>
            <w:r>
              <w:rPr>
                <w:rFonts w:ascii="Arial" w:cs="Arial" w:eastAsia="Arial" w:hAnsi="Arial"/>
                <w:sz w:val="14"/>
                <w:szCs w:val="14"/>
                <w:color w:val="auto"/>
              </w:rPr>
              <w:t>Intangible</w:t>
            </w: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840" w:type="dxa"/>
            <w:vAlign w:val="bottom"/>
            <w:tcBorders>
              <w:bottom w:val="single" w:sz="8" w:color="auto"/>
            </w:tcBorders>
            <w:gridSpan w:val="2"/>
            <w:vMerge w:val="continue"/>
          </w:tcPr>
          <w:p>
            <w:pPr>
              <w:spacing w:after="0"/>
              <w:rPr>
                <w:sz w:val="15"/>
                <w:szCs w:val="15"/>
                <w:color w:val="auto"/>
              </w:rPr>
            </w:pPr>
          </w:p>
        </w:tc>
        <w:tc>
          <w:tcPr>
            <w:tcW w:w="1100" w:type="dxa"/>
            <w:vAlign w:val="bottom"/>
            <w:tcBorders>
              <w:bottom w:val="single" w:sz="8" w:color="auto"/>
            </w:tcBorders>
            <w:gridSpan w:val="2"/>
          </w:tcPr>
          <w:p>
            <w:pPr>
              <w:jc w:val="right"/>
              <w:ind w:right="4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w w:val="97"/>
              </w:rPr>
              <w:t>Amortization</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(Loss)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9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2014</w:t>
            </w:r>
          </w:p>
        </w:tc>
        <w:tc>
          <w:tcPr>
            <w:tcW w:w="2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(a)</w:t>
            </w: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9,563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3,589</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748</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$ 2,841</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49</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(a)</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8,542</w:t>
            </w:r>
          </w:p>
        </w:tc>
        <w:tc>
          <w:tcPr>
            <w:tcW w:w="200" w:type="dxa"/>
            <w:vAlign w:val="bottom"/>
          </w:tcPr>
          <w:p>
            <w:pPr>
              <w:spacing w:after="0"/>
              <w:rPr>
                <w:sz w:val="17"/>
                <w:szCs w:val="17"/>
                <w:color w:val="auto"/>
              </w:rPr>
            </w:pP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734</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607</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76</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5,008</w:t>
            </w:r>
          </w:p>
        </w:tc>
        <w:tc>
          <w:tcPr>
            <w:tcW w:w="200" w:type="dxa"/>
            <w:vAlign w:val="bottom"/>
          </w:tcPr>
          <w:p>
            <w:pPr>
              <w:spacing w:after="0"/>
              <w:rPr>
                <w:sz w:val="17"/>
                <w:szCs w:val="17"/>
                <w:color w:val="auto"/>
              </w:rPr>
            </w:pP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711</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690</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2,623</w:t>
            </w:r>
          </w:p>
        </w:tc>
        <w:tc>
          <w:tcPr>
            <w:tcW w:w="200" w:type="dxa"/>
            <w:vAlign w:val="bottom"/>
          </w:tcPr>
          <w:p>
            <w:pPr>
              <w:spacing w:after="0"/>
              <w:rPr>
                <w:sz w:val="17"/>
                <w:szCs w:val="17"/>
                <w:color w:val="auto"/>
              </w:rPr>
            </w:pP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1,096</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823</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671</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(b)</w:t>
            </w:r>
          </w:p>
        </w:tc>
        <w:tc>
          <w:tcPr>
            <w:tcW w:w="214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30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414</w:t>
            </w:r>
          </w:p>
        </w:tc>
        <w:tc>
          <w:tcPr>
            <w:tcW w:w="220" w:type="dxa"/>
            <w:vAlign w:val="bottom"/>
          </w:tcPr>
          <w:p>
            <w:pPr>
              <w:spacing w:after="0"/>
              <w:rPr>
                <w:sz w:val="17"/>
                <w:szCs w:val="17"/>
                <w:color w:val="auto"/>
              </w:rPr>
            </w:pPr>
          </w:p>
        </w:tc>
        <w:tc>
          <w:tcPr>
            <w:tcW w:w="5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(c)</w:t>
            </w:r>
          </w:p>
        </w:tc>
        <w:tc>
          <w:tcPr>
            <w:tcW w:w="2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(321)</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71</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71</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9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28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$ 25,428</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40"/>
              <w:spacing w:after="0" w:line="196" w:lineRule="exact"/>
              <w:rPr>
                <w:sz w:val="20"/>
                <w:szCs w:val="20"/>
                <w:color w:val="auto"/>
              </w:rPr>
            </w:pPr>
            <w:r>
              <w:rPr>
                <w:rFonts w:ascii="Arial" w:cs="Arial" w:eastAsia="Arial" w:hAnsi="Arial"/>
                <w:sz w:val="18"/>
                <w:szCs w:val="18"/>
                <w:color w:val="auto"/>
              </w:rPr>
              <w:t>5,588</w:t>
            </w:r>
          </w:p>
        </w:tc>
        <w:tc>
          <w:tcPr>
            <w:tcW w:w="28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1,495</w:t>
            </w:r>
          </w:p>
        </w:tc>
        <w:tc>
          <w:tcPr>
            <w:tcW w:w="900" w:type="dxa"/>
            <w:vAlign w:val="bottom"/>
          </w:tcPr>
          <w:p>
            <w:pPr>
              <w:jc w:val="right"/>
              <w:ind w:right="39"/>
              <w:spacing w:after="0" w:line="196" w:lineRule="exact"/>
              <w:rPr>
                <w:sz w:val="20"/>
                <w:szCs w:val="20"/>
                <w:color w:val="auto"/>
              </w:rPr>
            </w:pPr>
            <w:r>
              <w:rPr>
                <w:rFonts w:ascii="Arial" w:cs="Arial" w:eastAsia="Arial" w:hAnsi="Arial"/>
                <w:sz w:val="18"/>
                <w:szCs w:val="18"/>
                <w:color w:val="auto"/>
              </w:rPr>
              <w:t>$ 4,093</w:t>
            </w:r>
          </w:p>
        </w:tc>
        <w:tc>
          <w:tcPr>
            <w:tcW w:w="3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196" w:lineRule="exact"/>
              <w:rPr>
                <w:sz w:val="20"/>
                <w:szCs w:val="20"/>
                <w:color w:val="auto"/>
              </w:rPr>
            </w:pPr>
            <w:r>
              <w:rPr>
                <w:rFonts w:ascii="Arial" w:cs="Arial" w:eastAsia="Arial" w:hAnsi="Arial"/>
                <w:sz w:val="18"/>
                <w:szCs w:val="18"/>
                <w:color w:val="auto"/>
              </w:rPr>
              <w:t>1,221</w:t>
            </w:r>
          </w:p>
        </w:tc>
        <w:tc>
          <w:tcPr>
            <w:tcW w:w="220" w:type="dxa"/>
            <w:vAlign w:val="bottom"/>
          </w:tcPr>
          <w:p>
            <w:pPr>
              <w:ind w:left="10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8"/>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3900" w:type="dxa"/>
            <w:vAlign w:val="bottom"/>
            <w:tcBorders>
              <w:top w:val="single" w:sz="8" w:color="0C6DFF"/>
            </w:tcBorders>
          </w:tcPr>
          <w:p>
            <w:pPr>
              <w:spacing w:after="0"/>
              <w:rPr>
                <w:sz w:val="24"/>
                <w:szCs w:val="24"/>
                <w:color w:val="auto"/>
              </w:rPr>
            </w:pPr>
          </w:p>
        </w:tc>
        <w:tc>
          <w:tcPr>
            <w:tcW w:w="2140" w:type="dxa"/>
            <w:vAlign w:val="bottom"/>
            <w:tcBorders>
              <w:top w:val="single" w:sz="8" w:color="0C6DFF"/>
            </w:tcBorders>
          </w:tcPr>
          <w:p>
            <w:pPr>
              <w:jc w:val="right"/>
              <w:ind w:right="160"/>
              <w:spacing w:after="0"/>
              <w:rPr>
                <w:sz w:val="20"/>
                <w:szCs w:val="20"/>
                <w:color w:val="auto"/>
              </w:rPr>
            </w:pPr>
            <w:r>
              <w:rPr>
                <w:rFonts w:ascii="Arial" w:cs="Arial" w:eastAsia="Arial" w:hAnsi="Arial"/>
                <w:sz w:val="14"/>
                <w:szCs w:val="14"/>
                <w:b w:val="1"/>
                <w:bCs w:val="1"/>
                <w:color w:val="auto"/>
              </w:rPr>
              <w:t>165</w:t>
            </w:r>
          </w:p>
        </w:tc>
        <w:tc>
          <w:tcPr>
            <w:tcW w:w="700" w:type="dxa"/>
            <w:vAlign w:val="bottom"/>
            <w:tcBorders>
              <w:top w:val="single" w:sz="8" w:color="0C6DFF"/>
            </w:tcBorders>
          </w:tcPr>
          <w:p>
            <w:pPr>
              <w:spacing w:after="0"/>
              <w:rPr>
                <w:sz w:val="24"/>
                <w:szCs w:val="24"/>
                <w:color w:val="auto"/>
              </w:rPr>
            </w:pPr>
          </w:p>
        </w:tc>
        <w:tc>
          <w:tcPr>
            <w:tcW w:w="200" w:type="dxa"/>
            <w:vAlign w:val="bottom"/>
            <w:tcBorders>
              <w:top w:val="single" w:sz="8" w:color="0C6DFF"/>
            </w:tcBorders>
          </w:tcPr>
          <w:p>
            <w:pPr>
              <w:spacing w:after="0"/>
              <w:rPr>
                <w:sz w:val="24"/>
                <w:szCs w:val="24"/>
                <w:color w:val="auto"/>
              </w:rPr>
            </w:pPr>
          </w:p>
        </w:tc>
        <w:tc>
          <w:tcPr>
            <w:tcW w:w="900" w:type="dxa"/>
            <w:vAlign w:val="bottom"/>
            <w:tcBorders>
              <w:top w:val="single" w:sz="8" w:color="0C6DFF"/>
            </w:tcBorders>
          </w:tcPr>
          <w:p>
            <w:pPr>
              <w:spacing w:after="0"/>
              <w:rPr>
                <w:sz w:val="24"/>
                <w:szCs w:val="24"/>
                <w:color w:val="auto"/>
              </w:rPr>
            </w:pPr>
          </w:p>
        </w:tc>
        <w:tc>
          <w:tcPr>
            <w:tcW w:w="280" w:type="dxa"/>
            <w:vAlign w:val="bottom"/>
            <w:tcBorders>
              <w:top w:val="single" w:sz="8" w:color="0C6DFF"/>
            </w:tcBorders>
          </w:tcPr>
          <w:p>
            <w:pPr>
              <w:spacing w:after="0"/>
              <w:rPr>
                <w:sz w:val="24"/>
                <w:szCs w:val="24"/>
                <w:color w:val="auto"/>
              </w:rPr>
            </w:pPr>
          </w:p>
        </w:tc>
        <w:tc>
          <w:tcPr>
            <w:tcW w:w="600" w:type="dxa"/>
            <w:vAlign w:val="bottom"/>
            <w:tcBorders>
              <w:top w:val="single" w:sz="8" w:color="0C6DFF"/>
            </w:tcBorders>
          </w:tcPr>
          <w:p>
            <w:pPr>
              <w:spacing w:after="0"/>
              <w:rPr>
                <w:sz w:val="24"/>
                <w:szCs w:val="24"/>
                <w:color w:val="auto"/>
              </w:rPr>
            </w:pPr>
          </w:p>
        </w:tc>
        <w:tc>
          <w:tcPr>
            <w:tcW w:w="2680" w:type="dxa"/>
            <w:vAlign w:val="bottom"/>
            <w:tcBorders>
              <w:top w:val="single" w:sz="8" w:color="0C6DFF"/>
            </w:tcBorders>
            <w:gridSpan w:val="5"/>
          </w:tcPr>
          <w:p>
            <w:pPr>
              <w:jc w:val="right"/>
              <w:spacing w:after="0"/>
              <w:rPr>
                <w:sz w:val="20"/>
                <w:szCs w:val="20"/>
                <w:color w:val="auto"/>
              </w:rPr>
            </w:pPr>
            <w:r>
              <w:rPr>
                <w:rFonts w:ascii="Arial" w:cs="Arial" w:eastAsia="Arial" w:hAnsi="Arial"/>
                <w:sz w:val="14"/>
                <w:szCs w:val="14"/>
                <w:color w:val="auto"/>
                <w:w w:val="97"/>
              </w:rPr>
              <w:t>Comcast 2016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30" w:lineRule="exact"/>
        <w:rPr>
          <w:sz w:val="20"/>
          <w:szCs w:val="20"/>
          <w:color w:val="auto"/>
        </w:rPr>
      </w:pPr>
    </w:p>
    <w:p>
      <w:pPr>
        <w:ind w:left="300" w:hanging="292"/>
        <w:spacing w:after="0" w:line="300" w:lineRule="auto"/>
        <w:tabs>
          <w:tab w:leader="none" w:pos="3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revenue and operating costs and expenses associated with our broadcast of the 2016 Rio Olympics and 2014 Sochi Olympics were reported in our Cable Networks and Broadcast Television segments. The revenue and operating costs and expenses associated with our broadcast of the 2015 Super Bowl were reported in our Broadcast Television segment.</w:t>
      </w:r>
    </w:p>
    <w:p>
      <w:pPr>
        <w:spacing w:after="0" w:line="19" w:lineRule="exact"/>
        <w:rPr>
          <w:rFonts w:ascii="Arial" w:cs="Arial" w:eastAsia="Arial" w:hAnsi="Arial"/>
          <w:sz w:val="12"/>
          <w:szCs w:val="12"/>
          <w:color w:val="auto"/>
        </w:rPr>
      </w:pPr>
    </w:p>
    <w:p>
      <w:pPr>
        <w:ind w:left="300" w:hanging="292"/>
        <w:spacing w:after="0"/>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54"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operate primarily in the United States, but also in select international markets primarily in Europe and Asia. The table below summarizes revenue by geographic location. No single customer accounted for a significant amount of revenue in any period.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2014</w:t>
            </w:r>
          </w:p>
        </w:tc>
      </w:tr>
      <w:tr>
        <w:trPr>
          <w:trHeight w:val="141"/>
        </w:trPr>
        <w:tc>
          <w:tcPr>
            <w:tcW w:w="5800" w:type="dxa"/>
            <w:vAlign w:val="bottom"/>
          </w:tcPr>
          <w:p>
            <w:pPr>
              <w:spacing w:after="0" w:line="141" w:lineRule="exact"/>
              <w:rPr>
                <w:sz w:val="20"/>
                <w:szCs w:val="20"/>
                <w:color w:val="auto"/>
              </w:rPr>
            </w:pPr>
            <w:r>
              <w:rPr>
                <w:rFonts w:ascii="Arial" w:cs="Arial" w:eastAsia="Arial" w:hAnsi="Arial"/>
                <w:sz w:val="14"/>
                <w:szCs w:val="14"/>
                <w:color w:val="auto"/>
              </w:rPr>
              <w:t>Revenue:</w:t>
            </w:r>
          </w:p>
        </w:tc>
        <w:tc>
          <w:tcPr>
            <w:tcW w:w="3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5800" w:type="dxa"/>
            <w:vAlign w:val="bottom"/>
          </w:tcPr>
          <w:p>
            <w:pPr>
              <w:ind w:left="220"/>
              <w:spacing w:after="0" w:line="149" w:lineRule="exact"/>
              <w:rPr>
                <w:sz w:val="20"/>
                <w:szCs w:val="20"/>
                <w:color w:val="auto"/>
              </w:rPr>
            </w:pPr>
            <w:r>
              <w:rPr>
                <w:rFonts w:ascii="Arial" w:cs="Arial" w:eastAsia="Arial" w:hAnsi="Arial"/>
                <w:sz w:val="14"/>
                <w:szCs w:val="14"/>
                <w:color w:val="auto"/>
              </w:rPr>
              <w:t>United States</w:t>
            </w:r>
          </w:p>
        </w:tc>
        <w:tc>
          <w:tcPr>
            <w:tcW w:w="3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25,076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3"/>
              </w:rPr>
              <w:t>22,663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7"/>
              </w:rPr>
              <w:t>20,995</w:t>
            </w:r>
          </w:p>
        </w:tc>
      </w:tr>
      <w:tr>
        <w:trPr>
          <w:trHeight w:val="149"/>
        </w:trPr>
        <w:tc>
          <w:tcPr>
            <w:tcW w:w="580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Foreign</w:t>
            </w:r>
          </w:p>
        </w:tc>
        <w:tc>
          <w:tcPr>
            <w:tcW w:w="3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6,517</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5,799</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4,433</w:t>
            </w:r>
          </w:p>
        </w:tc>
      </w:tr>
    </w:tbl>
    <w:p>
      <w:pPr>
        <w:spacing w:after="0" w:line="67" w:lineRule="exact"/>
        <w:rPr>
          <w:sz w:val="20"/>
          <w:szCs w:val="20"/>
          <w:color w:val="auto"/>
        </w:rPr>
      </w:pPr>
    </w:p>
    <w:p>
      <w:pPr>
        <w:jc w:val="both"/>
        <w:ind w:left="300" w:hanging="292"/>
        <w:spacing w:after="0" w:line="224"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166</w:t>
            </w: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Comcast Corporation and subsidiaries (the “Company”) as of December 31, 2016 and 2015, and for each of the three years in the period ended December 31, 2016, and the Company’s internal control over financial reporting as of December 31, 2016, and have issued our report thereon dated February 3, 2017;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3, 2017</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167</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NBCUniversal Media, LLC and subsidiaries (the “Company”) as of December 31, 2016 and 2015, and for each of the three years in the period ended December 31, 2016, and have issued our report thereon dated February 3, 2017;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February 3, 2017</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168</w:t>
            </w: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Year ended December 31, 2016, 2015 and 2014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Additions Charged to</w:t>
            </w: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28"/>
        </w:trPr>
        <w:tc>
          <w:tcPr>
            <w:tcW w:w="5040" w:type="dxa"/>
            <w:vAlign w:val="bottom"/>
          </w:tcPr>
          <w:p>
            <w:pPr>
              <w:spacing w:after="0"/>
              <w:rPr>
                <w:sz w:val="11"/>
                <w:szCs w:val="11"/>
                <w:color w:val="auto"/>
              </w:rPr>
            </w:pPr>
          </w:p>
        </w:tc>
        <w:tc>
          <w:tcPr>
            <w:tcW w:w="2600" w:type="dxa"/>
            <w:vAlign w:val="bottom"/>
            <w:gridSpan w:val="2"/>
          </w:tcPr>
          <w:p>
            <w:pPr>
              <w:ind w:left="1220"/>
              <w:spacing w:after="0" w:line="129" w:lineRule="exact"/>
              <w:rPr>
                <w:sz w:val="20"/>
                <w:szCs w:val="20"/>
                <w:color w:val="auto"/>
              </w:rPr>
            </w:pPr>
            <w:r>
              <w:rPr>
                <w:rFonts w:ascii="Arial" w:cs="Arial" w:eastAsia="Arial" w:hAnsi="Arial"/>
                <w:sz w:val="14"/>
                <w:szCs w:val="14"/>
                <w:color w:val="auto"/>
              </w:rPr>
              <w:t>Balance at Beginning</w:t>
            </w:r>
          </w:p>
        </w:tc>
        <w:tc>
          <w:tcPr>
            <w:tcW w:w="420" w:type="dxa"/>
            <w:vAlign w:val="bottom"/>
          </w:tcPr>
          <w:p>
            <w:pPr>
              <w:spacing w:after="0"/>
              <w:rPr>
                <w:sz w:val="11"/>
                <w:szCs w:val="11"/>
                <w:color w:val="auto"/>
              </w:rPr>
            </w:pPr>
          </w:p>
        </w:tc>
        <w:tc>
          <w:tcPr>
            <w:tcW w:w="1040" w:type="dxa"/>
            <w:vAlign w:val="bottom"/>
          </w:tcPr>
          <w:p>
            <w:pPr>
              <w:jc w:val="right"/>
              <w:ind w:right="17"/>
              <w:spacing w:after="0" w:line="129" w:lineRule="exact"/>
              <w:rPr>
                <w:sz w:val="20"/>
                <w:szCs w:val="20"/>
                <w:color w:val="auto"/>
              </w:rPr>
            </w:pPr>
            <w:r>
              <w:rPr>
                <w:rFonts w:ascii="Arial" w:cs="Arial" w:eastAsia="Arial" w:hAnsi="Arial"/>
                <w:sz w:val="14"/>
                <w:szCs w:val="14"/>
                <w:color w:val="auto"/>
              </w:rPr>
              <w:t>Costs and</w:t>
            </w:r>
          </w:p>
        </w:tc>
        <w:tc>
          <w:tcPr>
            <w:tcW w:w="120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Deductions from</w:t>
            </w:r>
          </w:p>
        </w:tc>
        <w:tc>
          <w:tcPr>
            <w:tcW w:w="11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Balance at End</w:t>
            </w:r>
          </w:p>
        </w:tc>
      </w:tr>
      <w:tr>
        <w:trPr>
          <w:trHeight w:val="169"/>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
              <w:spacing w:after="0" w:line="170" w:lineRule="exact"/>
              <w:rPr>
                <w:sz w:val="20"/>
                <w:szCs w:val="20"/>
                <w:color w:val="auto"/>
              </w:rPr>
            </w:pPr>
            <w:r>
              <w:rPr>
                <w:rFonts w:ascii="Arial" w:cs="Arial" w:eastAsia="Arial" w:hAnsi="Arial"/>
                <w:sz w:val="12"/>
                <w:szCs w:val="12"/>
                <w:color w:val="auto"/>
              </w:rPr>
              <w:t>Expenses</w:t>
            </w:r>
            <w:r>
              <w:rPr>
                <w:rFonts w:ascii="Arial" w:cs="Arial" w:eastAsia="Arial" w:hAnsi="Arial"/>
                <w:sz w:val="19"/>
                <w:szCs w:val="19"/>
                <w:color w:val="auto"/>
                <w:vertAlign w:val="superscript"/>
              </w:rPr>
              <w:t>(a)</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line="170" w:lineRule="exact"/>
              <w:rPr>
                <w:sz w:val="20"/>
                <w:szCs w:val="20"/>
                <w:color w:val="auto"/>
              </w:rPr>
            </w:pPr>
            <w:r>
              <w:rPr>
                <w:rFonts w:ascii="Arial" w:cs="Arial" w:eastAsia="Arial" w:hAnsi="Arial"/>
                <w:sz w:val="12"/>
                <w:szCs w:val="12"/>
                <w:color w:val="auto"/>
              </w:rPr>
              <w:t>Reserves</w:t>
            </w:r>
            <w:r>
              <w:rPr>
                <w:rFonts w:ascii="Arial" w:cs="Arial" w:eastAsia="Arial" w:hAnsi="Arial"/>
                <w:sz w:val="19"/>
                <w:szCs w:val="19"/>
                <w:color w:val="auto"/>
                <w:vertAlign w:val="superscript"/>
              </w:rPr>
              <w:t>(a)</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color w:val="auto"/>
              </w:rPr>
              <w:t>2016</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226</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86</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62</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250</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473</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1,041</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1,097</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417</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342</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99</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266</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205</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166</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145</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226</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359</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1,236</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1,122</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473</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342</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221</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162</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178</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205</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932</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948</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359</w:t>
            </w:r>
          </w:p>
        </w:tc>
      </w:tr>
      <w:tr>
        <w:trPr>
          <w:trHeight w:val="199"/>
        </w:trPr>
        <w:tc>
          <w:tcPr>
            <w:tcW w:w="50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405</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63</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375</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24"/>
          <w:szCs w:val="24"/>
          <w:color w:val="auto"/>
        </w:rPr>
        <w:t>NBCUniversal Media, LLC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Year ended December 31, 2016, 2015 and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Additions Charged to</w:t>
            </w: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28"/>
        </w:trPr>
        <w:tc>
          <w:tcPr>
            <w:tcW w:w="4700" w:type="dxa"/>
            <w:vAlign w:val="bottom"/>
          </w:tcPr>
          <w:p>
            <w:pPr>
              <w:spacing w:after="0"/>
              <w:rPr>
                <w:sz w:val="11"/>
                <w:szCs w:val="11"/>
                <w:color w:val="auto"/>
              </w:rPr>
            </w:pPr>
          </w:p>
        </w:tc>
        <w:tc>
          <w:tcPr>
            <w:tcW w:w="2940" w:type="dxa"/>
            <w:vAlign w:val="bottom"/>
            <w:gridSpan w:val="2"/>
          </w:tcPr>
          <w:p>
            <w:pPr>
              <w:ind w:left="1560"/>
              <w:spacing w:after="0" w:line="129" w:lineRule="exact"/>
              <w:rPr>
                <w:sz w:val="20"/>
                <w:szCs w:val="20"/>
                <w:color w:val="auto"/>
              </w:rPr>
            </w:pPr>
            <w:r>
              <w:rPr>
                <w:rFonts w:ascii="Arial" w:cs="Arial" w:eastAsia="Arial" w:hAnsi="Arial"/>
                <w:sz w:val="14"/>
                <w:szCs w:val="14"/>
                <w:color w:val="auto"/>
              </w:rPr>
              <w:t>Balance at Beginning</w:t>
            </w:r>
          </w:p>
        </w:tc>
        <w:tc>
          <w:tcPr>
            <w:tcW w:w="420" w:type="dxa"/>
            <w:vAlign w:val="bottom"/>
          </w:tcPr>
          <w:p>
            <w:pPr>
              <w:spacing w:after="0"/>
              <w:rPr>
                <w:sz w:val="11"/>
                <w:szCs w:val="11"/>
                <w:color w:val="auto"/>
              </w:rPr>
            </w:pPr>
          </w:p>
        </w:tc>
        <w:tc>
          <w:tcPr>
            <w:tcW w:w="1040" w:type="dxa"/>
            <w:vAlign w:val="bottom"/>
          </w:tcPr>
          <w:p>
            <w:pPr>
              <w:jc w:val="right"/>
              <w:ind w:right="18"/>
              <w:spacing w:after="0" w:line="129" w:lineRule="exact"/>
              <w:rPr>
                <w:sz w:val="20"/>
                <w:szCs w:val="20"/>
                <w:color w:val="auto"/>
              </w:rPr>
            </w:pPr>
            <w:r>
              <w:rPr>
                <w:rFonts w:ascii="Arial" w:cs="Arial" w:eastAsia="Arial" w:hAnsi="Arial"/>
                <w:sz w:val="14"/>
                <w:szCs w:val="14"/>
                <w:color w:val="auto"/>
              </w:rPr>
              <w:t>Costs and</w:t>
            </w:r>
          </w:p>
        </w:tc>
        <w:tc>
          <w:tcPr>
            <w:tcW w:w="120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Deductions from</w:t>
            </w:r>
          </w:p>
        </w:tc>
        <w:tc>
          <w:tcPr>
            <w:tcW w:w="11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Balance at End</w:t>
            </w:r>
          </w:p>
        </w:tc>
      </w:tr>
      <w:tr>
        <w:trPr>
          <w:trHeight w:val="169"/>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0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8"/>
              <w:spacing w:after="0" w:line="170" w:lineRule="exact"/>
              <w:rPr>
                <w:sz w:val="20"/>
                <w:szCs w:val="20"/>
                <w:color w:val="auto"/>
              </w:rPr>
            </w:pPr>
            <w:r>
              <w:rPr>
                <w:rFonts w:ascii="Arial" w:cs="Arial" w:eastAsia="Arial" w:hAnsi="Arial"/>
                <w:sz w:val="12"/>
                <w:szCs w:val="12"/>
                <w:color w:val="auto"/>
              </w:rPr>
              <w:t>Expenses</w:t>
            </w:r>
            <w:r>
              <w:rPr>
                <w:rFonts w:ascii="Arial" w:cs="Arial" w:eastAsia="Arial" w:hAnsi="Arial"/>
                <w:sz w:val="19"/>
                <w:szCs w:val="19"/>
                <w:color w:val="auto"/>
                <w:vertAlign w:val="superscript"/>
              </w:rPr>
              <w:t>(a)</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line="170" w:lineRule="exact"/>
              <w:rPr>
                <w:sz w:val="20"/>
                <w:szCs w:val="20"/>
                <w:color w:val="auto"/>
              </w:rPr>
            </w:pPr>
            <w:r>
              <w:rPr>
                <w:rFonts w:ascii="Arial" w:cs="Arial" w:eastAsia="Arial" w:hAnsi="Arial"/>
                <w:sz w:val="12"/>
                <w:szCs w:val="12"/>
                <w:color w:val="auto"/>
              </w:rPr>
              <w:t>Reserves</w:t>
            </w:r>
            <w:r>
              <w:rPr>
                <w:rFonts w:ascii="Arial" w:cs="Arial" w:eastAsia="Arial" w:hAnsi="Arial"/>
                <w:sz w:val="19"/>
                <w:szCs w:val="19"/>
                <w:color w:val="auto"/>
                <w:vertAlign w:val="superscript"/>
              </w:rPr>
              <w:t>(a)</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199"/>
        </w:trPr>
        <w:tc>
          <w:tcPr>
            <w:tcW w:w="4700" w:type="dxa"/>
            <w:vAlign w:val="bottom"/>
          </w:tcPr>
          <w:p>
            <w:pPr>
              <w:spacing w:after="0" w:line="200" w:lineRule="exact"/>
              <w:rPr>
                <w:sz w:val="20"/>
                <w:szCs w:val="20"/>
                <w:color w:val="auto"/>
              </w:rPr>
            </w:pPr>
            <w:r>
              <w:rPr>
                <w:rFonts w:ascii="Arial" w:cs="Arial" w:eastAsia="Arial" w:hAnsi="Arial"/>
                <w:sz w:val="18"/>
                <w:szCs w:val="18"/>
                <w:color w:val="auto"/>
              </w:rPr>
              <w:t>2016</w:t>
            </w: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2020" w:type="dxa"/>
            <w:vAlign w:val="bottom"/>
          </w:tcPr>
          <w:p>
            <w:pPr>
              <w:ind w:left="15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26</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84</w:t>
            </w: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20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469</w:t>
            </w:r>
          </w:p>
        </w:tc>
        <w:tc>
          <w:tcPr>
            <w:tcW w:w="420" w:type="dxa"/>
            <w:vAlign w:val="bottom"/>
          </w:tcPr>
          <w:p>
            <w:pPr>
              <w:spacing w:after="0"/>
              <w:rPr>
                <w:sz w:val="17"/>
                <w:szCs w:val="17"/>
                <w:color w:val="auto"/>
              </w:rPr>
            </w:pPr>
          </w:p>
        </w:tc>
        <w:tc>
          <w:tcPr>
            <w:tcW w:w="10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1,040</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1,096</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413</w:t>
            </w: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20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w:t>
            </w:r>
          </w:p>
        </w:tc>
        <w:tc>
          <w:tcPr>
            <w:tcW w:w="420" w:type="dxa"/>
            <w:vAlign w:val="bottom"/>
          </w:tcPr>
          <w:p>
            <w:pPr>
              <w:spacing w:after="0"/>
              <w:rPr>
                <w:sz w:val="17"/>
                <w:szCs w:val="17"/>
                <w:color w:val="auto"/>
              </w:rPr>
            </w:pPr>
          </w:p>
        </w:tc>
        <w:tc>
          <w:tcPr>
            <w:tcW w:w="10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72</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2020" w:type="dxa"/>
            <w:vAlign w:val="bottom"/>
          </w:tcPr>
          <w:p>
            <w:pPr>
              <w:ind w:left="15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27</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w:t>
            </w: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20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356</w:t>
            </w:r>
          </w:p>
        </w:tc>
        <w:tc>
          <w:tcPr>
            <w:tcW w:w="420" w:type="dxa"/>
            <w:vAlign w:val="bottom"/>
          </w:tcPr>
          <w:p>
            <w:pPr>
              <w:spacing w:after="0"/>
              <w:rPr>
                <w:sz w:val="17"/>
                <w:szCs w:val="17"/>
                <w:color w:val="auto"/>
              </w:rPr>
            </w:pPr>
          </w:p>
        </w:tc>
        <w:tc>
          <w:tcPr>
            <w:tcW w:w="10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1,233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1,120</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469</w:t>
            </w: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20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87</w:t>
            </w:r>
          </w:p>
        </w:tc>
        <w:tc>
          <w:tcPr>
            <w:tcW w:w="420" w:type="dxa"/>
            <w:vAlign w:val="bottom"/>
          </w:tcPr>
          <w:p>
            <w:pPr>
              <w:spacing w:after="0"/>
              <w:rPr>
                <w:sz w:val="17"/>
                <w:szCs w:val="17"/>
                <w:color w:val="auto"/>
              </w:rPr>
            </w:pPr>
          </w:p>
        </w:tc>
        <w:tc>
          <w:tcPr>
            <w:tcW w:w="10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2020" w:type="dxa"/>
            <w:vAlign w:val="bottom"/>
          </w:tcPr>
          <w:p>
            <w:pPr>
              <w:ind w:left="15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65</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202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372</w:t>
            </w:r>
          </w:p>
        </w:tc>
        <w:tc>
          <w:tcPr>
            <w:tcW w:w="420" w:type="dxa"/>
            <w:vAlign w:val="bottom"/>
          </w:tcPr>
          <w:p>
            <w:pPr>
              <w:spacing w:after="0"/>
              <w:rPr>
                <w:sz w:val="17"/>
                <w:szCs w:val="17"/>
                <w:color w:val="auto"/>
              </w:rPr>
            </w:pPr>
          </w:p>
        </w:tc>
        <w:tc>
          <w:tcPr>
            <w:tcW w:w="10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930</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946</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356</w:t>
            </w:r>
          </w:p>
        </w:tc>
      </w:tr>
      <w:tr>
        <w:trPr>
          <w:trHeight w:val="199"/>
        </w:trPr>
        <w:tc>
          <w:tcPr>
            <w:tcW w:w="47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Valuation allowance on deferred tax assets</w:t>
            </w:r>
          </w:p>
        </w:tc>
        <w:tc>
          <w:tcPr>
            <w:tcW w:w="20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60</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87</w:t>
            </w:r>
          </w:p>
        </w:tc>
      </w:tr>
      <w:tr>
        <w:trPr>
          <w:trHeight w:val="236"/>
        </w:trPr>
        <w:tc>
          <w:tcPr>
            <w:tcW w:w="9100" w:type="dxa"/>
            <w:vAlign w:val="bottom"/>
            <w:gridSpan w:val="5"/>
          </w:tcPr>
          <w:p>
            <w:pPr>
              <w:spacing w:after="0"/>
              <w:rPr>
                <w:sz w:val="20"/>
                <w:szCs w:val="20"/>
                <w:color w:val="auto"/>
              </w:rPr>
            </w:pPr>
            <w:r>
              <w:rPr>
                <w:rFonts w:ascii="Arial" w:cs="Arial" w:eastAsia="Arial" w:hAnsi="Arial"/>
                <w:sz w:val="14"/>
                <w:szCs w:val="14"/>
                <w:color w:val="auto"/>
              </w:rPr>
              <w:t>(a)  Additions and deductions related to allowance for returns and customer incentives include amounts for distribution on behalf of third parties.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00"/>
        </w:trPr>
        <w:tc>
          <w:tcPr>
            <w:tcW w:w="4700" w:type="dxa"/>
            <w:vAlign w:val="bottom"/>
          </w:tcPr>
          <w:p>
            <w:pPr>
              <w:spacing w:after="0"/>
              <w:rPr>
                <w:sz w:val="24"/>
                <w:szCs w:val="24"/>
                <w:color w:val="auto"/>
              </w:rPr>
            </w:pPr>
          </w:p>
        </w:tc>
        <w:tc>
          <w:tcPr>
            <w:tcW w:w="2020" w:type="dxa"/>
            <w:vAlign w:val="bottom"/>
          </w:tcPr>
          <w:p>
            <w:pPr>
              <w:ind w:left="900"/>
              <w:spacing w:after="0"/>
              <w:rPr>
                <w:sz w:val="20"/>
                <w:szCs w:val="20"/>
                <w:color w:val="auto"/>
              </w:rPr>
            </w:pPr>
            <w:r>
              <w:rPr>
                <w:rFonts w:ascii="Arial" w:cs="Arial" w:eastAsia="Arial" w:hAnsi="Arial"/>
                <w:sz w:val="14"/>
                <w:szCs w:val="14"/>
                <w:b w:val="1"/>
                <w:bCs w:val="1"/>
                <w:color w:val="auto"/>
              </w:rPr>
              <w:t>169</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gridSpan w:val="5"/>
          </w:tcPr>
          <w:p>
            <w:pPr>
              <w:jc w:val="right"/>
              <w:spacing w:after="0"/>
              <w:rPr>
                <w:sz w:val="20"/>
                <w:szCs w:val="20"/>
                <w:color w:val="auto"/>
              </w:rPr>
            </w:pPr>
            <w:r>
              <w:rPr>
                <w:rFonts w:ascii="Arial" w:cs="Arial" w:eastAsia="Arial" w:hAnsi="Arial"/>
                <w:sz w:val="14"/>
                <w:szCs w:val="14"/>
                <w:color w:val="auto"/>
              </w:rPr>
              <w:t>Comcast 2016 Annual Report on Form 10-K</w:t>
            </w:r>
          </w:p>
        </w:tc>
      </w:tr>
    </w:tbl>
    <w:p>
      <w:pPr>
        <w:sectPr>
          <w:pgSz w:w="11900" w:h="16838" w:orient="portrait"/>
          <w:cols w:equalWidth="0" w:num="1">
            <w:col w:w="11420"/>
          </w:cols>
          <w:pgMar w:left="240" w:top="459"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5, 2016)</w:t>
      </w:r>
    </w:p>
    <w:p>
      <w:pPr>
        <w:spacing w:after="0" w:line="25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121" w:lineRule="exact"/>
        <w:rPr>
          <w:rFonts w:ascii="Arial" w:cs="Arial" w:eastAsia="Arial" w:hAnsi="Arial"/>
          <w:sz w:val="18"/>
          <w:szCs w:val="18"/>
          <w:b w:val="1"/>
          <w:bCs w:val="1"/>
          <w:color w:val="auto"/>
        </w:rPr>
      </w:pPr>
    </w:p>
    <w:p>
      <w:pPr>
        <w:ind w:right="240" w:firstLine="464"/>
        <w:spacing w:after="0" w:line="277" w:lineRule="auto"/>
        <w:tabs>
          <w:tab w:leader="none" w:pos="701"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December 5, 2016.</w:t>
      </w:r>
    </w:p>
    <w:p>
      <w:pPr>
        <w:spacing w:after="0" w:line="170" w:lineRule="exact"/>
        <w:rPr>
          <w:rFonts w:ascii="Arial" w:cs="Arial" w:eastAsia="Arial" w:hAnsi="Arial"/>
          <w:sz w:val="18"/>
          <w:szCs w:val="18"/>
          <w:color w:val="auto"/>
        </w:rPr>
      </w:pPr>
    </w:p>
    <w:p>
      <w:pPr>
        <w:ind w:right="180" w:firstLine="464"/>
        <w:spacing w:after="0" w:line="264" w:lineRule="auto"/>
        <w:tabs>
          <w:tab w:leader="none" w:pos="711"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325"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jc w:val="both"/>
        <w:ind w:right="100" w:firstLine="464"/>
        <w:spacing w:after="0" w:line="259" w:lineRule="auto"/>
        <w:tabs>
          <w:tab w:leader="none" w:pos="701"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right="60" w:firstLine="464"/>
        <w:spacing w:after="0" w:line="277" w:lineRule="auto"/>
        <w:tabs>
          <w:tab w:leader="none" w:pos="711"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 fraud; (ii) misappropriation; (iii) embezzlement; (iv) gross negligence in the performance of duties; (v) self-dealing;</w:t>
      </w:r>
    </w:p>
    <w:p>
      <w:pPr>
        <w:spacing w:after="0" w:line="23" w:lineRule="exact"/>
        <w:rPr>
          <w:sz w:val="20"/>
          <w:szCs w:val="20"/>
          <w:color w:val="auto"/>
        </w:rPr>
      </w:pPr>
    </w:p>
    <w:p>
      <w:pPr>
        <w:ind w:right="40" w:firstLine="8"/>
        <w:spacing w:after="0" w:line="254" w:lineRule="auto"/>
        <w:tabs>
          <w:tab w:leader="none" w:pos="3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dishonesty; (vii) misrepresentation; (viii) conviction of a crime of a felony; (ix) material violation of any Company policy; (x) material violation of the Sponsor’s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ectPr>
          <w:pgSz w:w="11900" w:h="16838" w:orient="portrait"/>
          <w:cols w:equalWidth="0" w:num="1">
            <w:col w:w="11420"/>
          </w:cols>
          <w:pgMar w:left="240" w:top="122" w:right="239" w:bottom="1440" w:gutter="0" w:footer="0" w:header="0"/>
        </w:sectPr>
      </w:pPr>
    </w:p>
    <w:bookmarkStart w:id="173" w:name="page174"/>
    <w:bookmarkEnd w:id="173"/>
    <w:p>
      <w:pPr>
        <w:ind w:left="640" w:hanging="216"/>
        <w:spacing w:after="0"/>
        <w:tabs>
          <w:tab w:leader="none" w:pos="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one or more of the following events:</w:t>
      </w:r>
    </w:p>
    <w:p>
      <w:pPr>
        <w:spacing w:after="0" w:line="130" w:lineRule="exact"/>
        <w:rPr>
          <w:rFonts w:ascii="Arial" w:cs="Arial" w:eastAsia="Arial" w:hAnsi="Arial"/>
          <w:sz w:val="18"/>
          <w:szCs w:val="18"/>
          <w:color w:val="auto"/>
        </w:rPr>
      </w:pPr>
    </w:p>
    <w:p>
      <w:pPr>
        <w:ind w:left="860" w:hanging="446"/>
        <w:spacing w:after="0" w:line="297" w:lineRule="auto"/>
        <w:tabs>
          <w:tab w:leader="none" w:pos="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following February 22, 2016, any person or “group” (as defined in Section 13(d) of the Exchange Act) (each, a “Person”), other than an employee benefit plan or trust maintained by the Sponsor, becomes the “beneficial owner” (as defined in Rule 13d-3 under the Exchange Act), directly or indirectly, of securities of the Sponsor representing 30% or more of the combined voting power of the Sponsor’s outstanding securities entitled to vote generally in the election of directors, unless a majority of the directors of the Sponsor in office immediately preceding the date on which such Person acquires such beneficial ownership, by resolution negates the effectiveness of this provision in a particular circumstance);</w:t>
      </w:r>
    </w:p>
    <w:p>
      <w:pPr>
        <w:spacing w:after="0" w:line="63" w:lineRule="exact"/>
        <w:rPr>
          <w:rFonts w:ascii="Arial" w:cs="Arial" w:eastAsia="Arial" w:hAnsi="Arial"/>
          <w:sz w:val="16"/>
          <w:szCs w:val="16"/>
          <w:color w:val="auto"/>
        </w:rPr>
      </w:pPr>
    </w:p>
    <w:p>
      <w:pPr>
        <w:ind w:left="860" w:right="160" w:hanging="446"/>
        <w:spacing w:after="0" w:line="259"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92" w:lineRule="exact"/>
        <w:rPr>
          <w:rFonts w:ascii="Arial" w:cs="Arial" w:eastAsia="Arial" w:hAnsi="Arial"/>
          <w:sz w:val="18"/>
          <w:szCs w:val="18"/>
          <w:color w:val="auto"/>
        </w:rPr>
      </w:pPr>
    </w:p>
    <w:p>
      <w:pPr>
        <w:ind w:left="860" w:right="40" w:hanging="446"/>
        <w:spacing w:after="0" w:line="272" w:lineRule="auto"/>
        <w:tabs>
          <w:tab w:leader="none" w:pos="8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consummation of (x) a merger, consolidation, reorganization or similar corporate transaction involving the Sponsor or any of its subsidiaries with any other corporation or entity, which would result in combined voting power of the Sponsor’s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Sponsor or such surviving entity or parent outstanding immediately after such merger, consolidation, reorganization or other similar transaction, or (y) any sale, lease, exchange or other transfer to any Person of all or substantially all of the assets of the Sponsor, in one transaction or a series of related transactions; or</w:t>
      </w:r>
    </w:p>
    <w:p>
      <w:pPr>
        <w:spacing w:after="0" w:line="83" w:lineRule="exact"/>
        <w:rPr>
          <w:rFonts w:ascii="Arial" w:cs="Arial" w:eastAsia="Arial" w:hAnsi="Arial"/>
          <w:sz w:val="17"/>
          <w:szCs w:val="17"/>
          <w:color w:val="auto"/>
        </w:rPr>
      </w:pPr>
    </w:p>
    <w:p>
      <w:pPr>
        <w:ind w:left="860" w:hanging="446"/>
        <w:spacing w:after="0"/>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approval by the shareholders of the Sponsor of a liquidation or dissolution of the Sponsor.</w:t>
      </w:r>
    </w:p>
    <w:p>
      <w:pPr>
        <w:spacing w:after="0" w:line="225" w:lineRule="exact"/>
        <w:rPr>
          <w:rFonts w:ascii="Arial" w:cs="Arial" w:eastAsia="Arial" w:hAnsi="Arial"/>
          <w:sz w:val="18"/>
          <w:szCs w:val="18"/>
          <w:color w:val="auto"/>
        </w:rPr>
      </w:pPr>
    </w:p>
    <w:p>
      <w:pPr>
        <w:ind w:left="680" w:hanging="256"/>
        <w:spacing w:after="0"/>
        <w:tabs>
          <w:tab w:leader="none" w:pos="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40" w:right="520" w:firstLine="464"/>
        <w:spacing w:after="0" w:line="312" w:lineRule="auto"/>
        <w:tabs>
          <w:tab w:leader="none" w:pos="671"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Plan</w:t>
      </w:r>
      <w:r>
        <w:rPr>
          <w:rFonts w:ascii="Arial" w:cs="Arial" w:eastAsia="Arial" w:hAnsi="Arial"/>
          <w:sz w:val="16"/>
          <w:szCs w:val="16"/>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74" w:right="259" w:bottom="1440" w:gutter="0" w:footer="0" w:header="0"/>
        </w:sectPr>
      </w:pPr>
    </w:p>
    <w:bookmarkStart w:id="174" w:name="page175"/>
    <w:bookmarkEnd w:id="174"/>
    <w:p>
      <w:pPr>
        <w:ind w:left="226" w:hanging="216"/>
        <w:spacing w:after="0"/>
        <w:tabs>
          <w:tab w:leader="none" w:pos="226"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130" w:lineRule="exact"/>
        <w:rPr>
          <w:rFonts w:ascii="Arial" w:cs="Arial" w:eastAsia="Arial" w:hAnsi="Arial"/>
          <w:sz w:val="18"/>
          <w:szCs w:val="18"/>
          <w:color w:val="auto"/>
        </w:rPr>
      </w:pPr>
    </w:p>
    <w:p>
      <w:pPr>
        <w:ind w:left="446" w:right="380" w:hanging="446"/>
        <w:spacing w:after="0" w:line="277" w:lineRule="auto"/>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Board with respect to any Option granted to or held by a Non-Employee Director; and</w:t>
      </w:r>
    </w:p>
    <w:p>
      <w:pPr>
        <w:spacing w:after="0" w:line="75" w:lineRule="exact"/>
        <w:rPr>
          <w:rFonts w:ascii="Arial" w:cs="Arial" w:eastAsia="Arial" w:hAnsi="Arial"/>
          <w:sz w:val="18"/>
          <w:szCs w:val="18"/>
          <w:color w:val="auto"/>
        </w:rPr>
      </w:pPr>
    </w:p>
    <w:p>
      <w:pPr>
        <w:ind w:left="446" w:right="60" w:hanging="446"/>
        <w:spacing w:after="0" w:line="277" w:lineRule="auto"/>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70" w:lineRule="exact"/>
        <w:rPr>
          <w:rFonts w:ascii="Arial" w:cs="Arial" w:eastAsia="Arial" w:hAnsi="Arial"/>
          <w:sz w:val="18"/>
          <w:szCs w:val="18"/>
          <w:color w:val="auto"/>
        </w:rPr>
      </w:pPr>
    </w:p>
    <w:p>
      <w:pPr>
        <w:ind w:left="226" w:hanging="216"/>
        <w:spacing w:after="0"/>
        <w:tabs>
          <w:tab w:leader="none" w:pos="2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225" w:lineRule="exact"/>
        <w:rPr>
          <w:rFonts w:ascii="Arial" w:cs="Arial" w:eastAsia="Arial" w:hAnsi="Arial"/>
          <w:sz w:val="18"/>
          <w:szCs w:val="18"/>
          <w:color w:val="auto"/>
        </w:rPr>
      </w:pPr>
    </w:p>
    <w:p>
      <w:pPr>
        <w:ind w:left="266" w:hanging="256"/>
        <w:spacing w:after="0"/>
        <w:tabs>
          <w:tab w:leader="none" w:pos="2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225" w:lineRule="exact"/>
        <w:rPr>
          <w:rFonts w:ascii="Arial" w:cs="Arial" w:eastAsia="Arial" w:hAnsi="Arial"/>
          <w:sz w:val="18"/>
          <w:szCs w:val="18"/>
          <w:color w:val="auto"/>
        </w:rPr>
      </w:pPr>
    </w:p>
    <w:p>
      <w:pPr>
        <w:ind w:left="226" w:hanging="216"/>
        <w:spacing w:after="0"/>
        <w:tabs>
          <w:tab w:leader="none" w:pos="2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225" w:lineRule="exact"/>
        <w:rPr>
          <w:rFonts w:ascii="Arial" w:cs="Arial" w:eastAsia="Arial" w:hAnsi="Arial"/>
          <w:sz w:val="18"/>
          <w:szCs w:val="18"/>
          <w:color w:val="auto"/>
        </w:rPr>
      </w:pPr>
    </w:p>
    <w:p>
      <w:pPr>
        <w:ind w:left="-454" w:right="320" w:firstLine="464"/>
        <w:spacing w:after="0" w:line="277" w:lineRule="auto"/>
        <w:tabs>
          <w:tab w:leader="none" w:pos="308"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70" w:lineRule="exact"/>
        <w:rPr>
          <w:rFonts w:ascii="Arial" w:cs="Arial" w:eastAsia="Arial" w:hAnsi="Arial"/>
          <w:sz w:val="18"/>
          <w:szCs w:val="18"/>
          <w:color w:val="auto"/>
        </w:rPr>
      </w:pPr>
    </w:p>
    <w:p>
      <w:pPr>
        <w:ind w:left="266" w:hanging="256"/>
        <w:spacing w:after="0"/>
        <w:tabs>
          <w:tab w:leader="none" w:pos="2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31" w:lineRule="exact"/>
        <w:rPr>
          <w:sz w:val="20"/>
          <w:szCs w:val="20"/>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any Incentive Stock Option, a disability within the meaning of section 22(e)(3) of the Code.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any Non-Qualified Option:</w:t>
      </w:r>
    </w:p>
    <w:p>
      <w:pPr>
        <w:spacing w:after="0" w:line="130" w:lineRule="exact"/>
        <w:rPr>
          <w:rFonts w:ascii="Arial" w:cs="Arial" w:eastAsia="Arial" w:hAnsi="Arial"/>
          <w:sz w:val="18"/>
          <w:szCs w:val="18"/>
          <w:color w:val="auto"/>
        </w:rPr>
      </w:pPr>
    </w:p>
    <w:p>
      <w:pPr>
        <w:ind w:left="1026" w:hanging="567"/>
        <w:spacing w:after="0" w:line="264" w:lineRule="auto"/>
        <w:tabs>
          <w:tab w:leader="none" w:pos="102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 Optionee’s substantially inability to perform the Optionee’s employment duties due to partial or total disability or incapacity resulting from a mental or physical illness, injury or other health-related cause for a period of twelve (12) consecutive months or for a cumulative period of fifty-two (52) weeks in any two calendar year period; or</w:t>
      </w:r>
    </w:p>
    <w:p>
      <w:pPr>
        <w:spacing w:after="0" w:line="86" w:lineRule="exact"/>
        <w:rPr>
          <w:rFonts w:ascii="Arial" w:cs="Arial" w:eastAsia="Arial" w:hAnsi="Arial"/>
          <w:sz w:val="18"/>
          <w:szCs w:val="18"/>
          <w:color w:val="auto"/>
        </w:rPr>
      </w:pPr>
    </w:p>
    <w:p>
      <w:pPr>
        <w:ind w:left="1026" w:right="720" w:hanging="567"/>
        <w:spacing w:after="0" w:line="277" w:lineRule="auto"/>
        <w:tabs>
          <w:tab w:leader="none" w:pos="1026"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different from the definition in Paragraph 2(n)(i)(A) above, “Disability” as it may be defined in such Optionee’s employment agreement between the Optionee and the Sponsor or an Affiliate, if any.</w:t>
      </w:r>
    </w:p>
    <w:p>
      <w:pPr>
        <w:spacing w:after="0" w:line="170" w:lineRule="exact"/>
        <w:rPr>
          <w:sz w:val="20"/>
          <w:szCs w:val="20"/>
          <w:color w:val="auto"/>
        </w:rPr>
      </w:pPr>
    </w:p>
    <w:p>
      <w:pPr>
        <w:ind w:left="266" w:hanging="256"/>
        <w:spacing w:after="0"/>
        <w:tabs>
          <w:tab w:leader="none" w:pos="266"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If Shares are listed on a stock exchange, Fair Market Value shall be determined based on the last reported sale price of a</w:t>
      </w:r>
    </w:p>
    <w:p>
      <w:pPr>
        <w:spacing w:after="0" w:line="169" w:lineRule="exact"/>
        <w:rPr>
          <w:rFonts w:ascii="Arial" w:cs="Arial" w:eastAsia="Arial" w:hAnsi="Arial"/>
          <w:sz w:val="17"/>
          <w:szCs w:val="17"/>
          <w:color w:val="auto"/>
        </w:rPr>
      </w:pPr>
    </w:p>
    <w:p>
      <w:pPr>
        <w:ind w:left="5146"/>
        <w:spacing w:after="0"/>
        <w:rPr>
          <w:rFonts w:ascii="Arial" w:cs="Arial" w:eastAsia="Arial" w:hAnsi="Arial"/>
          <w:sz w:val="17"/>
          <w:szCs w:val="17"/>
          <w:color w:val="auto"/>
        </w:rPr>
      </w:pPr>
      <w:r>
        <w:rPr>
          <w:rFonts w:ascii="Arial" w:cs="Arial" w:eastAsia="Arial" w:hAnsi="Arial"/>
          <w:sz w:val="18"/>
          <w:szCs w:val="18"/>
          <w:color w:val="auto"/>
        </w:rPr>
        <w:t>-3-</w:t>
      </w:r>
    </w:p>
    <w:p>
      <w:pPr>
        <w:sectPr>
          <w:pgSz w:w="11900" w:h="16838" w:orient="portrait"/>
          <w:cols w:equalWidth="0" w:num="1">
            <w:col w:w="10906"/>
          </w:cols>
          <w:pgMar w:left="694" w:top="274" w:right="299" w:bottom="1440" w:gutter="0" w:footer="0" w:header="0"/>
        </w:sectPr>
      </w:pPr>
    </w:p>
    <w:bookmarkStart w:id="175" w:name="page176"/>
    <w:bookmarkEnd w:id="175"/>
    <w:p>
      <w:pPr>
        <w:ind w:left="8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94" w:lineRule="exact"/>
        <w:rPr>
          <w:sz w:val="20"/>
          <w:szCs w:val="20"/>
          <w:color w:val="auto"/>
        </w:rPr>
      </w:pPr>
    </w:p>
    <w:p>
      <w:pPr>
        <w:ind w:left="840" w:right="140" w:hanging="446"/>
        <w:spacing w:after="0" w:line="257"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Option Exercise and Tax Withholding</w:t>
      </w:r>
      <w:r>
        <w:rPr>
          <w:rFonts w:ascii="Arial" w:cs="Arial" w:eastAsia="Arial" w:hAnsi="Arial"/>
          <w:sz w:val="18"/>
          <w:szCs w:val="18"/>
          <w:color w:val="auto"/>
        </w:rPr>
        <w:t>. For purposes of Paragraph 7(d) and Paragraph 15 (except to the extent that the Optionee pays the full option price and all applicable withholding taxes in cash, by certified check or surrender or attestation to ownership of Shares, as described in Paragraph 7(d)(i), (ii) and (iii),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188" w:lineRule="exact"/>
        <w:rPr>
          <w:rFonts w:ascii="Arial" w:cs="Arial" w:eastAsia="Arial" w:hAnsi="Arial"/>
          <w:sz w:val="18"/>
          <w:szCs w:val="18"/>
          <w:color w:val="auto"/>
        </w:rPr>
      </w:pPr>
    </w:p>
    <w:p>
      <w:pPr>
        <w:ind w:left="-60" w:right="40" w:firstLine="464"/>
        <w:spacing w:after="0" w:line="277" w:lineRule="auto"/>
        <w:tabs>
          <w:tab w:leader="none" w:pos="65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70" w:lineRule="exact"/>
        <w:rPr>
          <w:rFonts w:ascii="Arial" w:cs="Arial" w:eastAsia="Arial" w:hAnsi="Arial"/>
          <w:sz w:val="18"/>
          <w:szCs w:val="18"/>
          <w:color w:val="auto"/>
        </w:rPr>
      </w:pPr>
    </w:p>
    <w:p>
      <w:pPr>
        <w:ind w:left="-60" w:right="160" w:firstLine="464"/>
        <w:spacing w:after="0" w:line="302" w:lineRule="auto"/>
        <w:tabs>
          <w:tab w:leader="none" w:pos="651"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54" w:lineRule="exact"/>
        <w:rPr>
          <w:rFonts w:ascii="Arial" w:cs="Arial" w:eastAsia="Arial" w:hAnsi="Arial"/>
          <w:sz w:val="16"/>
          <w:szCs w:val="16"/>
          <w:color w:val="auto"/>
        </w:rPr>
      </w:pPr>
    </w:p>
    <w:p>
      <w:pPr>
        <w:ind w:left="-60" w:right="140" w:firstLine="464"/>
        <w:spacing w:after="0" w:line="277" w:lineRule="auto"/>
        <w:tabs>
          <w:tab w:leader="none" w:pos="621"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170" w:lineRule="exact"/>
        <w:rPr>
          <w:rFonts w:ascii="Arial" w:cs="Arial" w:eastAsia="Arial" w:hAnsi="Arial"/>
          <w:sz w:val="18"/>
          <w:szCs w:val="18"/>
          <w:color w:val="auto"/>
        </w:rPr>
      </w:pPr>
    </w:p>
    <w:p>
      <w:pPr>
        <w:ind w:left="640" w:hanging="236"/>
        <w:spacing w:after="0"/>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131" w:lineRule="exact"/>
        <w:rPr>
          <w:sz w:val="20"/>
          <w:szCs w:val="20"/>
          <w:color w:val="auto"/>
        </w:rPr>
      </w:pPr>
    </w:p>
    <w:p>
      <w:pPr>
        <w:ind w:left="840" w:right="320" w:hanging="446"/>
        <w:spacing w:after="0" w:line="277"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74" w:right="299" w:bottom="1440" w:gutter="0" w:footer="0" w:header="0"/>
        </w:sectPr>
      </w:pPr>
    </w:p>
    <w:bookmarkStart w:id="176" w:name="page177"/>
    <w:bookmarkEnd w:id="176"/>
    <w:p>
      <w:pPr>
        <w:ind w:left="860" w:right="200" w:hanging="446"/>
        <w:spacing w:after="0" w:line="277"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70" w:lineRule="exact"/>
        <w:rPr>
          <w:sz w:val="20"/>
          <w:szCs w:val="20"/>
          <w:color w:val="auto"/>
        </w:rPr>
      </w:pPr>
    </w:p>
    <w:p>
      <w:pPr>
        <w:ind w:left="640" w:hanging="216"/>
        <w:spacing w:after="0"/>
        <w:tabs>
          <w:tab w:leader="none" w:pos="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225" w:lineRule="exact"/>
        <w:rPr>
          <w:rFonts w:ascii="Arial" w:cs="Arial" w:eastAsia="Arial" w:hAnsi="Arial"/>
          <w:sz w:val="18"/>
          <w:szCs w:val="18"/>
          <w:color w:val="auto"/>
        </w:rPr>
      </w:pPr>
    </w:p>
    <w:p>
      <w:pPr>
        <w:ind w:left="680" w:hanging="256"/>
        <w:spacing w:after="0"/>
        <w:tabs>
          <w:tab w:leader="none" w:pos="6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225" w:lineRule="exact"/>
        <w:rPr>
          <w:rFonts w:ascii="Arial" w:cs="Arial" w:eastAsia="Arial" w:hAnsi="Arial"/>
          <w:sz w:val="18"/>
          <w:szCs w:val="18"/>
          <w:color w:val="auto"/>
        </w:rPr>
      </w:pPr>
    </w:p>
    <w:p>
      <w:pPr>
        <w:ind w:left="-40" w:right="40" w:firstLine="464"/>
        <w:spacing w:after="0" w:line="277" w:lineRule="auto"/>
        <w:tabs>
          <w:tab w:leader="none" w:pos="671"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an Option has been granted under the Plan, which Option has not been exercised in full and has not expired or terminated.</w:t>
      </w:r>
    </w:p>
    <w:p>
      <w:pPr>
        <w:spacing w:after="0" w:line="170" w:lineRule="exact"/>
        <w:rPr>
          <w:rFonts w:ascii="Arial" w:cs="Arial" w:eastAsia="Arial" w:hAnsi="Arial"/>
          <w:sz w:val="18"/>
          <w:szCs w:val="18"/>
          <w:color w:val="auto"/>
        </w:rPr>
      </w:pPr>
    </w:p>
    <w:p>
      <w:pPr>
        <w:ind w:left="720" w:hanging="296"/>
        <w:spacing w:after="0"/>
        <w:tabs>
          <w:tab w:leader="none" w:pos="7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130" w:lineRule="exact"/>
        <w:rPr>
          <w:rFonts w:ascii="Arial" w:cs="Arial" w:eastAsia="Arial" w:hAnsi="Arial"/>
          <w:sz w:val="18"/>
          <w:szCs w:val="18"/>
          <w:color w:val="auto"/>
        </w:rPr>
      </w:pPr>
    </w:p>
    <w:p>
      <w:pPr>
        <w:ind w:left="860" w:right="620" w:hanging="446"/>
        <w:spacing w:after="0" w:line="264"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86" w:lineRule="exact"/>
        <w:rPr>
          <w:rFonts w:ascii="Arial" w:cs="Arial" w:eastAsia="Arial" w:hAnsi="Arial"/>
          <w:sz w:val="18"/>
          <w:szCs w:val="18"/>
          <w:color w:val="auto"/>
        </w:rPr>
      </w:pPr>
    </w:p>
    <w:p>
      <w:pPr>
        <w:ind w:left="860" w:hanging="446"/>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130" w:lineRule="exact"/>
        <w:rPr>
          <w:rFonts w:ascii="Arial" w:cs="Arial" w:eastAsia="Arial" w:hAnsi="Arial"/>
          <w:sz w:val="18"/>
          <w:szCs w:val="18"/>
          <w:color w:val="auto"/>
        </w:rPr>
      </w:pPr>
    </w:p>
    <w:p>
      <w:pPr>
        <w:ind w:left="1440" w:right="80" w:hanging="567"/>
        <w:spacing w:after="0" w:line="277" w:lineRule="auto"/>
        <w:tabs>
          <w:tab w:leader="none" w:pos="14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other than the Shares described in Paragraph 2(w) (i); over</w:t>
      </w:r>
    </w:p>
    <w:p>
      <w:pPr>
        <w:spacing w:after="0" w:line="75" w:lineRule="exact"/>
        <w:rPr>
          <w:rFonts w:ascii="Arial" w:cs="Arial" w:eastAsia="Arial" w:hAnsi="Arial"/>
          <w:sz w:val="18"/>
          <w:szCs w:val="18"/>
          <w:color w:val="auto"/>
        </w:rPr>
      </w:pPr>
    </w:p>
    <w:p>
      <w:pPr>
        <w:ind w:left="1440" w:hanging="567"/>
        <w:spacing w:after="0"/>
        <w:tabs>
          <w:tab w:leader="none" w:pos="14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1560" w:hanging="259"/>
        <w:spacing w:after="0"/>
        <w:tabs>
          <w:tab w:leader="none" w:pos="1560" w:val="left"/>
        </w:tabs>
        <w:numPr>
          <w:ilvl w:val="3"/>
          <w:numId w:val="70"/>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for less than six months; plus</w:t>
      </w:r>
    </w:p>
    <w:p>
      <w:pPr>
        <w:spacing w:after="0" w:line="117" w:lineRule="exact"/>
        <w:rPr>
          <w:rFonts w:ascii="Arial" w:cs="Arial" w:eastAsia="Arial" w:hAnsi="Arial"/>
          <w:sz w:val="18"/>
          <w:szCs w:val="18"/>
          <w:color w:val="auto"/>
        </w:rPr>
      </w:pPr>
    </w:p>
    <w:p>
      <w:pPr>
        <w:jc w:val="both"/>
        <w:ind w:left="880" w:firstLine="421"/>
        <w:spacing w:after="0" w:line="342" w:lineRule="auto"/>
        <w:tabs>
          <w:tab w:leader="none" w:pos="1555" w:val="left"/>
        </w:tabs>
        <w:numPr>
          <w:ilvl w:val="3"/>
          <w:numId w:val="70"/>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15" w:lineRule="exact"/>
        <w:rPr>
          <w:rFonts w:ascii="Arial" w:cs="Arial" w:eastAsia="Arial" w:hAnsi="Arial"/>
          <w:sz w:val="16"/>
          <w:szCs w:val="16"/>
          <w:color w:val="auto"/>
        </w:rPr>
      </w:pPr>
    </w:p>
    <w:p>
      <w:pPr>
        <w:jc w:val="both"/>
        <w:ind w:left="880" w:right="20" w:firstLine="421"/>
        <w:spacing w:after="0" w:line="259" w:lineRule="auto"/>
        <w:tabs>
          <w:tab w:leader="none" w:pos="1555" w:val="left"/>
        </w:tabs>
        <w:numPr>
          <w:ilvl w:val="3"/>
          <w:numId w:val="70"/>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74" w:right="279" w:bottom="1440" w:gutter="0" w:footer="0" w:header="0"/>
        </w:sectPr>
      </w:pPr>
    </w:p>
    <w:bookmarkStart w:id="177" w:name="page178"/>
    <w:bookmarkEnd w:id="177"/>
    <w:p>
      <w:pPr>
        <w:ind w:left="920" w:right="40" w:firstLine="421"/>
        <w:spacing w:after="0" w:line="286" w:lineRule="auto"/>
        <w:tabs>
          <w:tab w:leader="none" w:pos="1595" w:val="left"/>
        </w:tabs>
        <w:numPr>
          <w:ilvl w:val="0"/>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purposes of this Paragraph 2(w),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an Optionee or such Optionee’s Family Member immediately before the consummation of the AT&amp;T Broadband Transaction that have converted into Common Stock.</w:t>
      </w:r>
    </w:p>
    <w:p>
      <w:pPr>
        <w:spacing w:after="0" w:line="187" w:lineRule="exact"/>
        <w:rPr>
          <w:sz w:val="20"/>
          <w:szCs w:val="20"/>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2003 Stock Option Plan.</w:t>
      </w:r>
    </w:p>
    <w:p>
      <w:pPr>
        <w:spacing w:after="0" w:line="225" w:lineRule="exact"/>
        <w:rPr>
          <w:sz w:val="20"/>
          <w:szCs w:val="20"/>
          <w:color w:val="auto"/>
        </w:rPr>
      </w:pPr>
    </w:p>
    <w:p>
      <w:pPr>
        <w:ind w:left="780" w:hanging="316"/>
        <w:spacing w:after="0"/>
        <w:tabs>
          <w:tab w:leader="none" w:pos="780" w:val="left"/>
        </w:tabs>
        <w:numPr>
          <w:ilvl w:val="1"/>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or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as provided in this Paragraph 2(aa), a share or shares of Common Stock.</w:t>
      </w:r>
    </w:p>
    <w:p>
      <w:pPr>
        <w:spacing w:after="0" w:line="130" w:lineRule="exact"/>
        <w:rPr>
          <w:rFonts w:ascii="Arial" w:cs="Arial" w:eastAsia="Arial" w:hAnsi="Arial"/>
          <w:sz w:val="18"/>
          <w:szCs w:val="18"/>
          <w:color w:val="auto"/>
        </w:rPr>
      </w:pPr>
    </w:p>
    <w:p>
      <w:pPr>
        <w:jc w:val="both"/>
        <w:ind w:left="900" w:hanging="446"/>
        <w:spacing w:after="0" w:line="28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term “Share” or “Shares” also means such other securities issued by the Sponsor as may be the subject of an adjustment under Paragraph 10, or for purposes of Paragraph 2(w) and Paragraph 15, as may have been the subject of a similar adjustment under similar provisions of a Comcast Plan as now in effect or as may have been in effect before the AT&amp;T Broadband Transaction.</w:t>
      </w:r>
    </w:p>
    <w:p>
      <w:pPr>
        <w:spacing w:after="0" w:line="165" w:lineRule="exact"/>
        <w:rPr>
          <w:rFonts w:ascii="Arial" w:cs="Arial" w:eastAsia="Arial" w:hAnsi="Arial"/>
          <w:sz w:val="17"/>
          <w:szCs w:val="17"/>
          <w:color w:val="auto"/>
        </w:rPr>
      </w:pPr>
    </w:p>
    <w:p>
      <w:pPr>
        <w:ind w:left="800" w:hanging="336"/>
        <w:spacing w:after="0"/>
        <w:tabs>
          <w:tab w:leader="none" w:pos="8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64"/>
        <w:spacing w:after="0" w:line="277" w:lineRule="auto"/>
        <w:tabs>
          <w:tab w:leader="none" w:pos="781"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70" w:lineRule="exact"/>
        <w:rPr>
          <w:rFonts w:ascii="Arial" w:cs="Arial" w:eastAsia="Arial" w:hAnsi="Arial"/>
          <w:sz w:val="18"/>
          <w:szCs w:val="18"/>
          <w:color w:val="auto"/>
        </w:rPr>
      </w:pPr>
    </w:p>
    <w:p>
      <w:pPr>
        <w:ind w:right="320" w:firstLine="464"/>
        <w:spacing w:after="0" w:line="277" w:lineRule="auto"/>
        <w:tabs>
          <w:tab w:leader="none" w:pos="801"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78" w:name="page179"/>
    <w:bookmarkEnd w:id="178"/>
    <w:p>
      <w:pPr>
        <w:ind w:left="-8" w:right="40" w:firstLine="464"/>
        <w:spacing w:after="0" w:line="312" w:lineRule="auto"/>
        <w:tabs>
          <w:tab w:leader="none" w:pos="773" w:val="left"/>
        </w:tabs>
        <w:numPr>
          <w:ilvl w:val="2"/>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46" w:lineRule="exact"/>
        <w:rPr>
          <w:rFonts w:ascii="Arial" w:cs="Arial" w:eastAsia="Arial" w:hAnsi="Arial"/>
          <w:sz w:val="16"/>
          <w:szCs w:val="16"/>
          <w:color w:val="auto"/>
        </w:rPr>
      </w:pPr>
    </w:p>
    <w:p>
      <w:pPr>
        <w:ind w:left="732" w:hanging="276"/>
        <w:spacing w:after="0"/>
        <w:tabs>
          <w:tab w:leader="none" w:pos="732" w:val="left"/>
        </w:tabs>
        <w:numPr>
          <w:ilvl w:val="2"/>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 Change in Control.</w:t>
      </w:r>
    </w:p>
    <w:p>
      <w:pPr>
        <w:spacing w:after="0" w:line="225" w:lineRule="exact"/>
        <w:rPr>
          <w:rFonts w:ascii="Arial" w:cs="Arial" w:eastAsia="Arial" w:hAnsi="Arial"/>
          <w:sz w:val="18"/>
          <w:szCs w:val="18"/>
          <w:color w:val="auto"/>
        </w:rPr>
      </w:pPr>
    </w:p>
    <w:p>
      <w:pPr>
        <w:ind w:left="-8" w:right="460" w:firstLine="464"/>
        <w:spacing w:after="0" w:line="277" w:lineRule="auto"/>
        <w:tabs>
          <w:tab w:leader="none" w:pos="793" w:val="left"/>
        </w:tabs>
        <w:numPr>
          <w:ilvl w:val="2"/>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70" w:lineRule="exact"/>
        <w:rPr>
          <w:rFonts w:ascii="Arial" w:cs="Arial" w:eastAsia="Arial" w:hAnsi="Arial"/>
          <w:sz w:val="18"/>
          <w:szCs w:val="18"/>
          <w:color w:val="auto"/>
        </w:rPr>
      </w:pPr>
    </w:p>
    <w:p>
      <w:pPr>
        <w:ind w:left="792" w:hanging="336"/>
        <w:spacing w:after="0"/>
        <w:tabs>
          <w:tab w:leader="none" w:pos="792" w:val="left"/>
        </w:tabs>
        <w:numPr>
          <w:ilvl w:val="2"/>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2"/>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121" w:lineRule="exact"/>
        <w:rPr>
          <w:rFonts w:ascii="Arial" w:cs="Arial" w:eastAsia="Arial" w:hAnsi="Arial"/>
          <w:sz w:val="18"/>
          <w:szCs w:val="18"/>
          <w:b w:val="1"/>
          <w:bCs w:val="1"/>
          <w:color w:val="auto"/>
        </w:rPr>
      </w:pPr>
    </w:p>
    <w:p>
      <w:pPr>
        <w:ind w:left="692" w:hanging="236"/>
        <w:spacing w:after="0"/>
        <w:tabs>
          <w:tab w:leader="none" w:pos="692" w:val="left"/>
        </w:tabs>
        <w:numPr>
          <w:ilvl w:val="2"/>
          <w:numId w:val="76"/>
        </w:numPr>
        <w:rPr>
          <w:rFonts w:ascii="Arial" w:cs="Arial" w:eastAsia="Arial" w:hAnsi="Arial"/>
          <w:sz w:val="18"/>
          <w:szCs w:val="18"/>
          <w:color w:val="auto"/>
        </w:rPr>
      </w:pPr>
      <w:r>
        <w:rPr>
          <w:rFonts w:ascii="Arial" w:cs="Arial" w:eastAsia="Arial" w:hAnsi="Arial"/>
          <w:sz w:val="18"/>
          <w:szCs w:val="18"/>
          <w:u w:val="single" w:color="auto"/>
          <w:color w:val="auto"/>
        </w:rPr>
        <w:t>Types of Options and Other Rights Available for Grant</w:t>
      </w:r>
      <w:r>
        <w:rPr>
          <w:rFonts w:ascii="Arial" w:cs="Arial" w:eastAsia="Arial" w:hAnsi="Arial"/>
          <w:sz w:val="18"/>
          <w:szCs w:val="18"/>
          <w:color w:val="auto"/>
        </w:rPr>
        <w:t>. Rights that may be granted under the Plan are:</w:t>
      </w:r>
    </w:p>
    <w:p>
      <w:pPr>
        <w:spacing w:after="0" w:line="130" w:lineRule="exact"/>
        <w:rPr>
          <w:rFonts w:ascii="Arial" w:cs="Arial" w:eastAsia="Arial" w:hAnsi="Arial"/>
          <w:sz w:val="18"/>
          <w:szCs w:val="18"/>
          <w:color w:val="auto"/>
        </w:rPr>
      </w:pPr>
    </w:p>
    <w:p>
      <w:pPr>
        <w:ind w:left="892" w:right="120" w:hanging="446"/>
        <w:spacing w:after="0" w:line="277" w:lineRule="auto"/>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75"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Non-Qualified Options, which give the Optionee the right for a specified time period to purchase a specified number of Shares for a price not less than the Fair Market Value on the Date of Grant; and</w:t>
      </w:r>
    </w:p>
    <w:p>
      <w:pPr>
        <w:spacing w:after="0" w:line="75" w:lineRule="exact"/>
        <w:rPr>
          <w:rFonts w:ascii="Arial" w:cs="Arial" w:eastAsia="Arial" w:hAnsi="Arial"/>
          <w:sz w:val="18"/>
          <w:szCs w:val="18"/>
          <w:color w:val="auto"/>
        </w:rPr>
      </w:pPr>
    </w:p>
    <w:p>
      <w:pPr>
        <w:ind w:left="892" w:right="100" w:hanging="446"/>
        <w:spacing w:after="0" w:line="302" w:lineRule="auto"/>
        <w:tabs>
          <w:tab w:leader="none" w:pos="892" w:val="left"/>
        </w:tabs>
        <w:numPr>
          <w:ilvl w:val="1"/>
          <w:numId w:val="76"/>
        </w:numPr>
        <w:rPr>
          <w:rFonts w:ascii="Arial" w:cs="Arial" w:eastAsia="Arial" w:hAnsi="Arial"/>
          <w:sz w:val="16"/>
          <w:szCs w:val="16"/>
          <w:color w:val="auto"/>
        </w:rPr>
      </w:pPr>
      <w:r>
        <w:rPr>
          <w:rFonts w:ascii="Arial" w:cs="Arial" w:eastAsia="Arial" w:hAnsi="Arial"/>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spacing w:after="0" w:line="154" w:lineRule="exact"/>
        <w:rPr>
          <w:rFonts w:ascii="Arial" w:cs="Arial" w:eastAsia="Arial" w:hAnsi="Arial"/>
          <w:sz w:val="16"/>
          <w:szCs w:val="16"/>
          <w:color w:val="auto"/>
        </w:rPr>
      </w:pPr>
    </w:p>
    <w:p>
      <w:pPr>
        <w:ind w:left="-8" w:right="540" w:firstLine="464"/>
        <w:spacing w:after="0" w:line="277" w:lineRule="auto"/>
        <w:tabs>
          <w:tab w:leader="none" w:pos="703" w:val="left"/>
        </w:tabs>
        <w:numPr>
          <w:ilvl w:val="2"/>
          <w:numId w:val="77"/>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15,000,000 Shares.</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179" w:name="page180"/>
    <w:bookmarkEnd w:id="179"/>
    <w:p>
      <w:pPr>
        <w:ind w:left="-8" w:right="360" w:firstLine="464"/>
        <w:spacing w:after="0" w:line="277" w:lineRule="auto"/>
        <w:tabs>
          <w:tab w:leader="none" w:pos="693" w:val="left"/>
        </w:tabs>
        <w:numPr>
          <w:ilvl w:val="2"/>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 on Term of Options</w:t>
      </w:r>
      <w:r>
        <w:rPr>
          <w:rFonts w:ascii="Arial" w:cs="Arial" w:eastAsia="Arial" w:hAnsi="Arial"/>
          <w:sz w:val="18"/>
          <w:szCs w:val="18"/>
          <w:color w:val="auto"/>
        </w:rPr>
        <w:t>. In no event shall (i) an Incentive Stock Option be exercisable after five years from the Date of Grant in the case of a grant to a Ten Percent Shareholder and (ii) any other Option be exercisable after ten years from the Date of Grant.</w:t>
      </w:r>
    </w:p>
    <w:p>
      <w:pPr>
        <w:spacing w:after="0" w:line="315" w:lineRule="exact"/>
        <w:rPr>
          <w:rFonts w:ascii="Arial" w:cs="Arial" w:eastAsia="Arial" w:hAnsi="Arial"/>
          <w:sz w:val="18"/>
          <w:szCs w:val="18"/>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121" w:lineRule="exact"/>
        <w:rPr>
          <w:rFonts w:ascii="Arial" w:cs="Arial" w:eastAsia="Arial" w:hAnsi="Arial"/>
          <w:sz w:val="18"/>
          <w:szCs w:val="18"/>
          <w:b w:val="1"/>
          <w:bCs w:val="1"/>
          <w:color w:val="auto"/>
        </w:rPr>
      </w:pPr>
    </w:p>
    <w:p>
      <w:pPr>
        <w:ind w:left="-8" w:right="120" w:firstLine="464"/>
        <w:spacing w:after="0" w:line="264" w:lineRule="auto"/>
        <w:tabs>
          <w:tab w:leader="none" w:pos="693"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Shares Available For Grant</w:t>
      </w:r>
      <w:r>
        <w:rPr>
          <w:rFonts w:ascii="Arial" w:cs="Arial" w:eastAsia="Arial" w:hAnsi="Arial"/>
          <w:sz w:val="18"/>
          <w:szCs w:val="18"/>
          <w:color w:val="auto"/>
        </w:rPr>
        <w:t>. Subject to adjustment as provided in Paragraph 10, not more than 344 million Shares in the aggregate may be issued pursuant to the Plan upon exercise of Options. Shares delivered pursuant to the exercise of an Option may, at the Sponsor’s option, be either treasury Shares or Shares originally issued for such purpose.</w:t>
      </w:r>
    </w:p>
    <w:p>
      <w:pPr>
        <w:spacing w:after="0" w:line="181" w:lineRule="exact"/>
        <w:rPr>
          <w:rFonts w:ascii="Arial" w:cs="Arial" w:eastAsia="Arial" w:hAnsi="Arial"/>
          <w:sz w:val="18"/>
          <w:szCs w:val="18"/>
          <w:color w:val="auto"/>
        </w:rPr>
      </w:pPr>
    </w:p>
    <w:p>
      <w:pPr>
        <w:ind w:left="-8" w:right="180" w:firstLine="464"/>
        <w:spacing w:after="0" w:line="342" w:lineRule="auto"/>
        <w:tabs>
          <w:tab w:leader="none" w:pos="703" w:val="left"/>
        </w:tabs>
        <w:numPr>
          <w:ilvl w:val="2"/>
          <w:numId w:val="79"/>
        </w:numPr>
        <w:rPr>
          <w:rFonts w:ascii="Arial" w:cs="Arial" w:eastAsia="Arial" w:hAnsi="Arial"/>
          <w:sz w:val="16"/>
          <w:szCs w:val="16"/>
          <w:color w:val="auto"/>
        </w:rPr>
      </w:pPr>
      <w:r>
        <w:rPr>
          <w:rFonts w:ascii="Arial" w:cs="Arial" w:eastAsia="Arial" w:hAnsi="Arial"/>
          <w:sz w:val="16"/>
          <w:szCs w:val="16"/>
          <w:u w:val="single" w:color="auto"/>
          <w:color w:val="auto"/>
        </w:rPr>
        <w:t>Shares Returned to the Reserve</w:t>
      </w:r>
      <w:r>
        <w:rPr>
          <w:rFonts w:ascii="Arial" w:cs="Arial" w:eastAsia="Arial" w:hAnsi="Arial"/>
          <w:sz w:val="16"/>
          <w:szCs w:val="16"/>
          <w:color w:val="auto"/>
        </w:rPr>
        <w:t>. For avoidance of doubt, if an Option covering Shares is forfeited, terminates or expires without having been exercised in full, the Shares underlying such forfeited, terminated or expired Option shall return to the pool of Shares available for issuance under the Plan.</w:t>
      </w:r>
    </w:p>
    <w:p>
      <w:pPr>
        <w:spacing w:after="0" w:line="123" w:lineRule="exact"/>
        <w:rPr>
          <w:rFonts w:ascii="Arial" w:cs="Arial" w:eastAsia="Arial" w:hAnsi="Arial"/>
          <w:sz w:val="16"/>
          <w:szCs w:val="16"/>
          <w:color w:val="auto"/>
        </w:rPr>
      </w:pPr>
    </w:p>
    <w:p>
      <w:pPr>
        <w:ind w:left="-8" w:right="200" w:firstLine="464"/>
        <w:spacing w:after="0" w:line="255" w:lineRule="auto"/>
        <w:tabs>
          <w:tab w:leader="none" w:pos="693"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Share Recycling Prohibitions</w:t>
      </w:r>
      <w:r>
        <w:rPr>
          <w:rFonts w:ascii="Arial" w:cs="Arial" w:eastAsia="Arial" w:hAnsi="Arial"/>
          <w:sz w:val="18"/>
          <w:szCs w:val="18"/>
          <w:color w:val="auto"/>
        </w:rPr>
        <w:t>. If (i) the Sponsor withholds Shares to satisfy an Optionee’s tax liabilities as provided in Paragraph 15(b) and Paragraph 15(c) or (ii) an Option covering Shares is exercised pursuant to the cashless exercise provisions of Paragraph 7(d)(iv), other Options may not be granted covering the Shares so withheld to satisfy the Optionee’s tax liabilities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337" w:lineRule="exact"/>
        <w:rPr>
          <w:rFonts w:ascii="Arial" w:cs="Arial" w:eastAsia="Arial" w:hAnsi="Arial"/>
          <w:sz w:val="18"/>
          <w:szCs w:val="18"/>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121" w:lineRule="exact"/>
        <w:rPr>
          <w:rFonts w:ascii="Arial" w:cs="Arial" w:eastAsia="Arial" w:hAnsi="Arial"/>
          <w:sz w:val="18"/>
          <w:szCs w:val="18"/>
          <w:b w:val="1"/>
          <w:bCs w:val="1"/>
          <w:color w:val="auto"/>
        </w:rPr>
      </w:pPr>
    </w:p>
    <w:p>
      <w:pPr>
        <w:ind w:left="-8" w:right="160" w:firstLine="464"/>
        <w:spacing w:after="0" w:line="308" w:lineRule="auto"/>
        <w:tabs>
          <w:tab w:leader="none" w:pos="693" w:val="left"/>
        </w:tabs>
        <w:numPr>
          <w:ilvl w:val="2"/>
          <w:numId w:val="79"/>
        </w:numPr>
        <w:rPr>
          <w:rFonts w:ascii="Arial" w:cs="Arial" w:eastAsia="Arial" w:hAnsi="Arial"/>
          <w:sz w:val="17"/>
          <w:szCs w:val="17"/>
          <w:color w:val="auto"/>
        </w:rPr>
      </w:pPr>
      <w:r>
        <w:rPr>
          <w:rFonts w:ascii="Arial" w:cs="Arial" w:eastAsia="Arial" w:hAnsi="Arial"/>
          <w:sz w:val="17"/>
          <w:szCs w:val="17"/>
          <w:u w:val="single" w:color="auto"/>
          <w:color w:val="auto"/>
        </w:rPr>
        <w:t>Committee</w:t>
      </w:r>
      <w:r>
        <w:rPr>
          <w:rFonts w:ascii="Arial" w:cs="Arial" w:eastAsia="Arial" w:hAnsi="Arial"/>
          <w:sz w:val="17"/>
          <w:szCs w:val="17"/>
          <w:color w:val="auto"/>
        </w:rPr>
        <w:t>. The Plan shall be administered by the Compensation Committee of the Board or any other committee or subcommittee designated by the Board, provided that the committee administering the Plan is composed of two or more non-employee members of the Board.</w:t>
      </w:r>
    </w:p>
    <w:p>
      <w:pPr>
        <w:spacing w:after="0" w:line="146" w:lineRule="exact"/>
        <w:rPr>
          <w:rFonts w:ascii="Arial" w:cs="Arial" w:eastAsia="Arial" w:hAnsi="Arial"/>
          <w:sz w:val="17"/>
          <w:szCs w:val="17"/>
          <w:color w:val="auto"/>
        </w:rPr>
      </w:pPr>
    </w:p>
    <w:p>
      <w:pPr>
        <w:ind w:left="-8" w:firstLine="464"/>
        <w:spacing w:after="0" w:line="312" w:lineRule="auto"/>
        <w:tabs>
          <w:tab w:leader="none" w:pos="703" w:val="left"/>
        </w:tabs>
        <w:numPr>
          <w:ilvl w:val="2"/>
          <w:numId w:val="79"/>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its authority with respect to the grant, amendment, interpretation and administration of Options to a person, persons or committee, in its sole and absolute discretion. Actions taken by the Committee’s duly-authorized delegate shall have the same force and effect as actions taken by the Committee. Any delegation of authority pursuant to this Paragraph 5(b) shall continue in effect until the earliest of:</w:t>
      </w:r>
    </w:p>
    <w:p>
      <w:pPr>
        <w:spacing w:after="0" w:line="52" w:lineRule="exact"/>
        <w:rPr>
          <w:rFonts w:ascii="Arial" w:cs="Arial" w:eastAsia="Arial" w:hAnsi="Arial"/>
          <w:sz w:val="16"/>
          <w:szCs w:val="16"/>
          <w:color w:val="auto"/>
        </w:rPr>
      </w:pPr>
    </w:p>
    <w:p>
      <w:pPr>
        <w:ind w:left="892" w:hanging="446"/>
        <w:spacing w:after="0"/>
        <w:tabs>
          <w:tab w:leader="none" w:pos="892"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52"/>
          </w:cols>
          <w:pgMar w:left="248" w:top="274" w:right="299" w:bottom="1440" w:gutter="0" w:footer="0" w:header="0"/>
        </w:sectPr>
      </w:pPr>
    </w:p>
    <w:bookmarkStart w:id="180" w:name="page181"/>
    <w:bookmarkEnd w:id="180"/>
    <w:p>
      <w:pPr>
        <w:ind w:left="900" w:right="40" w:hanging="446"/>
        <w:spacing w:after="0" w:line="277"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delegation to a person that is conditioned on such person’s continued service as an employee of the Company or as a member of the Board, the date such delegate shall cease to serve in such capacity for any reason;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225" w:lineRule="exact"/>
        <w:rPr>
          <w:rFonts w:ascii="Arial" w:cs="Arial" w:eastAsia="Arial" w:hAnsi="Arial"/>
          <w:sz w:val="18"/>
          <w:szCs w:val="18"/>
          <w:color w:val="auto"/>
        </w:rPr>
      </w:pPr>
    </w:p>
    <w:p>
      <w:pPr>
        <w:ind w:right="620" w:firstLine="464"/>
        <w:spacing w:after="0" w:line="342" w:lineRule="auto"/>
        <w:tabs>
          <w:tab w:leader="none" w:pos="701" w:val="left"/>
        </w:tabs>
        <w:numPr>
          <w:ilvl w:val="2"/>
          <w:numId w:val="80"/>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123" w:lineRule="exact"/>
        <w:rPr>
          <w:rFonts w:ascii="Arial" w:cs="Arial" w:eastAsia="Arial" w:hAnsi="Arial"/>
          <w:sz w:val="16"/>
          <w:szCs w:val="16"/>
          <w:color w:val="auto"/>
        </w:rPr>
      </w:pPr>
    </w:p>
    <w:p>
      <w:pPr>
        <w:ind w:firstLine="464"/>
        <w:spacing w:after="0" w:line="302" w:lineRule="auto"/>
        <w:tabs>
          <w:tab w:leader="none" w:pos="711" w:val="left"/>
        </w:tabs>
        <w:numPr>
          <w:ilvl w:val="2"/>
          <w:numId w:val="80"/>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154" w:lineRule="exact"/>
        <w:rPr>
          <w:rFonts w:ascii="Arial" w:cs="Arial" w:eastAsia="Arial" w:hAnsi="Arial"/>
          <w:sz w:val="16"/>
          <w:szCs w:val="16"/>
          <w:color w:val="auto"/>
        </w:rPr>
      </w:pPr>
    </w:p>
    <w:p>
      <w:pPr>
        <w:ind w:right="20" w:firstLine="464"/>
        <w:spacing w:after="0" w:line="257" w:lineRule="auto"/>
        <w:tabs>
          <w:tab w:leader="none" w:pos="701"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rFonts w:ascii="Arial" w:cs="Arial" w:eastAsia="Arial" w:hAnsi="Arial"/>
          <w:sz w:val="18"/>
          <w:szCs w:val="18"/>
          <w:b w:val="1"/>
          <w:bCs w:val="1"/>
          <w:color w:val="auto"/>
        </w:rPr>
      </w:pPr>
    </w:p>
    <w:p>
      <w:pPr>
        <w:ind w:right="20" w:firstLine="464"/>
        <w:spacing w:after="0" w:line="276" w:lineRule="auto"/>
        <w:tabs>
          <w:tab w:leader="none" w:pos="701" w:val="left"/>
        </w:tabs>
        <w:numPr>
          <w:ilvl w:val="2"/>
          <w:numId w:val="81"/>
        </w:numPr>
        <w:rPr>
          <w:rFonts w:ascii="Arial" w:cs="Arial" w:eastAsia="Arial" w:hAnsi="Arial"/>
          <w:sz w:val="17"/>
          <w:szCs w:val="17"/>
          <w:color w:val="auto"/>
        </w:rPr>
      </w:pPr>
      <w:r>
        <w:rPr>
          <w:rFonts w:ascii="Arial" w:cs="Arial" w:eastAsia="Arial" w:hAnsi="Arial"/>
          <w:sz w:val="17"/>
          <w:szCs w:val="17"/>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72" w:lineRule="exact"/>
        <w:rPr>
          <w:rFonts w:ascii="Arial" w:cs="Arial" w:eastAsia="Arial" w:hAnsi="Arial"/>
          <w:sz w:val="17"/>
          <w:szCs w:val="17"/>
          <w:color w:val="auto"/>
        </w:rPr>
      </w:pPr>
    </w:p>
    <w:p>
      <w:pPr>
        <w:ind w:right="460" w:firstLine="464"/>
        <w:spacing w:after="0" w:line="277" w:lineRule="auto"/>
        <w:tabs>
          <w:tab w:leader="none" w:pos="711"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81" w:name="page182"/>
    <w:bookmarkEnd w:id="181"/>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326"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12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57" w:lineRule="exact"/>
        <w:rPr>
          <w:sz w:val="20"/>
          <w:szCs w:val="20"/>
          <w:color w:val="auto"/>
        </w:rPr>
      </w:pPr>
    </w:p>
    <w:p>
      <w:pPr>
        <w:ind w:left="700" w:hanging="236"/>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May 19, 2026.</w:t>
      </w:r>
    </w:p>
    <w:p>
      <w:pPr>
        <w:spacing w:after="0" w:line="225" w:lineRule="exact"/>
        <w:rPr>
          <w:rFonts w:ascii="Arial" w:cs="Arial" w:eastAsia="Arial" w:hAnsi="Arial"/>
          <w:sz w:val="18"/>
          <w:szCs w:val="18"/>
          <w:color w:val="auto"/>
        </w:rPr>
      </w:pPr>
    </w:p>
    <w:p>
      <w:pPr>
        <w:ind w:firstLine="464"/>
        <w:spacing w:after="0" w:line="259"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Except as otherwise provided in Section 13(b), the option price per Share with respect to any Option shall be determined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with respect to any Options, the option price per share shall not be less than 100% of the Fair Market Value of such Share on the Date of Grant,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86" w:lineRule="exact"/>
        <w:rPr>
          <w:rFonts w:ascii="Arial" w:cs="Arial" w:eastAsia="Arial" w:hAnsi="Arial"/>
          <w:sz w:val="18"/>
          <w:szCs w:val="18"/>
          <w:color w:val="auto"/>
        </w:rPr>
      </w:pPr>
    </w:p>
    <w:p>
      <w:pPr>
        <w:ind w:right="40" w:firstLine="464"/>
        <w:spacing w:after="0" w:line="270" w:lineRule="auto"/>
        <w:tabs>
          <w:tab w:leader="none" w:pos="70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Restrictions on Transferability</w:t>
      </w:r>
      <w:r>
        <w:rPr>
          <w:rFonts w:ascii="Arial" w:cs="Arial" w:eastAsia="Arial" w:hAnsi="Arial"/>
          <w:sz w:val="17"/>
          <w:szCs w:val="17"/>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7"/>
          <w:szCs w:val="17"/>
          <w:u w:val="single" w:color="auto"/>
          <w:color w:val="auto"/>
        </w:rPr>
        <w:t>provided further that</w:t>
      </w:r>
      <w:r>
        <w:rPr>
          <w:rFonts w:ascii="Arial" w:cs="Arial" w:eastAsia="Arial" w:hAnsi="Arial"/>
          <w:sz w:val="17"/>
          <w:szCs w:val="17"/>
          <w:color w:val="auto"/>
        </w:rPr>
        <w:t xml:space="preserve"> (i) any such transfer is without consideration and (ii) each transferee is a Family Member with respect to the Optionee; and </w:t>
      </w:r>
      <w:r>
        <w:rPr>
          <w:rFonts w:ascii="Arial" w:cs="Arial" w:eastAsia="Arial" w:hAnsi="Arial"/>
          <w:sz w:val="17"/>
          <w:szCs w:val="17"/>
          <w:u w:val="single" w:color="auto"/>
          <w:color w:val="auto"/>
        </w:rPr>
        <w:t>provided further that</w:t>
      </w:r>
      <w:r>
        <w:rPr>
          <w:rFonts w:ascii="Arial" w:cs="Arial" w:eastAsia="Arial" w:hAnsi="Arial"/>
          <w:sz w:val="17"/>
          <w:szCs w:val="17"/>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82" w:name="page183"/>
    <w:bookmarkEnd w:id="182"/>
    <w:p>
      <w:pPr>
        <w:ind w:left="-40" w:right="20" w:firstLine="464"/>
        <w:spacing w:after="0" w:line="264" w:lineRule="auto"/>
        <w:tabs>
          <w:tab w:leader="none" w:pos="671"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Upon Exercise of Options</w:t>
      </w:r>
      <w:r>
        <w:rPr>
          <w:rFonts w:ascii="Arial" w:cs="Arial" w:eastAsia="Arial" w:hAnsi="Arial"/>
          <w:sz w:val="18"/>
          <w:szCs w:val="18"/>
          <w:color w:val="auto"/>
        </w:rPr>
        <w:t>. With respect to Options granted on and after February 28, 2007 (other than Options subject to the automatic exercise rules described in Paragraph 7(h)(ii)), full payment for Shares purchased upon the exercise of an Option shall be made pursuant to one or more of the following methods as determined by the Committee and set forth in the Option document:</w:t>
      </w:r>
    </w:p>
    <w:p>
      <w:pPr>
        <w:spacing w:after="0" w:line="86" w:lineRule="exact"/>
        <w:rPr>
          <w:rFonts w:ascii="Arial" w:cs="Arial" w:eastAsia="Arial" w:hAnsi="Arial"/>
          <w:sz w:val="18"/>
          <w:szCs w:val="18"/>
          <w:color w:val="auto"/>
        </w:rPr>
      </w:pPr>
    </w:p>
    <w:p>
      <w:pPr>
        <w:ind w:left="860" w:hanging="446"/>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cash;</w:t>
      </w:r>
    </w:p>
    <w:p>
      <w:pPr>
        <w:spacing w:after="0" w:line="130" w:lineRule="exact"/>
        <w:rPr>
          <w:rFonts w:ascii="Arial" w:cs="Arial" w:eastAsia="Arial" w:hAnsi="Arial"/>
          <w:sz w:val="18"/>
          <w:szCs w:val="18"/>
          <w:color w:val="auto"/>
        </w:rPr>
      </w:pPr>
    </w:p>
    <w:p>
      <w:pPr>
        <w:ind w:left="860" w:hanging="446"/>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130" w:lineRule="exact"/>
        <w:rPr>
          <w:rFonts w:ascii="Arial" w:cs="Arial" w:eastAsia="Arial" w:hAnsi="Arial"/>
          <w:sz w:val="18"/>
          <w:szCs w:val="18"/>
          <w:color w:val="auto"/>
        </w:rPr>
      </w:pPr>
    </w:p>
    <w:p>
      <w:pPr>
        <w:ind w:left="860" w:hanging="446"/>
        <w:spacing w:after="0" w:line="285" w:lineRule="auto"/>
        <w:tabs>
          <w:tab w:leader="none" w:pos="8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By surrendering or attesting to ownership of Shares with an aggregate Fair Market Value equal to the aggregate option price,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(or record the equivalent thereof on a book entry recordkeeping system maintained by the Sponsor)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any necessary stock powers duly endorsed in blank by the record holder of such Shares;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83" w:lineRule="exact"/>
        <w:rPr>
          <w:rFonts w:ascii="Arial" w:cs="Arial" w:eastAsia="Arial" w:hAnsi="Arial"/>
          <w:sz w:val="16"/>
          <w:szCs w:val="16"/>
          <w:color w:val="auto"/>
        </w:rPr>
      </w:pPr>
    </w:p>
    <w:p>
      <w:pPr>
        <w:ind w:left="860" w:hanging="446"/>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Via cashless exercise, such that subject to the other terms and conditions of the Plan, following the date of exercise,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74" w:right="259" w:bottom="1440" w:gutter="0" w:footer="0" w:header="0"/>
        </w:sectPr>
      </w:pPr>
    </w:p>
    <w:bookmarkStart w:id="183" w:name="page184"/>
    <w:bookmarkEnd w:id="183"/>
    <w:p>
      <w:pPr>
        <w:ind w:left="9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deliver to the Optionee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89"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Except (x) as authorized by the Committee and agreed to by an Optionee, or (y) for Options subject to the automatic exercise rules described in Paragraph 7(h)(ii), with respect to Options granted before February 28, 2007, the payment methods described in Paragraph 7(d)(i), (ii) and (iii) 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158" w:lineRule="exact"/>
        <w:rPr>
          <w:sz w:val="20"/>
          <w:szCs w:val="20"/>
          <w:color w:val="auto"/>
        </w:rPr>
      </w:pPr>
    </w:p>
    <w:p>
      <w:pPr>
        <w:ind w:right="80" w:firstLine="464"/>
        <w:spacing w:after="0" w:line="255" w:lineRule="auto"/>
        <w:tabs>
          <w:tab w:leader="none" w:pos="70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Recording of Shares Upon Exercise of Options; Payment of Cash</w:t>
      </w:r>
      <w:r>
        <w:rPr>
          <w:rFonts w:ascii="Arial" w:cs="Arial" w:eastAsia="Arial" w:hAnsi="Arial"/>
          <w:sz w:val="18"/>
          <w:szCs w:val="18"/>
          <w:color w:val="auto"/>
        </w:rPr>
        <w:t>. For purposes of the Plan, the Sponsor may satisfy its obligation to deliver Shares following the exercise of Options by arranging for the recording of Optionee’s ownership of Shares issuable on the exercise of Options on a book entry recordkeeping system maintained by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93" w:lineRule="exact"/>
        <w:rPr>
          <w:rFonts w:ascii="Arial" w:cs="Arial" w:eastAsia="Arial" w:hAnsi="Arial"/>
          <w:sz w:val="18"/>
          <w:szCs w:val="18"/>
          <w:color w:val="auto"/>
        </w:rPr>
      </w:pPr>
    </w:p>
    <w:p>
      <w:pPr>
        <w:ind w:right="20" w:firstLine="464"/>
        <w:spacing w:after="0" w:line="297" w:lineRule="auto"/>
        <w:tabs>
          <w:tab w:leader="none" w:pos="681"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84" w:name="page185"/>
    <w:bookmarkEnd w:id="184"/>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An Optionee who is a Non-Employee Director shall be treated as having terminated employment on the Optionee’s termination of service as a Non-Employee Director, provided that if such an Optionee is designated as a Director Emeritus upon termination of service as a Non-Employee Director, such Optionee shall not be treated as having terminated employment until the Optionee’s termination of service as a Director Emeritus.</w:t>
      </w:r>
    </w:p>
    <w:p>
      <w:pPr>
        <w:spacing w:after="0" w:line="173" w:lineRule="exact"/>
        <w:rPr>
          <w:sz w:val="20"/>
          <w:szCs w:val="20"/>
          <w:color w:val="auto"/>
        </w:rPr>
      </w:pPr>
    </w:p>
    <w:p>
      <w:pPr>
        <w:ind w:firstLine="464"/>
        <w:spacing w:after="0" w:line="255" w:lineRule="auto"/>
        <w:tabs>
          <w:tab w:leader="none" w:pos="711"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Periods of Exercise of Options</w:t>
      </w:r>
      <w:r>
        <w:rPr>
          <w:rFonts w:ascii="Arial" w:cs="Arial" w:eastAsia="Arial" w:hAnsi="Arial"/>
          <w:sz w:val="18"/>
          <w:szCs w:val="18"/>
          <w:color w:val="auto"/>
        </w:rPr>
        <w:t>. An Option shall be exercisable in whole or in part at such time or times as may be determined by the Committee and stated in the option document, or as described in Paragraph 7(h)(ii),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98" w:lineRule="exact"/>
        <w:rPr>
          <w:rFonts w:ascii="Arial" w:cs="Arial" w:eastAsia="Arial" w:hAnsi="Arial"/>
          <w:sz w:val="18"/>
          <w:szCs w:val="18"/>
          <w:color w:val="auto"/>
        </w:rPr>
      </w:pPr>
    </w:p>
    <w:p>
      <w:pPr>
        <w:ind w:left="900" w:right="180" w:hanging="446"/>
        <w:spacing w:after="0" w:line="272"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the event that an Optionee’s employment with the Company terminates for any reason other than death or Cause, any Option held by such Optionee and which is then exercisable shall be exercisable for a period of 90 days following the date the Optionee’s employment with the Company terminates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83" w:lineRule="exact"/>
        <w:rPr>
          <w:rFonts w:ascii="Arial" w:cs="Arial" w:eastAsia="Arial" w:hAnsi="Arial"/>
          <w:sz w:val="17"/>
          <w:szCs w:val="17"/>
          <w:color w:val="auto"/>
        </w:rPr>
      </w:pPr>
    </w:p>
    <w:p>
      <w:pPr>
        <w:ind w:left="900" w:right="420" w:hanging="446"/>
        <w:spacing w:after="0" w:line="279"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In the event that an Optionee’s employment with the Company terminates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 Incentive Stock Option be exercisable after five years from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85" w:name="page186"/>
    <w:bookmarkEnd w:id="185"/>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Grant in the case of a grant to a Ten Percent Shareholder, nor shall any other Option be exercisable after ten years from the Date of Grant.</w:t>
      </w:r>
    </w:p>
    <w:p>
      <w:pPr>
        <w:spacing w:after="0" w:line="154" w:lineRule="exact"/>
        <w:rPr>
          <w:sz w:val="20"/>
          <w:szCs w:val="20"/>
          <w:color w:val="auto"/>
        </w:rPr>
      </w:pPr>
    </w:p>
    <w:p>
      <w:pPr>
        <w:ind w:left="446" w:hanging="446"/>
        <w:spacing w:after="0" w:line="279" w:lineRule="auto"/>
        <w:tabs>
          <w:tab w:leader="none" w:pos="446"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such Shares, upon refund by the Sponsor of the option price.</w:t>
      </w:r>
    </w:p>
    <w:p>
      <w:pPr>
        <w:spacing w:after="0" w:line="171" w:lineRule="exact"/>
        <w:rPr>
          <w:sz w:val="20"/>
          <w:szCs w:val="20"/>
          <w:color w:val="auto"/>
        </w:rPr>
      </w:pPr>
    </w:p>
    <w:p>
      <w:pPr>
        <w:ind w:left="266" w:hanging="256"/>
        <w:spacing w:after="0"/>
        <w:tabs>
          <w:tab w:leader="none" w:pos="266"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Date of Exercise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6" w:right="40" w:hanging="446"/>
        <w:spacing w:after="0" w:line="272" w:lineRule="auto"/>
        <w:tabs>
          <w:tab w:leader="none" w:pos="446"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Sponsor shall not be obligated to deliver any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be binding on and irrevocable by the Optionee but shall not be binding on the Committee) as to the manner in which payment to the Sponsor shall be made. Each notice of exercise shall also comply with the requirements of Paragraph 15.</w:t>
      </w:r>
    </w:p>
    <w:p>
      <w:pPr>
        <w:spacing w:after="0" w:line="83" w:lineRule="exact"/>
        <w:rPr>
          <w:rFonts w:ascii="Arial" w:cs="Arial" w:eastAsia="Arial" w:hAnsi="Arial"/>
          <w:sz w:val="17"/>
          <w:szCs w:val="17"/>
          <w:color w:val="auto"/>
        </w:rPr>
      </w:pPr>
    </w:p>
    <w:p>
      <w:pPr>
        <w:ind w:left="446" w:right="200" w:hanging="446"/>
        <w:spacing w:after="0" w:line="259" w:lineRule="auto"/>
        <w:tabs>
          <w:tab w:leader="none" w:pos="44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Automatic Exercise</w:t>
      </w:r>
      <w:r>
        <w:rPr>
          <w:rFonts w:ascii="Arial" w:cs="Arial" w:eastAsia="Arial" w:hAnsi="Arial"/>
          <w:sz w:val="18"/>
          <w:szCs w:val="18"/>
          <w:color w:val="auto"/>
        </w:rPr>
        <w:t>. The provisions of this Paragraph 7(h)(ii) shall apply to any Option that is unexercised, in whole or in part, on or after October 28, 2013. Immediately before the time at which any such Option is scheduled to expire in accordance with the terms and conditions of the Plan and the applicable option document, such Option shall be deemed automatically exercised, if such Option satisfies the following conditions:</w:t>
      </w:r>
    </w:p>
    <w:p>
      <w:pPr>
        <w:spacing w:after="0" w:line="92" w:lineRule="exact"/>
        <w:rPr>
          <w:rFonts w:ascii="Arial" w:cs="Arial" w:eastAsia="Arial" w:hAnsi="Arial"/>
          <w:sz w:val="18"/>
          <w:szCs w:val="18"/>
          <w:color w:val="auto"/>
        </w:rPr>
      </w:pPr>
    </w:p>
    <w:p>
      <w:pPr>
        <w:ind w:left="1026" w:hanging="567"/>
        <w:spacing w:after="0"/>
        <w:tabs>
          <w:tab w:leader="none" w:pos="1026" w:val="left"/>
        </w:tabs>
        <w:numPr>
          <w:ilvl w:val="2"/>
          <w:numId w:val="91"/>
        </w:numPr>
        <w:rPr>
          <w:rFonts w:ascii="Arial" w:cs="Arial" w:eastAsia="Arial" w:hAnsi="Arial"/>
          <w:sz w:val="18"/>
          <w:szCs w:val="18"/>
          <w:color w:val="auto"/>
        </w:rPr>
      </w:pPr>
      <w:r>
        <w:rPr>
          <w:rFonts w:ascii="Arial" w:cs="Arial" w:eastAsia="Arial" w:hAnsi="Arial"/>
          <w:sz w:val="18"/>
          <w:szCs w:val="18"/>
          <w:color w:val="auto"/>
        </w:rPr>
        <w:t>Such Option is covered by a then current registration statement or a Notification under Regulation A under the 1933 Act.</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6"/>
          </w:cols>
          <w:pgMar w:left="694" w:top="274" w:right="259" w:bottom="1440" w:gutter="0" w:footer="0" w:header="0"/>
        </w:sectPr>
      </w:pPr>
    </w:p>
    <w:bookmarkStart w:id="186" w:name="page187"/>
    <w:bookmarkEnd w:id="186"/>
    <w:p>
      <w:pPr>
        <w:ind w:left="1460" w:right="20" w:hanging="567"/>
        <w:spacing w:after="0" w:line="286" w:lineRule="auto"/>
        <w:tabs>
          <w:tab w:leader="none" w:pos="1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w:t>
      </w:r>
    </w:p>
    <w:p>
      <w:pPr>
        <w:spacing w:after="0" w:line="57" w:lineRule="exact"/>
        <w:rPr>
          <w:sz w:val="20"/>
          <w:szCs w:val="20"/>
          <w:color w:val="auto"/>
        </w:rPr>
      </w:pPr>
    </w:p>
    <w:p>
      <w:pPr>
        <w:ind w:left="900"/>
        <w:spacing w:after="0" w:line="255" w:lineRule="auto"/>
        <w:rPr>
          <w:sz w:val="20"/>
          <w:szCs w:val="20"/>
          <w:color w:val="auto"/>
        </w:rPr>
      </w:pPr>
      <w:r>
        <w:rPr>
          <w:rFonts w:ascii="Arial" w:cs="Arial" w:eastAsia="Arial" w:hAnsi="Arial"/>
          <w:sz w:val="18"/>
          <w:szCs w:val="18"/>
          <w:color w:val="auto"/>
        </w:rPr>
        <w:t>An Option subject to this Paragraph 7(h)(ii)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pay cash in lieu of any fractional Share.</w:t>
      </w:r>
    </w:p>
    <w:p>
      <w:pPr>
        <w:spacing w:after="0" w:line="189" w:lineRule="exact"/>
        <w:rPr>
          <w:sz w:val="20"/>
          <w:szCs w:val="20"/>
          <w:color w:val="auto"/>
        </w:rPr>
      </w:pPr>
    </w:p>
    <w:p>
      <w:pPr>
        <w:ind w:left="-20" w:right="40" w:firstLine="464"/>
        <w:spacing w:after="0" w:line="342" w:lineRule="auto"/>
        <w:tabs>
          <w:tab w:leader="none" w:pos="651"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Cash Rights</w:t>
      </w:r>
      <w:r>
        <w:rPr>
          <w:rFonts w:ascii="Arial" w:cs="Arial" w:eastAsia="Arial" w:hAnsi="Arial"/>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29" w:lineRule="exact"/>
        <w:rPr>
          <w:rFonts w:ascii="Arial" w:cs="Arial" w:eastAsia="Arial" w:hAnsi="Arial"/>
          <w:sz w:val="16"/>
          <w:szCs w:val="16"/>
          <w:color w:val="auto"/>
        </w:rPr>
      </w:pPr>
    </w:p>
    <w:p>
      <w:pPr>
        <w:ind w:left="880" w:hanging="446"/>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130" w:lineRule="exact"/>
        <w:rPr>
          <w:rFonts w:ascii="Arial" w:cs="Arial" w:eastAsia="Arial" w:hAnsi="Arial"/>
          <w:sz w:val="18"/>
          <w:szCs w:val="18"/>
          <w:color w:val="auto"/>
        </w:rPr>
      </w:pPr>
    </w:p>
    <w:p>
      <w:pPr>
        <w:ind w:left="880" w:right="180" w:hanging="446"/>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Cash Right shall provide for the cash payment of such amount per Share as shall be determined by the Committee and stated in the option document.</w:t>
      </w:r>
    </w:p>
    <w:p>
      <w:pPr>
        <w:spacing w:after="0" w:line="75" w:lineRule="exact"/>
        <w:rPr>
          <w:rFonts w:ascii="Arial" w:cs="Arial" w:eastAsia="Arial" w:hAnsi="Arial"/>
          <w:sz w:val="18"/>
          <w:szCs w:val="18"/>
          <w:color w:val="auto"/>
        </w:rPr>
      </w:pPr>
    </w:p>
    <w:p>
      <w:pPr>
        <w:ind w:left="880" w:hanging="446"/>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Cash Right shall be subject to the same restrictions on transferability as the Non-Qualified Option to which it is attached.</w:t>
      </w:r>
    </w:p>
    <w:p>
      <w:pPr>
        <w:spacing w:after="0" w:line="130" w:lineRule="exact"/>
        <w:rPr>
          <w:rFonts w:ascii="Arial" w:cs="Arial" w:eastAsia="Arial" w:hAnsi="Arial"/>
          <w:sz w:val="18"/>
          <w:szCs w:val="18"/>
          <w:color w:val="auto"/>
        </w:rPr>
      </w:pPr>
    </w:p>
    <w:p>
      <w:pPr>
        <w:ind w:left="880" w:right="360" w:hanging="446"/>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75" w:lineRule="exact"/>
        <w:rPr>
          <w:rFonts w:ascii="Arial" w:cs="Arial" w:eastAsia="Arial" w:hAnsi="Arial"/>
          <w:sz w:val="18"/>
          <w:szCs w:val="18"/>
          <w:color w:val="auto"/>
        </w:rPr>
      </w:pPr>
    </w:p>
    <w:p>
      <w:pPr>
        <w:ind w:left="880" w:hanging="446"/>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187" w:name="page188"/>
    <w:bookmarkEnd w:id="187"/>
    <w:p>
      <w:pPr>
        <w:ind w:left="900" w:hanging="446"/>
        <w:spacing w:after="0"/>
        <w:tabs>
          <w:tab w:leader="none" w:pos="900" w:val="left"/>
        </w:tabs>
        <w:numPr>
          <w:ilvl w:val="1"/>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exercise of a Cash Right that is attached to a Non-Qualified Option, the Option to which the Cash Right is attached shall expire.</w:t>
      </w:r>
    </w:p>
    <w:p>
      <w:pPr>
        <w:spacing w:after="0" w:line="381" w:lineRule="exact"/>
        <w:rPr>
          <w:rFonts w:ascii="Arial" w:cs="Arial" w:eastAsia="Arial" w:hAnsi="Arial"/>
          <w:sz w:val="17"/>
          <w:szCs w:val="17"/>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aggregate Fair Market Value (determined as of the time Options are granted) of the Shares with respect to which Incentive Stock Options may first</w:t>
      </w:r>
    </w:p>
    <w:p>
      <w:pPr>
        <w:spacing w:after="0" w:line="4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338"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SHAREHOLDERS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331"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88" w:name="page189"/>
    <w:bookmarkEnd w:id="188"/>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TERMINATING EVENTS</w:t>
      </w:r>
    </w:p>
    <w:p>
      <w:pPr>
        <w:spacing w:after="0" w:line="121" w:lineRule="exact"/>
        <w:rPr>
          <w:rFonts w:ascii="Arial" w:cs="Arial" w:eastAsia="Arial" w:hAnsi="Arial"/>
          <w:sz w:val="18"/>
          <w:szCs w:val="18"/>
          <w:b w:val="1"/>
          <w:bCs w:val="1"/>
          <w:color w:val="auto"/>
        </w:rPr>
      </w:pPr>
    </w:p>
    <w:p>
      <w:pPr>
        <w:ind w:firstLine="464"/>
        <w:spacing w:after="0" w:line="293" w:lineRule="auto"/>
        <w:tabs>
          <w:tab w:leader="none" w:pos="701"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64" w:lineRule="exact"/>
        <w:rPr>
          <w:rFonts w:ascii="Arial" w:cs="Arial" w:eastAsia="Arial" w:hAnsi="Arial"/>
          <w:sz w:val="16"/>
          <w:szCs w:val="16"/>
          <w:color w:val="auto"/>
        </w:rPr>
      </w:pPr>
    </w:p>
    <w:p>
      <w:pPr>
        <w:ind w:right="180" w:firstLine="464"/>
        <w:spacing w:after="0" w:line="277" w:lineRule="auto"/>
        <w:tabs>
          <w:tab w:leader="none" w:pos="7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Optionees and their beneficiaries.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338"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21" w:lineRule="exact"/>
        <w:rPr>
          <w:rFonts w:ascii="Arial" w:cs="Arial" w:eastAsia="Arial" w:hAnsi="Arial"/>
          <w:sz w:val="18"/>
          <w:szCs w:val="18"/>
          <w:b w:val="1"/>
          <w:bCs w:val="1"/>
          <w:color w:val="auto"/>
        </w:rPr>
      </w:pPr>
    </w:p>
    <w:p>
      <w:pPr>
        <w:ind w:firstLine="464"/>
        <w:spacing w:after="0" w:line="272" w:lineRule="auto"/>
        <w:tabs>
          <w:tab w:leader="none" w:pos="701"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0" w:right="279" w:bottom="1440" w:gutter="0" w:footer="0" w:header="0"/>
        </w:sectPr>
      </w:pPr>
    </w:p>
    <w:bookmarkStart w:id="189" w:name="page190"/>
    <w:bookmarkEnd w:id="189"/>
    <w:p>
      <w:pPr>
        <w:ind w:left="-8" w:firstLine="464"/>
        <w:spacing w:after="0" w:line="255" w:lineRule="auto"/>
        <w:tabs>
          <w:tab w:leader="none" w:pos="703" w:val="left"/>
        </w:tabs>
        <w:numPr>
          <w:ilvl w:val="2"/>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Repricing of Options and Cash Rights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or exercise price of any issued and outstanding Option or Cash Right granted under the Plan, including through cancellation and regrant or any other method (including the repurchase of an Option or Cash Right that is “out of the money” in exchange for an Option, Cash Right, cash and/or other property), at any time during the term of such option or Cash Right (other than by adjustment pursuant to Paragraph 10 relating to Changes in Capitalization). This Paragraph 13(b) may not be repealed, modified or amended without the prior approval of the Sponsor’s shareholders.</w:t>
      </w:r>
    </w:p>
    <w:p>
      <w:pPr>
        <w:spacing w:after="0" w:line="297" w:lineRule="exact"/>
        <w:rPr>
          <w:rFonts w:ascii="Arial" w:cs="Arial" w:eastAsia="Arial" w:hAnsi="Arial"/>
          <w:sz w:val="18"/>
          <w:szCs w:val="18"/>
          <w:color w:val="auto"/>
        </w:rPr>
      </w:pPr>
    </w:p>
    <w:p>
      <w:pPr>
        <w:ind w:left="272" w:hanging="272"/>
        <w:spacing w:after="0"/>
        <w:tabs>
          <w:tab w:leader="none" w:pos="27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121" w:lineRule="exact"/>
        <w:rPr>
          <w:rFonts w:ascii="Arial" w:cs="Arial" w:eastAsia="Arial" w:hAnsi="Arial"/>
          <w:sz w:val="18"/>
          <w:szCs w:val="18"/>
          <w:b w:val="1"/>
          <w:bCs w:val="1"/>
          <w:color w:val="auto"/>
        </w:rPr>
      </w:pPr>
    </w:p>
    <w:p>
      <w:pPr>
        <w:ind w:left="-8" w:right="120" w:firstLine="464"/>
        <w:spacing w:after="0" w:line="264" w:lineRule="auto"/>
        <w:tabs>
          <w:tab w:leader="none" w:pos="693" w:val="left"/>
        </w:tabs>
        <w:numPr>
          <w:ilvl w:val="2"/>
          <w:numId w:val="10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1" w:lineRule="exact"/>
        <w:rPr>
          <w:rFonts w:ascii="Arial" w:cs="Arial" w:eastAsia="Arial" w:hAnsi="Arial"/>
          <w:sz w:val="18"/>
          <w:szCs w:val="18"/>
          <w:color w:val="auto"/>
        </w:rPr>
      </w:pPr>
    </w:p>
    <w:p>
      <w:pPr>
        <w:jc w:val="both"/>
        <w:ind w:left="-8" w:right="140" w:firstLine="464"/>
        <w:spacing w:after="0" w:line="264" w:lineRule="auto"/>
        <w:tabs>
          <w:tab w:leader="none" w:pos="703" w:val="left"/>
        </w:tabs>
        <w:numPr>
          <w:ilvl w:val="2"/>
          <w:numId w:val="102"/>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86" w:lineRule="exact"/>
        <w:rPr>
          <w:rFonts w:ascii="Arial" w:cs="Arial" w:eastAsia="Arial" w:hAnsi="Arial"/>
          <w:sz w:val="18"/>
          <w:szCs w:val="18"/>
          <w:color w:val="auto"/>
        </w:rPr>
      </w:pPr>
    </w:p>
    <w:p>
      <w:pPr>
        <w:ind w:left="892" w:right="60" w:hanging="446"/>
        <w:spacing w:after="0" w:line="308" w:lineRule="auto"/>
        <w:tabs>
          <w:tab w:leader="none" w:pos="89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51" w:lineRule="exact"/>
        <w:rPr>
          <w:rFonts w:ascii="Arial" w:cs="Arial" w:eastAsia="Arial" w:hAnsi="Arial"/>
          <w:sz w:val="17"/>
          <w:szCs w:val="17"/>
          <w:color w:val="auto"/>
        </w:rPr>
      </w:pPr>
    </w:p>
    <w:p>
      <w:pPr>
        <w:ind w:left="892" w:right="100" w:hanging="446"/>
        <w:spacing w:after="0" w:line="259" w:lineRule="auto"/>
        <w:tabs>
          <w:tab w:leader="none" w:pos="8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92" w:lineRule="exact"/>
        <w:rPr>
          <w:rFonts w:ascii="Arial" w:cs="Arial" w:eastAsia="Arial" w:hAnsi="Arial"/>
          <w:sz w:val="18"/>
          <w:szCs w:val="18"/>
          <w:color w:val="auto"/>
        </w:rPr>
      </w:pPr>
    </w:p>
    <w:p>
      <w:pPr>
        <w:ind w:left="892" w:hanging="446"/>
        <w:spacing w:after="0"/>
        <w:tabs>
          <w:tab w:leader="none" w:pos="8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book entry recordkeeping system maintained by the Sponsor evidencing the Shares may bear a restrictive legend;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Shares subject to the Option may not be transferred without compliance with all applicable federal and state securities laws.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92"/>
          </w:cols>
          <w:pgMar w:left="248" w:top="274" w:right="259" w:bottom="1440" w:gutter="0" w:footer="0" w:header="0"/>
        </w:sectPr>
      </w:pPr>
    </w:p>
    <w:bookmarkStart w:id="190" w:name="page191"/>
    <w:bookmarkEnd w:id="190"/>
    <w:p>
      <w:pPr>
        <w:ind w:left="-8" w:right="20" w:firstLine="464"/>
        <w:spacing w:after="0" w:line="257" w:lineRule="auto"/>
        <w:tabs>
          <w:tab w:leader="none" w:pos="693" w:val="left"/>
        </w:tabs>
        <w:numPr>
          <w:ilvl w:val="2"/>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332" w:lineRule="exact"/>
        <w:rPr>
          <w:rFonts w:ascii="Arial" w:cs="Arial" w:eastAsia="Arial" w:hAnsi="Arial"/>
          <w:sz w:val="18"/>
          <w:szCs w:val="18"/>
          <w:color w:val="auto"/>
        </w:rPr>
      </w:pPr>
    </w:p>
    <w:p>
      <w:pPr>
        <w:ind w:left="452" w:hanging="452"/>
        <w:spacing w:after="0"/>
        <w:tabs>
          <w:tab w:leader="none" w:pos="45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121" w:lineRule="exact"/>
        <w:rPr>
          <w:rFonts w:ascii="Arial" w:cs="Arial" w:eastAsia="Arial" w:hAnsi="Arial"/>
          <w:sz w:val="18"/>
          <w:szCs w:val="18"/>
          <w:b w:val="1"/>
          <w:bCs w:val="1"/>
          <w:color w:val="auto"/>
        </w:rPr>
      </w:pPr>
    </w:p>
    <w:p>
      <w:pPr>
        <w:ind w:left="-8" w:firstLine="464"/>
        <w:spacing w:after="0" w:line="291" w:lineRule="auto"/>
        <w:tabs>
          <w:tab w:leader="none" w:pos="693" w:val="left"/>
        </w:tabs>
        <w:numPr>
          <w:ilvl w:val="2"/>
          <w:numId w:val="104"/>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67" w:lineRule="exact"/>
        <w:rPr>
          <w:rFonts w:ascii="Arial" w:cs="Arial" w:eastAsia="Arial" w:hAnsi="Arial"/>
          <w:sz w:val="16"/>
          <w:szCs w:val="16"/>
          <w:color w:val="auto"/>
        </w:rPr>
      </w:pPr>
    </w:p>
    <w:p>
      <w:pPr>
        <w:ind w:left="-8" w:right="60" w:firstLine="464"/>
        <w:spacing w:after="0" w:line="276" w:lineRule="auto"/>
        <w:tabs>
          <w:tab w:leader="none" w:pos="703" w:val="left"/>
        </w:tabs>
        <w:numPr>
          <w:ilvl w:val="2"/>
          <w:numId w:val="104"/>
        </w:numPr>
        <w:rPr>
          <w:rFonts w:ascii="Arial" w:cs="Arial" w:eastAsia="Arial" w:hAnsi="Arial"/>
          <w:sz w:val="17"/>
          <w:szCs w:val="17"/>
          <w:color w:val="auto"/>
        </w:rPr>
      </w:pPr>
      <w:r>
        <w:rPr>
          <w:rFonts w:ascii="Arial" w:cs="Arial" w:eastAsia="Arial" w:hAnsi="Arial"/>
          <w:sz w:val="17"/>
          <w:szCs w:val="17"/>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except with respect to Options subject to the automatic exercise provisions described in Paragraph 7(h)(ii), the Committee may permit an Optionee to elect one or more of the following:</w:t>
      </w:r>
    </w:p>
    <w:p>
      <w:pPr>
        <w:spacing w:after="0" w:line="77" w:lineRule="exact"/>
        <w:rPr>
          <w:rFonts w:ascii="Arial" w:cs="Arial" w:eastAsia="Arial" w:hAnsi="Arial"/>
          <w:sz w:val="17"/>
          <w:szCs w:val="17"/>
          <w:color w:val="auto"/>
        </w:rPr>
      </w:pPr>
    </w:p>
    <w:p>
      <w:pPr>
        <w:ind w:left="892" w:right="40" w:hanging="446"/>
        <w:spacing w:after="0" w:line="259" w:lineRule="auto"/>
        <w:tabs>
          <w:tab w:leader="none" w:pos="89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the extent permitted by law,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Sponsor for the then-current exercise on account of withheld taxes in excess of such minimum amount;</w:t>
      </w:r>
    </w:p>
    <w:p>
      <w:pPr>
        <w:spacing w:after="0" w:line="92" w:lineRule="exact"/>
        <w:rPr>
          <w:rFonts w:ascii="Arial" w:cs="Arial" w:eastAsia="Arial" w:hAnsi="Arial"/>
          <w:sz w:val="18"/>
          <w:szCs w:val="18"/>
          <w:color w:val="auto"/>
        </w:rPr>
      </w:pPr>
    </w:p>
    <w:p>
      <w:pPr>
        <w:ind w:left="892" w:hanging="446"/>
        <w:spacing w:after="0"/>
        <w:tabs>
          <w:tab w:leader="none" w:pos="89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With respect to Options (other than Incentive Stock Options) exercised on and after January 1, 2017, to have Shares otherwise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74" w:right="259" w:bottom="1440" w:gutter="0" w:footer="0" w:header="0"/>
        </w:sectPr>
      </w:pPr>
    </w:p>
    <w:bookmarkStart w:id="191" w:name="page192"/>
    <w:bookmarkEnd w:id="191"/>
    <w:p>
      <w:pPr>
        <w:ind w:left="9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deliverable to the Optionee after the application of this Paragraph 15(b) redeemed by the Sponsor for the Fair Market Value of such Shares on the date of the exercise of the applicable Option, and have the cash proceeds of such redemption remitted by the Sponsor to the Optionee to facilitate one or more estimated tax payments to the Internal Revenue Service or other taxing authority for the taxable year in which the Optionee exercises the Option, provided that the Optionee certifies in writing to the Sponsor at the time of such election that the Optionee owns Other Available Shares having a Fair Market Value that is at least equal to the Fair Market Value of such Shares to be redeemed by the Sponsor; and</w:t>
      </w:r>
    </w:p>
    <w:p>
      <w:pPr>
        <w:spacing w:after="0" w:line="64"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To pay to the Sponsor in cash all or a portion of the taxes to be withheld upon the exercise of an Option.</w:t>
      </w:r>
    </w:p>
    <w:p>
      <w:pPr>
        <w:spacing w:after="0" w:line="117" w:lineRule="exact"/>
        <w:rPr>
          <w:sz w:val="20"/>
          <w:szCs w:val="20"/>
          <w:color w:val="auto"/>
        </w:rPr>
      </w:pPr>
    </w:p>
    <w:p>
      <w:pPr>
        <w:ind w:left="440" w:right="80"/>
        <w:spacing w:after="0" w:line="255" w:lineRule="auto"/>
        <w:rPr>
          <w:sz w:val="20"/>
          <w:szCs w:val="20"/>
          <w:color w:val="auto"/>
        </w:rPr>
      </w:pPr>
      <w:r>
        <w:rPr>
          <w:rFonts w:ascii="Arial" w:cs="Arial" w:eastAsia="Arial" w:hAnsi="Arial"/>
          <w:sz w:val="18"/>
          <w:szCs w:val="18"/>
          <w:color w:val="auto"/>
        </w:rPr>
        <w:t>In all cases, the Shares so withheld or redeemed by the Sponsor, as applicable, shall have a Fair Market Value that does not exceed the amount of taxes to be withheld or remitted via estimated tax payments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or redeemed, as applicable, pursuant to this Paragraph 15(b) shall not continue to be available for subsequent grants under the Plan. The Committee may add such other requirements and limitations regarding elections pursuant to this Paragraph 15(b) as it deems appropriate.</w:t>
      </w:r>
    </w:p>
    <w:p>
      <w:pPr>
        <w:spacing w:after="0" w:line="189" w:lineRule="exact"/>
        <w:rPr>
          <w:sz w:val="20"/>
          <w:szCs w:val="20"/>
          <w:color w:val="auto"/>
        </w:rPr>
      </w:pPr>
    </w:p>
    <w:p>
      <w:pPr>
        <w:ind w:left="-20" w:right="60" w:firstLine="464"/>
        <w:spacing w:after="0" w:line="289" w:lineRule="auto"/>
        <w:tabs>
          <w:tab w:leader="none" w:pos="68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Except as otherwise provided in this Paragraph 15(c), any tax liabilities incurred in connection with the exercise of an Incentive Stock Option under the Plan (other than an Incentive Stock Option that is subject to the automatic exercise provisions described in Paragraph 7(h)(ii)),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tax liabilities incurred in connection with the automatic exercise of an Incentive Stock Option that is subject to the automatic exercise provisions described in Paragraph 7(h)(ii) shall be satisfied by the Sponsor’s withholding of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274" w:right="239" w:bottom="1440" w:gutter="0" w:footer="0" w:header="0"/>
        </w:sectPr>
      </w:pPr>
    </w:p>
    <w:bookmarkStart w:id="192" w:name="page193"/>
    <w:bookmarkEnd w:id="192"/>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withheld or paid is determined. An election pursuant to this Paragraph 15(c) may be made only by an Optionee or, in the event of the Optionee’s death, by the Optionee’s legal representative. Shares withheld pursuant to this Paragraph 15(c) shall not continue to be available for subsequent grants under the Plan. The Committee may add such other requirements and limitations regarding elections pursuant to this Paragraph 15(c) as it deems appropriate.</w:t>
      </w:r>
    </w:p>
    <w:p>
      <w:pPr>
        <w:spacing w:after="0" w:line="291"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amendment and restatement of the Plan shall be effective December 5, 2016, except as otherwise specifically provided herein. The Plan shall expire on May 19, 2026, unless sooner terminated by the Board.</w:t>
      </w:r>
    </w:p>
    <w:p>
      <w:pPr>
        <w:spacing w:after="0" w:line="31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Executed on the 5</w:t>
      </w:r>
      <w:r>
        <w:rPr>
          <w:rFonts w:ascii="Arial" w:cs="Arial" w:eastAsia="Arial" w:hAnsi="Arial"/>
          <w:sz w:val="15"/>
          <w:szCs w:val="15"/>
          <w:color w:val="auto"/>
        </w:rPr>
        <w:t>th</w:t>
      </w:r>
      <w:r>
        <w:rPr>
          <w:rFonts w:ascii="Arial" w:cs="Arial" w:eastAsia="Arial" w:hAnsi="Arial"/>
          <w:sz w:val="18"/>
          <w:szCs w:val="18"/>
          <w:color w:val="auto"/>
        </w:rPr>
        <w:t xml:space="preserve"> day of December,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17145</wp:posOffset>
            </wp:positionV>
            <wp:extent cx="263271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88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17145</wp:posOffset>
            </wp:positionV>
            <wp:extent cx="228981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5, 2016)</w:t>
      </w:r>
    </w:p>
    <w:p>
      <w:pPr>
        <w:spacing w:after="0" w:line="256"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BACKGROUND AND PURPOSE</w:t>
      </w:r>
    </w:p>
    <w:p>
      <w:pPr>
        <w:spacing w:after="0" w:line="117" w:lineRule="exact"/>
        <w:rPr>
          <w:rFonts w:ascii="Arial" w:cs="Arial" w:eastAsia="Arial" w:hAnsi="Arial"/>
          <w:sz w:val="18"/>
          <w:szCs w:val="18"/>
          <w:b w:val="1"/>
          <w:bCs w:val="1"/>
          <w:color w:val="auto"/>
        </w:rPr>
      </w:pPr>
    </w:p>
    <w:p>
      <w:pPr>
        <w:ind w:right="420" w:firstLine="464"/>
        <w:spacing w:after="0" w:line="277" w:lineRule="auto"/>
        <w:tabs>
          <w:tab w:leader="none" w:pos="701"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2002 Restricted Stock Plan (the “Plan”) effective December 5, 2016.</w:t>
      </w:r>
    </w:p>
    <w:p>
      <w:pPr>
        <w:spacing w:after="0" w:line="170" w:lineRule="exact"/>
        <w:rPr>
          <w:rFonts w:ascii="Arial" w:cs="Arial" w:eastAsia="Arial" w:hAnsi="Arial"/>
          <w:sz w:val="18"/>
          <w:szCs w:val="18"/>
          <w:color w:val="auto"/>
        </w:rPr>
      </w:pPr>
    </w:p>
    <w:p>
      <w:pPr>
        <w:ind w:right="20" w:firstLine="464"/>
        <w:spacing w:after="0" w:line="342" w:lineRule="auto"/>
        <w:tabs>
          <w:tab w:leader="none" w:pos="711"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23" w:lineRule="exact"/>
        <w:rPr>
          <w:rFonts w:ascii="Arial" w:cs="Arial" w:eastAsia="Arial" w:hAnsi="Arial"/>
          <w:sz w:val="16"/>
          <w:szCs w:val="16"/>
          <w:color w:val="auto"/>
        </w:rPr>
      </w:pPr>
    </w:p>
    <w:p>
      <w:pPr>
        <w:ind w:right="20" w:firstLine="464"/>
        <w:spacing w:after="0" w:line="291" w:lineRule="auto"/>
        <w:tabs>
          <w:tab w:leader="none" w:pos="701"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67" w:lineRule="exact"/>
        <w:rPr>
          <w:rFonts w:ascii="Arial" w:cs="Arial" w:eastAsia="Arial" w:hAnsi="Arial"/>
          <w:sz w:val="16"/>
          <w:szCs w:val="16"/>
          <w:color w:val="auto"/>
        </w:rPr>
      </w:pPr>
    </w:p>
    <w:p>
      <w:pPr>
        <w:ind w:left="720" w:hanging="256"/>
        <w:spacing w:after="0"/>
        <w:tabs>
          <w:tab w:leader="none" w:pos="72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Reservation of Right to Amend to Comply with Section 409A</w:t>
      </w:r>
      <w:r>
        <w:rPr>
          <w:rFonts w:ascii="Arial" w:cs="Arial" w:eastAsia="Arial" w:hAnsi="Arial"/>
          <w:sz w:val="16"/>
          <w:szCs w:val="16"/>
          <w:color w:val="auto"/>
        </w:rPr>
        <w:t>. In addition to the powers reserved to the Board and the Committee under Paragraph</w:t>
      </w:r>
    </w:p>
    <w:p>
      <w:pPr>
        <w:spacing w:after="0" w:line="46" w:lineRule="exact"/>
        <w:rPr>
          <w:rFonts w:ascii="Arial" w:cs="Arial" w:eastAsia="Arial" w:hAnsi="Arial"/>
          <w:sz w:val="16"/>
          <w:szCs w:val="16"/>
          <w:color w:val="auto"/>
        </w:rPr>
      </w:pPr>
    </w:p>
    <w:p>
      <w:pPr>
        <w:ind w:right="500" w:firstLine="8"/>
        <w:spacing w:after="0" w:line="261" w:lineRule="auto"/>
        <w:tabs>
          <w:tab w:leader="none" w:pos="2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of the Plan, the Board and the Committee reserve the right to amend the Plan, either retroactively or prospectively, in whatever respect is required to achieve and maintain compliance with the requirements of the Section 409A.</w:t>
      </w:r>
    </w:p>
    <w:p>
      <w:pPr>
        <w:spacing w:after="0" w:line="179" w:lineRule="exact"/>
        <w:rPr>
          <w:rFonts w:ascii="Arial" w:cs="Arial" w:eastAsia="Arial" w:hAnsi="Arial"/>
          <w:sz w:val="18"/>
          <w:szCs w:val="18"/>
          <w:color w:val="auto"/>
        </w:rPr>
      </w:pPr>
    </w:p>
    <w:p>
      <w:pPr>
        <w:ind w:right="20" w:firstLine="464"/>
        <w:spacing w:after="0" w:line="277" w:lineRule="auto"/>
        <w:tabs>
          <w:tab w:leader="none" w:pos="701"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Deferral Provisions of Plan Unfunded and Limited to Select Group of Management or Highly Compensated Employees</w:t>
      </w:r>
      <w:r>
        <w:rPr>
          <w:rFonts w:ascii="Arial" w:cs="Arial" w:eastAsia="Arial" w:hAnsi="Arial"/>
          <w:sz w:val="17"/>
          <w:szCs w:val="17"/>
          <w:b w:val="1"/>
          <w:bCs w:val="1"/>
          <w:color w:val="auto"/>
        </w:rPr>
        <w:t>.</w:t>
      </w:r>
      <w:r>
        <w:rPr>
          <w:rFonts w:ascii="Arial" w:cs="Arial" w:eastAsia="Arial" w:hAnsi="Arial"/>
          <w:sz w:val="17"/>
          <w:szCs w:val="17"/>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1420"/>
          </w:cols>
          <w:pgMar w:left="240" w:top="121" w:right="239" w:bottom="1440" w:gutter="0" w:footer="0" w:header="0"/>
        </w:sectPr>
      </w:pPr>
    </w:p>
    <w:bookmarkStart w:id="194" w:name="page195"/>
    <w:bookmarkEnd w:id="194"/>
    <w:p>
      <w:pPr>
        <w:ind w:left="-8" w:right="80" w:firstLine="464"/>
        <w:spacing w:after="0" w:line="277" w:lineRule="auto"/>
        <w:tabs>
          <w:tab w:leader="none" w:pos="673" w:val="left"/>
        </w:tabs>
        <w:numPr>
          <w:ilvl w:val="2"/>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Committee.</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b w:val="1"/>
          <w:bCs w:val="1"/>
          <w:color w:val="auto"/>
        </w:rPr>
      </w:pPr>
    </w:p>
    <w:p>
      <w:pPr>
        <w:ind w:left="692" w:hanging="236"/>
        <w:spacing w:after="0"/>
        <w:tabs>
          <w:tab w:leader="none" w:pos="69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 w:right="40" w:firstLine="464"/>
        <w:spacing w:after="0" w:line="302" w:lineRule="auto"/>
        <w:tabs>
          <w:tab w:leader="none" w:pos="703" w:val="left"/>
        </w:tabs>
        <w:numPr>
          <w:ilvl w:val="2"/>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54" w:lineRule="exact"/>
        <w:rPr>
          <w:rFonts w:ascii="Arial" w:cs="Arial" w:eastAsia="Arial" w:hAnsi="Arial"/>
          <w:sz w:val="16"/>
          <w:szCs w:val="16"/>
          <w:color w:val="auto"/>
        </w:rPr>
      </w:pPr>
    </w:p>
    <w:p>
      <w:pPr>
        <w:ind w:left="692" w:hanging="236"/>
        <w:spacing w:after="0"/>
        <w:tabs>
          <w:tab w:leader="none" w:pos="69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225" w:lineRule="exact"/>
        <w:rPr>
          <w:rFonts w:ascii="Arial" w:cs="Arial" w:eastAsia="Arial" w:hAnsi="Arial"/>
          <w:sz w:val="18"/>
          <w:szCs w:val="18"/>
          <w:color w:val="auto"/>
        </w:rPr>
      </w:pPr>
    </w:p>
    <w:p>
      <w:pPr>
        <w:jc w:val="both"/>
        <w:ind w:left="-8" w:right="60" w:firstLine="464"/>
        <w:spacing w:after="0" w:line="259" w:lineRule="auto"/>
        <w:tabs>
          <w:tab w:leader="none" w:pos="703" w:val="left"/>
        </w:tabs>
        <w:numPr>
          <w:ilvl w:val="2"/>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left="-8" w:right="300" w:firstLine="464"/>
        <w:spacing w:after="0" w:line="277" w:lineRule="auto"/>
        <w:tabs>
          <w:tab w:leader="none" w:pos="693" w:val="left"/>
        </w:tabs>
        <w:numPr>
          <w:ilvl w:val="2"/>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70" w:lineRule="exact"/>
        <w:rPr>
          <w:rFonts w:ascii="Arial" w:cs="Arial" w:eastAsia="Arial" w:hAnsi="Arial"/>
          <w:sz w:val="18"/>
          <w:szCs w:val="18"/>
          <w:color w:val="auto"/>
        </w:rPr>
      </w:pPr>
    </w:p>
    <w:p>
      <w:pPr>
        <w:ind w:left="672" w:hanging="216"/>
        <w:spacing w:after="0"/>
        <w:tabs>
          <w:tab w:leader="none" w:pos="672" w:val="left"/>
        </w:tabs>
        <w:numPr>
          <w:ilvl w:val="2"/>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130" w:lineRule="exact"/>
        <w:rPr>
          <w:rFonts w:ascii="Arial" w:cs="Arial" w:eastAsia="Arial" w:hAnsi="Arial"/>
          <w:sz w:val="18"/>
          <w:szCs w:val="18"/>
          <w:color w:val="auto"/>
        </w:rPr>
      </w:pPr>
    </w:p>
    <w:p>
      <w:pPr>
        <w:ind w:left="1472" w:hanging="567"/>
        <w:spacing w:after="0" w:line="291" w:lineRule="auto"/>
        <w:tabs>
          <w:tab w:leader="none" w:pos="1472" w:val="left"/>
        </w:tabs>
        <w:numPr>
          <w:ilvl w:val="3"/>
          <w:numId w:val="111"/>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(1) dividends and other distributions credited with respect to Deferred Stock Units that are deferred pursuant to Initial Elections made before January 1, 2010 and</w:t>
      </w:r>
    </w:p>
    <w:p>
      <w:pPr>
        <w:ind w:left="1472" w:right="460"/>
        <w:spacing w:after="0" w:line="261" w:lineRule="auto"/>
        <w:rPr>
          <w:rFonts w:ascii="Arial" w:cs="Arial" w:eastAsia="Arial" w:hAnsi="Arial"/>
          <w:sz w:val="16"/>
          <w:szCs w:val="16"/>
          <w:color w:val="auto"/>
        </w:rPr>
      </w:pPr>
      <w:r>
        <w:rPr>
          <w:rFonts w:ascii="Arial" w:cs="Arial" w:eastAsia="Arial" w:hAnsi="Arial"/>
          <w:sz w:val="18"/>
          <w:szCs w:val="18"/>
          <w:color w:val="auto"/>
        </w:rPr>
        <w:t>(2) Diversification Elections and Special Diversification Elections made before January 1, 2010 shall be the interest rate that, when compounded annually pursuant to rules established by the Committee from time to time, is</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195" w:name="page196"/>
    <w:bookmarkEnd w:id="195"/>
    <w:p>
      <w:pPr>
        <w:ind w:left="567"/>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mathematically equivalent to 8% (0.08) per annum, or such other interest rate established by the Committee from time to time.</w:t>
      </w:r>
    </w:p>
    <w:p>
      <w:pPr>
        <w:spacing w:after="0" w:line="142" w:lineRule="exact"/>
        <w:rPr>
          <w:sz w:val="20"/>
          <w:szCs w:val="20"/>
          <w:color w:val="auto"/>
        </w:rPr>
      </w:pPr>
    </w:p>
    <w:p>
      <w:pPr>
        <w:ind w:left="567" w:hanging="567"/>
        <w:spacing w:after="0" w:line="297" w:lineRule="auto"/>
        <w:tabs>
          <w:tab w:leader="none" w:pos="56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(1) dividends and other distributions credited with respect to Deferred Stock Units that are deferred pursuant to Initial Elections made on or after January 1, 2010 and before January 1, 2014 and (2) Diversification Elections and Special Diversification Elections made on or after January 1, 2010 and before January 1, 2014, shall be the interest rate that, when compounded annually pursuant to rules established by the Committee from time to time, is mathematically equivalent to 12% per annum, or such other interest rate established by the Committee from time to time.</w:t>
      </w:r>
    </w:p>
    <w:p>
      <w:pPr>
        <w:spacing w:after="0" w:line="63" w:lineRule="exact"/>
        <w:rPr>
          <w:rFonts w:ascii="Arial" w:cs="Arial" w:eastAsia="Arial" w:hAnsi="Arial"/>
          <w:sz w:val="16"/>
          <w:szCs w:val="16"/>
          <w:color w:val="auto"/>
        </w:rPr>
      </w:pPr>
    </w:p>
    <w:p>
      <w:pPr>
        <w:jc w:val="both"/>
        <w:ind w:left="567" w:right="100" w:hanging="567"/>
        <w:spacing w:after="0" w:line="271" w:lineRule="auto"/>
        <w:tabs>
          <w:tab w:leader="none" w:pos="56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Effective with respect to amounts credited to the Income Fund that are attributable to (1) dividends and other distributions credited with respect to Deferred Stock Units that are deferred pursuant to Initial Elections made on or after January 1, 2014, (2) dividends and other distributions credited with respect to Deferred Stock Units that are deferred pursuant to Regular Deferral Elections, and</w:t>
      </w:r>
    </w:p>
    <w:p>
      <w:pPr>
        <w:ind w:left="567"/>
        <w:spacing w:after="0" w:line="287" w:lineRule="auto"/>
        <w:rPr>
          <w:rFonts w:ascii="Arial" w:cs="Arial" w:eastAsia="Arial" w:hAnsi="Arial"/>
          <w:sz w:val="17"/>
          <w:szCs w:val="17"/>
          <w:color w:val="auto"/>
        </w:rPr>
      </w:pPr>
      <w:r>
        <w:rPr>
          <w:rFonts w:ascii="Arial" w:cs="Arial" w:eastAsia="Arial" w:hAnsi="Arial"/>
          <w:sz w:val="16"/>
          <w:szCs w:val="16"/>
          <w:color w:val="auto"/>
        </w:rPr>
        <w:t>(3) Diversification Elections and Special Diversification Elections made on or after January 1, 2014, the “Applicable Interest Rate” shall be the Applicable Interest Rate that applies to “Protected Benefits” under the Comcast Corporation 2005 Deferred Compensation Plan (the “2005 Deferred Compensation Plan”) if, as of the September 30</w:t>
      </w:r>
      <w:r>
        <w:rPr>
          <w:rFonts w:ascii="Arial" w:cs="Arial" w:eastAsia="Arial" w:hAnsi="Arial"/>
          <w:sz w:val="13"/>
          <w:szCs w:val="13"/>
          <w:color w:val="auto"/>
        </w:rPr>
        <w:t>th</w:t>
      </w:r>
      <w:r>
        <w:rPr>
          <w:rFonts w:ascii="Arial" w:cs="Arial" w:eastAsia="Arial" w:hAnsi="Arial"/>
          <w:sz w:val="16"/>
          <w:szCs w:val="16"/>
          <w:color w:val="auto"/>
        </w:rPr>
        <w:t xml:space="preserve"> immediately preceding the Plan Year to which the Initial Election, Regular Deferral Election or Diversification Election applies, the sum of (x) the Grantee’s Account under the 2005 Deferred Compensation Plan, plus (y) the Grantee’s Account under the Comcast Corporation 2002 Deferred Compensation Plan (the “2002 Deferred Compensation Plan”), plus (z) the portion of the Grantee’s Account under this Plan credited to the Income Fund, is less than the High Water Mark. If the conditions described in the preceding sentence do not apply, the “Applicable Interest Rate” shall be the Applicable Interest Rate that applies under the 2005 Deferred Compensation Plan to amounts credited pursuant to Initial Elections with respect to compensation earned after December 31, 2013, that are not Protected Benefits.</w:t>
      </w:r>
    </w:p>
    <w:p>
      <w:pPr>
        <w:spacing w:after="0" w:line="99" w:lineRule="exact"/>
        <w:rPr>
          <w:sz w:val="20"/>
          <w:szCs w:val="20"/>
          <w:color w:val="auto"/>
        </w:rPr>
      </w:pPr>
    </w:p>
    <w:p>
      <w:pPr>
        <w:ind w:left="468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47"/>
          </w:cols>
          <w:pgMar w:left="1153" w:top="274" w:right="299" w:bottom="1440" w:gutter="0" w:footer="0" w:header="0"/>
        </w:sectPr>
      </w:pPr>
    </w:p>
    <w:bookmarkStart w:id="196" w:name="page197"/>
    <w:bookmarkEnd w:id="196"/>
    <w:p>
      <w:pPr>
        <w:ind w:left="780" w:hanging="446"/>
        <w:spacing w:after="0" w:line="270" w:lineRule="auto"/>
        <w:tabs>
          <w:tab w:leader="none" w:pos="7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for the period beginning as soon as administratively practicable following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181" w:lineRule="exact"/>
        <w:rPr>
          <w:rFonts w:ascii="Arial" w:cs="Arial" w:eastAsia="Arial" w:hAnsi="Arial"/>
          <w:sz w:val="17"/>
          <w:szCs w:val="17"/>
          <w:color w:val="auto"/>
        </w:rPr>
      </w:pPr>
    </w:p>
    <w:p>
      <w:pPr>
        <w:ind w:left="-120" w:right="100" w:firstLine="464"/>
        <w:spacing w:after="0" w:line="277" w:lineRule="auto"/>
        <w:tabs>
          <w:tab w:leader="none" w:pos="59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170" w:lineRule="exact"/>
        <w:rPr>
          <w:rFonts w:ascii="Arial" w:cs="Arial" w:eastAsia="Arial" w:hAnsi="Arial"/>
          <w:sz w:val="18"/>
          <w:szCs w:val="18"/>
          <w:color w:val="auto"/>
        </w:rPr>
      </w:pPr>
    </w:p>
    <w:p>
      <w:pPr>
        <w:ind w:left="600" w:hanging="256"/>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225" w:lineRule="exact"/>
        <w:rPr>
          <w:rFonts w:ascii="Arial" w:cs="Arial" w:eastAsia="Arial" w:hAnsi="Arial"/>
          <w:sz w:val="18"/>
          <w:szCs w:val="18"/>
          <w:color w:val="auto"/>
        </w:rPr>
      </w:pPr>
    </w:p>
    <w:p>
      <w:pPr>
        <w:ind w:left="560" w:hanging="216"/>
        <w:spacing w:after="0"/>
        <w:tabs>
          <w:tab w:leader="none" w:pos="5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560" w:hanging="216"/>
        <w:spacing w:after="0"/>
        <w:tabs>
          <w:tab w:leader="none" w:pos="5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131" w:lineRule="exact"/>
        <w:rPr>
          <w:sz w:val="20"/>
          <w:szCs w:val="20"/>
          <w:color w:val="auto"/>
        </w:rPr>
      </w:pPr>
    </w:p>
    <w:p>
      <w:pPr>
        <w:ind w:left="780" w:hanging="44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Except as provided in Paragraph 2(j)(ii), “Change in Control” means the occurrence of any one or more of the following events:</w:t>
      </w:r>
    </w:p>
    <w:p>
      <w:pPr>
        <w:spacing w:after="0" w:line="130" w:lineRule="exact"/>
        <w:rPr>
          <w:rFonts w:ascii="Arial" w:cs="Arial" w:eastAsia="Arial" w:hAnsi="Arial"/>
          <w:sz w:val="18"/>
          <w:szCs w:val="18"/>
          <w:color w:val="auto"/>
        </w:rPr>
      </w:pPr>
    </w:p>
    <w:p>
      <w:pPr>
        <w:ind w:left="1360" w:right="80" w:hanging="567"/>
        <w:spacing w:after="0" w:line="279" w:lineRule="auto"/>
        <w:tabs>
          <w:tab w:leader="none" w:pos="13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following February 22, 2016, 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60" w:top="274" w:right="339" w:bottom="1440" w:gutter="0" w:footer="0" w:header="0"/>
        </w:sectPr>
      </w:pPr>
    </w:p>
    <w:bookmarkStart w:id="197" w:name="page198"/>
    <w:bookmarkEnd w:id="197"/>
    <w:p>
      <w:pPr>
        <w:ind w:left="1026"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directors of the Company in office immediately preceding the date on which such Person acquires such beneficial ownership, by resolution negates the effectiveness of this provision in a particular circumstance);</w:t>
      </w:r>
    </w:p>
    <w:p>
      <w:pPr>
        <w:spacing w:after="0" w:line="76" w:lineRule="exact"/>
        <w:rPr>
          <w:sz w:val="20"/>
          <w:szCs w:val="20"/>
          <w:color w:val="auto"/>
        </w:rPr>
      </w:pPr>
    </w:p>
    <w:p>
      <w:pPr>
        <w:jc w:val="both"/>
        <w:ind w:left="1026" w:right="40" w:hanging="567"/>
        <w:spacing w:after="0" w:line="259" w:lineRule="auto"/>
        <w:tabs>
          <w:tab w:leader="none" w:pos="1026"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92" w:lineRule="exact"/>
        <w:rPr>
          <w:rFonts w:ascii="Arial" w:cs="Arial" w:eastAsia="Arial" w:hAnsi="Arial"/>
          <w:sz w:val="18"/>
          <w:szCs w:val="18"/>
          <w:color w:val="auto"/>
        </w:rPr>
      </w:pPr>
    </w:p>
    <w:p>
      <w:pPr>
        <w:ind w:left="1026" w:hanging="567"/>
        <w:spacing w:after="0" w:line="291" w:lineRule="auto"/>
        <w:tabs>
          <w:tab w:leader="none" w:pos="1026" w:val="left"/>
        </w:tabs>
        <w:numPr>
          <w:ilvl w:val="2"/>
          <w:numId w:val="116"/>
        </w:numPr>
        <w:rPr>
          <w:rFonts w:ascii="Arial" w:cs="Arial" w:eastAsia="Arial" w:hAnsi="Arial"/>
          <w:sz w:val="16"/>
          <w:szCs w:val="16"/>
          <w:color w:val="auto"/>
        </w:rPr>
      </w:pPr>
      <w:r>
        <w:rPr>
          <w:rFonts w:ascii="Arial" w:cs="Arial" w:eastAsia="Arial" w:hAnsi="Arial"/>
          <w:sz w:val="16"/>
          <w:szCs w:val="16"/>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72" w:lineRule="exact"/>
        <w:rPr>
          <w:rFonts w:ascii="Arial" w:cs="Arial" w:eastAsia="Arial" w:hAnsi="Arial"/>
          <w:sz w:val="16"/>
          <w:szCs w:val="16"/>
          <w:color w:val="auto"/>
        </w:rPr>
      </w:pPr>
    </w:p>
    <w:p>
      <w:pPr>
        <w:ind w:left="1026" w:hanging="567"/>
        <w:spacing w:after="0"/>
        <w:tabs>
          <w:tab w:leader="none" w:pos="1026"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liquidation or dissolution of the Company.</w:t>
      </w:r>
    </w:p>
    <w:p>
      <w:pPr>
        <w:spacing w:after="0" w:line="130" w:lineRule="exact"/>
        <w:rPr>
          <w:rFonts w:ascii="Arial" w:cs="Arial" w:eastAsia="Arial" w:hAnsi="Arial"/>
          <w:sz w:val="18"/>
          <w:szCs w:val="18"/>
          <w:color w:val="auto"/>
        </w:rPr>
      </w:pPr>
    </w:p>
    <w:p>
      <w:pPr>
        <w:ind w:left="446" w:right="80" w:hanging="446"/>
        <w:spacing w:after="0" w:line="259" w:lineRule="auto"/>
        <w:tabs>
          <w:tab w:leader="none" w:pos="44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For purposes of Paragraph 8, and 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186" w:lineRule="exact"/>
        <w:rPr>
          <w:rFonts w:ascii="Arial" w:cs="Arial" w:eastAsia="Arial" w:hAnsi="Arial"/>
          <w:sz w:val="18"/>
          <w:szCs w:val="18"/>
          <w:color w:val="auto"/>
        </w:rPr>
      </w:pPr>
    </w:p>
    <w:p>
      <w:pPr>
        <w:ind w:left="266" w:hanging="256"/>
        <w:spacing w:after="0"/>
        <w:tabs>
          <w:tab w:leader="none" w:pos="26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274" w:right="239" w:bottom="1440" w:gutter="0" w:footer="0" w:header="0"/>
        </w:sectPr>
      </w:pPr>
    </w:p>
    <w:bookmarkStart w:id="198" w:name="page199"/>
    <w:bookmarkEnd w:id="198"/>
    <w:p>
      <w:pPr>
        <w:ind w:left="-20" w:right="340" w:firstLine="464"/>
        <w:spacing w:after="0" w:line="259" w:lineRule="auto"/>
        <w:tabs>
          <w:tab w:leader="none" w:pos="651" w:val="left"/>
        </w:tabs>
        <w:numPr>
          <w:ilvl w:val="1"/>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86" w:lineRule="exact"/>
        <w:rPr>
          <w:rFonts w:ascii="Arial" w:cs="Arial" w:eastAsia="Arial" w:hAnsi="Arial"/>
          <w:sz w:val="18"/>
          <w:szCs w:val="18"/>
          <w:color w:val="auto"/>
        </w:rPr>
      </w:pPr>
    </w:p>
    <w:p>
      <w:pPr>
        <w:ind w:left="-20" w:right="120" w:firstLine="464"/>
        <w:spacing w:after="0" w:line="308" w:lineRule="auto"/>
        <w:tabs>
          <w:tab w:leader="none" w:pos="741" w:val="left"/>
        </w:tabs>
        <w:numPr>
          <w:ilvl w:val="1"/>
          <w:numId w:val="1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146" w:lineRule="exact"/>
        <w:rPr>
          <w:rFonts w:ascii="Arial" w:cs="Arial" w:eastAsia="Arial" w:hAnsi="Arial"/>
          <w:sz w:val="17"/>
          <w:szCs w:val="17"/>
          <w:color w:val="auto"/>
        </w:rPr>
      </w:pPr>
    </w:p>
    <w:p>
      <w:pPr>
        <w:ind w:left="700" w:hanging="256"/>
        <w:spacing w:after="0"/>
        <w:tabs>
          <w:tab w:leader="none" w:pos="7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225" w:lineRule="exact"/>
        <w:rPr>
          <w:rFonts w:ascii="Arial" w:cs="Arial" w:eastAsia="Arial" w:hAnsi="Arial"/>
          <w:sz w:val="18"/>
          <w:szCs w:val="18"/>
          <w:color w:val="auto"/>
        </w:rPr>
      </w:pPr>
    </w:p>
    <w:p>
      <w:pPr>
        <w:ind w:left="-20" w:firstLine="464"/>
        <w:spacing w:after="0" w:line="277" w:lineRule="auto"/>
        <w:tabs>
          <w:tab w:leader="none" w:pos="69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70" w:lineRule="exact"/>
        <w:rPr>
          <w:rFonts w:ascii="Arial" w:cs="Arial" w:eastAsia="Arial" w:hAnsi="Arial"/>
          <w:sz w:val="18"/>
          <w:szCs w:val="18"/>
          <w:color w:val="auto"/>
        </w:rPr>
      </w:pPr>
    </w:p>
    <w:p>
      <w:pPr>
        <w:ind w:left="-20" w:firstLine="464"/>
        <w:spacing w:after="0" w:line="253" w:lineRule="auto"/>
        <w:tabs>
          <w:tab w:leader="none" w:pos="69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Fund</w:t>
      </w:r>
      <w:r>
        <w:rPr>
          <w:rFonts w:ascii="Arial" w:cs="Arial" w:eastAsia="Arial" w:hAnsi="Arial"/>
          <w:sz w:val="18"/>
          <w:szCs w:val="18"/>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otherwise 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 commencing as of the date on which dividends or other distributions are paid.</w:t>
      </w:r>
    </w:p>
    <w:p>
      <w:pPr>
        <w:spacing w:after="0" w:line="197" w:lineRule="exact"/>
        <w:rPr>
          <w:rFonts w:ascii="Arial" w:cs="Arial" w:eastAsia="Arial" w:hAnsi="Arial"/>
          <w:sz w:val="18"/>
          <w:szCs w:val="18"/>
          <w:color w:val="auto"/>
        </w:rPr>
      </w:pPr>
    </w:p>
    <w:p>
      <w:pPr>
        <w:ind w:left="700" w:hanging="256"/>
        <w:spacing w:after="0"/>
        <w:tabs>
          <w:tab w:leader="none" w:pos="7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225" w:lineRule="exact"/>
        <w:rPr>
          <w:rFonts w:ascii="Arial" w:cs="Arial" w:eastAsia="Arial" w:hAnsi="Arial"/>
          <w:sz w:val="18"/>
          <w:szCs w:val="18"/>
          <w:color w:val="auto"/>
        </w:rPr>
      </w:pPr>
    </w:p>
    <w:p>
      <w:pPr>
        <w:ind w:left="660" w:hanging="216"/>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880" w:hanging="446"/>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130" w:lineRule="exact"/>
        <w:rPr>
          <w:rFonts w:ascii="Arial" w:cs="Arial" w:eastAsia="Arial" w:hAnsi="Arial"/>
          <w:sz w:val="18"/>
          <w:szCs w:val="18"/>
          <w:color w:val="auto"/>
        </w:rPr>
      </w:pPr>
    </w:p>
    <w:p>
      <w:pPr>
        <w:ind w:left="880" w:hanging="446"/>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199" w:name="page200"/>
    <w:bookmarkEnd w:id="199"/>
    <w:p>
      <w:pPr>
        <w:ind w:left="700" w:hanging="236"/>
        <w:spacing w:after="0"/>
        <w:tabs>
          <w:tab w:leader="none" w:pos="7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130" w:lineRule="exact"/>
        <w:rPr>
          <w:rFonts w:ascii="Arial" w:cs="Arial" w:eastAsia="Arial" w:hAnsi="Arial"/>
          <w:sz w:val="18"/>
          <w:szCs w:val="18"/>
          <w:color w:val="auto"/>
        </w:rPr>
      </w:pPr>
    </w:p>
    <w:p>
      <w:pPr>
        <w:ind w:left="1480" w:right="220" w:hanging="567"/>
        <w:spacing w:after="0" w:line="277" w:lineRule="auto"/>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(x) the date on which an Initial Election is filed with the Committee; and (y) the first day of the calendar year in which such Initial Election filed.</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(x) June 30, 2002; (y) the date on which an Initial Election is filed with the Committee; and (z) the first day of each calendar year beginning after December 31, 2002.</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30" w:lineRule="exact"/>
        <w:rPr>
          <w:rFonts w:ascii="Arial" w:cs="Arial" w:eastAsia="Arial" w:hAnsi="Arial"/>
          <w:sz w:val="18"/>
          <w:szCs w:val="18"/>
          <w:color w:val="auto"/>
        </w:rPr>
      </w:pPr>
    </w:p>
    <w:p>
      <w:pPr>
        <w:ind w:left="1480" w:right="180" w:hanging="567"/>
        <w:spacing w:after="0" w:line="277" w:lineRule="auto"/>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Effective on and after January 1, 2014:</w:t>
      </w:r>
    </w:p>
    <w:p>
      <w:pPr>
        <w:spacing w:after="0" w:line="130" w:lineRule="exact"/>
        <w:rPr>
          <w:rFonts w:ascii="Arial" w:cs="Arial" w:eastAsia="Arial" w:hAnsi="Arial"/>
          <w:sz w:val="18"/>
          <w:szCs w:val="18"/>
          <w:color w:val="auto"/>
        </w:rPr>
      </w:pPr>
    </w:p>
    <w:p>
      <w:pPr>
        <w:ind w:left="1480" w:right="40" w:hanging="567"/>
        <w:spacing w:after="0" w:line="264" w:lineRule="auto"/>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$250,000 or more as of both: (x) the date on which an Initial Election or Regular Deferral Election is filed with the Committee; and (y) the first day of the calendar year in which such Initial Election or Regular Deferral Election is filed.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30" w:lineRule="exact"/>
        <w:rPr>
          <w:rFonts w:ascii="Arial" w:cs="Arial" w:eastAsia="Arial" w:hAnsi="Arial"/>
          <w:sz w:val="18"/>
          <w:szCs w:val="18"/>
          <w:color w:val="auto"/>
        </w:rPr>
      </w:pPr>
    </w:p>
    <w:p>
      <w:pPr>
        <w:ind w:left="1480" w:right="180" w:hanging="567"/>
        <w:spacing w:after="0" w:line="277" w:lineRule="auto"/>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81" w:lineRule="exact"/>
        <w:rPr>
          <w:sz w:val="20"/>
          <w:szCs w:val="20"/>
          <w:color w:val="auto"/>
        </w:rPr>
      </w:pPr>
    </w:p>
    <w:p>
      <w:pPr>
        <w:ind w:left="5600" w:right="4340" w:hanging="5136"/>
        <w:spacing w:after="0" w:line="449" w:lineRule="auto"/>
        <w:tabs>
          <w:tab w:leader="none" w:pos="6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 -7-</w:t>
      </w:r>
    </w:p>
    <w:p>
      <w:pPr>
        <w:sectPr>
          <w:pgSz w:w="11900" w:h="16838" w:orient="portrait"/>
          <w:cols w:equalWidth="0" w:num="1">
            <w:col w:w="11380"/>
          </w:cols>
          <w:pgMar w:left="240" w:top="274" w:right="279" w:bottom="1440" w:gutter="0" w:footer="0" w:header="0"/>
        </w:sectPr>
      </w:pPr>
    </w:p>
    <w:bookmarkStart w:id="200" w:name="page201"/>
    <w:bookmarkEnd w:id="200"/>
    <w:p>
      <w:pPr>
        <w:ind w:left="660" w:hanging="256"/>
        <w:spacing w:after="0"/>
        <w:tabs>
          <w:tab w:leader="none" w:pos="6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840" w:hanging="446"/>
        <w:spacing w:after="0" w:line="264" w:lineRule="auto"/>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86" w:lineRule="exact"/>
        <w:rPr>
          <w:rFonts w:ascii="Arial" w:cs="Arial" w:eastAsia="Arial" w:hAnsi="Arial"/>
          <w:sz w:val="18"/>
          <w:szCs w:val="18"/>
          <w:color w:val="auto"/>
        </w:rPr>
      </w:pPr>
    </w:p>
    <w:p>
      <w:pPr>
        <w:ind w:left="840" w:right="200" w:hanging="446"/>
        <w:spacing w:after="0" w:line="277" w:lineRule="auto"/>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170" w:lineRule="exact"/>
        <w:rPr>
          <w:rFonts w:ascii="Arial" w:cs="Arial" w:eastAsia="Arial" w:hAnsi="Arial"/>
          <w:sz w:val="18"/>
          <w:szCs w:val="18"/>
          <w:color w:val="auto"/>
        </w:rPr>
      </w:pPr>
    </w:p>
    <w:p>
      <w:pPr>
        <w:ind w:left="660" w:hanging="256"/>
        <w:spacing w:after="0"/>
        <w:tabs>
          <w:tab w:leader="none" w:pos="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131" w:lineRule="exact"/>
        <w:rPr>
          <w:sz w:val="20"/>
          <w:szCs w:val="20"/>
          <w:color w:val="auto"/>
        </w:rPr>
      </w:pPr>
    </w:p>
    <w:p>
      <w:pPr>
        <w:ind w:left="840" w:hanging="446"/>
        <w:spacing w:after="0"/>
        <w:tabs>
          <w:tab w:leader="none" w:pos="8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130" w:lineRule="exact"/>
        <w:rPr>
          <w:rFonts w:ascii="Arial" w:cs="Arial" w:eastAsia="Arial" w:hAnsi="Arial"/>
          <w:sz w:val="18"/>
          <w:szCs w:val="18"/>
          <w:color w:val="auto"/>
        </w:rPr>
      </w:pPr>
    </w:p>
    <w:p>
      <w:pPr>
        <w:ind w:left="840" w:hanging="446"/>
        <w:spacing w:after="0"/>
        <w:tabs>
          <w:tab w:leader="none" w:pos="8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225" w:lineRule="exact"/>
        <w:rPr>
          <w:rFonts w:ascii="Arial" w:cs="Arial" w:eastAsia="Arial" w:hAnsi="Arial"/>
          <w:sz w:val="18"/>
          <w:szCs w:val="18"/>
          <w:color w:val="auto"/>
        </w:rPr>
      </w:pPr>
    </w:p>
    <w:p>
      <w:pPr>
        <w:ind w:left="-60" w:right="80" w:firstLine="464"/>
        <w:spacing w:after="0" w:line="264" w:lineRule="auto"/>
        <w:tabs>
          <w:tab w:leader="none" w:pos="69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81" w:lineRule="exact"/>
        <w:rPr>
          <w:rFonts w:ascii="Arial" w:cs="Arial" w:eastAsia="Arial" w:hAnsi="Arial"/>
          <w:sz w:val="18"/>
          <w:szCs w:val="18"/>
          <w:color w:val="auto"/>
        </w:rPr>
      </w:pPr>
    </w:p>
    <w:p>
      <w:pPr>
        <w:ind w:left="660" w:hanging="256"/>
        <w:spacing w:after="0"/>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Regular Deferral Election, or a Subsequent Election.</w:t>
      </w:r>
    </w:p>
    <w:p>
      <w:pPr>
        <w:spacing w:after="0" w:line="225" w:lineRule="exact"/>
        <w:rPr>
          <w:rFonts w:ascii="Arial" w:cs="Arial" w:eastAsia="Arial" w:hAnsi="Arial"/>
          <w:sz w:val="18"/>
          <w:szCs w:val="18"/>
          <w:color w:val="auto"/>
        </w:rPr>
      </w:pPr>
    </w:p>
    <w:p>
      <w:pPr>
        <w:ind w:left="660" w:hanging="256"/>
        <w:spacing w:after="0"/>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225" w:lineRule="exact"/>
        <w:rPr>
          <w:rFonts w:ascii="Arial" w:cs="Arial" w:eastAsia="Arial" w:hAnsi="Arial"/>
          <w:sz w:val="18"/>
          <w:szCs w:val="18"/>
          <w:color w:val="auto"/>
        </w:rPr>
      </w:pPr>
    </w:p>
    <w:p>
      <w:pPr>
        <w:ind w:left="640" w:hanging="236"/>
        <w:spacing w:after="0"/>
        <w:tabs>
          <w:tab w:leader="none" w:pos="6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131" w:lineRule="exact"/>
        <w:rPr>
          <w:sz w:val="20"/>
          <w:szCs w:val="20"/>
          <w:color w:val="auto"/>
        </w:rPr>
      </w:pPr>
    </w:p>
    <w:p>
      <w:pPr>
        <w:ind w:left="840" w:right="200" w:hanging="446"/>
        <w:spacing w:after="0" w:line="308" w:lineRule="auto"/>
        <w:tabs>
          <w:tab w:leader="none" w:pos="8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51" w:lineRule="exact"/>
        <w:rPr>
          <w:rFonts w:ascii="Arial" w:cs="Arial" w:eastAsia="Arial" w:hAnsi="Arial"/>
          <w:sz w:val="17"/>
          <w:szCs w:val="17"/>
          <w:color w:val="auto"/>
        </w:rPr>
      </w:pPr>
    </w:p>
    <w:p>
      <w:pPr>
        <w:ind w:left="840" w:right="40" w:hanging="446"/>
        <w:spacing w:after="0" w:line="264" w:lineRule="auto"/>
        <w:tabs>
          <w:tab w:leader="none" w:pos="8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86" w:lineRule="exact"/>
        <w:rPr>
          <w:rFonts w:ascii="Arial" w:cs="Arial" w:eastAsia="Arial" w:hAnsi="Arial"/>
          <w:sz w:val="18"/>
          <w:szCs w:val="18"/>
          <w:color w:val="auto"/>
        </w:rPr>
      </w:pPr>
    </w:p>
    <w:p>
      <w:pPr>
        <w:ind w:left="840" w:hanging="446"/>
        <w:spacing w:after="0"/>
        <w:tabs>
          <w:tab w:leader="none" w:pos="8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Shares are not so listed nor trades of Shares so reported, Fair Market Value shall be determined by the Committee in good faith.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274" w:right="299" w:bottom="1440" w:gutter="0" w:footer="0" w:header="0"/>
        </w:sectPr>
      </w:pPr>
    </w:p>
    <w:bookmarkStart w:id="201" w:name="page202"/>
    <w:bookmarkEnd w:id="201"/>
    <w:p>
      <w:pPr>
        <w:ind w:left="-20" w:firstLine="464"/>
        <w:spacing w:after="0" w:line="308" w:lineRule="auto"/>
        <w:tabs>
          <w:tab w:leader="none" w:pos="761" w:val="left"/>
        </w:tabs>
        <w:numPr>
          <w:ilvl w:val="1"/>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Family Member</w:t>
      </w:r>
      <w:r>
        <w:rPr>
          <w:rFonts w:ascii="Arial" w:cs="Arial" w:eastAsia="Arial" w:hAnsi="Arial"/>
          <w:sz w:val="17"/>
          <w:szCs w:val="17"/>
          <w:color w:val="auto"/>
        </w:rPr>
        <w:t>” has the meaning given to such term in General Instructions A.1(a)(5) to Form S-8 under the Securities Act of 1933, as amended, and any successor thereto.</w:t>
      </w:r>
    </w:p>
    <w:p>
      <w:pPr>
        <w:spacing w:after="0" w:line="146" w:lineRule="exact"/>
        <w:rPr>
          <w:rFonts w:ascii="Arial" w:cs="Arial" w:eastAsia="Arial" w:hAnsi="Arial"/>
          <w:sz w:val="17"/>
          <w:szCs w:val="17"/>
          <w:color w:val="auto"/>
        </w:rPr>
      </w:pPr>
    </w:p>
    <w:p>
      <w:pPr>
        <w:ind w:left="-20" w:right="280" w:firstLine="464"/>
        <w:spacing w:after="0" w:line="277" w:lineRule="auto"/>
        <w:tabs>
          <w:tab w:leader="none" w:pos="78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1(c) that were deferred under the Plan and that were earned and vested before January 1, 2005.</w:t>
      </w:r>
    </w:p>
    <w:p>
      <w:pPr>
        <w:spacing w:after="0" w:line="170" w:lineRule="exact"/>
        <w:rPr>
          <w:rFonts w:ascii="Arial" w:cs="Arial" w:eastAsia="Arial" w:hAnsi="Arial"/>
          <w:sz w:val="18"/>
          <w:szCs w:val="18"/>
          <w:color w:val="auto"/>
        </w:rPr>
      </w:pPr>
    </w:p>
    <w:p>
      <w:pPr>
        <w:ind w:left="760" w:hanging="316"/>
        <w:spacing w:after="0"/>
        <w:tabs>
          <w:tab w:leader="none" w:pos="7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225" w:lineRule="exact"/>
        <w:rPr>
          <w:rFonts w:ascii="Arial" w:cs="Arial" w:eastAsia="Arial" w:hAnsi="Arial"/>
          <w:sz w:val="18"/>
          <w:szCs w:val="18"/>
          <w:color w:val="auto"/>
        </w:rPr>
      </w:pPr>
    </w:p>
    <w:p>
      <w:pPr>
        <w:ind w:left="-20" w:right="180" w:firstLine="464"/>
        <w:spacing w:after="0" w:line="273" w:lineRule="auto"/>
        <w:tabs>
          <w:tab w:leader="none" w:pos="781" w:val="left"/>
        </w:tabs>
        <w:numPr>
          <w:ilvl w:val="1"/>
          <w:numId w:val="1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Hardship</w:t>
      </w:r>
      <w:r>
        <w:rPr>
          <w:rFonts w:ascii="Arial" w:cs="Arial" w:eastAsia="Arial" w:hAnsi="Arial"/>
          <w:sz w:val="17"/>
          <w:szCs w:val="17"/>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78" w:lineRule="exact"/>
        <w:rPr>
          <w:rFonts w:ascii="Arial" w:cs="Arial" w:eastAsia="Arial" w:hAnsi="Arial"/>
          <w:sz w:val="17"/>
          <w:szCs w:val="17"/>
          <w:color w:val="auto"/>
        </w:rPr>
      </w:pPr>
    </w:p>
    <w:p>
      <w:pPr>
        <w:ind w:left="760" w:hanging="316"/>
        <w:spacing w:after="0"/>
        <w:tabs>
          <w:tab w:leader="none" w:pos="7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High Water Mark</w:t>
      </w:r>
      <w:r>
        <w:rPr>
          <w:rFonts w:ascii="Arial" w:cs="Arial" w:eastAsia="Arial" w:hAnsi="Arial"/>
          <w:sz w:val="17"/>
          <w:szCs w:val="17"/>
          <w:color w:val="auto"/>
        </w:rPr>
        <w:t>” means:</w:t>
      </w:r>
    </w:p>
    <w:p>
      <w:pPr>
        <w:spacing w:after="0" w:line="142" w:lineRule="exact"/>
        <w:rPr>
          <w:rFonts w:ascii="Arial" w:cs="Arial" w:eastAsia="Arial" w:hAnsi="Arial"/>
          <w:sz w:val="17"/>
          <w:szCs w:val="17"/>
          <w:color w:val="auto"/>
        </w:rPr>
      </w:pPr>
    </w:p>
    <w:p>
      <w:pPr>
        <w:ind w:left="880" w:hanging="446"/>
        <w:spacing w:after="0" w:line="342" w:lineRule="auto"/>
        <w:tabs>
          <w:tab w:leader="none" w:pos="8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pacing w:after="0" w:line="29" w:lineRule="exact"/>
        <w:rPr>
          <w:rFonts w:ascii="Arial" w:cs="Arial" w:eastAsia="Arial" w:hAnsi="Arial"/>
          <w:sz w:val="16"/>
          <w:szCs w:val="16"/>
          <w:color w:val="auto"/>
        </w:rPr>
      </w:pPr>
    </w:p>
    <w:p>
      <w:pPr>
        <w:ind w:left="1460" w:hanging="567"/>
        <w:spacing w:after="0"/>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the Grantee’s Account under the 2005 Deferred Compensation Plan; plus</w:t>
      </w:r>
    </w:p>
    <w:p>
      <w:pPr>
        <w:spacing w:after="0" w:line="130" w:lineRule="exact"/>
        <w:rPr>
          <w:rFonts w:ascii="Arial" w:cs="Arial" w:eastAsia="Arial" w:hAnsi="Arial"/>
          <w:sz w:val="18"/>
          <w:szCs w:val="18"/>
          <w:color w:val="auto"/>
        </w:rPr>
      </w:pPr>
    </w:p>
    <w:p>
      <w:pPr>
        <w:ind w:left="1460" w:hanging="567"/>
        <w:spacing w:after="0"/>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the Grantee’s Account under the 2002 Deferred Compensation Plan; plus</w:t>
      </w:r>
    </w:p>
    <w:p>
      <w:pPr>
        <w:spacing w:after="0" w:line="130" w:lineRule="exact"/>
        <w:rPr>
          <w:rFonts w:ascii="Arial" w:cs="Arial" w:eastAsia="Arial" w:hAnsi="Arial"/>
          <w:sz w:val="18"/>
          <w:szCs w:val="18"/>
          <w:color w:val="auto"/>
        </w:rPr>
      </w:pPr>
    </w:p>
    <w:p>
      <w:pPr>
        <w:ind w:left="1460" w:hanging="567"/>
        <w:spacing w:after="0"/>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the portion of the Grantee’s Account under this Plan credited to the Income Fund.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202" w:name="page203"/>
    <w:bookmarkEnd w:id="202"/>
    <w:p>
      <w:pPr>
        <w:jc w:val="both"/>
        <w:ind w:left="840" w:right="220" w:hanging="446"/>
        <w:spacing w:after="0" w:line="312" w:lineRule="auto"/>
        <w:tabs>
          <w:tab w:leader="none" w:pos="8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amounts credited to the Income Fund on account of Diversification Elections and Special Diversification Elections made after 2014, the sum of (x) plus (y) where (x) equals the highest of the sum of the amounts described in Paragraphs 2(ee)(i)(A), (B) and (C) as of the last day of any calendar quarter beginning after December 31, 2008 and before January 1, 2014, and (y) equals the sum of:</w:t>
      </w:r>
    </w:p>
    <w:p>
      <w:pPr>
        <w:spacing w:after="0" w:line="52" w:lineRule="exact"/>
        <w:rPr>
          <w:rFonts w:ascii="Arial" w:cs="Arial" w:eastAsia="Arial" w:hAnsi="Arial"/>
          <w:sz w:val="16"/>
          <w:szCs w:val="16"/>
          <w:color w:val="auto"/>
        </w:rPr>
      </w:pPr>
    </w:p>
    <w:p>
      <w:pPr>
        <w:ind w:left="1420" w:right="20" w:hanging="567"/>
        <w:spacing w:after="0" w:line="264" w:lineRule="auto"/>
        <w:tabs>
          <w:tab w:leader="none" w:pos="142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amount credited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86" w:lineRule="exact"/>
        <w:rPr>
          <w:rFonts w:ascii="Arial" w:cs="Arial" w:eastAsia="Arial" w:hAnsi="Arial"/>
          <w:sz w:val="18"/>
          <w:szCs w:val="18"/>
          <w:color w:val="auto"/>
        </w:rPr>
      </w:pPr>
    </w:p>
    <w:p>
      <w:pPr>
        <w:ind w:left="1420" w:hanging="567"/>
        <w:spacing w:after="0" w:line="277" w:lineRule="auto"/>
        <w:tabs>
          <w:tab w:leader="none" w:pos="142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deferred portion of a Grantee’s cash bonus award earned for 2013 and payable, but for the Grantee’s deferral election under the 2005 Deferred Compensation Plan after December 31, 2013 and on or before September 30, 2014; plus</w:t>
      </w:r>
    </w:p>
    <w:p>
      <w:pPr>
        <w:spacing w:after="0" w:line="75" w:lineRule="exact"/>
        <w:rPr>
          <w:rFonts w:ascii="Arial" w:cs="Arial" w:eastAsia="Arial" w:hAnsi="Arial"/>
          <w:sz w:val="18"/>
          <w:szCs w:val="18"/>
          <w:color w:val="auto"/>
        </w:rPr>
      </w:pPr>
    </w:p>
    <w:p>
      <w:pPr>
        <w:jc w:val="both"/>
        <w:ind w:left="1420" w:right="220" w:hanging="567"/>
        <w:spacing w:after="0" w:line="342" w:lineRule="auto"/>
        <w:tabs>
          <w:tab w:leader="none" w:pos="1420" w:val="left"/>
        </w:tabs>
        <w:numPr>
          <w:ilvl w:val="2"/>
          <w:numId w:val="130"/>
        </w:numPr>
        <w:rPr>
          <w:rFonts w:ascii="Arial" w:cs="Arial" w:eastAsia="Arial" w:hAnsi="Arial"/>
          <w:sz w:val="16"/>
          <w:szCs w:val="16"/>
          <w:color w:val="auto"/>
        </w:rPr>
      </w:pPr>
      <w:r>
        <w:rPr>
          <w:rFonts w:ascii="Arial" w:cs="Arial" w:eastAsia="Arial" w:hAnsi="Arial"/>
          <w:sz w:val="16"/>
          <w:szCs w:val="16"/>
          <w:color w:val="auto"/>
        </w:rPr>
        <w:t>The amount credited to the Income Fund pursuant to a Diversification Election or Special Diversification Election made by a Grantee before January 1, 2014 with respect to Restricted Stock Units that vest after December 31, 2013 and on or before September 30, 2014.</w:t>
      </w:r>
    </w:p>
    <w:p>
      <w:pPr>
        <w:spacing w:after="0" w:line="123" w:lineRule="exact"/>
        <w:rPr>
          <w:rFonts w:ascii="Arial" w:cs="Arial" w:eastAsia="Arial" w:hAnsi="Arial"/>
          <w:sz w:val="16"/>
          <w:szCs w:val="16"/>
          <w:color w:val="auto"/>
        </w:rPr>
      </w:pPr>
    </w:p>
    <w:p>
      <w:pPr>
        <w:ind w:left="-60" w:right="20" w:firstLine="464"/>
        <w:spacing w:after="0" w:line="293" w:lineRule="auto"/>
        <w:tabs>
          <w:tab w:leader="none" w:pos="67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Paragraph 2(b) and Paragraph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participant’s account under such 2005 Deferred Compensation Plan.</w:t>
      </w:r>
    </w:p>
    <w:p>
      <w:pPr>
        <w:spacing w:after="0" w:line="164" w:lineRule="exact"/>
        <w:rPr>
          <w:rFonts w:ascii="Arial" w:cs="Arial" w:eastAsia="Arial" w:hAnsi="Arial"/>
          <w:sz w:val="16"/>
          <w:szCs w:val="16"/>
          <w:color w:val="auto"/>
        </w:rPr>
      </w:pPr>
    </w:p>
    <w:p>
      <w:pPr>
        <w:jc w:val="both"/>
        <w:ind w:left="-60" w:right="100" w:firstLine="464"/>
        <w:spacing w:after="0" w:line="264" w:lineRule="auto"/>
        <w:tabs>
          <w:tab w:leader="none" w:pos="74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8(a)(i), to defer the distribution date of Shares issuable with respect to Restricted Stock Units; and (ii) designates the distribution date of such Shares.</w:t>
      </w:r>
    </w:p>
    <w:p>
      <w:pPr>
        <w:spacing w:after="0" w:line="181" w:lineRule="exact"/>
        <w:rPr>
          <w:rFonts w:ascii="Arial" w:cs="Arial" w:eastAsia="Arial" w:hAnsi="Arial"/>
          <w:sz w:val="18"/>
          <w:szCs w:val="18"/>
          <w:color w:val="auto"/>
        </w:rPr>
      </w:pPr>
    </w:p>
    <w:p>
      <w:pPr>
        <w:ind w:left="740" w:hanging="336"/>
        <w:spacing w:after="0"/>
        <w:tabs>
          <w:tab w:leader="none" w:pos="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131" w:lineRule="exact"/>
        <w:rPr>
          <w:sz w:val="20"/>
          <w:szCs w:val="20"/>
          <w:color w:val="auto"/>
        </w:rPr>
      </w:pPr>
    </w:p>
    <w:p>
      <w:pPr>
        <w:ind w:left="840" w:hanging="446"/>
        <w:spacing w:after="0"/>
        <w:tabs>
          <w:tab w:leader="none" w:pos="8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Effective before January 1, 2014, each employee of a Participating Company who:</w:t>
      </w:r>
    </w:p>
    <w:p>
      <w:pPr>
        <w:spacing w:after="0" w:line="130" w:lineRule="exact"/>
        <w:rPr>
          <w:rFonts w:ascii="Arial" w:cs="Arial" w:eastAsia="Arial" w:hAnsi="Arial"/>
          <w:sz w:val="18"/>
          <w:szCs w:val="18"/>
          <w:color w:val="auto"/>
        </w:rPr>
      </w:pPr>
    </w:p>
    <w:p>
      <w:pPr>
        <w:ind w:left="1420" w:right="880" w:hanging="567"/>
        <w:spacing w:after="0" w:line="277" w:lineRule="auto"/>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$200,000 or more as of his employment commencement date;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300" w:top="274" w:right="299" w:bottom="1440" w:gutter="0" w:footer="0" w:header="0"/>
        </w:sectPr>
      </w:pPr>
    </w:p>
    <w:bookmarkStart w:id="203" w:name="page204"/>
    <w:bookmarkEnd w:id="203"/>
    <w:p>
      <w:pPr>
        <w:ind w:left="1460" w:right="460" w:hanging="567"/>
        <w:spacing w:after="0" w:line="277" w:lineRule="auto"/>
        <w:tabs>
          <w:tab w:leader="none" w:pos="1460" w:val="left"/>
        </w:tabs>
        <w:numPr>
          <w:ilvl w:val="2"/>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an Annual Rate of Pay that is increased to $200,000 or more and who, immediately preceding such increase, was not a Deferral Eligible Employee.</w:t>
      </w:r>
    </w:p>
    <w:p>
      <w:pPr>
        <w:spacing w:after="0" w:line="75" w:lineRule="exact"/>
        <w:rPr>
          <w:rFonts w:ascii="Arial" w:cs="Arial" w:eastAsia="Arial" w:hAnsi="Arial"/>
          <w:sz w:val="18"/>
          <w:szCs w:val="18"/>
          <w:color w:val="auto"/>
        </w:rPr>
      </w:pPr>
    </w:p>
    <w:p>
      <w:pPr>
        <w:ind w:left="880" w:hanging="446"/>
        <w:spacing w:after="0"/>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Effective on and after January 1, 2014, each employee of a Participating Company who:</w:t>
      </w:r>
    </w:p>
    <w:p>
      <w:pPr>
        <w:spacing w:after="0" w:line="130" w:lineRule="exact"/>
        <w:rPr>
          <w:rFonts w:ascii="Arial" w:cs="Arial" w:eastAsia="Arial" w:hAnsi="Arial"/>
          <w:sz w:val="18"/>
          <w:szCs w:val="18"/>
          <w:color w:val="auto"/>
        </w:rPr>
      </w:pPr>
    </w:p>
    <w:p>
      <w:pPr>
        <w:ind w:left="1460" w:right="920" w:hanging="567"/>
        <w:spacing w:after="0" w:line="277" w:lineRule="auto"/>
        <w:tabs>
          <w:tab w:leader="none" w:pos="14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$250,000 or more as of his employment commencement date; or</w:t>
      </w:r>
    </w:p>
    <w:p>
      <w:pPr>
        <w:spacing w:after="0" w:line="75" w:lineRule="exact"/>
        <w:rPr>
          <w:rFonts w:ascii="Arial" w:cs="Arial" w:eastAsia="Arial" w:hAnsi="Arial"/>
          <w:sz w:val="18"/>
          <w:szCs w:val="18"/>
          <w:color w:val="auto"/>
        </w:rPr>
      </w:pPr>
    </w:p>
    <w:p>
      <w:pPr>
        <w:ind w:left="1460" w:right="460" w:hanging="567"/>
        <w:spacing w:after="0" w:line="277" w:lineRule="auto"/>
        <w:tabs>
          <w:tab w:leader="none" w:pos="14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has an Annual Rate of Pay that is increased to $250,000 or more and who, immediately preceding such increase, was not a Deferral Eligible Employee.</w:t>
      </w:r>
    </w:p>
    <w:p>
      <w:pPr>
        <w:spacing w:after="0" w:line="170" w:lineRule="exact"/>
        <w:rPr>
          <w:rFonts w:ascii="Arial" w:cs="Arial" w:eastAsia="Arial" w:hAnsi="Arial"/>
          <w:sz w:val="18"/>
          <w:szCs w:val="18"/>
          <w:color w:val="auto"/>
        </w:rPr>
      </w:pPr>
    </w:p>
    <w:p>
      <w:pPr>
        <w:ind w:left="-20" w:firstLine="464"/>
        <w:spacing w:after="0" w:line="277" w:lineRule="auto"/>
        <w:tabs>
          <w:tab w:leader="none" w:pos="70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70" w:lineRule="exact"/>
        <w:rPr>
          <w:rFonts w:ascii="Arial" w:cs="Arial" w:eastAsia="Arial" w:hAnsi="Arial"/>
          <w:sz w:val="18"/>
          <w:szCs w:val="18"/>
          <w:color w:val="auto"/>
        </w:rPr>
      </w:pPr>
    </w:p>
    <w:p>
      <w:pPr>
        <w:ind w:left="-20" w:right="740" w:firstLine="464"/>
        <w:spacing w:after="0" w:line="277" w:lineRule="auto"/>
        <w:tabs>
          <w:tab w:leader="none" w:pos="70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70" w:lineRule="exact"/>
        <w:rPr>
          <w:rFonts w:ascii="Arial" w:cs="Arial" w:eastAsia="Arial" w:hAnsi="Arial"/>
          <w:sz w:val="18"/>
          <w:szCs w:val="18"/>
          <w:color w:val="auto"/>
        </w:rPr>
      </w:pPr>
    </w:p>
    <w:p>
      <w:pPr>
        <w:ind w:left="780" w:hanging="336"/>
        <w:spacing w:after="0"/>
        <w:tabs>
          <w:tab w:leader="none" w:pos="7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131" w:lineRule="exact"/>
        <w:rPr>
          <w:sz w:val="20"/>
          <w:szCs w:val="20"/>
          <w:color w:val="auto"/>
        </w:rPr>
      </w:pPr>
    </w:p>
    <w:p>
      <w:pPr>
        <w:ind w:left="880" w:right="300" w:hanging="446"/>
        <w:spacing w:after="0" w:line="342" w:lineRule="auto"/>
        <w:tabs>
          <w:tab w:leader="none" w:pos="8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29" w:lineRule="exact"/>
        <w:rPr>
          <w:rFonts w:ascii="Arial" w:cs="Arial" w:eastAsia="Arial" w:hAnsi="Arial"/>
          <w:sz w:val="16"/>
          <w:szCs w:val="16"/>
          <w:color w:val="auto"/>
        </w:rPr>
      </w:pPr>
    </w:p>
    <w:p>
      <w:pPr>
        <w:ind w:left="880" w:hanging="446"/>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130" w:lineRule="exact"/>
        <w:rPr>
          <w:rFonts w:ascii="Arial" w:cs="Arial" w:eastAsia="Arial" w:hAnsi="Arial"/>
          <w:sz w:val="18"/>
          <w:szCs w:val="18"/>
          <w:color w:val="auto"/>
        </w:rPr>
      </w:pPr>
    </w:p>
    <w:p>
      <w:pPr>
        <w:ind w:left="1460" w:right="40" w:hanging="567"/>
        <w:spacing w:after="0" w:line="277" w:lineRule="auto"/>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2(kk)(i); over</w:t>
      </w:r>
    </w:p>
    <w:p>
      <w:pPr>
        <w:spacing w:after="0" w:line="75" w:lineRule="exact"/>
        <w:rPr>
          <w:rFonts w:ascii="Arial" w:cs="Arial" w:eastAsia="Arial" w:hAnsi="Arial"/>
          <w:sz w:val="18"/>
          <w:szCs w:val="18"/>
          <w:color w:val="auto"/>
        </w:rPr>
      </w:pPr>
    </w:p>
    <w:p>
      <w:pPr>
        <w:ind w:left="1460" w:hanging="567"/>
        <w:spacing w:after="0"/>
        <w:tabs>
          <w:tab w:leader="none" w:pos="14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for less than six months; plus</w:t>
      </w:r>
    </w:p>
    <w:p>
      <w:pPr>
        <w:spacing w:after="0" w:line="117" w:lineRule="exact"/>
        <w:rPr>
          <w:rFonts w:ascii="Arial" w:cs="Arial" w:eastAsia="Arial" w:hAnsi="Arial"/>
          <w:sz w:val="18"/>
          <w:szCs w:val="18"/>
          <w:color w:val="auto"/>
        </w:rPr>
      </w:pPr>
    </w:p>
    <w:p>
      <w:pPr>
        <w:ind w:left="900" w:right="160" w:firstLine="421"/>
        <w:spacing w:after="0" w:line="308" w:lineRule="auto"/>
        <w:tabs>
          <w:tab w:leader="none" w:pos="1575" w:val="left"/>
        </w:tabs>
        <w:numPr>
          <w:ilvl w:val="2"/>
          <w:numId w:val="134"/>
        </w:numPr>
        <w:rPr>
          <w:rFonts w:ascii="Arial" w:cs="Arial" w:eastAsia="Arial" w:hAnsi="Arial"/>
          <w:sz w:val="17"/>
          <w:szCs w:val="17"/>
          <w:color w:val="auto"/>
        </w:rPr>
      </w:pPr>
      <w:r>
        <w:rPr>
          <w:rFonts w:ascii="Arial" w:cs="Arial" w:eastAsia="Arial" w:hAnsi="Arial"/>
          <w:sz w:val="17"/>
          <w:szCs w:val="17"/>
          <w:color w:val="auto"/>
        </w:rPr>
        <w:t>The number of such Shares owned by such Grantee or such Grantee’s Family Member that has, within the preceding six months, been the subject of a certification pursuant to Paragraph 9(c)(ii) or any similar certification under any other Comcast Plan; plus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204" w:name="page205"/>
    <w:bookmarkEnd w:id="204"/>
    <w:p>
      <w:pPr>
        <w:ind w:left="920" w:firstLine="421"/>
        <w:spacing w:after="0" w:line="259" w:lineRule="auto"/>
        <w:tabs>
          <w:tab w:leader="none" w:pos="15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78" w:lineRule="exact"/>
        <w:rPr>
          <w:rFonts w:ascii="Arial" w:cs="Arial" w:eastAsia="Arial" w:hAnsi="Arial"/>
          <w:sz w:val="18"/>
          <w:szCs w:val="18"/>
          <w:color w:val="auto"/>
        </w:rPr>
      </w:pPr>
    </w:p>
    <w:p>
      <w:pPr>
        <w:jc w:val="both"/>
        <w:ind w:left="920" w:right="100" w:firstLine="421"/>
        <w:spacing w:after="0" w:line="286" w:lineRule="auto"/>
        <w:tabs>
          <w:tab w:leader="none" w:pos="159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6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purposes of this Paragraph 2(kk),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pacing w:after="0" w:line="171" w:lineRule="exact"/>
        <w:rPr>
          <w:sz w:val="20"/>
          <w:szCs w:val="20"/>
          <w:color w:val="auto"/>
        </w:rPr>
      </w:pPr>
    </w:p>
    <w:p>
      <w:pPr>
        <w:ind w:left="720" w:hanging="256"/>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225" w:lineRule="exact"/>
        <w:rPr>
          <w:rFonts w:ascii="Arial" w:cs="Arial" w:eastAsia="Arial" w:hAnsi="Arial"/>
          <w:sz w:val="18"/>
          <w:szCs w:val="18"/>
          <w:color w:val="auto"/>
        </w:rPr>
      </w:pPr>
    </w:p>
    <w:p>
      <w:pPr>
        <w:ind w:left="900" w:hanging="43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225" w:lineRule="exact"/>
        <w:rPr>
          <w:rFonts w:ascii="Arial" w:cs="Arial" w:eastAsia="Arial" w:hAnsi="Arial"/>
          <w:sz w:val="18"/>
          <w:szCs w:val="18"/>
          <w:color w:val="auto"/>
        </w:rPr>
      </w:pPr>
    </w:p>
    <w:p>
      <w:pPr>
        <w:ind w:right="60" w:firstLine="464"/>
        <w:spacing w:after="0" w:line="259" w:lineRule="auto"/>
        <w:tabs>
          <w:tab w:leader="none" w:pos="8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205" w:name="page206"/>
    <w:bookmarkEnd w:id="205"/>
    <w:p>
      <w:pPr>
        <w:ind w:left="-20" w:right="40" w:firstLine="464"/>
        <w:spacing w:after="0" w:line="264" w:lineRule="auto"/>
        <w:tabs>
          <w:tab w:leader="none" w:pos="721"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Regular Deferral Election</w:t>
      </w:r>
      <w:r>
        <w:rPr>
          <w:rFonts w:ascii="Arial" w:cs="Arial" w:eastAsia="Arial" w:hAnsi="Arial"/>
          <w:sz w:val="18"/>
          <w:szCs w:val="18"/>
          <w:color w:val="auto"/>
        </w:rPr>
        <w:t>” means a written election on a form provided by the Committee, pursuant to which a Grantee: (i) elects, within the time or times specified in Paragraph 8(a)(ii), to defer the distribution date of Shares issuable with respect to Restricted Stock Units; and (ii) designates the distribution date of such Shares.</w:t>
      </w:r>
    </w:p>
    <w:p>
      <w:pPr>
        <w:spacing w:after="0" w:line="181" w:lineRule="exact"/>
        <w:rPr>
          <w:rFonts w:ascii="Arial" w:cs="Arial" w:eastAsia="Arial" w:hAnsi="Arial"/>
          <w:sz w:val="18"/>
          <w:szCs w:val="18"/>
          <w:color w:val="auto"/>
        </w:rPr>
      </w:pPr>
    </w:p>
    <w:p>
      <w:pPr>
        <w:ind w:left="740" w:hanging="296"/>
        <w:spacing w:after="0"/>
        <w:tabs>
          <w:tab w:leader="none" w:pos="7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Shares subject to restrictions as set forth in an Award.</w:t>
      </w:r>
    </w:p>
    <w:p>
      <w:pPr>
        <w:spacing w:after="0" w:line="236" w:lineRule="exact"/>
        <w:rPr>
          <w:rFonts w:ascii="Arial" w:cs="Arial" w:eastAsia="Arial" w:hAnsi="Arial"/>
          <w:sz w:val="17"/>
          <w:szCs w:val="17"/>
          <w:color w:val="auto"/>
        </w:rPr>
      </w:pPr>
    </w:p>
    <w:p>
      <w:pPr>
        <w:ind w:left="700" w:hanging="256"/>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225" w:lineRule="exact"/>
        <w:rPr>
          <w:rFonts w:ascii="Arial" w:cs="Arial" w:eastAsia="Arial" w:hAnsi="Arial"/>
          <w:sz w:val="18"/>
          <w:szCs w:val="18"/>
          <w:color w:val="auto"/>
        </w:rPr>
      </w:pPr>
    </w:p>
    <w:p>
      <w:pPr>
        <w:ind w:left="780" w:hanging="336"/>
        <w:spacing w:after="0"/>
        <w:tabs>
          <w:tab w:leader="none" w:pos="7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225" w:lineRule="exact"/>
        <w:rPr>
          <w:rFonts w:ascii="Arial" w:cs="Arial" w:eastAsia="Arial" w:hAnsi="Arial"/>
          <w:sz w:val="18"/>
          <w:szCs w:val="18"/>
          <w:color w:val="auto"/>
        </w:rPr>
      </w:pPr>
    </w:p>
    <w:p>
      <w:pPr>
        <w:ind w:left="780" w:hanging="336"/>
        <w:spacing w:after="0"/>
        <w:tabs>
          <w:tab w:leader="none" w:pos="7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25" w:lineRule="exact"/>
        <w:rPr>
          <w:rFonts w:ascii="Arial" w:cs="Arial" w:eastAsia="Arial" w:hAnsi="Arial"/>
          <w:sz w:val="18"/>
          <w:szCs w:val="18"/>
          <w:color w:val="auto"/>
        </w:rPr>
      </w:pPr>
    </w:p>
    <w:p>
      <w:pPr>
        <w:ind w:left="860" w:hanging="416"/>
        <w:spacing w:after="0"/>
        <w:tabs>
          <w:tab w:leader="none" w:pos="8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248" w:lineRule="exact"/>
        <w:rPr>
          <w:rFonts w:ascii="Arial" w:cs="Arial" w:eastAsia="Arial" w:hAnsi="Arial"/>
          <w:sz w:val="16"/>
          <w:szCs w:val="16"/>
          <w:color w:val="auto"/>
        </w:rPr>
      </w:pPr>
    </w:p>
    <w:p>
      <w:pPr>
        <w:ind w:left="780" w:hanging="336"/>
        <w:spacing w:after="0"/>
        <w:tabs>
          <w:tab w:leader="none" w:pos="7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 a share or shares of Common Stock.</w:t>
      </w:r>
    </w:p>
    <w:p>
      <w:pPr>
        <w:spacing w:after="0" w:line="225" w:lineRule="exact"/>
        <w:rPr>
          <w:rFonts w:ascii="Arial" w:cs="Arial" w:eastAsia="Arial" w:hAnsi="Arial"/>
          <w:sz w:val="18"/>
          <w:szCs w:val="18"/>
          <w:color w:val="auto"/>
        </w:rPr>
      </w:pPr>
    </w:p>
    <w:p>
      <w:pPr>
        <w:ind w:left="-20" w:firstLine="464"/>
        <w:spacing w:after="0" w:line="259" w:lineRule="auto"/>
        <w:tabs>
          <w:tab w:leader="none" w:pos="78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186" w:lineRule="exact"/>
        <w:rPr>
          <w:rFonts w:ascii="Arial" w:cs="Arial" w:eastAsia="Arial" w:hAnsi="Arial"/>
          <w:sz w:val="18"/>
          <w:szCs w:val="18"/>
          <w:color w:val="auto"/>
        </w:rPr>
      </w:pPr>
    </w:p>
    <w:p>
      <w:pPr>
        <w:ind w:left="-20" w:right="80" w:firstLine="464"/>
        <w:spacing w:after="0" w:line="264" w:lineRule="auto"/>
        <w:tabs>
          <w:tab w:leader="none" w:pos="76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81" w:lineRule="exact"/>
        <w:rPr>
          <w:sz w:val="20"/>
          <w:szCs w:val="20"/>
          <w:color w:val="auto"/>
        </w:rPr>
      </w:pPr>
    </w:p>
    <w:p>
      <w:pPr>
        <w:ind w:left="-20" w:right="160" w:firstLine="464"/>
        <w:spacing w:after="0" w:line="342" w:lineRule="auto"/>
        <w:tabs>
          <w:tab w:leader="none" w:pos="84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Companies</w:t>
      </w:r>
      <w:r>
        <w:rPr>
          <w:rFonts w:ascii="Arial" w:cs="Arial" w:eastAsia="Arial" w:hAnsi="Arial"/>
          <w:sz w:val="16"/>
          <w:szCs w:val="16"/>
          <w:color w:val="auto"/>
        </w:rPr>
        <w:t>” means all business entities that, at the time in question, are subsidiaries of the Company, within the meaning of section 424(f) of the Code.</w:t>
      </w:r>
    </w:p>
    <w:p>
      <w:pPr>
        <w:spacing w:after="0" w:line="123" w:lineRule="exact"/>
        <w:rPr>
          <w:rFonts w:ascii="Arial" w:cs="Arial" w:eastAsia="Arial" w:hAnsi="Arial"/>
          <w:sz w:val="16"/>
          <w:szCs w:val="16"/>
          <w:color w:val="auto"/>
        </w:rPr>
      </w:pPr>
    </w:p>
    <w:p>
      <w:pPr>
        <w:ind w:left="-20" w:right="420" w:firstLine="464"/>
        <w:spacing w:after="0" w:line="277" w:lineRule="auto"/>
        <w:tabs>
          <w:tab w:leader="none" w:pos="87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74" w:right="259" w:bottom="1440" w:gutter="0" w:footer="0" w:header="0"/>
        </w:sectPr>
      </w:pPr>
    </w:p>
    <w:bookmarkStart w:id="206" w:name="page207"/>
    <w:bookmarkEnd w:id="206"/>
    <w:p>
      <w:pPr>
        <w:ind w:left="852" w:hanging="396"/>
        <w:spacing w:after="0"/>
        <w:tabs>
          <w:tab w:leader="none" w:pos="852" w:val="left"/>
        </w:tabs>
        <w:numPr>
          <w:ilvl w:val="1"/>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 Change in Control.</w:t>
      </w:r>
    </w:p>
    <w:p>
      <w:pPr>
        <w:spacing w:after="0" w:line="225" w:lineRule="exact"/>
        <w:rPr>
          <w:rFonts w:ascii="Arial" w:cs="Arial" w:eastAsia="Arial" w:hAnsi="Arial"/>
          <w:sz w:val="18"/>
          <w:szCs w:val="18"/>
          <w:color w:val="auto"/>
        </w:rPr>
      </w:pPr>
    </w:p>
    <w:p>
      <w:pPr>
        <w:ind w:left="-8" w:firstLine="464"/>
        <w:spacing w:after="0" w:line="277" w:lineRule="auto"/>
        <w:tabs>
          <w:tab w:leader="none" w:pos="88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70" w:lineRule="exact"/>
        <w:rPr>
          <w:rFonts w:ascii="Arial" w:cs="Arial" w:eastAsia="Arial" w:hAnsi="Arial"/>
          <w:sz w:val="18"/>
          <w:szCs w:val="18"/>
          <w:color w:val="auto"/>
        </w:rPr>
      </w:pPr>
    </w:p>
    <w:p>
      <w:pPr>
        <w:ind w:left="-8" w:right="140" w:firstLine="464"/>
        <w:spacing w:after="0" w:line="342" w:lineRule="auto"/>
        <w:tabs>
          <w:tab w:leader="none" w:pos="85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123" w:lineRule="exact"/>
        <w:rPr>
          <w:rFonts w:ascii="Arial" w:cs="Arial" w:eastAsia="Arial" w:hAnsi="Arial"/>
          <w:sz w:val="16"/>
          <w:szCs w:val="16"/>
          <w:color w:val="auto"/>
        </w:rPr>
      </w:pPr>
    </w:p>
    <w:p>
      <w:pPr>
        <w:ind w:left="792" w:hanging="336"/>
        <w:spacing w:after="0"/>
        <w:tabs>
          <w:tab w:leader="none" w:pos="79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892" w:hanging="436"/>
        <w:spacing w:after="0"/>
        <w:tabs>
          <w:tab w:leader="none" w:pos="89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373" w:lineRule="exact"/>
        <w:rPr>
          <w:rFonts w:ascii="Arial" w:cs="Arial" w:eastAsia="Arial" w:hAnsi="Arial"/>
          <w:sz w:val="18"/>
          <w:szCs w:val="18"/>
          <w:color w:val="auto"/>
        </w:rPr>
      </w:pPr>
    </w:p>
    <w:p>
      <w:pPr>
        <w:ind w:left="452" w:hanging="452"/>
        <w:spacing w:after="0"/>
        <w:tabs>
          <w:tab w:leader="none" w:pos="452"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RIGHTS TO BE GRANTED</w:t>
      </w:r>
    </w:p>
    <w:p>
      <w:pPr>
        <w:spacing w:after="0" w:line="11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117" w:lineRule="exact"/>
        <w:rPr>
          <w:rFonts w:ascii="Arial" w:cs="Arial" w:eastAsia="Arial" w:hAnsi="Arial"/>
          <w:sz w:val="18"/>
          <w:szCs w:val="18"/>
          <w:b w:val="1"/>
          <w:bCs w:val="1"/>
          <w:color w:val="auto"/>
        </w:rPr>
      </w:pPr>
    </w:p>
    <w:p>
      <w:pPr>
        <w:ind w:left="-8" w:right="60" w:firstLine="464"/>
        <w:spacing w:after="0" w:line="277" w:lineRule="auto"/>
        <w:tabs>
          <w:tab w:leader="none" w:pos="69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70" w:lineRule="exact"/>
        <w:rPr>
          <w:rFonts w:ascii="Arial" w:cs="Arial" w:eastAsia="Arial" w:hAnsi="Arial"/>
          <w:sz w:val="18"/>
          <w:szCs w:val="18"/>
          <w:color w:val="auto"/>
        </w:rPr>
      </w:pPr>
    </w:p>
    <w:p>
      <w:pPr>
        <w:ind w:left="-8" w:right="60" w:firstLine="464"/>
        <w:spacing w:after="0" w:line="264" w:lineRule="auto"/>
        <w:tabs>
          <w:tab w:leader="none" w:pos="70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329" w:lineRule="exact"/>
        <w:rPr>
          <w:rFonts w:ascii="Arial" w:cs="Arial" w:eastAsia="Arial" w:hAnsi="Arial"/>
          <w:sz w:val="18"/>
          <w:szCs w:val="18"/>
          <w:color w:val="auto"/>
        </w:rPr>
      </w:pPr>
    </w:p>
    <w:p>
      <w:pPr>
        <w:ind w:left="452" w:hanging="452"/>
        <w:spacing w:after="0"/>
        <w:tabs>
          <w:tab w:leader="none" w:pos="452"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SHARES SUBJECT TO THE PLAN</w:t>
      </w:r>
    </w:p>
    <w:p>
      <w:pPr>
        <w:spacing w:after="0" w:line="117" w:lineRule="exact"/>
        <w:rPr>
          <w:rFonts w:ascii="Arial" w:cs="Arial" w:eastAsia="Arial" w:hAnsi="Arial"/>
          <w:sz w:val="18"/>
          <w:szCs w:val="18"/>
          <w:b w:val="1"/>
          <w:bCs w:val="1"/>
          <w:color w:val="auto"/>
        </w:rPr>
      </w:pPr>
    </w:p>
    <w:p>
      <w:pPr>
        <w:jc w:val="both"/>
        <w:ind w:left="-8" w:right="240" w:firstLine="464"/>
        <w:spacing w:after="0" w:line="264" w:lineRule="auto"/>
        <w:tabs>
          <w:tab w:leader="none" w:pos="693"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Shares Available for Grant</w:t>
      </w:r>
      <w:r>
        <w:rPr>
          <w:rFonts w:ascii="Arial" w:cs="Arial" w:eastAsia="Arial" w:hAnsi="Arial"/>
          <w:sz w:val="18"/>
          <w:szCs w:val="18"/>
          <w:color w:val="auto"/>
        </w:rPr>
        <w:t>. Subject to adjustment as provided in Paragraph 10, not more than 134 million Shares in the aggregate may be issued under the Plan pursuant to the grant of Awards. The Shares issued under the Plan may, at the Company’s option, be either Shares held in treasury or Shares originally issued for such purpose.</w:t>
      </w:r>
    </w:p>
    <w:p>
      <w:pPr>
        <w:spacing w:after="0" w:line="181" w:lineRule="exact"/>
        <w:rPr>
          <w:rFonts w:ascii="Arial" w:cs="Arial" w:eastAsia="Arial" w:hAnsi="Arial"/>
          <w:sz w:val="18"/>
          <w:szCs w:val="18"/>
          <w:color w:val="auto"/>
        </w:rPr>
      </w:pPr>
    </w:p>
    <w:p>
      <w:pPr>
        <w:ind w:left="-8" w:right="40" w:firstLine="464"/>
        <w:spacing w:after="0" w:line="277" w:lineRule="auto"/>
        <w:tabs>
          <w:tab w:leader="none" w:pos="703"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Shares Returned to the Reserve</w:t>
      </w:r>
      <w:r>
        <w:rPr>
          <w:rFonts w:ascii="Arial" w:cs="Arial" w:eastAsia="Arial" w:hAnsi="Arial"/>
          <w:sz w:val="18"/>
          <w:szCs w:val="18"/>
          <w:color w:val="auto"/>
        </w:rPr>
        <w:t>. If Restricted Stock or Restricted Stock Units are forfeited pursuant to the terms of an Award, the Shares underlying such forfeited Award shall return to the pool of Shares available for issuance under the Plan.</w:t>
      </w:r>
    </w:p>
    <w:p>
      <w:pPr>
        <w:spacing w:after="0" w:line="170" w:lineRule="exact"/>
        <w:rPr>
          <w:rFonts w:ascii="Arial" w:cs="Arial" w:eastAsia="Arial" w:hAnsi="Arial"/>
          <w:sz w:val="18"/>
          <w:szCs w:val="18"/>
          <w:color w:val="auto"/>
        </w:rPr>
      </w:pPr>
    </w:p>
    <w:p>
      <w:pPr>
        <w:ind w:left="-8" w:right="420" w:firstLine="464"/>
        <w:spacing w:after="0" w:line="277" w:lineRule="auto"/>
        <w:tabs>
          <w:tab w:leader="none" w:pos="693"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Share Recycling Prohibitions</w:t>
      </w:r>
      <w:r>
        <w:rPr>
          <w:rFonts w:ascii="Arial" w:cs="Arial" w:eastAsia="Arial" w:hAnsi="Arial"/>
          <w:sz w:val="18"/>
          <w:szCs w:val="18"/>
          <w:color w:val="auto"/>
        </w:rPr>
        <w:t>. If the Company withholds Shares to satisfy its tax withholding obligations, such withheld Shares shall not again become available for Awards or increase the number of Shares available for grant under Paragraph 4(a).</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207" w:name="page208"/>
    <w:bookmarkEnd w:id="207"/>
    <w:p>
      <w:pPr>
        <w:ind w:left="452" w:hanging="452"/>
        <w:spacing w:after="0"/>
        <w:tabs>
          <w:tab w:leader="none" w:pos="452"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 OF THE PLAN</w:t>
      </w:r>
    </w:p>
    <w:p>
      <w:pPr>
        <w:spacing w:after="0" w:line="117" w:lineRule="exact"/>
        <w:rPr>
          <w:rFonts w:ascii="Arial" w:cs="Arial" w:eastAsia="Arial" w:hAnsi="Arial"/>
          <w:sz w:val="18"/>
          <w:szCs w:val="18"/>
          <w:b w:val="1"/>
          <w:bCs w:val="1"/>
          <w:color w:val="auto"/>
        </w:rPr>
      </w:pPr>
    </w:p>
    <w:p>
      <w:pPr>
        <w:ind w:left="-8" w:right="300" w:firstLine="464"/>
        <w:spacing w:after="0" w:line="264" w:lineRule="auto"/>
        <w:tabs>
          <w:tab w:leader="none" w:pos="69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181" w:lineRule="exact"/>
        <w:rPr>
          <w:rFonts w:ascii="Arial" w:cs="Arial" w:eastAsia="Arial" w:hAnsi="Arial"/>
          <w:sz w:val="18"/>
          <w:szCs w:val="18"/>
          <w:color w:val="auto"/>
        </w:rPr>
      </w:pPr>
    </w:p>
    <w:p>
      <w:pPr>
        <w:ind w:left="-8" w:right="80" w:firstLine="464"/>
        <w:spacing w:after="0" w:line="257" w:lineRule="auto"/>
        <w:tabs>
          <w:tab w:leader="none" w:pos="70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188" w:lineRule="exact"/>
        <w:rPr>
          <w:rFonts w:ascii="Arial" w:cs="Arial" w:eastAsia="Arial" w:hAnsi="Arial"/>
          <w:sz w:val="18"/>
          <w:szCs w:val="18"/>
          <w:color w:val="auto"/>
        </w:rPr>
      </w:pPr>
    </w:p>
    <w:p>
      <w:pPr>
        <w:ind w:left="-8" w:right="120" w:firstLine="464"/>
        <w:spacing w:after="0" w:line="342" w:lineRule="auto"/>
        <w:tabs>
          <w:tab w:leader="none" w:pos="693"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23" w:lineRule="exact"/>
        <w:rPr>
          <w:rFonts w:ascii="Arial" w:cs="Arial" w:eastAsia="Arial" w:hAnsi="Arial"/>
          <w:sz w:val="16"/>
          <w:szCs w:val="16"/>
          <w:color w:val="auto"/>
        </w:rPr>
      </w:pPr>
    </w:p>
    <w:p>
      <w:pPr>
        <w:ind w:left="-8" w:right="20" w:firstLine="464"/>
        <w:spacing w:after="0" w:line="302" w:lineRule="auto"/>
        <w:tabs>
          <w:tab w:leader="none" w:pos="703"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54" w:lineRule="exact"/>
        <w:rPr>
          <w:rFonts w:ascii="Arial" w:cs="Arial" w:eastAsia="Arial" w:hAnsi="Arial"/>
          <w:sz w:val="16"/>
          <w:szCs w:val="16"/>
          <w:color w:val="auto"/>
        </w:rPr>
      </w:pPr>
    </w:p>
    <w:p>
      <w:pPr>
        <w:ind w:left="-8" w:firstLine="464"/>
        <w:spacing w:after="0" w:line="257" w:lineRule="auto"/>
        <w:tabs>
          <w:tab w:leader="none" w:pos="693"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4" w:right="239" w:bottom="1440" w:gutter="0" w:footer="0" w:header="0"/>
        </w:sectPr>
      </w:pPr>
    </w:p>
    <w:bookmarkStart w:id="208" w:name="page209"/>
    <w:bookmarkEnd w:id="208"/>
    <w:p>
      <w:pPr>
        <w:ind w:firstLine="464"/>
        <w:spacing w:after="0" w:line="259" w:lineRule="auto"/>
        <w:tabs>
          <w:tab w:leader="none" w:pos="681" w:val="left"/>
        </w:tabs>
        <w:numPr>
          <w:ilvl w:val="2"/>
          <w:numId w:val="1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Delegation of Authority</w:t>
      </w:r>
      <w:r>
        <w:rPr>
          <w:rFonts w:ascii="Arial" w:cs="Arial" w:eastAsia="Arial" w:hAnsi="Arial"/>
          <w:sz w:val="18"/>
          <w:szCs w:val="18"/>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ELIGIBILITY</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only to Eligible Employees and Non-Employee Directors.</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RESTRICTED STOCK AND RESTRICTED STOCK UNIT AWARDS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Committee may grant Awards in accordance with the Plan, provided that the Board or the Committee may grant Awards to Non-Employee</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9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62" w:lineRule="exact"/>
        <w:rPr>
          <w:sz w:val="20"/>
          <w:szCs w:val="20"/>
          <w:color w:val="auto"/>
        </w:rPr>
      </w:pPr>
    </w:p>
    <w:p>
      <w:pPr>
        <w:ind w:left="700" w:hanging="236"/>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19, 2026.</w:t>
      </w:r>
    </w:p>
    <w:p>
      <w:pPr>
        <w:spacing w:after="0" w:line="225"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70" w:lineRule="exact"/>
        <w:rPr>
          <w:rFonts w:ascii="Arial" w:cs="Arial" w:eastAsia="Arial" w:hAnsi="Arial"/>
          <w:sz w:val="18"/>
          <w:szCs w:val="18"/>
          <w:color w:val="auto"/>
        </w:rPr>
      </w:pPr>
    </w:p>
    <w:p>
      <w:pPr>
        <w:ind w:right="20" w:firstLine="464"/>
        <w:spacing w:after="0" w:line="297" w:lineRule="auto"/>
        <w:tabs>
          <w:tab w:leader="none" w:pos="701"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 The Company may, in lieu of issuing such a certificate, arrange for the recording of Grantee’s ownership of the Restricted Stock on a book entry recordkeeping system maintained on behalf of the Company.</w:t>
      </w:r>
    </w:p>
    <w:p>
      <w:pPr>
        <w:spacing w:after="0" w:line="158" w:lineRule="exact"/>
        <w:rPr>
          <w:rFonts w:ascii="Arial" w:cs="Arial" w:eastAsia="Arial" w:hAnsi="Arial"/>
          <w:sz w:val="16"/>
          <w:szCs w:val="16"/>
          <w:color w:val="auto"/>
        </w:rPr>
      </w:pPr>
    </w:p>
    <w:p>
      <w:pPr>
        <w:ind w:right="40" w:firstLine="464"/>
        <w:spacing w:after="0" w:line="308" w:lineRule="auto"/>
        <w:tabs>
          <w:tab w:leader="none" w:pos="711"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09" w:name="page210"/>
    <w:bookmarkEnd w:id="209"/>
    <w:p>
      <w:pPr>
        <w:ind w:left="-40" w:firstLine="464"/>
        <w:spacing w:after="0" w:line="271" w:lineRule="auto"/>
        <w:tabs>
          <w:tab w:leader="none" w:pos="661"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Vesting/Lapse of Restrictions</w:t>
      </w:r>
      <w:r>
        <w:rPr>
          <w:rFonts w:ascii="Arial" w:cs="Arial" w:eastAsia="Arial" w:hAnsi="Arial"/>
          <w:sz w:val="17"/>
          <w:szCs w:val="17"/>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pacing w:after="0" w:line="178" w:lineRule="exact"/>
        <w:rPr>
          <w:rFonts w:ascii="Arial" w:cs="Arial" w:eastAsia="Arial" w:hAnsi="Arial"/>
          <w:sz w:val="17"/>
          <w:szCs w:val="17"/>
          <w:color w:val="auto"/>
        </w:rPr>
      </w:pPr>
    </w:p>
    <w:p>
      <w:pPr>
        <w:ind w:left="-40" w:right="280" w:firstLine="464"/>
        <w:spacing w:after="0" w:line="302" w:lineRule="auto"/>
        <w:tabs>
          <w:tab w:leader="none" w:pos="641"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154" w:lineRule="exact"/>
        <w:rPr>
          <w:rFonts w:ascii="Arial" w:cs="Arial" w:eastAsia="Arial" w:hAnsi="Arial"/>
          <w:sz w:val="16"/>
          <w:szCs w:val="16"/>
          <w:color w:val="auto"/>
        </w:rPr>
      </w:pPr>
    </w:p>
    <w:p>
      <w:pPr>
        <w:ind w:left="-40" w:right="60" w:firstLine="464"/>
        <w:spacing w:after="0" w:line="259" w:lineRule="auto"/>
        <w:tabs>
          <w:tab w:leader="none" w:pos="67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186" w:lineRule="exact"/>
        <w:rPr>
          <w:rFonts w:ascii="Arial" w:cs="Arial" w:eastAsia="Arial" w:hAnsi="Arial"/>
          <w:sz w:val="18"/>
          <w:szCs w:val="18"/>
          <w:color w:val="auto"/>
        </w:rPr>
      </w:pPr>
    </w:p>
    <w:p>
      <w:pPr>
        <w:ind w:left="-40" w:right="20" w:firstLine="464"/>
        <w:spacing w:after="0" w:line="312" w:lineRule="auto"/>
        <w:tabs>
          <w:tab w:leader="none" w:pos="671"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146" w:lineRule="exact"/>
        <w:rPr>
          <w:rFonts w:ascii="Arial" w:cs="Arial" w:eastAsia="Arial" w:hAnsi="Arial"/>
          <w:sz w:val="16"/>
          <w:szCs w:val="16"/>
          <w:color w:val="auto"/>
        </w:rPr>
      </w:pPr>
    </w:p>
    <w:p>
      <w:pPr>
        <w:jc w:val="both"/>
        <w:ind w:left="-40" w:right="40" w:firstLine="464"/>
        <w:spacing w:after="0" w:line="259" w:lineRule="auto"/>
        <w:tabs>
          <w:tab w:leader="none" w:pos="63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74" w:right="259" w:bottom="1440" w:gutter="0" w:footer="0" w:header="0"/>
        </w:sectPr>
      </w:pPr>
    </w:p>
    <w:bookmarkStart w:id="210" w:name="page211"/>
    <w:bookmarkEnd w:id="210"/>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303"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DEFERRAL ELECTIONS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62" w:lineRule="exact"/>
        <w:rPr>
          <w:sz w:val="20"/>
          <w:szCs w:val="20"/>
          <w:color w:val="auto"/>
        </w:rPr>
      </w:pPr>
    </w:p>
    <w:p>
      <w:pPr>
        <w:ind w:left="700" w:hanging="236"/>
        <w:spacing w:after="0"/>
        <w:tabs>
          <w:tab w:leader="none" w:pos="70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Initial Election and Regular Deferral Election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right="20" w:hanging="567"/>
        <w:spacing w:after="0" w:line="286" w:lineRule="auto"/>
        <w:tabs>
          <w:tab w:leader="none" w:pos="1480" w:val="left"/>
        </w:tabs>
        <w:numPr>
          <w:ilvl w:val="2"/>
          <w:numId w:val="149"/>
        </w:numPr>
        <w:rPr>
          <w:rFonts w:ascii="Arial" w:cs="Arial" w:eastAsia="Arial" w:hAnsi="Arial"/>
          <w:sz w:val="17"/>
          <w:szCs w:val="17"/>
          <w:color w:val="auto"/>
        </w:rPr>
      </w:pPr>
      <w:r>
        <w:rPr>
          <w:rFonts w:ascii="Arial" w:cs="Arial" w:eastAsia="Arial" w:hAnsi="Arial"/>
          <w:sz w:val="17"/>
          <w:szCs w:val="17"/>
          <w:u w:val="single" w:color="auto"/>
          <w:color w:val="auto"/>
        </w:rPr>
        <w:t>Election</w:t>
      </w:r>
      <w:r>
        <w:rPr>
          <w:rFonts w:ascii="Arial" w:cs="Arial" w:eastAsia="Arial" w:hAnsi="Arial"/>
          <w:sz w:val="17"/>
          <w:szCs w:val="17"/>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Election to defer the receipt of such Shares on a form provided by the Committee for this purpose.</w:t>
      </w:r>
    </w:p>
    <w:p>
      <w:pPr>
        <w:spacing w:after="0" w:line="70" w:lineRule="exact"/>
        <w:rPr>
          <w:rFonts w:ascii="Arial" w:cs="Arial" w:eastAsia="Arial" w:hAnsi="Arial"/>
          <w:sz w:val="17"/>
          <w:szCs w:val="17"/>
          <w:color w:val="auto"/>
        </w:rPr>
      </w:pPr>
    </w:p>
    <w:p>
      <w:pPr>
        <w:ind w:left="1480" w:right="60" w:hanging="567"/>
        <w:spacing w:after="0" w:line="297" w:lineRule="auto"/>
        <w:tabs>
          <w:tab w:leader="none" w:pos="1480" w:val="left"/>
        </w:tabs>
        <w:numPr>
          <w:ilvl w:val="2"/>
          <w:numId w:val="149"/>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Regular Deferral Election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right="40" w:hanging="567"/>
        <w:spacing w:after="0" w:line="277" w:lineRule="auto"/>
        <w:tabs>
          <w:tab w:leader="none" w:pos="1480" w:val="left"/>
        </w:tabs>
        <w:numPr>
          <w:ilvl w:val="2"/>
          <w:numId w:val="149"/>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Effective January 1, 2017, each Grantee who is a Deferral Eligible Employee shall have the right to defer the receipt of some or all of the Shares issuable with respect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1" w:name="page212"/>
    <w:bookmarkEnd w:id="211"/>
    <w:p>
      <w:pPr>
        <w:ind w:left="144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Units as to which a Vesting Date has not yet occurred, and that are not subject to an Initial Election, by filing a Regular Deferral Election to defer the receipt of such Shares on a form provided by the Committee for this purpose.</w:t>
      </w:r>
    </w:p>
    <w:p>
      <w:pPr>
        <w:spacing w:after="0" w:line="76" w:lineRule="exact"/>
        <w:rPr>
          <w:sz w:val="20"/>
          <w:szCs w:val="20"/>
          <w:color w:val="auto"/>
        </w:rPr>
      </w:pPr>
    </w:p>
    <w:p>
      <w:pPr>
        <w:ind w:left="1440" w:right="260" w:hanging="567"/>
        <w:spacing w:after="0" w:line="264" w:lineRule="auto"/>
        <w:tabs>
          <w:tab w:leader="none" w:pos="1440" w:val="left"/>
        </w:tabs>
        <w:numPr>
          <w:ilvl w:val="2"/>
          <w:numId w:val="150"/>
        </w:numPr>
        <w:rPr>
          <w:rFonts w:ascii="Arial" w:cs="Arial" w:eastAsia="Arial" w:hAnsi="Arial"/>
          <w:sz w:val="18"/>
          <w:szCs w:val="18"/>
          <w:color w:val="auto"/>
        </w:rPr>
      </w:pPr>
      <w:r>
        <w:rPr>
          <w:rFonts w:ascii="Arial" w:cs="Arial" w:eastAsia="Arial" w:hAnsi="Arial"/>
          <w:sz w:val="18"/>
          <w:szCs w:val="18"/>
          <w:u w:val="single" w:color="auto"/>
          <w:color w:val="auto"/>
        </w:rPr>
        <w:t>Deadline for Regular Deferral Election</w:t>
      </w:r>
      <w:r>
        <w:rPr>
          <w:rFonts w:ascii="Arial" w:cs="Arial" w:eastAsia="Arial" w:hAnsi="Arial"/>
          <w:sz w:val="18"/>
          <w:szCs w:val="18"/>
          <w:color w:val="auto"/>
        </w:rPr>
        <w:t>. No Regular Deferral Election to defer the receipt of Shares issuable with respect to Restricted Stock Units shall be effective unless it is filed with the Committee on or before the close of business at least one year before the scheduled Vesting Date of such Restricted Stock Units.</w:t>
      </w:r>
    </w:p>
    <w:p>
      <w:pPr>
        <w:spacing w:after="0" w:line="181" w:lineRule="exact"/>
        <w:rPr>
          <w:rFonts w:ascii="Arial" w:cs="Arial" w:eastAsia="Arial" w:hAnsi="Arial"/>
          <w:sz w:val="18"/>
          <w:szCs w:val="18"/>
          <w:color w:val="auto"/>
        </w:rPr>
      </w:pPr>
    </w:p>
    <w:p>
      <w:pPr>
        <w:ind w:left="-40" w:right="160" w:firstLine="464"/>
        <w:spacing w:after="0" w:line="277" w:lineRule="auto"/>
        <w:tabs>
          <w:tab w:leader="none" w:pos="671"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70" w:lineRule="exact"/>
        <w:rPr>
          <w:rFonts w:ascii="Arial" w:cs="Arial" w:eastAsia="Arial" w:hAnsi="Arial"/>
          <w:sz w:val="18"/>
          <w:szCs w:val="18"/>
          <w:color w:val="auto"/>
        </w:rPr>
      </w:pPr>
    </w:p>
    <w:p>
      <w:pPr>
        <w:ind w:left="-40" w:firstLine="464"/>
        <w:spacing w:after="0" w:line="259" w:lineRule="auto"/>
        <w:tabs>
          <w:tab w:leader="none" w:pos="661"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The distribution date may vary with each separate Election.</w:t>
      </w:r>
    </w:p>
    <w:p>
      <w:pPr>
        <w:spacing w:after="0" w:line="92" w:lineRule="exact"/>
        <w:rPr>
          <w:rFonts w:ascii="Arial" w:cs="Arial" w:eastAsia="Arial" w:hAnsi="Arial"/>
          <w:sz w:val="18"/>
          <w:szCs w:val="18"/>
          <w:color w:val="auto"/>
        </w:rPr>
      </w:pPr>
    </w:p>
    <w:p>
      <w:pPr>
        <w:ind w:left="860" w:right="140" w:hanging="446"/>
        <w:spacing w:after="0" w:line="264" w:lineRule="auto"/>
        <w:tabs>
          <w:tab w:leader="none" w:pos="8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Except as otherwise specifically provided by the Plan, no distribution pursuant to an Initial Election may be made earlier than January 2nd of the third calendar year beginning after the Vesting Date, nor later than January 2nd of the eleventh calendar year beginning after the Vesting Date.</w:t>
      </w:r>
    </w:p>
    <w:p>
      <w:pPr>
        <w:spacing w:after="0" w:line="86" w:lineRule="exact"/>
        <w:rPr>
          <w:rFonts w:ascii="Arial" w:cs="Arial" w:eastAsia="Arial" w:hAnsi="Arial"/>
          <w:sz w:val="18"/>
          <w:szCs w:val="18"/>
          <w:color w:val="auto"/>
        </w:rPr>
      </w:pPr>
    </w:p>
    <w:p>
      <w:pPr>
        <w:ind w:left="860" w:right="360" w:hanging="446"/>
        <w:spacing w:after="0" w:line="308" w:lineRule="auto"/>
        <w:tabs>
          <w:tab w:leader="none" w:pos="860"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Regular Deferral Election</w:t>
      </w:r>
      <w:r>
        <w:rPr>
          <w:rFonts w:ascii="Arial" w:cs="Arial" w:eastAsia="Arial" w:hAnsi="Arial"/>
          <w:sz w:val="17"/>
          <w:szCs w:val="17"/>
          <w:color w:val="auto"/>
        </w:rPr>
        <w:t>. No distribution pursuant to a Regular Deferral Election may be made before the fifth anniversary or later than the tenth anniversary of the scheduled Vesting Date of the Restricted Stock Units to which the Regular Deferral Election applies.</w:t>
      </w:r>
    </w:p>
    <w:p>
      <w:pPr>
        <w:spacing w:after="0" w:line="146" w:lineRule="exact"/>
        <w:rPr>
          <w:rFonts w:ascii="Arial" w:cs="Arial" w:eastAsia="Arial" w:hAnsi="Arial"/>
          <w:sz w:val="17"/>
          <w:szCs w:val="17"/>
          <w:color w:val="auto"/>
        </w:rPr>
      </w:pPr>
    </w:p>
    <w:p>
      <w:pPr>
        <w:ind w:left="-40" w:right="280" w:firstLine="464"/>
        <w:spacing w:after="0" w:line="277" w:lineRule="auto"/>
        <w:tabs>
          <w:tab w:leader="none" w:pos="671"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76" w:lineRule="exact"/>
        <w:rPr>
          <w:sz w:val="20"/>
          <w:szCs w:val="20"/>
          <w:color w:val="auto"/>
        </w:rPr>
      </w:pPr>
    </w:p>
    <w:p>
      <w:pPr>
        <w:ind w:left="860" w:right="100" w:hanging="446"/>
        <w:spacing w:after="0" w:line="277" w:lineRule="auto"/>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Active Grantee (A) who has previously made an Initial Election or a Regular Deferral Election to receive a distribution of part or all of his or her Account, or (B) who, pursuant to this Paragraph 8(d)(i) has made a Subsequent Election to defer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80" w:top="274" w:right="279" w:bottom="1440" w:gutter="0" w:footer="0" w:header="0"/>
        </w:sectPr>
      </w:pPr>
    </w:p>
    <w:bookmarkStart w:id="212" w:name="page213"/>
    <w:bookmarkEnd w:id="212"/>
    <w:p>
      <w:pPr>
        <w:ind w:left="8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 Notwithstanding the foregoing, except as otherwise provided by the Committee, an Active Grantee who is re-employed by a Participating Company following an employment termination date may not make a Subsequent Election with respect to amounts subject to an Initial Election or a Subsequent Election that was filed with the Committee before such employment termination date.</w:t>
      </w:r>
    </w:p>
    <w:p>
      <w:pPr>
        <w:spacing w:after="0" w:line="70" w:lineRule="exact"/>
        <w:rPr>
          <w:sz w:val="20"/>
          <w:szCs w:val="20"/>
          <w:color w:val="auto"/>
        </w:rPr>
      </w:pPr>
    </w:p>
    <w:p>
      <w:pPr>
        <w:ind w:left="840" w:right="180" w:hanging="446"/>
        <w:spacing w:after="0" w:line="259" w:lineRule="auto"/>
        <w:tabs>
          <w:tab w:leader="none" w:pos="8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Deceased Grantee’s Successor-in-Interest may elect to file a Subsequent Election to defer the distribution date for the Deceased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Deceased Grantee’s last Election.</w:t>
      </w:r>
    </w:p>
    <w:p>
      <w:pPr>
        <w:spacing w:after="0" w:line="92" w:lineRule="exact"/>
        <w:rPr>
          <w:rFonts w:ascii="Arial" w:cs="Arial" w:eastAsia="Arial" w:hAnsi="Arial"/>
          <w:sz w:val="18"/>
          <w:szCs w:val="18"/>
          <w:color w:val="auto"/>
        </w:rPr>
      </w:pPr>
    </w:p>
    <w:p>
      <w:pPr>
        <w:ind w:left="840" w:right="60" w:hanging="446"/>
        <w:spacing w:after="0" w:line="286" w:lineRule="auto"/>
        <w:tabs>
          <w:tab w:leader="none" w:pos="8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 Retired Grantee may elect to defer the distribution date of the Retired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65" w:lineRule="exact"/>
        <w:rPr>
          <w:rFonts w:ascii="Arial" w:cs="Arial" w:eastAsia="Arial" w:hAnsi="Arial"/>
          <w:sz w:val="17"/>
          <w:szCs w:val="17"/>
          <w:color w:val="auto"/>
        </w:rPr>
      </w:pPr>
    </w:p>
    <w:p>
      <w:pPr>
        <w:ind w:left="-60" w:right="60" w:firstLine="464"/>
        <w:spacing w:after="0" w:line="257" w:lineRule="auto"/>
        <w:tabs>
          <w:tab w:leader="none" w:pos="64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Discretion to Provide for Distribution in Full Upon or Following a Change in Control</w:t>
      </w:r>
      <w:r>
        <w:rPr>
          <w:rFonts w:ascii="Arial" w:cs="Arial" w:eastAsia="Arial" w:hAnsi="Arial"/>
          <w:sz w:val="18"/>
          <w:szCs w:val="18"/>
          <w:color w:val="auto"/>
        </w:rPr>
        <w:t>. To the extent permitted by Section 409A, in connection with a Change in Control, and for the 12-month period following a Change in Control, the Committee may exercise its discretion to terminate the deferral provisions of the Plan and, notwithstanding any other provision of the Plan or the terms of any Initial Election, Regular Deferral Election or Subsequent Election, distribute the Account of each Grantee in full and thereby effect the revocation of any outstanding Initial Elections, Regular Deferral Election or Subsequent Elections.</w:t>
      </w:r>
    </w:p>
    <w:p>
      <w:pPr>
        <w:spacing w:after="0" w:line="188" w:lineRule="exact"/>
        <w:rPr>
          <w:rFonts w:ascii="Arial" w:cs="Arial" w:eastAsia="Arial" w:hAnsi="Arial"/>
          <w:sz w:val="18"/>
          <w:szCs w:val="18"/>
          <w:color w:val="auto"/>
        </w:rPr>
      </w:pPr>
    </w:p>
    <w:p>
      <w:pPr>
        <w:ind w:left="-60" w:right="460" w:firstLine="464"/>
        <w:spacing w:after="0" w:line="264" w:lineRule="auto"/>
        <w:tabs>
          <w:tab w:leader="none" w:pos="62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Hardship</w:t>
      </w:r>
      <w:r>
        <w:rPr>
          <w:rFonts w:ascii="Arial" w:cs="Arial" w:eastAsia="Arial" w:hAnsi="Arial"/>
          <w:sz w:val="18"/>
          <w:szCs w:val="18"/>
          <w:color w:val="auto"/>
        </w:rPr>
        <w:t>. Notwithstanding the terms of an Initial Election, Regular Deferral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300" w:top="274" w:right="279" w:bottom="1440" w:gutter="0" w:footer="0" w:header="0"/>
        </w:sectPr>
      </w:pPr>
    </w:p>
    <w:bookmarkStart w:id="213" w:name="page214"/>
    <w:bookmarkEnd w:id="213"/>
    <w:p>
      <w:pPr>
        <w:ind w:right="140" w:firstLine="464"/>
        <w:spacing w:after="0" w:line="277" w:lineRule="auto"/>
        <w:tabs>
          <w:tab w:leader="none" w:pos="711"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Acceleration Events</w:t>
      </w:r>
      <w:r>
        <w:rPr>
          <w:rFonts w:ascii="Arial" w:cs="Arial" w:eastAsia="Arial" w:hAnsi="Arial"/>
          <w:sz w:val="18"/>
          <w:szCs w:val="18"/>
          <w:color w:val="auto"/>
        </w:rPr>
        <w:t>. To the extent permitted by Section 409A, notwithstanding the terms of an Initial Election, Regular Deferral Election or Subsequent Election, distribution of all or part of a Grantee’s Account may be made:</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75" w:lineRule="exact"/>
        <w:rPr>
          <w:rFonts w:ascii="Arial" w:cs="Arial" w:eastAsia="Arial" w:hAnsi="Arial"/>
          <w:sz w:val="18"/>
          <w:szCs w:val="18"/>
          <w:color w:val="auto"/>
        </w:rPr>
      </w:pPr>
    </w:p>
    <w:p>
      <w:pPr>
        <w:ind w:left="900" w:right="96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To pay employment taxes to the extent permitted by Treasury Regulation section 1.409A-3(j)(4)(vi) (or any successor provision of law).</w:t>
      </w:r>
    </w:p>
    <w:p>
      <w:pPr>
        <w:spacing w:after="0" w:line="142"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To pay state, local or foreign taxes to the extent permitted by Treasury Regulation section 1.409A-3(j)(4)(xi) (or any successor provision of law).</w:t>
      </w:r>
    </w:p>
    <w:p>
      <w:pPr>
        <w:spacing w:after="0" w:line="153"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86" w:lineRule="exact"/>
        <w:rPr>
          <w:rFonts w:ascii="Arial" w:cs="Arial" w:eastAsia="Arial" w:hAnsi="Arial"/>
          <w:sz w:val="18"/>
          <w:szCs w:val="18"/>
          <w:color w:val="auto"/>
        </w:rPr>
      </w:pPr>
    </w:p>
    <w:p>
      <w:pPr>
        <w:ind w:left="900" w:right="128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170" w:lineRule="exact"/>
        <w:rPr>
          <w:rFonts w:ascii="Arial" w:cs="Arial" w:eastAsia="Arial" w:hAnsi="Arial"/>
          <w:sz w:val="18"/>
          <w:szCs w:val="18"/>
          <w:color w:val="auto"/>
        </w:rPr>
      </w:pPr>
    </w:p>
    <w:p>
      <w:pPr>
        <w:ind w:right="60" w:firstLine="464"/>
        <w:spacing w:after="0" w:line="279" w:lineRule="auto"/>
        <w:tabs>
          <w:tab w:leader="none" w:pos="711" w:val="left"/>
        </w:tabs>
        <w:numPr>
          <w:ilvl w:val="1"/>
          <w:numId w:val="156"/>
        </w:numPr>
        <w:rPr>
          <w:rFonts w:ascii="Arial" w:cs="Arial" w:eastAsia="Arial" w:hAnsi="Arial"/>
          <w:sz w:val="17"/>
          <w:szCs w:val="17"/>
          <w:color w:val="auto"/>
        </w:rPr>
      </w:pPr>
      <w:r>
        <w:rPr>
          <w:rFonts w:ascii="Arial" w:cs="Arial" w:eastAsia="Arial" w:hAnsi="Arial"/>
          <w:sz w:val="17"/>
          <w:szCs w:val="17"/>
          <w:u w:val="single" w:color="auto"/>
          <w:color w:val="auto"/>
        </w:rPr>
        <w:t>Book Accounts</w:t>
      </w:r>
      <w:r>
        <w:rPr>
          <w:rFonts w:ascii="Arial" w:cs="Arial" w:eastAsia="Arial" w:hAnsi="Arial"/>
          <w:sz w:val="17"/>
          <w:szCs w:val="17"/>
          <w:color w:val="auto"/>
        </w:rPr>
        <w:t>. An Account shall be established for each Grantee who makes an Election. Deferred Stock Units shall be credited to the Account as of the date an Election becomes effective. Each Deferred Stock Unit will represent a hypothetical share of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4" w:name="page215"/>
    <w:bookmarkEnd w:id="214"/>
    <w:p>
      <w:pPr>
        <w:ind w:left="-60" w:right="220" w:firstLine="464"/>
        <w:spacing w:after="0" w:line="277" w:lineRule="auto"/>
        <w:tabs>
          <w:tab w:leader="none" w:pos="611"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75" w:lineRule="exact"/>
        <w:rPr>
          <w:rFonts w:ascii="Arial" w:cs="Arial" w:eastAsia="Arial" w:hAnsi="Arial"/>
          <w:sz w:val="18"/>
          <w:szCs w:val="18"/>
          <w:color w:val="auto"/>
        </w:rPr>
      </w:pPr>
    </w:p>
    <w:p>
      <w:pPr>
        <w:ind w:left="840" w:right="60" w:hanging="446"/>
        <w:spacing w:after="0" w:line="257" w:lineRule="auto"/>
        <w:tabs>
          <w:tab w:leader="none" w:pos="8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93" w:lineRule="exact"/>
        <w:rPr>
          <w:rFonts w:ascii="Arial" w:cs="Arial" w:eastAsia="Arial" w:hAnsi="Arial"/>
          <w:sz w:val="18"/>
          <w:szCs w:val="18"/>
          <w:color w:val="auto"/>
        </w:rPr>
      </w:pPr>
    </w:p>
    <w:p>
      <w:pPr>
        <w:ind w:left="840" w:hanging="446"/>
        <w:spacing w:after="0" w:line="255" w:lineRule="auto"/>
        <w:tabs>
          <w:tab w:leader="none" w:pos="8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93" w:lineRule="exact"/>
        <w:rPr>
          <w:rFonts w:ascii="Arial" w:cs="Arial" w:eastAsia="Arial" w:hAnsi="Arial"/>
          <w:sz w:val="18"/>
          <w:szCs w:val="18"/>
          <w:color w:val="auto"/>
        </w:rPr>
      </w:pPr>
    </w:p>
    <w:p>
      <w:pPr>
        <w:ind w:left="-60" w:right="260" w:firstLine="464"/>
        <w:spacing w:after="0" w:line="277" w:lineRule="auto"/>
        <w:tabs>
          <w:tab w:leader="none" w:pos="611"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70" w:lineRule="exact"/>
        <w:rPr>
          <w:rFonts w:ascii="Arial" w:cs="Arial" w:eastAsia="Arial" w:hAnsi="Arial"/>
          <w:sz w:val="18"/>
          <w:szCs w:val="18"/>
          <w:color w:val="auto"/>
        </w:rPr>
      </w:pPr>
    </w:p>
    <w:p>
      <w:pPr>
        <w:ind w:left="660" w:hanging="256"/>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131" w:lineRule="exact"/>
        <w:rPr>
          <w:sz w:val="20"/>
          <w:szCs w:val="20"/>
          <w:color w:val="auto"/>
        </w:rPr>
      </w:pPr>
    </w:p>
    <w:p>
      <w:pPr>
        <w:ind w:left="840" w:hanging="446"/>
        <w:spacing w:after="0"/>
        <w:tabs>
          <w:tab w:leader="none" w:pos="8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Paragraph 8(k)(v):</w:t>
      </w:r>
    </w:p>
    <w:p>
      <w:pPr>
        <w:spacing w:after="0" w:line="130" w:lineRule="exact"/>
        <w:rPr>
          <w:rFonts w:ascii="Arial" w:cs="Arial" w:eastAsia="Arial" w:hAnsi="Arial"/>
          <w:sz w:val="18"/>
          <w:szCs w:val="18"/>
          <w:color w:val="auto"/>
        </w:rPr>
      </w:pPr>
    </w:p>
    <w:p>
      <w:pPr>
        <w:ind w:left="1420" w:right="240" w:hanging="567"/>
        <w:spacing w:after="0" w:line="312" w:lineRule="auto"/>
        <w:tabs>
          <w:tab w:leader="none" w:pos="14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 Diversification Election shall be available: (x) at any time that a Registration Statement filed under the 1933 Act (a “Registration Statement”) is effective with respect to the Plan; and (y) with respect to a Special Diversification Election, if and to the extent that the opportunity to make such a Special Diversification Election has been approved by the Committee or its delegate.</w:t>
      </w:r>
    </w:p>
    <w:p>
      <w:pPr>
        <w:spacing w:after="0" w:line="52" w:lineRule="exact"/>
        <w:rPr>
          <w:rFonts w:ascii="Arial" w:cs="Arial" w:eastAsia="Arial" w:hAnsi="Arial"/>
          <w:sz w:val="16"/>
          <w:szCs w:val="16"/>
          <w:color w:val="auto"/>
        </w:rPr>
      </w:pPr>
    </w:p>
    <w:p>
      <w:pPr>
        <w:ind w:left="1420" w:hanging="567"/>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No approval is required for a Diversification Election other than a Special Diversification Election.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300" w:top="274" w:right="299" w:bottom="1440" w:gutter="0" w:footer="0" w:header="0"/>
        </w:sectPr>
      </w:pPr>
    </w:p>
    <w:bookmarkStart w:id="215" w:name="page216"/>
    <w:bookmarkEnd w:id="215"/>
    <w:p>
      <w:pPr>
        <w:ind w:left="446" w:right="200" w:hanging="446"/>
        <w:spacing w:after="0" w:line="259" w:lineRule="auto"/>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92" w:lineRule="exact"/>
        <w:rPr>
          <w:rFonts w:ascii="Arial" w:cs="Arial" w:eastAsia="Arial" w:hAnsi="Arial"/>
          <w:sz w:val="18"/>
          <w:szCs w:val="18"/>
          <w:color w:val="auto"/>
        </w:rPr>
      </w:pPr>
    </w:p>
    <w:p>
      <w:pPr>
        <w:ind w:left="446" w:right="20" w:hanging="446"/>
        <w:spacing w:after="0" w:line="290" w:lineRule="auto"/>
        <w:tabs>
          <w:tab w:leader="none" w:pos="446"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71" w:lineRule="exact"/>
        <w:rPr>
          <w:rFonts w:ascii="Arial" w:cs="Arial" w:eastAsia="Arial" w:hAnsi="Arial"/>
          <w:sz w:val="16"/>
          <w:szCs w:val="16"/>
          <w:color w:val="auto"/>
        </w:rPr>
      </w:pPr>
    </w:p>
    <w:p>
      <w:pPr>
        <w:ind w:left="446" w:hanging="446"/>
        <w:spacing w:after="0" w:line="302" w:lineRule="auto"/>
        <w:tabs>
          <w:tab w:leader="none" w:pos="446"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underlying the liquidated Deferred Stock Units at Fair Market Value as of the effective date of a Diversification Election.</w:t>
      </w:r>
    </w:p>
    <w:p>
      <w:pPr>
        <w:spacing w:after="0" w:line="59" w:lineRule="exact"/>
        <w:rPr>
          <w:rFonts w:ascii="Arial" w:cs="Arial" w:eastAsia="Arial" w:hAnsi="Arial"/>
          <w:sz w:val="16"/>
          <w:szCs w:val="16"/>
          <w:color w:val="auto"/>
        </w:rPr>
      </w:pPr>
    </w:p>
    <w:p>
      <w:pPr>
        <w:ind w:left="446" w:right="140" w:hanging="446"/>
        <w:spacing w:after="0" w:line="259" w:lineRule="auto"/>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Diversification Limit</w:t>
      </w:r>
      <w:r>
        <w:rPr>
          <w:rFonts w:ascii="Arial" w:cs="Arial" w:eastAsia="Arial" w:hAnsi="Arial"/>
          <w:sz w:val="18"/>
          <w:szCs w:val="18"/>
          <w:color w:val="auto"/>
        </w:rPr>
        <w:t>. No Diversification Election or Special Diversification Election during a calendar year by an Eligible Employee shall be effective if the sum of (x) the value of the Eligible Employee’s Account in the 2005 Deferred Compensation Plan, plus (y) the value of the Eligible Employee’s Account in the 2002 Deferred Compensation Plan, plus (z) the value of the Eligible Employee’s Account in this Plan to the extent such</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6"/>
          </w:cols>
          <w:pgMar w:left="694" w:top="274" w:right="239" w:bottom="1440" w:gutter="0" w:footer="0" w:header="0"/>
        </w:sectPr>
      </w:pPr>
    </w:p>
    <w:bookmarkStart w:id="216" w:name="page217"/>
    <w:bookmarkEnd w:id="216"/>
    <w:p>
      <w:pPr>
        <w:ind w:left="91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 is credited to the “Income Fund,” exceeds the “Contribution Limit” (as defined in the 2005 Deferred Compensation Plan) with respect to such calendar year, determined as of September 30th immediately preceding such calendar year.</w:t>
      </w:r>
    </w:p>
    <w:p>
      <w:pPr>
        <w:spacing w:after="0" w:line="170" w:lineRule="exact"/>
        <w:rPr>
          <w:sz w:val="20"/>
          <w:szCs w:val="20"/>
          <w:color w:val="auto"/>
        </w:rPr>
      </w:pPr>
    </w:p>
    <w:p>
      <w:pPr>
        <w:ind w:left="-8" w:right="40" w:firstLine="464"/>
        <w:spacing w:after="0" w:line="297" w:lineRule="auto"/>
        <w:tabs>
          <w:tab w:leader="none" w:pos="663"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Grantees’ Status as General Creditors</w:t>
      </w:r>
      <w:r>
        <w:rPr>
          <w:rFonts w:ascii="Arial" w:cs="Arial" w:eastAsia="Arial" w:hAnsi="Arial"/>
          <w:sz w:val="16"/>
          <w:szCs w:val="16"/>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58" w:lineRule="exact"/>
        <w:rPr>
          <w:rFonts w:ascii="Arial" w:cs="Arial" w:eastAsia="Arial" w:hAnsi="Arial"/>
          <w:sz w:val="16"/>
          <w:szCs w:val="16"/>
          <w:color w:val="auto"/>
        </w:rPr>
      </w:pPr>
    </w:p>
    <w:p>
      <w:pPr>
        <w:ind w:left="-8" w:right="100" w:firstLine="464"/>
        <w:spacing w:after="0" w:line="312" w:lineRule="auto"/>
        <w:tabs>
          <w:tab w:leader="none" w:pos="753"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46" w:lineRule="exact"/>
        <w:rPr>
          <w:rFonts w:ascii="Arial" w:cs="Arial" w:eastAsia="Arial" w:hAnsi="Arial"/>
          <w:sz w:val="16"/>
          <w:szCs w:val="16"/>
          <w:color w:val="auto"/>
        </w:rPr>
      </w:pPr>
    </w:p>
    <w:p>
      <w:pPr>
        <w:ind w:left="-8" w:firstLine="464"/>
        <w:spacing w:after="0" w:line="276" w:lineRule="auto"/>
        <w:tabs>
          <w:tab w:leader="none" w:pos="703" w:val="left"/>
        </w:tabs>
        <w:numPr>
          <w:ilvl w:val="1"/>
          <w:numId w:val="161"/>
        </w:numPr>
        <w:rPr>
          <w:rFonts w:ascii="Arial" w:cs="Arial" w:eastAsia="Arial" w:hAnsi="Arial"/>
          <w:sz w:val="17"/>
          <w:szCs w:val="17"/>
          <w:color w:val="auto"/>
        </w:rPr>
      </w:pPr>
      <w:r>
        <w:rPr>
          <w:rFonts w:ascii="Arial" w:cs="Arial" w:eastAsia="Arial" w:hAnsi="Arial"/>
          <w:sz w:val="17"/>
          <w:szCs w:val="17"/>
          <w:u w:val="single" w:color="auto"/>
          <w:color w:val="auto"/>
        </w:rPr>
        <w:t>Required Suspension of Payment of Benefits</w:t>
      </w:r>
      <w:r>
        <w:rPr>
          <w:rFonts w:ascii="Arial" w:cs="Arial" w:eastAsia="Arial" w:hAnsi="Arial"/>
          <w:sz w:val="17"/>
          <w:szCs w:val="17"/>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321" w:lineRule="exact"/>
        <w:rPr>
          <w:rFonts w:ascii="Arial" w:cs="Arial" w:eastAsia="Arial" w:hAnsi="Arial"/>
          <w:sz w:val="17"/>
          <w:szCs w:val="17"/>
          <w:color w:val="auto"/>
        </w:rPr>
      </w:pPr>
    </w:p>
    <w:p>
      <w:pPr>
        <w:ind w:left="452" w:hanging="452"/>
        <w:spacing w:after="0"/>
        <w:tabs>
          <w:tab w:leader="none" w:pos="452"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SECURITIES LAWS; TAXES</w:t>
      </w:r>
    </w:p>
    <w:p>
      <w:pPr>
        <w:spacing w:after="0" w:line="117" w:lineRule="exact"/>
        <w:rPr>
          <w:rFonts w:ascii="Arial" w:cs="Arial" w:eastAsia="Arial" w:hAnsi="Arial"/>
          <w:sz w:val="18"/>
          <w:szCs w:val="18"/>
          <w:b w:val="1"/>
          <w:bCs w:val="1"/>
          <w:color w:val="auto"/>
        </w:rPr>
      </w:pPr>
    </w:p>
    <w:p>
      <w:pPr>
        <w:ind w:left="-8" w:right="20" w:firstLine="464"/>
        <w:spacing w:after="0" w:line="257" w:lineRule="auto"/>
        <w:tabs>
          <w:tab w:leader="none" w:pos="693"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88" w:lineRule="exact"/>
        <w:rPr>
          <w:rFonts w:ascii="Arial" w:cs="Arial" w:eastAsia="Arial" w:hAnsi="Arial"/>
          <w:sz w:val="18"/>
          <w:szCs w:val="18"/>
          <w:color w:val="auto"/>
        </w:rPr>
      </w:pPr>
    </w:p>
    <w:p>
      <w:pPr>
        <w:ind w:left="5552" w:right="120" w:hanging="5096"/>
        <w:spacing w:after="0" w:line="449" w:lineRule="auto"/>
        <w:tabs>
          <w:tab w:leader="none" w:pos="707"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-24-</w:t>
      </w:r>
    </w:p>
    <w:p>
      <w:pPr>
        <w:sectPr>
          <w:pgSz w:w="11900" w:h="16838" w:orient="portrait"/>
          <w:cols w:equalWidth="0" w:num="1">
            <w:col w:w="11392"/>
          </w:cols>
          <w:pgMar w:left="248" w:top="274" w:right="259" w:bottom="1440" w:gutter="0" w:footer="0" w:header="0"/>
        </w:sectPr>
      </w:pPr>
    </w:p>
    <w:bookmarkStart w:id="217" w:name="page218"/>
    <w:bookmarkEnd w:id="217"/>
    <w:p>
      <w:pPr>
        <w:ind w:right="6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81" w:lineRule="exact"/>
        <w:rPr>
          <w:sz w:val="20"/>
          <w:szCs w:val="20"/>
          <w:color w:val="auto"/>
        </w:rPr>
      </w:pPr>
    </w:p>
    <w:p>
      <w:pPr>
        <w:ind w:left="700" w:hanging="236"/>
        <w:spacing w:after="0"/>
        <w:tabs>
          <w:tab w:leader="none" w:pos="700"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94" w:lineRule="exact"/>
        <w:rPr>
          <w:rFonts w:ascii="Arial" w:cs="Arial" w:eastAsia="Arial" w:hAnsi="Arial"/>
          <w:sz w:val="18"/>
          <w:szCs w:val="18"/>
          <w:color w:val="auto"/>
        </w:rPr>
      </w:pPr>
    </w:p>
    <w:p>
      <w:pPr>
        <w:ind w:left="900" w:right="140" w:hanging="446"/>
        <w:spacing w:after="0" w:line="291" w:lineRule="auto"/>
        <w:tabs>
          <w:tab w:leader="none" w:pos="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withholding obligations incurred in connection with the grant of any Award, the occurrence of a Vesting Date under any Award under the Plan that is not subject to an Initial Election, Regular Deferral Election or Subsequent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more of the following with respect to any Award under the Plan that is not subject to an Initial Election, Regular Deferral Election or Subsequent Election:</w:t>
      </w:r>
    </w:p>
    <w:p>
      <w:pPr>
        <w:spacing w:after="0" w:line="72" w:lineRule="exact"/>
        <w:rPr>
          <w:rFonts w:ascii="Arial" w:cs="Arial" w:eastAsia="Arial" w:hAnsi="Arial"/>
          <w:sz w:val="16"/>
          <w:szCs w:val="16"/>
          <w:color w:val="auto"/>
        </w:rPr>
      </w:pPr>
    </w:p>
    <w:p>
      <w:pPr>
        <w:ind w:left="1480" w:right="540" w:hanging="567"/>
        <w:spacing w:after="0" w:line="277" w:lineRule="auto"/>
        <w:tabs>
          <w:tab w:leader="none" w:pos="148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To the extent permitted by applicable law, to have taxes withheld in excess of the minimum amount required to be withheld by the Company under applicable law, provided that the Grantee certifies in writing to the Company at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18" w:name="page219"/>
    <w:bookmarkEnd w:id="218"/>
    <w:p>
      <w:pPr>
        <w:ind w:left="1026" w:right="2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of such election that the Grantee owns Other Available Shares having a Fair Market Value that is at least equal to the Fair Market Value to be withheld by the Company in payment of withholding taxes in excess of such minimum amount;</w:t>
      </w:r>
    </w:p>
    <w:p>
      <w:pPr>
        <w:spacing w:after="0" w:line="52" w:lineRule="exact"/>
        <w:rPr>
          <w:sz w:val="20"/>
          <w:szCs w:val="20"/>
          <w:color w:val="auto"/>
        </w:rPr>
      </w:pPr>
    </w:p>
    <w:p>
      <w:pPr>
        <w:ind w:left="1026" w:right="60" w:hanging="567"/>
        <w:spacing w:after="0" w:line="293" w:lineRule="auto"/>
        <w:tabs>
          <w:tab w:leader="none" w:pos="102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 respect to tax liabilities arising on or after January 1, 2017, to have Shares otherwise deliverable to the Grantee after the application of the other provisions of this Paragraph 9(c)(ii) redeemed by the Company for the Fair Market Value of such Shares on the applicable Vesting Date, and have the cash proceeds of such redemption remitted by the Company to the Grantee to facilitate one or more estimated tax payments to the Internal Revenue Service or other taxing authority for the taxable year in which such vesting occurs, provided that the Grantee certifies in writing to the Company at the time of such election that the Grantee owns Other Available Shares having a Fair Market Value that is at least equal to the Fair Market Value of such Shares to be redeemed by the Company; and</w:t>
      </w:r>
    </w:p>
    <w:p>
      <w:pPr>
        <w:spacing w:after="0" w:line="70" w:lineRule="exact"/>
        <w:rPr>
          <w:rFonts w:ascii="Arial" w:cs="Arial" w:eastAsia="Arial" w:hAnsi="Arial"/>
          <w:sz w:val="16"/>
          <w:szCs w:val="16"/>
          <w:color w:val="auto"/>
        </w:rPr>
      </w:pPr>
    </w:p>
    <w:p>
      <w:pPr>
        <w:ind w:left="1026" w:right="580" w:hanging="567"/>
        <w:spacing w:after="0" w:line="277" w:lineRule="auto"/>
        <w:tabs>
          <w:tab w:leader="none" w:pos="102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pay to the Company in cash all or a portion of the taxes to be withheld in connection with such grant, Vesting Date or Account distribution.</w:t>
      </w:r>
    </w:p>
    <w:p>
      <w:pPr>
        <w:spacing w:after="0" w:line="62" w:lineRule="exact"/>
        <w:rPr>
          <w:sz w:val="20"/>
          <w:szCs w:val="20"/>
          <w:color w:val="auto"/>
        </w:rPr>
      </w:pPr>
    </w:p>
    <w:p>
      <w:pPr>
        <w:ind w:left="466"/>
        <w:spacing w:after="0" w:line="272" w:lineRule="auto"/>
        <w:rPr>
          <w:sz w:val="20"/>
          <w:szCs w:val="20"/>
          <w:color w:val="auto"/>
        </w:rPr>
      </w:pPr>
      <w:r>
        <w:rPr>
          <w:rFonts w:ascii="Arial" w:cs="Arial" w:eastAsia="Arial" w:hAnsi="Arial"/>
          <w:sz w:val="17"/>
          <w:szCs w:val="17"/>
          <w:color w:val="auto"/>
        </w:rPr>
        <w:t>In all cases, the Shares so withheld or redeemed by the Company, as applicable, shall have a Fair Market Value that does not exceed the amount of taxes to be withheld or remitted via estimated tax payments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or redeemed, as applicable, pursuant to this Paragraph 9(c)(ii) shall not be available for subsequent grants under the Plan. The Committee may add such other requirements and limitations regarding elections pursuant to this Paragraph 9(c)(ii) as it deems appropriate.</w:t>
      </w:r>
    </w:p>
    <w:p>
      <w:pPr>
        <w:spacing w:after="0" w:line="83" w:lineRule="exact"/>
        <w:rPr>
          <w:sz w:val="20"/>
          <w:szCs w:val="20"/>
          <w:color w:val="auto"/>
        </w:rPr>
      </w:pPr>
    </w:p>
    <w:p>
      <w:pPr>
        <w:ind w:left="446" w:right="280" w:hanging="446"/>
        <w:spacing w:after="0" w:line="277" w:lineRule="auto"/>
        <w:tabs>
          <w:tab w:leader="none" w:pos="44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part of a Grantee’s Award is subject to an Initial Election or a Regular Deferral Election, or, under the terms of an Award, a Grantee’s rights with respect to Restricted Stock Units become free</w:t>
      </w:r>
    </w:p>
    <w:p>
      <w:pPr>
        <w:spacing w:after="0" w:line="10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6"/>
          </w:cols>
          <w:pgMar w:left="694" w:top="274" w:right="259" w:bottom="1440" w:gutter="0" w:footer="0" w:header="0"/>
        </w:sectPr>
      </w:pPr>
    </w:p>
    <w:bookmarkStart w:id="219" w:name="page220"/>
    <w:bookmarkEnd w:id="219"/>
    <w:p>
      <w:pPr>
        <w:ind w:left="9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Election or Regular Deferral Election, the Grantee shall be required to remit to the Company an amount sufficient to satisfy any federal, state and/or local withholding tax requirements. As part of the Grantee’s Initial Election or Regular Deferral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329"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CHANGES IN CAPITALIZATION</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326"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TERMINATING EVENTS</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20" w:name="page221"/>
    <w:bookmarkEnd w:id="22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anticipated date of the consummation of a Terminating Event. Except as otherwise provided in Paragraph 11(b),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89" w:lineRule="exact"/>
        <w:rPr>
          <w:sz w:val="20"/>
          <w:szCs w:val="20"/>
          <w:color w:val="auto"/>
        </w:rPr>
      </w:pPr>
    </w:p>
    <w:p>
      <w:pPr>
        <w:ind w:firstLine="464"/>
        <w:spacing w:after="0" w:line="302" w:lineRule="auto"/>
        <w:tabs>
          <w:tab w:leader="none" w:pos="711" w:val="left"/>
        </w:tabs>
        <w:numPr>
          <w:ilvl w:val="1"/>
          <w:numId w:val="169"/>
        </w:numPr>
        <w:rPr>
          <w:rFonts w:ascii="Arial" w:cs="Arial" w:eastAsia="Arial" w:hAnsi="Arial"/>
          <w:sz w:val="16"/>
          <w:szCs w:val="16"/>
          <w:color w:val="auto"/>
        </w:rPr>
      </w:pPr>
      <w:r>
        <w:rPr>
          <w:rFonts w:ascii="Arial" w:cs="Arial" w:eastAsia="Arial" w:hAnsi="Arial"/>
          <w:sz w:val="16"/>
          <w:szCs w:val="16"/>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 earlier distribution would not result in any obligation to pay interest or additional tax under Section 409A.</w:t>
      </w:r>
    </w:p>
    <w:p>
      <w:pPr>
        <w:spacing w:after="0" w:line="302" w:lineRule="exact"/>
        <w:rPr>
          <w:rFonts w:ascii="Arial" w:cs="Arial" w:eastAsia="Arial" w:hAnsi="Arial"/>
          <w:sz w:val="16"/>
          <w:szCs w:val="16"/>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CLAIMS PROCEDURE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If an individual (hereinafter referred to as the “Applicant,” which reference shall include the legal representative, if any, of the individual) does not</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receive timely payment of benefits to which the Applicant believes he is entitled under Paragraph 8 of the Plan, the Applicant may make a claim for benefits in the manner hereinafter provided.</w:t>
      </w:r>
    </w:p>
    <w:p>
      <w:pPr>
        <w:spacing w:after="0" w:line="18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62" w:lineRule="exact"/>
        <w:rPr>
          <w:sz w:val="20"/>
          <w:szCs w:val="20"/>
          <w:color w:val="auto"/>
        </w:rPr>
      </w:pPr>
    </w:p>
    <w:p>
      <w:pPr>
        <w:ind w:left="700" w:hanging="236"/>
        <w:spacing w:after="0"/>
        <w:tabs>
          <w:tab w:leader="none" w:pos="7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25" w:lineRule="exact"/>
        <w:rPr>
          <w:rFonts w:ascii="Arial" w:cs="Arial" w:eastAsia="Arial" w:hAnsi="Arial"/>
          <w:sz w:val="18"/>
          <w:szCs w:val="18"/>
          <w:color w:val="auto"/>
        </w:rPr>
      </w:pPr>
    </w:p>
    <w:p>
      <w:pPr>
        <w:ind w:right="380" w:firstLine="464"/>
        <w:spacing w:after="0" w:line="277" w:lineRule="auto"/>
        <w:tabs>
          <w:tab w:leader="none" w:pos="70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21" w:name="page222"/>
    <w:bookmarkEnd w:id="221"/>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35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REPAYMENT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22" w:name="page223"/>
    <w:bookmarkEnd w:id="222"/>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AND TERMINATION</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319"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INTERPRETATION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pacing w:after="0" w:line="330"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TERM OF PLAN</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expire on May 19, 2026, unless sooner terminated by the Board.</w:t>
      </w:r>
    </w:p>
    <w:p>
      <w:pPr>
        <w:spacing w:after="0" w:line="373" w:lineRule="exact"/>
        <w:rPr>
          <w:rFonts w:ascii="Arial" w:cs="Arial" w:eastAsia="Arial" w:hAnsi="Arial"/>
          <w:sz w:val="18"/>
          <w:szCs w:val="18"/>
          <w:b w:val="1"/>
          <w:bCs w:val="1"/>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GOVERNING LAW</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Executed on the 5</w:t>
      </w:r>
      <w:r>
        <w:rPr>
          <w:rFonts w:ascii="Arial" w:cs="Arial" w:eastAsia="Arial" w:hAnsi="Arial"/>
          <w:sz w:val="15"/>
          <w:szCs w:val="15"/>
          <w:color w:val="auto"/>
        </w:rPr>
        <w:t>th</w:t>
      </w:r>
      <w:r>
        <w:rPr>
          <w:rFonts w:ascii="Arial" w:cs="Arial" w:eastAsia="Arial" w:hAnsi="Arial"/>
          <w:sz w:val="18"/>
          <w:szCs w:val="18"/>
          <w:color w:val="auto"/>
        </w:rPr>
        <w:t xml:space="preserve"> day of December,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17145</wp:posOffset>
            </wp:positionV>
            <wp:extent cx="263271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59" w:lineRule="exact"/>
        <w:rPr>
          <w:sz w:val="20"/>
          <w:szCs w:val="20"/>
          <w:color w:val="auto"/>
        </w:rPr>
      </w:pPr>
    </w:p>
    <w:p>
      <w:pPr>
        <w:ind w:left="6860"/>
        <w:spacing w:after="0"/>
        <w:tabs>
          <w:tab w:leader="none" w:pos="798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17145</wp:posOffset>
            </wp:positionV>
            <wp:extent cx="228981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274"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17 TO EMPLOYMENT AGREEMENT</w:t>
      </w:r>
    </w:p>
    <w:p>
      <w:pPr>
        <w:spacing w:after="0" w:line="229" w:lineRule="exact"/>
        <w:rPr>
          <w:sz w:val="20"/>
          <w:szCs w:val="20"/>
          <w:color w:val="auto"/>
        </w:rPr>
      </w:pPr>
    </w:p>
    <w:p>
      <w:pPr>
        <w:ind w:right="1020" w:firstLine="456"/>
        <w:spacing w:after="0" w:line="342" w:lineRule="auto"/>
        <w:rPr>
          <w:sz w:val="20"/>
          <w:szCs w:val="20"/>
          <w:color w:val="auto"/>
        </w:rPr>
      </w:pPr>
      <w:r>
        <w:rPr>
          <w:rFonts w:ascii="Arial" w:cs="Arial" w:eastAsia="Arial" w:hAnsi="Arial"/>
          <w:sz w:val="16"/>
          <w:szCs w:val="16"/>
          <w:color w:val="auto"/>
        </w:rPr>
        <w:t>This AMENDMENT NO. 17 TO EMPLOYMENT AGREEMENT is entered as of the 12th day of December, 2016, between COMCAST CORPORATION, a Pennsylvania corporation (together with its subsidiaries, the “Company”), and BRIAN L. ROBERTS (“Employee”).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further amend the Agreement on the terms and conditions contained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17" w:lineRule="exact"/>
        <w:rPr>
          <w:sz w:val="20"/>
          <w:szCs w:val="20"/>
          <w:color w:val="auto"/>
        </w:rPr>
      </w:pPr>
    </w:p>
    <w:p>
      <w:pPr>
        <w:ind w:right="400" w:firstLine="464"/>
        <w:spacing w:after="0" w:line="286" w:lineRule="auto"/>
        <w:tabs>
          <w:tab w:leader="none" w:pos="63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Subparagraph 5(b) of the Agreement is hereby amended to add the following year and amount thereto: “Year — 2017; Amount - $4,221,301.” Employee hereby elects January 2, 2020 as the scheduled payment date with respect to such amount, provided that Employee may elect to postpone such scheduled payment date to the extent permitted under the Company’s 2005 Deferred Compensation Plan.</w:t>
      </w:r>
    </w:p>
    <w:p>
      <w:pPr>
        <w:spacing w:after="0" w:line="165" w:lineRule="exact"/>
        <w:rPr>
          <w:rFonts w:ascii="Arial" w:cs="Arial" w:eastAsia="Arial" w:hAnsi="Arial"/>
          <w:sz w:val="17"/>
          <w:szCs w:val="17"/>
          <w:color w:val="auto"/>
        </w:rPr>
      </w:pPr>
    </w:p>
    <w:p>
      <w:pPr>
        <w:ind w:left="640" w:hanging="176"/>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Agreement is hereby amended to add a new subparagraph 14(g), to follow subparagraph 14(f) and to read in its entirety as follows:</w:t>
      </w:r>
    </w:p>
    <w:p>
      <w:pPr>
        <w:spacing w:after="0" w:line="129"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“(g) Nothing contained in this Agreement (including, without limitation, subparagraphs 14(c) and 15(a))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Except as modified hereby, the Agreement shall continue unmodified and in full force and effect.</w:t>
      </w:r>
    </w:p>
    <w:p>
      <w:pPr>
        <w:sectPr>
          <w:pgSz w:w="11900" w:h="16838" w:orient="portrait"/>
          <w:cols w:equalWidth="0" w:num="1">
            <w:col w:w="11420"/>
          </w:cols>
          <w:pgMar w:left="240" w:top="121" w:right="239" w:bottom="1440" w:gutter="0" w:footer="0" w:header="0"/>
        </w:sectPr>
      </w:pPr>
    </w:p>
    <w:bookmarkStart w:id="224" w:name="page225"/>
    <w:bookmarkEnd w:id="2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and delivered this Amendment No. 17 as of the date first-above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December 12, 2016</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Brian L. Roberts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December 12, 2016</w:t>
      </w:r>
    </w:p>
    <w:p>
      <w:pPr>
        <w:sectPr>
          <w:pgSz w:w="11900" w:h="16838" w:orient="portrait"/>
          <w:cols w:equalWidth="0" w:num="1">
            <w:col w:w="9759"/>
          </w:cols>
          <w:pgMar w:left="700" w:top="274"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OPTION AWARD</w:t>
      </w:r>
    </w:p>
    <w:p>
      <w:pPr>
        <w:spacing w:after="0" w:line="211" w:lineRule="exact"/>
        <w:rPr>
          <w:sz w:val="20"/>
          <w:szCs w:val="20"/>
          <w:color w:val="auto"/>
        </w:rPr>
      </w:pPr>
    </w:p>
    <w:p>
      <w:pPr>
        <w:ind w:left="460"/>
        <w:spacing w:after="0"/>
        <w:tabs>
          <w:tab w:leader="none" w:pos="4740" w:val="left"/>
        </w:tabs>
        <w:rPr>
          <w:sz w:val="20"/>
          <w:szCs w:val="20"/>
          <w:color w:val="auto"/>
        </w:rPr>
      </w:pPr>
      <w:r>
        <w:rPr>
          <w:rFonts w:ascii="Arial" w:cs="Arial" w:eastAsia="Arial" w:hAnsi="Arial"/>
          <w:sz w:val="18"/>
          <w:szCs w:val="18"/>
          <w:color w:val="auto"/>
        </w:rPr>
        <w:t>This is a Non-Qualified Stock Option Award dated</w:t>
      </w:r>
      <w:r>
        <w:rPr>
          <w:sz w:val="20"/>
          <w:szCs w:val="20"/>
          <w:color w:val="auto"/>
        </w:rPr>
        <w:tab/>
      </w:r>
      <w:r>
        <w:rPr>
          <w:rFonts w:ascii="Arial" w:cs="Arial" w:eastAsia="Arial" w:hAnsi="Arial"/>
          <w:sz w:val="16"/>
          <w:szCs w:val="16"/>
          <w:color w:val="auto"/>
        </w:rPr>
        <w:t>(“Award”) from Comcast Corporation (the “Sponsor”) to the Optionee.</w:t>
      </w:r>
    </w:p>
    <w:p>
      <w:pPr>
        <w:spacing w:after="0" w:line="225" w:lineRule="exact"/>
        <w:rPr>
          <w:sz w:val="20"/>
          <w:szCs w:val="20"/>
          <w:color w:val="auto"/>
        </w:rPr>
      </w:pPr>
    </w:p>
    <w:p>
      <w:pPr>
        <w:ind w:left="640" w:hanging="176"/>
        <w:spacing w:after="0"/>
        <w:tabs>
          <w:tab w:leader="none" w:pos="64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w:t>
      </w:r>
    </w:p>
    <w:p>
      <w:pPr>
        <w:spacing w:after="0" w:line="117" w:lineRule="exact"/>
        <w:rPr>
          <w:rFonts w:ascii="Arial" w:cs="Arial" w:eastAsia="Arial" w:hAnsi="Arial"/>
          <w:sz w:val="18"/>
          <w:szCs w:val="18"/>
          <w:color w:val="auto"/>
        </w:rPr>
      </w:pPr>
    </w:p>
    <w:p>
      <w:pPr>
        <w:ind w:right="320" w:firstLine="921"/>
        <w:spacing w:after="0" w:line="259" w:lineRule="auto"/>
        <w:tabs>
          <w:tab w:leader="none" w:pos="1158" w:val="left"/>
        </w:tabs>
        <w:numPr>
          <w:ilvl w:val="2"/>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2"/>
          <w:numId w:val="1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fraud; (ii) misappropriation; (iii) embezzlement; (iv) gross negligence in the performance of duties; (v) self-dealing;</w:t>
      </w:r>
    </w:p>
    <w:p>
      <w:pPr>
        <w:spacing w:after="0" w:line="34" w:lineRule="exact"/>
        <w:rPr>
          <w:rFonts w:ascii="Arial" w:cs="Arial" w:eastAsia="Arial" w:hAnsi="Arial"/>
          <w:sz w:val="17"/>
          <w:szCs w:val="17"/>
          <w:color w:val="auto"/>
        </w:rPr>
      </w:pPr>
    </w:p>
    <w:p>
      <w:pPr>
        <w:ind w:right="180" w:firstLine="8"/>
        <w:spacing w:after="0" w:line="254" w:lineRule="auto"/>
        <w:tabs>
          <w:tab w:leader="none" w:pos="30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misrepresentation; (vii) dishonesty;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as to items (ix), (x) and (xi), if capable of being cured, such event or condition remains uncured following 30 days written notice thereof.</w:t>
      </w:r>
    </w:p>
    <w:p>
      <w:pPr>
        <w:spacing w:after="0" w:line="189" w:lineRule="exact"/>
        <w:rPr>
          <w:rFonts w:ascii="Arial" w:cs="Arial" w:eastAsia="Arial" w:hAnsi="Arial"/>
          <w:sz w:val="18"/>
          <w:szCs w:val="18"/>
          <w:color w:val="auto"/>
        </w:rPr>
      </w:pPr>
    </w:p>
    <w:p>
      <w:pPr>
        <w:ind w:right="440" w:firstLine="921"/>
        <w:spacing w:after="0" w:line="279" w:lineRule="auto"/>
        <w:tabs>
          <w:tab w:leader="none" w:pos="1168" w:val="left"/>
        </w:tabs>
        <w:numPr>
          <w:ilvl w:val="2"/>
          <w:numId w:val="1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71" w:lineRule="exact"/>
        <w:rPr>
          <w:rFonts w:ascii="Arial" w:cs="Arial" w:eastAsia="Arial" w:hAnsi="Arial"/>
          <w:sz w:val="17"/>
          <w:szCs w:val="17"/>
          <w:color w:val="auto"/>
        </w:rPr>
      </w:pPr>
    </w:p>
    <w:p>
      <w:pPr>
        <w:ind w:left="1160" w:hanging="239"/>
        <w:spacing w:after="0"/>
        <w:tabs>
          <w:tab w:leader="none" w:pos="1160" w:val="left"/>
        </w:tabs>
        <w:numPr>
          <w:ilvl w:val="2"/>
          <w:numId w:val="1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means the closing of the acquisition and sale of the Shares as described in, and subject to the provisions of, Paragraph 9 hereof.</w:t>
      </w:r>
    </w:p>
    <w:p>
      <w:pPr>
        <w:spacing w:after="0" w:line="248" w:lineRule="exact"/>
        <w:rPr>
          <w:rFonts w:ascii="Arial" w:cs="Arial" w:eastAsia="Arial" w:hAnsi="Arial"/>
          <w:sz w:val="16"/>
          <w:szCs w:val="16"/>
          <w:color w:val="auto"/>
        </w:rPr>
      </w:pPr>
    </w:p>
    <w:p>
      <w:pPr>
        <w:ind w:left="1140" w:hanging="219"/>
        <w:spacing w:after="0"/>
        <w:tabs>
          <w:tab w:leader="none" w:pos="114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Closing.</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those members of the Board who have been designated pursuant to the Plan to act in that capacity.</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 per share.</w:t>
      </w:r>
    </w:p>
    <w:p>
      <w:pPr>
        <w:sectPr>
          <w:pgSz w:w="11900" w:h="16838" w:orient="portrait"/>
          <w:cols w:equalWidth="0" w:num="1">
            <w:col w:w="11420"/>
          </w:cols>
          <w:pgMar w:left="240" w:top="121" w:right="239" w:bottom="1440" w:gutter="0" w:footer="0" w:header="0"/>
        </w:sectPr>
      </w:pPr>
    </w:p>
    <w:bookmarkStart w:id="226" w:name="page227"/>
    <w:bookmarkEnd w:id="226"/>
    <w:p>
      <w:pPr>
        <w:ind w:left="1120" w:hanging="219"/>
        <w:spacing w:after="0"/>
        <w:tabs>
          <w:tab w:leader="none" w:pos="11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each of its Subsidiaries.</w:t>
      </w:r>
    </w:p>
    <w:p>
      <w:pPr>
        <w:spacing w:after="0" w:line="225" w:lineRule="exact"/>
        <w:rPr>
          <w:rFonts w:ascii="Arial" w:cs="Arial" w:eastAsia="Arial" w:hAnsi="Arial"/>
          <w:sz w:val="18"/>
          <w:szCs w:val="18"/>
          <w:color w:val="auto"/>
        </w:rPr>
      </w:pPr>
    </w:p>
    <w:p>
      <w:pPr>
        <w:ind w:left="-20" w:right="340" w:firstLine="921"/>
        <w:spacing w:after="0" w:line="277" w:lineRule="auto"/>
        <w:tabs>
          <w:tab w:leader="none" w:pos="11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Exercise</w:t>
      </w:r>
      <w:r>
        <w:rPr>
          <w:rFonts w:ascii="Arial" w:cs="Arial" w:eastAsia="Arial" w:hAnsi="Arial"/>
          <w:sz w:val="18"/>
          <w:szCs w:val="18"/>
          <w:color w:val="auto"/>
        </w:rPr>
        <w:t>” means the date on which the notice required by Paragraph 6 hereof is hand-delivered, placed in the United States mail postage prepaid, or delivered to a telegraph or telex facility.</w:t>
      </w:r>
    </w:p>
    <w:p>
      <w:pPr>
        <w:spacing w:after="0" w:line="170" w:lineRule="exact"/>
        <w:rPr>
          <w:rFonts w:ascii="Arial" w:cs="Arial" w:eastAsia="Arial" w:hAnsi="Arial"/>
          <w:sz w:val="18"/>
          <w:szCs w:val="18"/>
          <w:color w:val="auto"/>
        </w:rPr>
      </w:pPr>
    </w:p>
    <w:p>
      <w:pPr>
        <w:ind w:left="1120" w:hanging="219"/>
        <w:spacing w:after="0"/>
        <w:tabs>
          <w:tab w:leader="none" w:pos="11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hereof, the date on which the Sponsor awarded the Option.</w:t>
      </w:r>
    </w:p>
    <w:p>
      <w:pPr>
        <w:spacing w:after="0" w:line="225" w:lineRule="exact"/>
        <w:rPr>
          <w:rFonts w:ascii="Arial" w:cs="Arial" w:eastAsia="Arial" w:hAnsi="Arial"/>
          <w:sz w:val="18"/>
          <w:szCs w:val="18"/>
          <w:color w:val="auto"/>
        </w:rPr>
      </w:pPr>
    </w:p>
    <w:p>
      <w:pPr>
        <w:ind w:left="1200" w:hanging="299"/>
        <w:spacing w:after="0"/>
        <w:tabs>
          <w:tab w:leader="none" w:pos="1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225" w:lineRule="exact"/>
        <w:rPr>
          <w:rFonts w:ascii="Arial" w:cs="Arial" w:eastAsia="Arial" w:hAnsi="Arial"/>
          <w:sz w:val="18"/>
          <w:szCs w:val="18"/>
          <w:color w:val="auto"/>
        </w:rPr>
      </w:pPr>
    </w:p>
    <w:p>
      <w:pPr>
        <w:ind w:left="1160" w:hanging="259"/>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the earliest of the following:</w:t>
      </w:r>
    </w:p>
    <w:p>
      <w:pPr>
        <w:spacing w:after="0" w:line="225" w:lineRule="exact"/>
        <w:rPr>
          <w:rFonts w:ascii="Arial" w:cs="Arial" w:eastAsia="Arial" w:hAnsi="Arial"/>
          <w:sz w:val="18"/>
          <w:szCs w:val="18"/>
          <w:color w:val="auto"/>
        </w:rPr>
      </w:pPr>
    </w:p>
    <w:p>
      <w:pPr>
        <w:ind w:left="-20" w:right="420" w:firstLine="1492"/>
        <w:spacing w:after="0" w:line="277" w:lineRule="auto"/>
        <w:tabs>
          <w:tab w:leader="none" w:pos="171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If the Optionee’s Termination of Employment with the Company is due to any reason other than death, Disability, Retirement or Cause, the date 90 days following such Termination of Employment;</w:t>
      </w:r>
    </w:p>
    <w:p>
      <w:pPr>
        <w:spacing w:after="0" w:line="170" w:lineRule="exact"/>
        <w:rPr>
          <w:rFonts w:ascii="Arial" w:cs="Arial" w:eastAsia="Arial" w:hAnsi="Arial"/>
          <w:sz w:val="18"/>
          <w:szCs w:val="18"/>
          <w:color w:val="auto"/>
        </w:rPr>
      </w:pPr>
    </w:p>
    <w:p>
      <w:pPr>
        <w:ind w:left="-20" w:right="700" w:firstLine="1492"/>
        <w:spacing w:after="0" w:line="308" w:lineRule="auto"/>
        <w:tabs>
          <w:tab w:leader="none" w:pos="1718" w:val="left"/>
        </w:tabs>
        <w:numPr>
          <w:ilvl w:val="1"/>
          <w:numId w:val="179"/>
        </w:numPr>
        <w:rPr>
          <w:rFonts w:ascii="Arial" w:cs="Arial" w:eastAsia="Arial" w:hAnsi="Arial"/>
          <w:sz w:val="17"/>
          <w:szCs w:val="17"/>
          <w:color w:val="auto"/>
        </w:rPr>
      </w:pPr>
      <w:r>
        <w:rPr>
          <w:rFonts w:ascii="Arial" w:cs="Arial" w:eastAsia="Arial" w:hAnsi="Arial"/>
          <w:sz w:val="17"/>
          <w:szCs w:val="17"/>
          <w:color w:val="auto"/>
        </w:rPr>
        <w:t>Subject to cancellation by the Committee pursuant to Paragraph 3(c), if the Optionee’s Termination of Employment with the Company (other than a Termination of Employment with the Company for Cause) occurs after qualifying for Retirement,</w:t>
      </w:r>
    </w:p>
    <w:p>
      <w:pPr>
        <w:spacing w:after="0" w:line="146" w:lineRule="exact"/>
        <w:rPr>
          <w:rFonts w:ascii="Arial" w:cs="Arial" w:eastAsia="Arial" w:hAnsi="Arial"/>
          <w:sz w:val="17"/>
          <w:szCs w:val="17"/>
          <w:color w:val="auto"/>
        </w:rPr>
      </w:pPr>
    </w:p>
    <w:p>
      <w:pPr>
        <w:ind w:left="-20" w:firstLine="1948"/>
        <w:spacing w:after="0" w:line="308" w:lineRule="auto"/>
        <w:tabs>
          <w:tab w:leader="none" w:pos="2165" w:val="left"/>
        </w:tabs>
        <w:numPr>
          <w:ilvl w:val="2"/>
          <w:numId w:val="179"/>
        </w:numPr>
        <w:rPr>
          <w:rFonts w:ascii="Arial" w:cs="Arial" w:eastAsia="Arial" w:hAnsi="Arial"/>
          <w:sz w:val="17"/>
          <w:szCs w:val="17"/>
          <w:color w:val="auto"/>
        </w:rPr>
      </w:pPr>
      <w:r>
        <w:rPr>
          <w:rFonts w:ascii="Arial" w:cs="Arial" w:eastAsia="Arial" w:hAnsi="Arial"/>
          <w:sz w:val="17"/>
          <w:szCs w:val="17"/>
          <w:color w:val="auto"/>
        </w:rPr>
        <w:t>the date three months after the third anniversary of the date of the Optionee’s Termination of Employment if, at the time of such Termination of Employment, the Optionee has completed at least ten (10) but less than fifteen (15) years of service with the Company;</w:t>
      </w:r>
    </w:p>
    <w:p>
      <w:pPr>
        <w:spacing w:after="0" w:line="146" w:lineRule="exact"/>
        <w:rPr>
          <w:rFonts w:ascii="Arial" w:cs="Arial" w:eastAsia="Arial" w:hAnsi="Arial"/>
          <w:sz w:val="17"/>
          <w:szCs w:val="17"/>
          <w:color w:val="auto"/>
        </w:rPr>
      </w:pPr>
    </w:p>
    <w:p>
      <w:pPr>
        <w:ind w:left="-20" w:right="20" w:firstLine="1948"/>
        <w:spacing w:after="0" w:line="308" w:lineRule="auto"/>
        <w:tabs>
          <w:tab w:leader="none" w:pos="2175" w:val="left"/>
        </w:tabs>
        <w:numPr>
          <w:ilvl w:val="2"/>
          <w:numId w:val="179"/>
        </w:numPr>
        <w:rPr>
          <w:rFonts w:ascii="Arial" w:cs="Arial" w:eastAsia="Arial" w:hAnsi="Arial"/>
          <w:sz w:val="17"/>
          <w:szCs w:val="17"/>
          <w:color w:val="auto"/>
        </w:rPr>
      </w:pPr>
      <w:r>
        <w:rPr>
          <w:rFonts w:ascii="Arial" w:cs="Arial" w:eastAsia="Arial" w:hAnsi="Arial"/>
          <w:sz w:val="17"/>
          <w:szCs w:val="17"/>
          <w:color w:val="auto"/>
        </w:rPr>
        <w:t>the date three months after the fifth anniversary of the date of the Optionee’s Termination of Employment if, at the time of such Termination of Employment, the Optionee has completed at least fifteen (15) but less than twenty (20) years of service with the Company; or</w:t>
      </w:r>
    </w:p>
    <w:p>
      <w:pPr>
        <w:spacing w:after="0" w:line="146" w:lineRule="exact"/>
        <w:rPr>
          <w:rFonts w:ascii="Arial" w:cs="Arial" w:eastAsia="Arial" w:hAnsi="Arial"/>
          <w:sz w:val="17"/>
          <w:szCs w:val="17"/>
          <w:color w:val="auto"/>
        </w:rPr>
      </w:pPr>
    </w:p>
    <w:p>
      <w:pPr>
        <w:ind w:left="-20" w:right="100" w:firstLine="1948"/>
        <w:spacing w:after="0" w:line="308" w:lineRule="auto"/>
        <w:tabs>
          <w:tab w:leader="none" w:pos="2165" w:val="left"/>
        </w:tabs>
        <w:numPr>
          <w:ilvl w:val="2"/>
          <w:numId w:val="179"/>
        </w:numPr>
        <w:rPr>
          <w:rFonts w:ascii="Arial" w:cs="Arial" w:eastAsia="Arial" w:hAnsi="Arial"/>
          <w:sz w:val="17"/>
          <w:szCs w:val="17"/>
          <w:color w:val="auto"/>
        </w:rPr>
      </w:pPr>
      <w:r>
        <w:rPr>
          <w:rFonts w:ascii="Arial" w:cs="Arial" w:eastAsia="Arial" w:hAnsi="Arial"/>
          <w:sz w:val="17"/>
          <w:szCs w:val="17"/>
          <w:color w:val="auto"/>
        </w:rPr>
        <w:t>the date three months after the nine and one-half year anniversary of the date of the Optionee’s Termination of Employment if, at the time of such Termination of Employment, the Optionee has completed twenty (20) or more years of service with the Company;</w:t>
      </w:r>
    </w:p>
    <w:p>
      <w:pPr>
        <w:spacing w:after="0" w:line="146" w:lineRule="exact"/>
        <w:rPr>
          <w:rFonts w:ascii="Arial" w:cs="Arial" w:eastAsia="Arial" w:hAnsi="Arial"/>
          <w:sz w:val="17"/>
          <w:szCs w:val="17"/>
          <w:color w:val="auto"/>
        </w:rPr>
      </w:pPr>
    </w:p>
    <w:p>
      <w:pPr>
        <w:ind w:left="1720" w:hanging="248"/>
        <w:spacing w:after="0"/>
        <w:tabs>
          <w:tab w:leader="none" w:pos="172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If the Optionee’s Termination of Employment with the Company is for Cause, the date of such Termination of Employment; or</w:t>
      </w:r>
    </w:p>
    <w:p>
      <w:pPr>
        <w:spacing w:after="0" w:line="236" w:lineRule="exact"/>
        <w:rPr>
          <w:rFonts w:ascii="Arial" w:cs="Arial" w:eastAsia="Arial" w:hAnsi="Arial"/>
          <w:sz w:val="17"/>
          <w:szCs w:val="17"/>
          <w:color w:val="auto"/>
        </w:rPr>
      </w:pPr>
    </w:p>
    <w:p>
      <w:pPr>
        <w:ind w:left="1720" w:hanging="248"/>
        <w:spacing w:after="0"/>
        <w:tabs>
          <w:tab w:leader="none" w:pos="17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day before the tenth anniversary of the Date of Grant.</w:t>
      </w:r>
    </w:p>
    <w:p>
      <w:pPr>
        <w:spacing w:after="0" w:line="225" w:lineRule="exact"/>
        <w:rPr>
          <w:rFonts w:ascii="Arial" w:cs="Arial" w:eastAsia="Arial" w:hAnsi="Arial"/>
          <w:sz w:val="18"/>
          <w:szCs w:val="18"/>
          <w:color w:val="auto"/>
        </w:rPr>
      </w:pPr>
    </w:p>
    <w:p>
      <w:pPr>
        <w:ind w:left="1160" w:hanging="259"/>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Fair Market Value of a Share, as determined pursuant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227" w:name="page228"/>
    <w:bookmarkEnd w:id="227"/>
    <w:p>
      <w:pPr>
        <w:ind w:right="140" w:firstLine="921"/>
        <w:spacing w:after="0" w:line="277" w:lineRule="auto"/>
        <w:tabs>
          <w:tab w:leader="none" w:pos="11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vesting and exercise of the Option.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option hereby granted.</w:t>
      </w:r>
    </w:p>
    <w:p>
      <w:pPr>
        <w:spacing w:after="0" w:line="225" w:lineRule="exact"/>
        <w:rPr>
          <w:rFonts w:ascii="Arial" w:cs="Arial" w:eastAsia="Arial" w:hAnsi="Arial"/>
          <w:sz w:val="18"/>
          <w:szCs w:val="18"/>
          <w:color w:val="auto"/>
        </w:rPr>
      </w:pPr>
    </w:p>
    <w:p>
      <w:pPr>
        <w:ind w:right="220" w:firstLine="921"/>
        <w:spacing w:after="0" w:line="277" w:lineRule="auto"/>
        <w:tabs>
          <w:tab w:leader="none" w:pos="113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per Share exercise price of the Option, as calculated pursuant to the Plan and set forth on the attached Long-Term Incentive Awards Summary Schedule.</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Optionee</w:t>
      </w:r>
      <w:r>
        <w:rPr>
          <w:rFonts w:ascii="Arial" w:cs="Arial" w:eastAsia="Arial" w:hAnsi="Arial"/>
          <w:sz w:val="16"/>
          <w:szCs w:val="16"/>
          <w:color w:val="auto"/>
        </w:rPr>
        <w:t>” means the individual to whom the Option has been granted as identified on the attached Long-Term Incentive Awards Summary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w:t>
      </w:r>
    </w:p>
    <w:p>
      <w:pPr>
        <w:spacing w:after="0" w:line="210" w:lineRule="exact"/>
        <w:rPr>
          <w:rFonts w:ascii="Arial" w:cs="Arial" w:eastAsia="Arial" w:hAnsi="Arial"/>
          <w:sz w:val="16"/>
          <w:szCs w:val="16"/>
          <w:color w:val="auto"/>
        </w:rPr>
      </w:pPr>
    </w:p>
    <w:p>
      <w:pPr>
        <w:ind w:left="1140" w:hanging="219"/>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2003 Stock Option Plan, incorporated herein by reference.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An Optionee will be qualified for Retirement after reaching age 62 and completing 10 or more years of service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right="100" w:firstLine="921"/>
        <w:spacing w:after="0" w:line="277" w:lineRule="auto"/>
        <w:tabs>
          <w:tab w:leader="none" w:pos="120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the total number of shares of Common Stock, which are the subject of the Option hereby granted, as set forth on the attached Long-Term Incentive Awards Summary Schedule.</w:t>
      </w:r>
    </w:p>
    <w:p>
      <w:pPr>
        <w:spacing w:after="0" w:line="170"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business entity that, at the time in question, is a subsidiary of the Sponsor within the meaning of section 424(f)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210" w:lineRule="exact"/>
        <w:rPr>
          <w:rFonts w:ascii="Arial" w:cs="Arial" w:eastAsia="Arial" w:hAnsi="Arial"/>
          <w:sz w:val="16"/>
          <w:szCs w:val="16"/>
          <w:color w:val="auto"/>
        </w:rPr>
      </w:pPr>
    </w:p>
    <w:p>
      <w:pPr>
        <w:ind w:firstLine="921"/>
        <w:spacing w:after="0" w:line="259" w:lineRule="auto"/>
        <w:tabs>
          <w:tab w:leader="none" w:pos="115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xml:space="preserve">”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employer corporation is the Sponsor or a Subsidiary.</w:t>
      </w:r>
    </w:p>
    <w:p>
      <w:pPr>
        <w:spacing w:after="0" w:line="187" w:lineRule="exact"/>
        <w:rPr>
          <w:sz w:val="20"/>
          <w:szCs w:val="20"/>
          <w:color w:val="auto"/>
        </w:rPr>
      </w:pPr>
    </w:p>
    <w:p>
      <w:pPr>
        <w:ind w:left="1240" w:hanging="319"/>
        <w:spacing w:after="0"/>
        <w:tabs>
          <w:tab w:leader="none" w:pos="12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Terminating Event</w:t>
      </w:r>
      <w:r>
        <w:rPr>
          <w:rFonts w:ascii="Arial" w:cs="Arial" w:eastAsia="Arial" w:hAnsi="Arial"/>
          <w:sz w:val="17"/>
          <w:szCs w:val="17"/>
          <w:color w:val="auto"/>
        </w:rPr>
        <w:t>” means any of the following events:</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left="1260" w:hanging="339"/>
        <w:spacing w:after="0"/>
        <w:tabs>
          <w:tab w:leader="none" w:pos="12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means the Optionee’s termination of employment. For purposes of the Plan and this Award, the Optionee’s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Termination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8" w:name="page229"/>
    <w:bookmarkEnd w:id="228"/>
    <w:p>
      <w:pPr>
        <w:ind w:right="4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occurs on the date the Optionee ceases to have a regular obligation to perform services for the Company, without 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178" w:lineRule="exact"/>
        <w:rPr>
          <w:sz w:val="20"/>
          <w:szCs w:val="20"/>
          <w:color w:val="auto"/>
        </w:rPr>
      </w:pPr>
    </w:p>
    <w:p>
      <w:pPr>
        <w:ind w:right="40" w:firstLine="921"/>
        <w:spacing w:after="0" w:line="277" w:lineRule="auto"/>
        <w:tabs>
          <w:tab w:leader="none" w:pos="1238"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70" w:lineRule="exact"/>
        <w:rPr>
          <w:rFonts w:ascii="Arial" w:cs="Arial" w:eastAsia="Arial" w:hAnsi="Arial"/>
          <w:sz w:val="18"/>
          <w:szCs w:val="18"/>
          <w:color w:val="auto"/>
        </w:rPr>
      </w:pPr>
    </w:p>
    <w:p>
      <w:pPr>
        <w:ind w:left="1260" w:hanging="339"/>
        <w:spacing w:after="0"/>
        <w:tabs>
          <w:tab w:leader="none" w:pos="12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1934 Act</w:t>
      </w:r>
      <w:r>
        <w:rPr>
          <w:rFonts w:ascii="Arial" w:cs="Arial" w:eastAsia="Arial" w:hAnsi="Arial"/>
          <w:sz w:val="17"/>
          <w:szCs w:val="17"/>
          <w:color w:val="auto"/>
        </w:rPr>
        <w:t>” means the Securities Exchange Act of 1934, as amended.</w:t>
      </w:r>
    </w:p>
    <w:p>
      <w:pPr>
        <w:spacing w:after="0" w:line="236" w:lineRule="exact"/>
        <w:rPr>
          <w:rFonts w:ascii="Arial" w:cs="Arial" w:eastAsia="Arial" w:hAnsi="Arial"/>
          <w:sz w:val="17"/>
          <w:szCs w:val="17"/>
          <w:color w:val="auto"/>
        </w:rPr>
      </w:pPr>
    </w:p>
    <w:p>
      <w:pPr>
        <w:ind w:right="640" w:firstLine="464"/>
        <w:spacing w:after="0" w:line="277" w:lineRule="auto"/>
        <w:tabs>
          <w:tab w:leader="none" w:pos="63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Subject to the terms and conditions set forth herein and in the Plan, the Sponsor hereby grants to the Optionee the Option to purchase any or all of the Shares.</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Time of Exercise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21"/>
        <w:spacing w:after="0" w:line="259" w:lineRule="auto"/>
        <w:tabs>
          <w:tab w:leader="none" w:pos="115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Except as provided in Paragraphs 3(b), 3(c) or 4, the Option may be exercised after such time or times as set forth on the attached Long-Term Incentive Awards Summary Schedule, and shall remain exercisable until the Expiration Date, when the right to exercise shall terminate absolutely. No Shares subject to the Option shall first become exercisable following the Optionee’s Termination of Employment for any reason other than death or Disability or after qualifying for Retirement.</w:t>
      </w:r>
    </w:p>
    <w:p>
      <w:pPr>
        <w:spacing w:after="0" w:line="186" w:lineRule="exact"/>
        <w:rPr>
          <w:rFonts w:ascii="Arial" w:cs="Arial" w:eastAsia="Arial" w:hAnsi="Arial"/>
          <w:sz w:val="18"/>
          <w:szCs w:val="18"/>
          <w:color w:val="auto"/>
        </w:rPr>
      </w:pPr>
    </w:p>
    <w:p>
      <w:pPr>
        <w:ind w:right="180" w:firstLine="921"/>
        <w:spacing w:after="0" w:line="259" w:lineRule="auto"/>
        <w:tabs>
          <w:tab w:leader="none" w:pos="116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 Shares subject to the Option shall vest and become exercisable upon the Optionee’s Termination of Employment because of death or Disability. Furthermore, the Option shall continue to vest and become exercisable in accordance with the attached Long-Term Incentive Awards Summary Schedule following the Optionee’s Termination of Employment (other than a Termination of Employment with the Company for Cause) after qualifying for Retirement for a period of:</w:t>
      </w:r>
    </w:p>
    <w:p>
      <w:pPr>
        <w:spacing w:after="0" w:line="78" w:lineRule="exact"/>
        <w:rPr>
          <w:rFonts w:ascii="Arial" w:cs="Arial" w:eastAsia="Arial" w:hAnsi="Arial"/>
          <w:sz w:val="18"/>
          <w:szCs w:val="18"/>
          <w:color w:val="auto"/>
        </w:rPr>
      </w:pPr>
    </w:p>
    <w:p>
      <w:pPr>
        <w:ind w:right="460" w:firstLine="1492"/>
        <w:spacing w:after="0" w:line="277" w:lineRule="auto"/>
        <w:tabs>
          <w:tab w:leader="none" w:pos="1738" w:val="left"/>
        </w:tabs>
        <w:numPr>
          <w:ilvl w:val="2"/>
          <w:numId w:val="183"/>
        </w:numPr>
        <w:rPr>
          <w:rFonts w:ascii="Arial" w:cs="Arial" w:eastAsia="Arial" w:hAnsi="Arial"/>
          <w:sz w:val="18"/>
          <w:szCs w:val="18"/>
          <w:color w:val="auto"/>
        </w:rPr>
      </w:pPr>
      <w:r>
        <w:rPr>
          <w:rFonts w:ascii="Arial" w:cs="Arial" w:eastAsia="Arial" w:hAnsi="Arial"/>
          <w:sz w:val="18"/>
          <w:szCs w:val="18"/>
          <w:color w:val="auto"/>
        </w:rPr>
        <w:t>three (3) years following such Termination of Employment if, at the time of such Termination of Employment, the Optionee has completed at least ten (10) but less than fifteen (15) years of service with the Company;</w:t>
      </w:r>
    </w:p>
    <w:p>
      <w:pPr>
        <w:spacing w:after="0" w:line="170" w:lineRule="exact"/>
        <w:rPr>
          <w:rFonts w:ascii="Arial" w:cs="Arial" w:eastAsia="Arial" w:hAnsi="Arial"/>
          <w:sz w:val="18"/>
          <w:szCs w:val="18"/>
          <w:color w:val="auto"/>
        </w:rPr>
      </w:pPr>
    </w:p>
    <w:p>
      <w:pPr>
        <w:ind w:right="540" w:firstLine="1492"/>
        <w:spacing w:after="0" w:line="277" w:lineRule="auto"/>
        <w:tabs>
          <w:tab w:leader="none" w:pos="1738" w:val="left"/>
        </w:tabs>
        <w:numPr>
          <w:ilvl w:val="2"/>
          <w:numId w:val="183"/>
        </w:numPr>
        <w:rPr>
          <w:rFonts w:ascii="Arial" w:cs="Arial" w:eastAsia="Arial" w:hAnsi="Arial"/>
          <w:sz w:val="18"/>
          <w:szCs w:val="18"/>
          <w:color w:val="auto"/>
        </w:rPr>
      </w:pPr>
      <w:r>
        <w:rPr>
          <w:rFonts w:ascii="Arial" w:cs="Arial" w:eastAsia="Arial" w:hAnsi="Arial"/>
          <w:sz w:val="18"/>
          <w:szCs w:val="18"/>
          <w:color w:val="auto"/>
        </w:rPr>
        <w:t>five (5) years following such Termination of Employment if, at the time of such Termination of Employment, the Optionee has completed at least fifteen (15) but less than twenty (20) years of service with the Company;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29" w:name="page230"/>
    <w:bookmarkEnd w:id="229"/>
    <w:p>
      <w:pPr>
        <w:ind w:left="-20" w:right="300" w:firstLine="1492"/>
        <w:spacing w:after="0" w:line="283" w:lineRule="auto"/>
        <w:tabs>
          <w:tab w:leader="none" w:pos="171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nine and one-half (9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years following such Termination of Employment if, at the time of such Termination of Employment, the Optionee has completed twenty (20) or more years of service with the Company.</w:t>
      </w:r>
    </w:p>
    <w:p>
      <w:pPr>
        <w:spacing w:after="0" w:line="140" w:lineRule="exact"/>
        <w:rPr>
          <w:rFonts w:ascii="Arial" w:cs="Arial" w:eastAsia="Arial" w:hAnsi="Arial"/>
          <w:sz w:val="18"/>
          <w:szCs w:val="18"/>
          <w:color w:val="auto"/>
        </w:rPr>
      </w:pPr>
    </w:p>
    <w:p>
      <w:pPr>
        <w:ind w:left="-20" w:right="120" w:firstLine="921"/>
        <w:spacing w:after="0" w:line="264" w:lineRule="auto"/>
        <w:tabs>
          <w:tab w:leader="none" w:pos="113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Notwithstanding the foregoing, the Option will be subject to cancellation by the Committee, in its sole discretion, if the Optionee breaches either of the following non-solicitation or non-competition obligations during the period following Termination of Employment in which the Option remains exercisable by the Optionee pursuant to the terms of this Award:</w:t>
      </w:r>
    </w:p>
    <w:p>
      <w:pPr>
        <w:spacing w:after="0" w:line="73" w:lineRule="exact"/>
        <w:rPr>
          <w:rFonts w:ascii="Arial" w:cs="Arial" w:eastAsia="Arial" w:hAnsi="Arial"/>
          <w:sz w:val="18"/>
          <w:szCs w:val="18"/>
          <w:color w:val="auto"/>
        </w:rPr>
      </w:pPr>
    </w:p>
    <w:p>
      <w:pPr>
        <w:ind w:left="-20" w:right="180" w:firstLine="1492"/>
        <w:spacing w:after="0" w:line="264" w:lineRule="auto"/>
        <w:tabs>
          <w:tab w:leader="none" w:pos="171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Optionee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1" w:lineRule="exact"/>
        <w:rPr>
          <w:rFonts w:ascii="Arial" w:cs="Arial" w:eastAsia="Arial" w:hAnsi="Arial"/>
          <w:sz w:val="18"/>
          <w:szCs w:val="18"/>
          <w:color w:val="auto"/>
        </w:rPr>
      </w:pPr>
    </w:p>
    <w:p>
      <w:pPr>
        <w:ind w:left="-20" w:right="140" w:firstLine="1492"/>
        <w:spacing w:after="0" w:line="271" w:lineRule="auto"/>
        <w:tabs>
          <w:tab w:leader="none" w:pos="1718"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Optionee shall not, directly or indirectly, engage or be financially interested in (as an agent, consultant, director, employee, independent contractor, officer, owner, partner, principal or otherwise), any activities for any business (whether conducted by an entity or individuals, including the Optionee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the Optionee’s knowledge at the time of the Optionee’s Termination of Employment. This restriction shall apply in any geographical area of the United States in which the Company carries out business activities. Nothing herein shall prevent the Optionee from owning for investment up to one percent (1%) of any class of equity security of an entity whose securities are traded on a national securities exchange or market.</w:t>
      </w:r>
    </w:p>
    <w:p>
      <w:pPr>
        <w:spacing w:after="0" w:line="178" w:lineRule="exact"/>
        <w:rPr>
          <w:rFonts w:ascii="Arial" w:cs="Arial" w:eastAsia="Arial" w:hAnsi="Arial"/>
          <w:sz w:val="17"/>
          <w:szCs w:val="17"/>
          <w:color w:val="auto"/>
        </w:rPr>
      </w:pPr>
    </w:p>
    <w:p>
      <w:pPr>
        <w:ind w:left="-20" w:right="100" w:firstLine="921"/>
        <w:spacing w:after="0" w:line="264" w:lineRule="auto"/>
        <w:tabs>
          <w:tab w:leader="none" w:pos="11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the Option remains unexercised immediately before the time at which the Option is scheduled to expire in accordance with the rules of the Plan and this grant document, the Option shall be deemed automatically exercised in accordance with Paragraph 7(h)(ii) of the Plan immediately before the time at which the Option is scheduled to expire, if the Option satisfies the following conditions:</w:t>
      </w:r>
    </w:p>
    <w:p>
      <w:pPr>
        <w:spacing w:after="0" w:line="73" w:lineRule="exact"/>
        <w:rPr>
          <w:rFonts w:ascii="Arial" w:cs="Arial" w:eastAsia="Arial" w:hAnsi="Arial"/>
          <w:sz w:val="18"/>
          <w:szCs w:val="18"/>
          <w:color w:val="auto"/>
        </w:rPr>
      </w:pPr>
    </w:p>
    <w:p>
      <w:pPr>
        <w:ind w:left="1720" w:hanging="248"/>
        <w:spacing w:after="0"/>
        <w:tabs>
          <w:tab w:leader="none" w:pos="17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Option is covered by a then current registration statement or a Notification under Regulation A under the 1933 Act.</w:t>
      </w:r>
    </w:p>
    <w:p>
      <w:pPr>
        <w:spacing w:after="0" w:line="225" w:lineRule="exact"/>
        <w:rPr>
          <w:rFonts w:ascii="Arial" w:cs="Arial" w:eastAsia="Arial" w:hAnsi="Arial"/>
          <w:sz w:val="18"/>
          <w:szCs w:val="18"/>
          <w:color w:val="auto"/>
        </w:rPr>
      </w:pPr>
    </w:p>
    <w:p>
      <w:pPr>
        <w:ind w:left="-20" w:firstLine="1492"/>
        <w:spacing w:after="0" w:line="264" w:lineRule="auto"/>
        <w:tabs>
          <w:tab w:leader="none" w:pos="171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last reported sale price of a Share on the principal exchange on which Shares are listed on the date of determination, or if such date is not a trading day, the last preceding trading day, exceeds the Option Price by such amount as may be determined by the Committee or its delegate from time to time. Absent a contrary determination, such excess per Share shall be $0.01.</w:t>
      </w:r>
    </w:p>
    <w:p>
      <w:pPr>
        <w:spacing w:after="0" w:line="181" w:lineRule="exact"/>
        <w:rPr>
          <w:rFonts w:ascii="Arial" w:cs="Arial" w:eastAsia="Arial" w:hAnsi="Arial"/>
          <w:sz w:val="18"/>
          <w:szCs w:val="18"/>
          <w:color w:val="auto"/>
        </w:rPr>
      </w:pPr>
    </w:p>
    <w:p>
      <w:pPr>
        <w:ind w:left="-20" w:right="100" w:firstLine="1492"/>
        <w:spacing w:after="0" w:line="277" w:lineRule="auto"/>
        <w:tabs>
          <w:tab w:leader="none" w:pos="171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Optionee to whom such Option has been granted has not terminated employment for Cause, and, immediately before the time at which such Option is scheduled to expire, there is no basis for a termination of employment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-4366895</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131" w:right="259" w:bottom="1440" w:gutter="0" w:footer="0" w:header="0"/>
        </w:sectPr>
      </w:pPr>
    </w:p>
    <w:bookmarkStart w:id="230" w:name="page231"/>
    <w:bookmarkEnd w:id="23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Option subject to this Paragraph 3(d)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of the Plan) for such exercise; provided that in connection with such cashless exercise that would not result in the issuance of a whole number of Shares, the Company shall pay cash in lieu of any fractional Share.</w:t>
      </w:r>
    </w:p>
    <w:p>
      <w:pPr>
        <w:spacing w:after="0" w:line="165" w:lineRule="exact"/>
        <w:rPr>
          <w:sz w:val="20"/>
          <w:szCs w:val="20"/>
          <w:color w:val="auto"/>
        </w:rPr>
      </w:pPr>
    </w:p>
    <w:p>
      <w:pPr>
        <w:ind w:left="640" w:hanging="176"/>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Terminating Event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90" w:lineRule="auto"/>
        <w:tabs>
          <w:tab w:leader="none" w:pos="115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166" w:lineRule="exact"/>
        <w:rPr>
          <w:rFonts w:ascii="Arial" w:cs="Arial" w:eastAsia="Arial" w:hAnsi="Arial"/>
          <w:sz w:val="16"/>
          <w:szCs w:val="16"/>
          <w:color w:val="auto"/>
        </w:rPr>
      </w:pPr>
    </w:p>
    <w:p>
      <w:pPr>
        <w:ind w:right="540" w:firstLine="921"/>
        <w:spacing w:after="0" w:line="308" w:lineRule="auto"/>
        <w:tabs>
          <w:tab w:leader="none" w:pos="1168" w:val="left"/>
        </w:tabs>
        <w:numPr>
          <w:ilvl w:val="1"/>
          <w:numId w:val="186"/>
        </w:numPr>
        <w:rPr>
          <w:rFonts w:ascii="Arial" w:cs="Arial" w:eastAsia="Arial" w:hAnsi="Arial"/>
          <w:sz w:val="17"/>
          <w:szCs w:val="17"/>
          <w:color w:val="auto"/>
        </w:rPr>
      </w:pPr>
      <w:r>
        <w:rPr>
          <w:rFonts w:ascii="Arial" w:cs="Arial" w:eastAsia="Arial" w:hAnsi="Arial"/>
          <w:sz w:val="17"/>
          <w:szCs w:val="17"/>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146" w:lineRule="exact"/>
        <w:rPr>
          <w:rFonts w:ascii="Arial" w:cs="Arial" w:eastAsia="Arial" w:hAnsi="Arial"/>
          <w:sz w:val="17"/>
          <w:szCs w:val="17"/>
          <w:color w:val="auto"/>
        </w:rPr>
      </w:pPr>
    </w:p>
    <w:p>
      <w:pPr>
        <w:ind w:firstLine="464"/>
        <w:spacing w:after="0" w:line="271" w:lineRule="auto"/>
        <w:tabs>
          <w:tab w:leader="none" w:pos="636"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Payment for Shares</w:t>
      </w:r>
      <w:r>
        <w:rPr>
          <w:rFonts w:ascii="Arial" w:cs="Arial" w:eastAsia="Arial" w:hAnsi="Arial"/>
          <w:sz w:val="17"/>
          <w:szCs w:val="17"/>
          <w:color w:val="auto"/>
        </w:rPr>
        <w:t xml:space="preserve">. Full payment for Shares purchased upon the exercise of an Option shall be made via cashless exercise, such that subject to the other terms and conditions of the Award and the Plan,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14 of the Award and Paragraph 15(b) of the Plan) for such exercise,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connection with a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31" w:name="page232"/>
    <w:bookmarkEnd w:id="231"/>
    <w:p>
      <w:pPr>
        <w:ind w:left="-20" w:right="80" w:firstLine="464"/>
        <w:spacing w:after="0" w:line="342" w:lineRule="auto"/>
        <w:tabs>
          <w:tab w:leader="none" w:pos="616"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Manner of Exercise</w:t>
      </w:r>
      <w:r>
        <w:rPr>
          <w:rFonts w:ascii="Arial" w:cs="Arial" w:eastAsia="Arial" w:hAnsi="Arial"/>
          <w:sz w:val="16"/>
          <w:szCs w:val="16"/>
          <w:color w:val="auto"/>
        </w:rPr>
        <w:t>. The Option shall be exercised by giving written notice of exercise in accordance with the manner prescribed by the Committee. Such notice shall be deemed to have been given when hand-delivered, telecopied or mailed, first class postage prepaid, and shall be irrevocable once given.</w:t>
      </w:r>
    </w:p>
    <w:p>
      <w:pPr>
        <w:spacing w:after="0" w:line="123" w:lineRule="exact"/>
        <w:rPr>
          <w:rFonts w:ascii="Arial" w:cs="Arial" w:eastAsia="Arial" w:hAnsi="Arial"/>
          <w:sz w:val="16"/>
          <w:szCs w:val="16"/>
          <w:color w:val="auto"/>
        </w:rPr>
      </w:pPr>
    </w:p>
    <w:p>
      <w:pPr>
        <w:ind w:left="-20" w:firstLine="464"/>
        <w:spacing w:after="0" w:line="257" w:lineRule="auto"/>
        <w:tabs>
          <w:tab w:leader="none" w:pos="61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188" w:lineRule="exact"/>
        <w:rPr>
          <w:rFonts w:ascii="Arial" w:cs="Arial" w:eastAsia="Arial" w:hAnsi="Arial"/>
          <w:sz w:val="18"/>
          <w:szCs w:val="18"/>
          <w:color w:val="auto"/>
        </w:rPr>
      </w:pPr>
    </w:p>
    <w:p>
      <w:pPr>
        <w:ind w:left="-20" w:right="20" w:firstLine="464"/>
        <w:spacing w:after="0" w:line="254" w:lineRule="auto"/>
        <w:tabs>
          <w:tab w:leader="none" w:pos="61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192" w:lineRule="exact"/>
        <w:rPr>
          <w:rFonts w:ascii="Arial" w:cs="Arial" w:eastAsia="Arial" w:hAnsi="Arial"/>
          <w:sz w:val="18"/>
          <w:szCs w:val="18"/>
          <w:color w:val="auto"/>
        </w:rPr>
      </w:pPr>
    </w:p>
    <w:p>
      <w:pPr>
        <w:jc w:val="both"/>
        <w:ind w:left="-20" w:right="400" w:firstLine="464"/>
        <w:spacing w:after="0" w:line="264" w:lineRule="auto"/>
        <w:tabs>
          <w:tab w:leader="none" w:pos="61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Issuance of Certificate at Closing</w:t>
      </w:r>
      <w:r>
        <w:rPr>
          <w:rFonts w:ascii="Arial" w:cs="Arial" w:eastAsia="Arial" w:hAnsi="Arial"/>
          <w:sz w:val="18"/>
          <w:szCs w:val="18"/>
          <w:color w:val="auto"/>
        </w:rPr>
        <w:t>.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w:t>
      </w:r>
    </w:p>
    <w:p>
      <w:pPr>
        <w:spacing w:after="0" w:line="181" w:lineRule="exact"/>
        <w:rPr>
          <w:rFonts w:ascii="Arial" w:cs="Arial" w:eastAsia="Arial" w:hAnsi="Arial"/>
          <w:sz w:val="18"/>
          <w:szCs w:val="18"/>
          <w:color w:val="auto"/>
        </w:rPr>
      </w:pPr>
    </w:p>
    <w:p>
      <w:pPr>
        <w:ind w:left="-20" w:right="160" w:firstLine="464"/>
        <w:spacing w:after="0" w:line="279" w:lineRule="auto"/>
        <w:tabs>
          <w:tab w:leader="none" w:pos="706"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Rights Prior to Exercise</w:t>
      </w:r>
      <w:r>
        <w:rPr>
          <w:rFonts w:ascii="Arial" w:cs="Arial" w:eastAsia="Arial" w:hAnsi="Arial"/>
          <w:sz w:val="17"/>
          <w:szCs w:val="17"/>
          <w:color w:val="auto"/>
        </w:rPr>
        <w:t>. The Optionee shall not have any right as a stockholder with respect to any Shares subject to his Options until the Option shall have been exercised in accordance with the terms of the Plan and the Award and the Company shall have delivered the Shares.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232" w:name="page233"/>
    <w:bookmarkEnd w:id="232"/>
    <w:p>
      <w:pPr>
        <w:ind w:left="-60" w:firstLine="464"/>
        <w:spacing w:after="0" w:line="302" w:lineRule="auto"/>
        <w:tabs>
          <w:tab w:leader="none" w:pos="66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Status of Option; Interpretation</w:t>
      </w:r>
      <w:r>
        <w:rPr>
          <w:rFonts w:ascii="Arial" w:cs="Arial" w:eastAsia="Arial" w:hAnsi="Arial"/>
          <w:sz w:val="16"/>
          <w:szCs w:val="16"/>
          <w:color w:val="auto"/>
        </w:rPr>
        <w:t>.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154" w:lineRule="exact"/>
        <w:rPr>
          <w:rFonts w:ascii="Arial" w:cs="Arial" w:eastAsia="Arial" w:hAnsi="Arial"/>
          <w:sz w:val="16"/>
          <w:szCs w:val="16"/>
          <w:color w:val="auto"/>
        </w:rPr>
      </w:pPr>
    </w:p>
    <w:p>
      <w:pPr>
        <w:ind w:left="-60" w:right="660" w:firstLine="464"/>
        <w:spacing w:after="0" w:line="277" w:lineRule="auto"/>
        <w:tabs>
          <w:tab w:leader="none" w:pos="66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Option Not to Affect Employment</w:t>
      </w:r>
      <w:r>
        <w:rPr>
          <w:rFonts w:ascii="Arial" w:cs="Arial" w:eastAsia="Arial" w:hAnsi="Arial"/>
          <w:sz w:val="18"/>
          <w:szCs w:val="18"/>
          <w:color w:val="auto"/>
        </w:rPr>
        <w:t>. The Option granted hereunder shall not confer upon the Optionee any right to continue in service as an employee, officer or director of the Sponsor or any subsidiary of the Sponsor.</w:t>
      </w:r>
    </w:p>
    <w:p>
      <w:pPr>
        <w:spacing w:after="0" w:line="170" w:lineRule="exact"/>
        <w:rPr>
          <w:rFonts w:ascii="Arial" w:cs="Arial" w:eastAsia="Arial" w:hAnsi="Arial"/>
          <w:sz w:val="18"/>
          <w:szCs w:val="18"/>
          <w:color w:val="auto"/>
        </w:rPr>
      </w:pPr>
    </w:p>
    <w:p>
      <w:pPr>
        <w:ind w:left="680" w:hanging="276"/>
        <w:spacing w:after="0"/>
        <w:tabs>
          <w:tab w:leader="none" w:pos="68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120" w:firstLine="921"/>
        <w:spacing w:after="0" w:line="264" w:lineRule="auto"/>
        <w:tabs>
          <w:tab w:leader="none" w:pos="109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181" w:lineRule="exact"/>
        <w:rPr>
          <w:rFonts w:ascii="Arial" w:cs="Arial" w:eastAsia="Arial" w:hAnsi="Arial"/>
          <w:sz w:val="18"/>
          <w:szCs w:val="18"/>
          <w:color w:val="auto"/>
        </w:rPr>
      </w:pPr>
    </w:p>
    <w:p>
      <w:pPr>
        <w:ind w:left="1120" w:hanging="259"/>
        <w:spacing w:after="0"/>
        <w:tabs>
          <w:tab w:leader="none" w:pos="112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This Award may be executed in one or more counterparts all of which taken together will constitute one and the same instrument.</w:t>
      </w:r>
    </w:p>
    <w:p>
      <w:pPr>
        <w:spacing w:after="0" w:line="236" w:lineRule="exact"/>
        <w:rPr>
          <w:rFonts w:ascii="Arial" w:cs="Arial" w:eastAsia="Arial" w:hAnsi="Arial"/>
          <w:sz w:val="17"/>
          <w:szCs w:val="17"/>
          <w:color w:val="auto"/>
        </w:rPr>
      </w:pPr>
    </w:p>
    <w:p>
      <w:pPr>
        <w:ind w:left="-60" w:right="500" w:firstLine="921"/>
        <w:spacing w:after="0" w:line="277" w:lineRule="auto"/>
        <w:tabs>
          <w:tab w:leader="none" w:pos="109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70" w:lineRule="exact"/>
        <w:rPr>
          <w:rFonts w:ascii="Arial" w:cs="Arial" w:eastAsia="Arial" w:hAnsi="Arial"/>
          <w:sz w:val="18"/>
          <w:szCs w:val="18"/>
          <w:color w:val="auto"/>
        </w:rPr>
      </w:pPr>
    </w:p>
    <w:p>
      <w:pPr>
        <w:ind w:left="-60" w:right="80" w:firstLine="921"/>
        <w:spacing w:after="0" w:line="271" w:lineRule="auto"/>
        <w:tabs>
          <w:tab w:leader="none" w:pos="1108"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178" w:lineRule="exact"/>
        <w:rPr>
          <w:rFonts w:ascii="Arial" w:cs="Arial" w:eastAsia="Arial" w:hAnsi="Arial"/>
          <w:sz w:val="17"/>
          <w:szCs w:val="17"/>
          <w:color w:val="auto"/>
        </w:rPr>
      </w:pPr>
    </w:p>
    <w:p>
      <w:pPr>
        <w:ind w:left="-60" w:firstLine="464"/>
        <w:spacing w:after="0" w:line="257" w:lineRule="auto"/>
        <w:tabs>
          <w:tab w:leader="none" w:pos="66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Whenever the Sponsor proposes or is required to deliver or transfer Shares in connection with the exercise of the Option, the Sponsor shall have the right to (a) withhold Shares subject to the Optionee’s exercise of the Option as provided in Paragraph 5 of the Award and Paragraph 15(b) of the Plan, (b) require the Optionee to remit to the Sponsor an amount sufficient to satisfy any federal, state and/or local withholding tax requirements prior to the delivery or transfer of any certificate or certificates for such Shares or (c) take whatever action it deems necessary to protect its interests with respect to tax liabilities.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274" w:right="29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Sponsor has granted this Award on the day and year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COMCAST CORPORATION</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14605</wp:posOffset>
            </wp:positionV>
            <wp:extent cx="23412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14605</wp:posOffset>
            </wp:positionV>
            <wp:extent cx="234124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59"/>
          </w:cols>
          <w:pgMar w:left="700" w:top="274" w:right="1440" w:bottom="1440" w:gutter="0" w:footer="0" w:header="0"/>
        </w:sectPr>
      </w:pPr>
    </w:p>
    <w:bookmarkStart w:id="234" w:name="page235"/>
    <w:bookmarkEnd w:id="23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LONG-TERM INCENTIVE AWARDS SUMMARY SCHEDULE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Long-Term Incentive Awards Summary Schedule (this “Schedule”) provides certain information related to the Non-Qualified Stock Option and</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Restricted Stock Units you were granted by Comcast Corporation on (the “Date of Grant”). </w:t>
      </w:r>
      <w:r>
        <w:rPr>
          <w:rFonts w:ascii="Arial" w:cs="Arial" w:eastAsia="Arial" w:hAnsi="Arial"/>
          <w:sz w:val="18"/>
          <w:szCs w:val="18"/>
          <w:b w:val="1"/>
          <w:bCs w:val="1"/>
          <w:color w:val="auto"/>
        </w:rPr>
        <w:t>This Schedule is intended to be, and shall at all times</w:t>
      </w:r>
      <w:r>
        <w:rPr>
          <w:rFonts w:ascii="Arial" w:cs="Arial" w:eastAsia="Arial" w:hAnsi="Arial"/>
          <w:sz w:val="18"/>
          <w:szCs w:val="18"/>
          <w:color w:val="auto"/>
        </w:rPr>
        <w:t xml:space="preserve"> </w:t>
      </w:r>
      <w:r>
        <w:rPr>
          <w:rFonts w:ascii="Arial" w:cs="Arial" w:eastAsia="Arial" w:hAnsi="Arial"/>
          <w:sz w:val="18"/>
          <w:szCs w:val="18"/>
          <w:b w:val="1"/>
          <w:bCs w:val="1"/>
          <w:color w:val="auto"/>
        </w:rPr>
        <w:t>be interpreted as, a part of your Comcast Corporation Non-Qualified Option award document.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Non-Qualified Stock Option Award</w:t>
            </w: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Optionee:</w:t>
            </w:r>
          </w:p>
        </w:tc>
        <w:tc>
          <w:tcPr>
            <w:tcW w:w="15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Date of Grant:</w:t>
            </w: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Per Share Option Price:</w:t>
            </w: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Shares Subject to Option:</w:t>
            </w:r>
          </w:p>
        </w:tc>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Vesting Dates /Exercisability of Option:</w:t>
            </w:r>
          </w:p>
        </w:tc>
        <w:tc>
          <w:tcPr>
            <w:tcW w:w="6760" w:type="dxa"/>
            <w:vAlign w:val="bottom"/>
          </w:tcPr>
          <w:p>
            <w:pPr>
              <w:ind w:left="1740"/>
              <w:spacing w:after="0"/>
              <w:rPr>
                <w:sz w:val="20"/>
                <w:szCs w:val="20"/>
                <w:color w:val="auto"/>
              </w:rPr>
            </w:pPr>
            <w:r>
              <w:rPr>
                <w:rFonts w:ascii="Arial" w:cs="Arial" w:eastAsia="Arial" w:hAnsi="Arial"/>
                <w:sz w:val="18"/>
                <w:szCs w:val="18"/>
                <w:color w:val="auto"/>
              </w:rPr>
              <w:t>of the Shares subject to the Option may be exercised following</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Option Term:</w:t>
            </w:r>
          </w:p>
        </w:tc>
        <w:tc>
          <w:tcPr>
            <w:tcW w:w="6760" w:type="dxa"/>
            <w:vAlign w:val="bottom"/>
          </w:tcPr>
          <w:p>
            <w:pPr>
              <w:ind w:left="1740"/>
              <w:spacing w:after="0"/>
              <w:rPr>
                <w:sz w:val="20"/>
                <w:szCs w:val="20"/>
                <w:color w:val="auto"/>
              </w:rPr>
            </w:pPr>
            <w:r>
              <w:rPr>
                <w:rFonts w:ascii="Arial" w:cs="Arial" w:eastAsia="Arial" w:hAnsi="Arial"/>
                <w:sz w:val="18"/>
                <w:szCs w:val="18"/>
                <w:color w:val="auto"/>
                <w:w w:val="91"/>
              </w:rPr>
              <w:t>10 Years, except as otherwise provided in your Comcast Corporation</w:t>
            </w:r>
          </w:p>
        </w:tc>
        <w:tc>
          <w:tcPr>
            <w:tcW w:w="12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760" w:type="dxa"/>
            <w:vAlign w:val="bottom"/>
          </w:tcPr>
          <w:p>
            <w:pPr>
              <w:ind w:left="1740"/>
              <w:spacing w:after="0"/>
              <w:rPr>
                <w:sz w:val="20"/>
                <w:szCs w:val="20"/>
                <w:color w:val="auto"/>
              </w:rPr>
            </w:pPr>
            <w:r>
              <w:rPr>
                <w:rFonts w:ascii="Arial" w:cs="Arial" w:eastAsia="Arial" w:hAnsi="Arial"/>
                <w:sz w:val="18"/>
                <w:szCs w:val="18"/>
                <w:color w:val="auto"/>
              </w:rPr>
              <w:t>Non-Qualified Option award document.</w:t>
            </w:r>
          </w:p>
        </w:tc>
        <w:tc>
          <w:tcPr>
            <w:tcW w:w="120" w:type="dxa"/>
            <w:vAlign w:val="bottom"/>
          </w:tcPr>
          <w:p>
            <w:pPr>
              <w:spacing w:after="0"/>
              <w:rPr>
                <w:sz w:val="20"/>
                <w:szCs w:val="20"/>
                <w:color w:val="auto"/>
              </w:rPr>
            </w:pPr>
          </w:p>
        </w:tc>
      </w:tr>
      <w:tr>
        <w:trPr>
          <w:trHeight w:val="365"/>
        </w:trPr>
        <w:tc>
          <w:tcPr>
            <w:tcW w:w="2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760" w:type="dxa"/>
            <w:vAlign w:val="bottom"/>
          </w:tcPr>
          <w:p>
            <w:pPr>
              <w:jc w:val="right"/>
              <w:ind w:right="50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r>
    </w:tbl>
    <w:p>
      <w:pPr>
        <w:sectPr>
          <w:pgSz w:w="11900" w:h="16838" w:orient="portrait"/>
          <w:cols w:equalWidth="0" w:num="1">
            <w:col w:w="11260"/>
          </w:cols>
          <w:pgMar w:left="240" w:top="270" w:right="39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Statement Regarding Computation of Ratio of Earnings to Fixed Charges and Ratio of Earnings to Combined Fixed Charges and Preferred Dividends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gridSpan w:val="3"/>
          </w:tcPr>
          <w:p>
            <w:pPr>
              <w:spacing w:after="0"/>
              <w:rPr>
                <w:sz w:val="20"/>
                <w:szCs w:val="20"/>
                <w:color w:val="auto"/>
              </w:rPr>
            </w:pPr>
            <w:r>
              <w:rPr>
                <w:rFonts w:ascii="Arial" w:cs="Arial" w:eastAsia="Arial" w:hAnsi="Arial"/>
                <w:sz w:val="14"/>
                <w:szCs w:val="14"/>
                <w:color w:val="auto"/>
              </w:rPr>
              <w:t>Year Ended December 31 (in millions)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2015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Computation of Earnings: (a)</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94"/>
              </w:rPr>
              <w:t>Pretax income from continuing operations before adjustment for noncontrolling interests in</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87"/>
              </w:rPr>
              <w:t>14,457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160"/>
              <w:spacing w:after="0"/>
              <w:rPr>
                <w:sz w:val="20"/>
                <w:szCs w:val="20"/>
                <w:color w:val="auto"/>
              </w:rPr>
            </w:pPr>
            <w:r>
              <w:rPr>
                <w:rFonts w:ascii="Arial" w:cs="Arial" w:eastAsia="Arial" w:hAnsi="Arial"/>
                <w:sz w:val="18"/>
                <w:szCs w:val="18"/>
                <w:color w:val="auto"/>
              </w:rPr>
              <w:t>consolidated subsidiaries or income or loss from equity investees</w:t>
            </w:r>
          </w:p>
        </w:tc>
        <w:tc>
          <w:tcPr>
            <w:tcW w:w="360" w:type="dxa"/>
            <w:vAlign w:val="bottom"/>
            <w:gridSpan w:val="2"/>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13,697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12,368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11,201</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Distributed income of equity investees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Less: Capitalized Interest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17,627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15,178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13,992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13,488</w:t>
            </w:r>
          </w:p>
        </w:tc>
        <w:tc>
          <w:tcPr>
            <w:tcW w:w="0" w:type="dxa"/>
            <w:vAlign w:val="bottom"/>
          </w:tcPr>
          <w:p>
            <w:pPr>
              <w:spacing w:after="0"/>
              <w:rPr>
                <w:sz w:val="1"/>
                <w:szCs w:val="1"/>
                <w:color w:val="auto"/>
              </w:rPr>
            </w:pPr>
          </w:p>
        </w:tc>
      </w:tr>
      <w:tr>
        <w:trPr>
          <w:trHeight w:val="223"/>
        </w:trPr>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Computation of Fixed Charges: (a)</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 and capitalized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Amortized premiums, discounts and capitalized expenses related to indebtedness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preferred dividends in 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Total fixed charges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3,349</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5.26x</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5.48x</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5.22x</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4.85x</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20" w:hanging="452"/>
        <w:spacing w:after="0" w:line="290" w:lineRule="auto"/>
        <w:tabs>
          <w:tab w:leader="none" w:pos="4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rFonts w:ascii="Arial" w:cs="Arial" w:eastAsia="Arial" w:hAnsi="Arial"/>
          <w:sz w:val="16"/>
          <w:szCs w:val="16"/>
          <w:color w:val="auto"/>
        </w:rPr>
      </w:pPr>
    </w:p>
    <w:p>
      <w:pPr>
        <w:ind w:left="460" w:right="20"/>
        <w:spacing w:after="0" w:line="269" w:lineRule="auto"/>
        <w:rPr>
          <w:rFonts w:ascii="Arial" w:cs="Arial" w:eastAsia="Arial" w:hAnsi="Arial"/>
          <w:sz w:val="16"/>
          <w:szCs w:val="16"/>
          <w:color w:val="auto"/>
        </w:rPr>
      </w:pPr>
      <w:r>
        <w:rPr>
          <w:rFonts w:ascii="Arial" w:cs="Arial" w:eastAsia="Arial" w:hAnsi="Arial"/>
          <w:sz w:val="17"/>
          <w:szCs w:val="17"/>
          <w:color w:val="auto"/>
        </w:rPr>
        <w:t>(c)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ectPr>
          <w:pgSz w:w="11900" w:h="16838" w:orient="portrait"/>
          <w:cols w:equalWidth="0" w:num="1">
            <w:col w:w="11420"/>
          </w:cols>
          <w:pgMar w:left="240" w:top="121" w:right="23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400" w:type="dxa"/>
            <w:vAlign w:val="bottom"/>
          </w:tcPr>
          <w:p>
            <w:pPr>
              <w:spacing w:after="0"/>
              <w:rPr>
                <w:sz w:val="20"/>
                <w:szCs w:val="20"/>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369"/>
        </w:trPr>
        <w:tc>
          <w:tcPr>
            <w:tcW w:w="76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State/</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Legal Name</w:t>
            </w:r>
          </w:p>
        </w:tc>
        <w:tc>
          <w:tcPr>
            <w:tcW w:w="9400" w:type="dxa"/>
            <w:vAlign w:val="bottom"/>
            <w:vMerge w:val="restart"/>
          </w:tcPr>
          <w:p>
            <w:pPr>
              <w:spacing w:after="0"/>
              <w:rPr>
                <w:sz w:val="12"/>
                <w:szCs w:val="12"/>
                <w:color w:val="auto"/>
              </w:rPr>
            </w:pP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Country of</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9400" w:type="dxa"/>
            <w:vAlign w:val="bottom"/>
            <w:vMerge w:val="continue"/>
          </w:tcPr>
          <w:p>
            <w:pPr>
              <w:spacing w:after="0"/>
              <w:rPr>
                <w:sz w:val="15"/>
                <w:szCs w:val="15"/>
                <w:color w:val="auto"/>
              </w:rPr>
            </w:pPr>
          </w:p>
        </w:tc>
        <w:tc>
          <w:tcPr>
            <w:tcW w:w="12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line="189" w:lineRule="exact"/>
              <w:rPr>
                <w:sz w:val="20"/>
                <w:szCs w:val="20"/>
                <w:color w:val="auto"/>
              </w:rPr>
            </w:pPr>
            <w:r>
              <w:rPr>
                <w:rFonts w:ascii="Arial" w:cs="Arial" w:eastAsia="Arial" w:hAnsi="Arial"/>
                <w:sz w:val="18"/>
                <w:szCs w:val="18"/>
                <w:color w:val="auto"/>
              </w:rPr>
              <w:t>Bravo Media LLC</w:t>
            </w:r>
          </w:p>
        </w:tc>
        <w:tc>
          <w:tcPr>
            <w:tcW w:w="12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Centaur Funding Corporation</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Cayman Islands</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CNBC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ABB Note Consolidation, Inc.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Broadband Security,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Business Communications, LLC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PA</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Cable Communications,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Cable Communications Management,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Cable Funding I,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Corporation</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PA</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Funding I, Inc.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Holdings Corporation</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PA</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Interactive Media,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IP Phone, LLC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PA</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Arkansas/Florida/Louisiana/Minnesota/Mississippi/Tennessee,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Boston, Inc.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California II,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California III, Inc.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California IX, Inc.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California/Colorado/Florida/Oregon, Inc.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GA</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California/Colorado/Illinois/Indiana/Michigan, LP</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California/Maryland/Pennsylvania/Virginia/West Virginia,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California/Massachusetts/Michigan/Utah,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Colorado IX,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Colorado/Florida/Michigan/New Mexico/Pennsylvania/Washington, LLC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Colorado/Pennsylvania/West Virginia,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Connecticut, Inc.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OK</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Connecticut/Georgia/Massachusetts/New Hampshire/New York/North Carolina/Virginia/Vermont,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Florida/Georgia/Illinois/Michigan, LLC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Florida/Georgia/Pennsylvania, LP</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Garden State, L.P.</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Houston,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Illinois VI,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Illinois/Indiana/Ohio,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Maine/New Hampshire, Inc.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NH</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Maryland, LLC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CO</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Massachusetts II, Inc.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Massachusetts III, Inc.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New Jersey II,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Oregon II, Inc.</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OR</w:t>
            </w:r>
          </w:p>
        </w:tc>
        <w:tc>
          <w:tcPr>
            <w:tcW w:w="0" w:type="dxa"/>
            <w:vAlign w:val="bottom"/>
          </w:tcPr>
          <w:p>
            <w:pPr>
              <w:spacing w:after="0"/>
              <w:rPr>
                <w:sz w:val="1"/>
                <w:szCs w:val="1"/>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Philadelphia II,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30"/>
        </w:trPr>
        <w:tc>
          <w:tcPr>
            <w:tcW w:w="10160" w:type="dxa"/>
            <w:vAlign w:val="bottom"/>
            <w:gridSpan w:val="2"/>
          </w:tcPr>
          <w:p>
            <w:pPr>
              <w:spacing w:after="0"/>
              <w:rPr>
                <w:sz w:val="20"/>
                <w:szCs w:val="20"/>
                <w:color w:val="auto"/>
              </w:rPr>
            </w:pPr>
            <w:r>
              <w:rPr>
                <w:rFonts w:ascii="Arial" w:cs="Arial" w:eastAsia="Arial" w:hAnsi="Arial"/>
                <w:sz w:val="18"/>
                <w:szCs w:val="18"/>
                <w:color w:val="auto"/>
              </w:rPr>
              <w:t>Comcast of Potomac, LLC</w:t>
            </w:r>
          </w:p>
        </w:tc>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7" w:name="page238"/>
    <w:bookmarkEnd w:id="2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State/</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Legal Name</w:t>
            </w:r>
          </w:p>
        </w:tc>
        <w:tc>
          <w:tcPr>
            <w:tcW w:w="9040" w:type="dxa"/>
            <w:vAlign w:val="bottom"/>
            <w:vMerge w:val="restart"/>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Country of</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9040" w:type="dxa"/>
            <w:vAlign w:val="bottom"/>
            <w:vMerge w:val="continue"/>
          </w:tcPr>
          <w:p>
            <w:pPr>
              <w:spacing w:after="0"/>
              <w:rPr>
                <w:sz w:val="15"/>
                <w:szCs w:val="15"/>
                <w:color w:val="auto"/>
              </w:rPr>
            </w:pPr>
          </w:p>
        </w:tc>
        <w:tc>
          <w:tcPr>
            <w:tcW w:w="16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189"/>
        </w:trPr>
        <w:tc>
          <w:tcPr>
            <w:tcW w:w="9800" w:type="dxa"/>
            <w:vAlign w:val="bottom"/>
            <w:gridSpan w:val="2"/>
          </w:tcPr>
          <w:p>
            <w:pPr>
              <w:spacing w:after="0" w:line="189" w:lineRule="exact"/>
              <w:rPr>
                <w:sz w:val="20"/>
                <w:szCs w:val="20"/>
                <w:color w:val="auto"/>
              </w:rPr>
            </w:pPr>
            <w:r>
              <w:rPr>
                <w:rFonts w:ascii="Arial" w:cs="Arial" w:eastAsia="Arial" w:hAnsi="Arial"/>
                <w:sz w:val="18"/>
                <w:szCs w:val="18"/>
                <w:color w:val="auto"/>
              </w:rPr>
              <w:t>Comcast of South Jersey, LLC</w:t>
            </w:r>
          </w:p>
        </w:tc>
        <w:tc>
          <w:tcPr>
            <w:tcW w:w="1620" w:type="dxa"/>
            <w:vAlign w:val="bottom"/>
          </w:tcPr>
          <w:p>
            <w:pPr>
              <w:jc w:val="center"/>
              <w:spacing w:after="0" w:line="189" w:lineRule="exact"/>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Comcast of Southeast Pennsylvania,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Comcast of the South</w:t>
            </w:r>
          </w:p>
        </w:tc>
        <w:tc>
          <w:tcPr>
            <w:tcW w:w="1620" w:type="dxa"/>
            <w:vAlign w:val="bottom"/>
          </w:tcPr>
          <w:p>
            <w:pPr>
              <w:jc w:val="center"/>
              <w:spacing w:after="0"/>
              <w:rPr>
                <w:sz w:val="20"/>
                <w:szCs w:val="20"/>
                <w:color w:val="auto"/>
              </w:rPr>
            </w:pPr>
            <w:r>
              <w:rPr>
                <w:rFonts w:ascii="Arial" w:cs="Arial" w:eastAsia="Arial" w:hAnsi="Arial"/>
                <w:sz w:val="18"/>
                <w:szCs w:val="18"/>
                <w:color w:val="auto"/>
                <w:w w:val="96"/>
              </w:rPr>
              <w:t>CO</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Comcast Programming Holdings,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Comcast Shared Services,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Comcast SportsNet Chicago,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E! Entertainment Television,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MSNBC Cable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NBC Olympics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NBC West,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NBCU New Site Holdings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NBCUniversal Enterprise, Inc.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NBCUniversal Media,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NBCUniversal,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Open 4 Business Productions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Telemundo Network Group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TGC,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Universal City Development Partners, Ltd.</w:t>
            </w:r>
          </w:p>
        </w:tc>
        <w:tc>
          <w:tcPr>
            <w:tcW w:w="1620" w:type="dxa"/>
            <w:vAlign w:val="bottom"/>
          </w:tcPr>
          <w:p>
            <w:pPr>
              <w:jc w:val="center"/>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Universal City Studios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Universal City Studios Productions LLLP</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Universal Studios International B.V.</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Universal Studios Licensing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Universal Studios Limited</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England and Wales</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Universal Studios LLC</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Universal Television LLC</w:t>
            </w:r>
          </w:p>
        </w:tc>
        <w:tc>
          <w:tcPr>
            <w:tcW w:w="1620" w:type="dxa"/>
            <w:vAlign w:val="bottom"/>
          </w:tcPr>
          <w:p>
            <w:pPr>
              <w:jc w:val="cente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Universal Television Networks</w:t>
            </w:r>
          </w:p>
        </w:tc>
        <w:tc>
          <w:tcPr>
            <w:tcW w:w="1620" w:type="dxa"/>
            <w:vAlign w:val="bottom"/>
          </w:tcPr>
          <w:p>
            <w:pPr>
              <w:jc w:val="cente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Arial" w:cs="Arial" w:eastAsia="Arial" w:hAnsi="Arial"/>
                <w:sz w:val="18"/>
                <w:szCs w:val="18"/>
                <w:color w:val="auto"/>
              </w:rPr>
              <w:t>USJ Co., Ltd.</w:t>
            </w: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Japan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3" w:right="239" w:bottom="1440" w:gutter="0" w:footer="0" w:header="0"/>
        </w:sectPr>
      </w:pPr>
    </w:p>
    <w:bookmarkStart w:id="238" w:name="page239"/>
    <w:bookmarkEnd w:id="238"/>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23.1</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consent to the incorporation by reference in Registration Statements on Form S-8 (Nos. 333-101645, 333-101295, 333-104385, 333-121082, 333-123059, 333-130844, 333-130845, 333-130847, 333-150976, 333-161468, 333-174416, 333-174417, 333-179638, 333-183008, 333-193903, 333-210085, and 333-212716) and Form S-3 (No. 333-212719) of our reports dated February 3, 2017, relating to the consolidated financial statements and consolidated financial statement schedule of Comcast Corporation, and the effectiveness of Comcast Corporation’s internal control over financial reporting, appearing in this Annual Report on Form 10-K of Comcast Corporation for the year ended December 31, 2016.</w:t>
      </w:r>
    </w:p>
    <w:p>
      <w:pPr>
        <w:spacing w:after="0" w:line="14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ELOITTE</w:t>
      </w:r>
      <w:r>
        <w:rPr>
          <w:rFonts w:ascii="Arial" w:cs="Arial" w:eastAsia="Arial" w:hAnsi="Arial"/>
          <w:sz w:val="18"/>
          <w:szCs w:val="18"/>
          <w:b w:val="1"/>
          <w:bCs w:val="1"/>
          <w:color w:val="auto"/>
        </w:rPr>
        <w:t xml:space="preserve"> &amp; T</w:t>
      </w:r>
      <w:r>
        <w:rPr>
          <w:rFonts w:ascii="Arial" w:cs="Arial" w:eastAsia="Arial" w:hAnsi="Arial"/>
          <w:sz w:val="14"/>
          <w:szCs w:val="14"/>
          <w:b w:val="1"/>
          <w:bCs w:val="1"/>
          <w:color w:val="auto"/>
        </w:rPr>
        <w:t>OUCHE</w:t>
      </w:r>
      <w:r>
        <w:rPr>
          <w:rFonts w:ascii="Arial" w:cs="Arial" w:eastAsia="Arial" w:hAnsi="Arial"/>
          <w:sz w:val="18"/>
          <w:szCs w:val="18"/>
          <w:b w:val="1"/>
          <w:bCs w:val="1"/>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987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Philadelphia, Pennsylvania</w:t>
      </w:r>
    </w:p>
    <w:p>
      <w:pPr>
        <w:jc w:val="center"/>
        <w:ind w:right="6840"/>
        <w:spacing w:after="0"/>
        <w:rPr>
          <w:sz w:val="20"/>
          <w:szCs w:val="20"/>
          <w:color w:val="auto"/>
        </w:rPr>
      </w:pPr>
      <w:r>
        <w:rPr>
          <w:rFonts w:ascii="Arial" w:cs="Arial" w:eastAsia="Arial" w:hAnsi="Arial"/>
          <w:sz w:val="18"/>
          <w:szCs w:val="18"/>
          <w:color w:val="auto"/>
        </w:rPr>
        <w:t>February 3, 2017</w:t>
      </w:r>
    </w:p>
    <w:p>
      <w:pPr>
        <w:spacing w:after="0" w:line="340"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171</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121" w:right="239" w:bottom="1440" w:gutter="0" w:footer="0" w:header="0"/>
        </w:sectPr>
      </w:pPr>
    </w:p>
    <w:bookmarkStart w:id="239" w:name="page240"/>
    <w:bookmarkEnd w:id="239"/>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23.2</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consent to the incorporation by reference in Registration Statements on Form S-8 (Nos. 333-177681 and 333-215522) and Form S-3 (No. 333-212719-01) of our reports dated February 3, 2017, relating to the consolidated financial statements and consolidated financial statement schedule of NBCUniversal Media, LLC appearing in this Annual Report on Form 10-K of NBCUniversal Media, LLC for the year ended December 31, 2016.</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ELOITTE</w:t>
      </w:r>
      <w:r>
        <w:rPr>
          <w:rFonts w:ascii="Arial" w:cs="Arial" w:eastAsia="Arial" w:hAnsi="Arial"/>
          <w:sz w:val="18"/>
          <w:szCs w:val="18"/>
          <w:b w:val="1"/>
          <w:bCs w:val="1"/>
          <w:color w:val="auto"/>
        </w:rPr>
        <w:t xml:space="preserve"> &amp; T</w:t>
      </w:r>
      <w:r>
        <w:rPr>
          <w:rFonts w:ascii="Arial" w:cs="Arial" w:eastAsia="Arial" w:hAnsi="Arial"/>
          <w:sz w:val="14"/>
          <w:szCs w:val="14"/>
          <w:b w:val="1"/>
          <w:bCs w:val="1"/>
          <w:color w:val="auto"/>
        </w:rPr>
        <w:t>OUCHE</w:t>
      </w:r>
      <w:r>
        <w:rPr>
          <w:rFonts w:ascii="Arial" w:cs="Arial" w:eastAsia="Arial" w:hAnsi="Arial"/>
          <w:sz w:val="18"/>
          <w:szCs w:val="18"/>
          <w:b w:val="1"/>
          <w:bCs w:val="1"/>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9877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Philadelphia, Pennsylvania</w:t>
      </w:r>
    </w:p>
    <w:p>
      <w:pPr>
        <w:jc w:val="center"/>
        <w:ind w:right="6840"/>
        <w:spacing w:after="0"/>
        <w:rPr>
          <w:sz w:val="20"/>
          <w:szCs w:val="20"/>
          <w:color w:val="auto"/>
        </w:rPr>
      </w:pPr>
      <w:r>
        <w:rPr>
          <w:rFonts w:ascii="Arial" w:cs="Arial" w:eastAsia="Arial" w:hAnsi="Arial"/>
          <w:sz w:val="18"/>
          <w:szCs w:val="18"/>
          <w:color w:val="auto"/>
        </w:rPr>
        <w:t>February 3, 2017</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172</w:t>
            </w:r>
          </w:p>
        </w:tc>
      </w:tr>
    </w:tbl>
    <w:p>
      <w:pPr>
        <w:sectPr>
          <w:pgSz w:w="11900" w:h="16838" w:orient="portrait"/>
          <w:cols w:equalWidth="0" w:num="1">
            <w:col w:w="11420"/>
          </w:cols>
          <w:pgMar w:left="240" w:top="121" w:right="239" w:bottom="1440" w:gutter="0" w:footer="0" w:header="0"/>
        </w:sectPr>
      </w:pPr>
    </w:p>
    <w:bookmarkStart w:id="240" w:name="page241"/>
    <w:bookmarkEnd w:id="240"/>
    <w:p>
      <w:pPr>
        <w:spacing w:after="0"/>
        <w:tabs>
          <w:tab w:leader="none" w:pos="10320" w:val="left"/>
        </w:tabs>
        <w:rPr>
          <w:sz w:val="20"/>
          <w:szCs w:val="20"/>
          <w:color w:val="auto"/>
        </w:rPr>
      </w:pPr>
      <w:r>
        <w:rPr>
          <w:rFonts w:ascii="Arial" w:cs="Arial" w:eastAsia="Arial" w:hAnsi="Arial"/>
          <w:sz w:val="20"/>
          <w:szCs w:val="20"/>
          <w:color w:val="auto"/>
        </w:rPr>
        <w:t>Certifications</w:t>
      </w:r>
      <w:r>
        <w:rPr>
          <w:sz w:val="20"/>
          <w:szCs w:val="20"/>
          <w:color w:val="auto"/>
        </w:rPr>
        <w:tab/>
      </w:r>
      <w:r>
        <w:rPr>
          <w:rFonts w:ascii="Arial" w:cs="Arial" w:eastAsia="Arial" w:hAnsi="Arial"/>
          <w:sz w:val="29"/>
          <w:szCs w:val="29"/>
          <w:b w:val="1"/>
          <w:bCs w:val="1"/>
          <w:color w:val="auto"/>
          <w:vertAlign w:val="superscript"/>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76"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2017</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jc w:val="center"/>
        <w:ind w:right="6840"/>
        <w:spacing w:after="0"/>
        <w:rPr>
          <w:sz w:val="20"/>
          <w:szCs w:val="20"/>
          <w:color w:val="auto"/>
        </w:rPr>
      </w:pPr>
      <w:r>
        <w:rPr>
          <w:rFonts w:ascii="Arial" w:cs="Arial" w:eastAsia="Arial" w:hAnsi="Arial"/>
          <w:sz w:val="18"/>
          <w:szCs w:val="18"/>
          <w:color w:val="auto"/>
        </w:rPr>
        <w:t>Title: Chief Executive Officer</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173</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121" w:right="2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77" w:lineRule="exact"/>
        <w:rPr>
          <w:sz w:val="20"/>
          <w:szCs w:val="20"/>
          <w:color w:val="auto"/>
        </w:rPr>
      </w:pPr>
    </w:p>
    <w:p>
      <w:pPr>
        <w:ind w:left="260" w:hanging="252"/>
        <w:spacing w:after="0"/>
        <w:tabs>
          <w:tab w:leader="none" w:pos="2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76"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2"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2017</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Name: Michael J. Cavanagh</w:t>
      </w:r>
    </w:p>
    <w:p>
      <w:pPr>
        <w:ind w:left="1220"/>
        <w:spacing w:after="0"/>
        <w:rPr>
          <w:sz w:val="20"/>
          <w:szCs w:val="20"/>
          <w:color w:val="auto"/>
        </w:rPr>
      </w:pPr>
      <w:r>
        <w:rPr>
          <w:rFonts w:ascii="Arial" w:cs="Arial" w:eastAsia="Arial" w:hAnsi="Arial"/>
          <w:sz w:val="18"/>
          <w:szCs w:val="18"/>
          <w:color w:val="auto"/>
        </w:rPr>
        <w:t>Title: Chief Financial Officer</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174</w:t>
            </w:r>
          </w:p>
        </w:tc>
      </w:tr>
    </w:tbl>
    <w:p>
      <w:pPr>
        <w:sectPr>
          <w:pgSz w:w="11900" w:h="16838" w:orient="portrait"/>
          <w:cols w:equalWidth="0" w:num="1">
            <w:col w:w="11420"/>
          </w:cols>
          <w:pgMar w:left="240" w:top="291" w:right="239" w:bottom="1440" w:gutter="0" w:footer="0" w:header="0"/>
        </w:sectPr>
      </w:pPr>
    </w:p>
    <w:bookmarkStart w:id="242" w:name="page243"/>
    <w:bookmarkEnd w:id="242"/>
    <w:p>
      <w:pPr>
        <w:spacing w:after="0"/>
        <w:tabs>
          <w:tab w:leader="none" w:pos="10320" w:val="left"/>
        </w:tabs>
        <w:rPr>
          <w:sz w:val="20"/>
          <w:szCs w:val="20"/>
          <w:color w:val="auto"/>
        </w:rPr>
      </w:pPr>
      <w:r>
        <w:rPr>
          <w:rFonts w:ascii="Arial" w:cs="Arial" w:eastAsia="Arial" w:hAnsi="Arial"/>
          <w:sz w:val="20"/>
          <w:szCs w:val="20"/>
          <w:color w:val="auto"/>
        </w:rPr>
        <w:t>Certifications</w:t>
      </w:r>
      <w:r>
        <w:rPr>
          <w:sz w:val="20"/>
          <w:szCs w:val="20"/>
          <w:color w:val="auto"/>
        </w:rPr>
        <w:tab/>
      </w:r>
      <w:r>
        <w:rPr>
          <w:rFonts w:ascii="Arial" w:cs="Arial" w:eastAsia="Arial" w:hAnsi="Arial"/>
          <w:sz w:val="29"/>
          <w:szCs w:val="29"/>
          <w:b w:val="1"/>
          <w:bCs w:val="1"/>
          <w:color w:val="auto"/>
          <w:vertAlign w:val="superscript"/>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2017</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jc w:val="center"/>
        <w:ind w:right="6840"/>
        <w:spacing w:after="0"/>
        <w:rPr>
          <w:sz w:val="20"/>
          <w:szCs w:val="20"/>
          <w:color w:val="auto"/>
        </w:rPr>
      </w:pPr>
      <w:r>
        <w:rPr>
          <w:rFonts w:ascii="Arial" w:cs="Arial" w:eastAsia="Arial" w:hAnsi="Arial"/>
          <w:sz w:val="18"/>
          <w:szCs w:val="18"/>
          <w:color w:val="auto"/>
        </w:rPr>
        <w:t>Title: Principal Executive Officer</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175</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121"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Cavanagh, certify that:</w:t>
      </w:r>
    </w:p>
    <w:p>
      <w:pPr>
        <w:spacing w:after="0" w:line="117" w:lineRule="exact"/>
        <w:rPr>
          <w:sz w:val="20"/>
          <w:szCs w:val="20"/>
          <w:color w:val="auto"/>
        </w:rPr>
      </w:pPr>
    </w:p>
    <w:p>
      <w:pPr>
        <w:ind w:left="260" w:hanging="252"/>
        <w:spacing w:after="0"/>
        <w:tabs>
          <w:tab w:leader="none" w:pos="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2017</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Michael J. Cavanagh</w:t>
      </w:r>
    </w:p>
    <w:p>
      <w:pPr>
        <w:jc w:val="center"/>
        <w:ind w:right="6840"/>
        <w:spacing w:after="0"/>
        <w:rPr>
          <w:sz w:val="20"/>
          <w:szCs w:val="20"/>
          <w:color w:val="auto"/>
        </w:rPr>
      </w:pPr>
      <w:r>
        <w:rPr>
          <w:rFonts w:ascii="Arial" w:cs="Arial" w:eastAsia="Arial" w:hAnsi="Arial"/>
          <w:sz w:val="18"/>
          <w:szCs w:val="18"/>
          <w:color w:val="auto"/>
        </w:rPr>
        <w:t>Title: Principal Financial Officer</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176</w:t>
            </w:r>
          </w:p>
        </w:tc>
      </w:tr>
    </w:tbl>
    <w:p>
      <w:pPr>
        <w:sectPr>
          <w:pgSz w:w="11900" w:h="16838" w:orient="portrait"/>
          <w:cols w:equalWidth="0" w:num="1">
            <w:col w:w="11420"/>
          </w:cols>
          <w:pgMar w:left="240" w:top="291" w:right="239" w:bottom="1440" w:gutter="0" w:footer="0" w:header="0"/>
        </w:sectPr>
      </w:pPr>
    </w:p>
    <w:bookmarkStart w:id="244" w:name="page245"/>
    <w:bookmarkEnd w:id="244"/>
    <w:p>
      <w:pPr>
        <w:spacing w:after="0"/>
        <w:tabs>
          <w:tab w:leader="none" w:pos="1032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6"/>
          <w:szCs w:val="26"/>
          <w:b w:val="1"/>
          <w:bCs w:val="1"/>
          <w:color w:val="auto"/>
          <w:vertAlign w:val="superscript"/>
        </w:rPr>
        <w:t>Exhibit 32.1</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3,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74" w:lineRule="exact"/>
        <w:rPr>
          <w:sz w:val="20"/>
          <w:szCs w:val="20"/>
          <w:color w:val="auto"/>
        </w:rPr>
      </w:pPr>
    </w:p>
    <w:p>
      <w:pPr>
        <w:ind w:left="260" w:hanging="252"/>
        <w:spacing w:after="0"/>
        <w:tabs>
          <w:tab w:leader="none" w:pos="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9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Chief Executive Officer</w:t>
      </w:r>
    </w:p>
    <w:p>
      <w:pPr>
        <w:spacing w:after="0" w:line="9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040"/>
        <w:spacing w:after="0"/>
        <w:rPr>
          <w:sz w:val="20"/>
          <w:szCs w:val="20"/>
          <w:color w:val="auto"/>
        </w:rPr>
      </w:pPr>
      <w:r>
        <w:rPr>
          <w:rFonts w:ascii="Arial" w:cs="Arial" w:eastAsia="Arial" w:hAnsi="Arial"/>
          <w:sz w:val="18"/>
          <w:szCs w:val="18"/>
          <w:color w:val="auto"/>
        </w:rPr>
        <w:t>Name: Michael J. Cavanagh</w:t>
      </w:r>
    </w:p>
    <w:p>
      <w:pPr>
        <w:ind w:left="80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89"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177</w:t>
      </w:r>
      <w:r>
        <w:rPr>
          <w:sz w:val="20"/>
          <w:szCs w:val="20"/>
          <w:color w:val="auto"/>
        </w:rPr>
        <w:tab/>
      </w:r>
      <w:r>
        <w:rPr>
          <w:rFonts w:ascii="Arial" w:cs="Arial" w:eastAsia="Arial" w:hAnsi="Arial"/>
          <w:sz w:val="14"/>
          <w:szCs w:val="14"/>
          <w:color w:val="auto"/>
        </w:rPr>
        <w:t>Comcast 2016 Annual Report on Form 10-K</w:t>
      </w:r>
    </w:p>
    <w:p>
      <w:pPr>
        <w:sectPr>
          <w:pgSz w:w="11900" w:h="16838" w:orient="portrait"/>
          <w:cols w:equalWidth="0" w:num="1">
            <w:col w:w="11420"/>
          </w:cols>
          <w:pgMar w:left="240" w:top="121" w:right="239" w:bottom="1440" w:gutter="0" w:footer="0" w:header="0"/>
        </w:sectPr>
      </w:pPr>
    </w:p>
    <w:bookmarkStart w:id="245" w:name="page246"/>
    <w:bookmarkEnd w:id="245"/>
    <w:p>
      <w:pPr>
        <w:spacing w:after="0"/>
        <w:tabs>
          <w:tab w:leader="none" w:pos="1042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5"/>
          <w:szCs w:val="25"/>
          <w:b w:val="1"/>
          <w:bCs w:val="1"/>
          <w:color w:val="auto"/>
          <w:vertAlign w:val="superscript"/>
        </w:rPr>
        <w:t>Exhibit 32.2</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3,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NBCUniversal Media, LLC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4" w:lineRule="exact"/>
        <w:rPr>
          <w:sz w:val="20"/>
          <w:szCs w:val="20"/>
          <w:color w:val="auto"/>
        </w:rPr>
      </w:pPr>
    </w:p>
    <w:p>
      <w:pPr>
        <w:ind w:left="260" w:hanging="252"/>
        <w:spacing w:after="0"/>
        <w:tabs>
          <w:tab w:leader="none" w:pos="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19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Principal Executive Officer</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Michael J. Cavanagh</w:t>
      </w:r>
    </w:p>
    <w:p>
      <w:pPr>
        <w:jc w:val="center"/>
        <w:ind w:left="6860"/>
        <w:spacing w:after="0"/>
        <w:rPr>
          <w:sz w:val="20"/>
          <w:szCs w:val="20"/>
          <w:color w:val="auto"/>
        </w:rPr>
      </w:pPr>
      <w:r>
        <w:rPr>
          <w:rFonts w:ascii="Arial" w:cs="Arial" w:eastAsia="Arial" w:hAnsi="Arial"/>
          <w:sz w:val="18"/>
          <w:szCs w:val="18"/>
          <w:color w:val="auto"/>
        </w:rPr>
        <w:t>Title: Principal Financial Officer</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2016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178</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1)"/>
      <w:numFmt w:val="lowerLetter"/>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1)"/>
      <w:numFmt w:val="lowerLetter"/>
      <w:start w:val="1"/>
    </w:lvl>
  </w:abstractNum>
  <w:abstractNum w:abstractNumId="7">
    <w:nsid w:val="73A1821B"/>
    <w:multiLevelType w:val="hybridMultilevel"/>
    <w:lvl w:ilvl="0">
      <w:lvlJc w:val="left"/>
      <w:lvlText w:val="(%1)"/>
      <w:numFmt w:val="lowerLetter"/>
      <w:start w:val="1"/>
    </w:lvl>
  </w:abstractNum>
  <w:abstractNum w:abstractNumId="8">
    <w:nsid w:val="7DE67713"/>
    <w:multiLevelType w:val="hybridMultilevel"/>
    <w:lvl w:ilvl="0">
      <w:lvlJc w:val="left"/>
      <w:lvlText w:val="(%1)"/>
      <w:numFmt w:val="lowerLetter"/>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1)"/>
      <w:numFmt w:val="lowerLetter"/>
      <w:start w:val="1"/>
    </w:lvl>
  </w:abstractNum>
  <w:abstractNum w:abstractNumId="12">
    <w:nsid w:val="6A3DD3E8"/>
    <w:multiLevelType w:val="hybridMultilevel"/>
    <w:lvl w:ilvl="0">
      <w:lvlJc w:val="left"/>
      <w:lvlText w:val="(%1)"/>
      <w:numFmt w:val="lowerLetter"/>
      <w:start w:val="1"/>
    </w:lvl>
  </w:abstractNum>
  <w:abstractNum w:abstractNumId="13">
    <w:nsid w:val="71C91298"/>
    <w:multiLevelType w:val="hybridMultilevel"/>
    <w:lvl w:ilvl="0">
      <w:lvlJc w:val="left"/>
      <w:lvlText w:val="(%1)"/>
      <w:numFmt w:val="lowerLetter"/>
      <w:start w:val="1"/>
    </w:lvl>
  </w:abstractNum>
  <w:abstractNum w:abstractNumId="14">
    <w:nsid w:val="9DAF632"/>
    <w:multiLevelType w:val="hybridMultilevel"/>
    <w:lvl w:ilvl="0">
      <w:lvlJc w:val="left"/>
      <w:lvlText w:val="•"/>
      <w:numFmt w:val="bullet"/>
      <w:start w:val="1"/>
    </w:lvl>
    <w:lvl w:ilvl="1">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1)"/>
      <w:numFmt w:val="lowerLetter"/>
      <w:start w:val="1"/>
    </w:lvl>
  </w:abstractNum>
  <w:abstractNum w:abstractNumId="23">
    <w:nsid w:val="97E1B4E"/>
    <w:multiLevelType w:val="hybridMultilevel"/>
    <w:lvl w:ilvl="0">
      <w:lvlJc w:val="left"/>
      <w:lvlText w:val="(%1)"/>
      <w:numFmt w:val="lowerLetter"/>
      <w:start w:val="1"/>
    </w:lvl>
  </w:abstractNum>
  <w:abstractNum w:abstractNumId="24">
    <w:nsid w:val="51088277"/>
    <w:multiLevelType w:val="hybridMultilevel"/>
    <w:lvl w:ilvl="0">
      <w:lvlJc w:val="left"/>
      <w:lvlText w:val="(%1)"/>
      <w:numFmt w:val="lowerLetter"/>
      <w:start w:val="1"/>
    </w:lvl>
  </w:abstractNum>
  <w:abstractNum w:abstractNumId="25">
    <w:nsid w:val="1CA0C5FA"/>
    <w:multiLevelType w:val="hybridMultilevel"/>
    <w:lvl w:ilvl="0">
      <w:lvlJc w:val="left"/>
      <w:lvlText w:val="(%1)"/>
      <w:numFmt w:val="lowerLetter"/>
      <w:start w:val="5"/>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1)"/>
      <w:numFmt w:val="lowerLetter"/>
      <w:start w:val="1"/>
    </w:lvl>
  </w:abstractNum>
  <w:abstractNum w:abstractNumId="31">
    <w:nsid w:val="5C10FE21"/>
    <w:multiLevelType w:val="hybridMultilevel"/>
    <w:lvl w:ilvl="0">
      <w:lvlJc w:val="left"/>
      <w:lvlText w:val="(%1)"/>
      <w:numFmt w:val="lowerLetter"/>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1)"/>
      <w:numFmt w:val="lowerLetter"/>
      <w:start w:val="2"/>
    </w:lvl>
    <w:lvl w:ilvl="1">
      <w:lvlJc w:val="left"/>
      <w:lvlText w:val="•"/>
      <w:numFmt w:val="bullet"/>
      <w:start w:val="1"/>
    </w:lvl>
  </w:abstractNum>
  <w:abstractNum w:abstractNumId="36">
    <w:nsid w:val="39B7AAA2"/>
    <w:multiLevelType w:val="hybridMultilevel"/>
    <w:lvl w:ilvl="0">
      <w:lvlJc w:val="left"/>
      <w:lvlText w:val="(%1)"/>
      <w:numFmt w:val="lowerLetter"/>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1)"/>
      <w:numFmt w:val="lowerLetter"/>
      <w:start w:val="1"/>
    </w:lvl>
  </w:abstractNum>
  <w:abstractNum w:abstractNumId="40">
    <w:nsid w:val="69E373"/>
    <w:multiLevelType w:val="hybridMultilevel"/>
    <w:lvl w:ilvl="0">
      <w:lvlJc w:val="left"/>
      <w:lvlText w:val="%1"/>
      <w:numFmt w:val="decimal"/>
      <w:start w:val="10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1)"/>
      <w:numFmt w:val="lowerLetter"/>
      <w:start w:val="1"/>
    </w:lvl>
  </w:abstractNum>
  <w:abstractNum w:abstractNumId="43">
    <w:nsid w:val="6AA7B75C"/>
    <w:multiLevelType w:val="hybridMultilevel"/>
    <w:lvl w:ilvl="0">
      <w:lvlJc w:val="left"/>
      <w:lvlText w:val="%1"/>
      <w:numFmt w:val="decimal"/>
      <w:start w:val="10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1)"/>
      <w:numFmt w:val="lowerLetter"/>
      <w:start w:val="1"/>
    </w:lvl>
  </w:abstractNum>
  <w:abstractNum w:abstractNumId="48">
    <w:nsid w:val="2708C9AF"/>
    <w:multiLevelType w:val="hybridMultilevel"/>
    <w:lvl w:ilvl="0">
      <w:lvlJc w:val="left"/>
      <w:lvlText w:val="(%1)"/>
      <w:numFmt w:val="decimal"/>
      <w:start w:val="4"/>
    </w:lvl>
  </w:abstractNum>
  <w:abstractNum w:abstractNumId="49">
    <w:nsid w:val="5B25ACE2"/>
    <w:multiLevelType w:val="hybridMultilevel"/>
    <w:lvl w:ilvl="0">
      <w:lvlJc w:val="left"/>
      <w:lvlText w:val="(%1)"/>
      <w:numFmt w:val="lowerLetter"/>
      <w:start w:val="1"/>
    </w:lvl>
  </w:abstractNum>
  <w:abstractNum w:abstractNumId="50">
    <w:nsid w:val="175DFCF0"/>
    <w:multiLevelType w:val="hybridMultilevel"/>
    <w:lvl w:ilvl="0">
      <w:lvlJc w:val="left"/>
      <w:lvlText w:val="(%1)"/>
      <w:numFmt w:val="lowerLetter"/>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1)"/>
      <w:numFmt w:val="lowerLetter"/>
      <w:start w:val="1"/>
    </w:lvl>
  </w:abstractNum>
  <w:abstractNum w:abstractNumId="54">
    <w:nsid w:val="5915FF32"/>
    <w:multiLevelType w:val="hybridMultilevel"/>
    <w:lvl w:ilvl="0">
      <w:lvlJc w:val="left"/>
      <w:lvlText w:val="(%1)"/>
      <w:numFmt w:val="lowerLetter"/>
      <w:start w:val="5"/>
    </w:lvl>
  </w:abstractNum>
  <w:abstractNum w:abstractNumId="55">
    <w:nsid w:val="56438D15"/>
    <w:multiLevelType w:val="hybridMultilevel"/>
    <w:lvl w:ilvl="0">
      <w:lvlJc w:val="left"/>
      <w:lvlText w:val="%1."/>
      <w:numFmt w:val="decimal"/>
      <w:start w:val="1"/>
    </w:lvl>
    <w:lvl w:ilvl="1">
      <w:lvlJc w:val="left"/>
      <w:lvlText w:val="(%2)"/>
      <w:numFmt w:val="lowerLetter"/>
      <w:start w:val="1"/>
    </w:lvl>
  </w:abstractNum>
  <w:abstractNum w:abstractNumId="56">
    <w:nsid w:val="519E3149"/>
    <w:multiLevelType w:val="hybridMultilevel"/>
    <w:lvl w:ilvl="0">
      <w:lvlJc w:val="left"/>
      <w:lvlText w:val="(%1)"/>
      <w:numFmt w:val="lowerRoman"/>
      <w:start w:val="6"/>
    </w:lvl>
  </w:abstractNum>
  <w:abstractNum w:abstractNumId="57">
    <w:nsid w:val="2C6E4AFD"/>
    <w:multiLevelType w:val="hybridMultilevel"/>
    <w:lvl w:ilvl="0">
      <w:lvlJc w:val="left"/>
      <w:lvlText w:val="%1"/>
      <w:numFmt w:val="lowerRoman"/>
      <w:start w:val="1"/>
    </w:lvl>
    <w:lvl w:ilvl="1">
      <w:lvlJc w:val="left"/>
      <w:lvlText w:val="(%2)"/>
      <w:numFmt w:val="lowerLetter"/>
      <w:start w:val="6"/>
    </w:lvl>
  </w:abstractNum>
  <w:abstractNum w:abstractNumId="58">
    <w:nsid w:val="17A1B582"/>
    <w:multiLevelType w:val="hybridMultilevel"/>
    <w:lvl w:ilvl="0">
      <w:lvlJc w:val="left"/>
      <w:lvlText w:val="(%1)"/>
      <w:numFmt w:val="lowerRoman"/>
      <w:start w:val="1"/>
    </w:lvl>
    <w:lvl w:ilvl="1">
      <w:lvlJc w:val="left"/>
      <w:lvlText w:val="(%2)"/>
      <w:numFmt w:val="lowerLetter"/>
      <w:start w:val="7"/>
    </w:lvl>
  </w:abstractNum>
  <w:abstractNum w:abstractNumId="59">
    <w:nsid w:val="4DF72E4E"/>
    <w:multiLevelType w:val="hybridMultilevel"/>
    <w:lvl w:ilvl="0">
      <w:lvlJc w:val="left"/>
      <w:lvlText w:val="%1"/>
      <w:numFmt w:val="lowerRoman"/>
      <w:start w:val="1"/>
    </w:lvl>
    <w:lvl w:ilvl="1">
      <w:lvlJc w:val="left"/>
      <w:lvlText w:val="(%2)"/>
      <w:numFmt w:val="lowerLetter"/>
      <w:start w:val="9"/>
    </w:lvl>
  </w:abstractNum>
  <w:abstractNum w:abstractNumId="60">
    <w:nsid w:val="5046B5A9"/>
    <w:multiLevelType w:val="hybridMultilevel"/>
    <w:lvl w:ilvl="0">
      <w:lvlJc w:val="left"/>
      <w:lvlText w:val="(%1)"/>
      <w:numFmt w:val="lowerRoman"/>
      <w:start w:val="1"/>
    </w:lvl>
    <w:lvl w:ilvl="1">
      <w:lvlJc w:val="left"/>
      <w:lvlText w:val="(%2)"/>
      <w:numFmt w:val="lowerLetter"/>
      <w:start w:val="10"/>
    </w:lvl>
  </w:abstractNum>
  <w:abstractNum w:abstractNumId="61">
    <w:nsid w:val="5D888A08"/>
    <w:multiLevelType w:val="hybridMultilevel"/>
    <w:lvl w:ilvl="0">
      <w:lvlJc w:val="left"/>
      <w:lvlText w:val="(%1)"/>
      <w:numFmt w:val="lowerRoman"/>
      <w:start w:val="1"/>
    </w:lvl>
    <w:lvl w:ilvl="1">
      <w:lvlJc w:val="left"/>
      <w:lvlText w:val="(%2)"/>
      <w:numFmt w:val="upperLetter"/>
      <w:start w:val="1"/>
    </w:lvl>
  </w:abstractNum>
  <w:abstractNum w:abstractNumId="62">
    <w:nsid w:val="2A082C70"/>
    <w:multiLevelType w:val="hybridMultilevel"/>
    <w:lvl w:ilvl="0">
      <w:lvlJc w:val="left"/>
      <w:lvlText w:val="%1"/>
      <w:numFmt w:val="lowerLetter"/>
      <w:start w:val="1"/>
    </w:lvl>
    <w:lvl w:ilvl="1">
      <w:lvlJc w:val="left"/>
      <w:lvlText w:val="(%2)"/>
      <w:numFmt w:val="lowerLetter"/>
      <w:start w:val="15"/>
    </w:lvl>
  </w:abstractNum>
  <w:abstractNum w:abstractNumId="63">
    <w:nsid w:val="5EC6AFD4"/>
    <w:multiLevelType w:val="hybridMultilevel"/>
    <w:lvl w:ilvl="0">
      <w:lvlJc w:val="left"/>
      <w:lvlText w:val="(%1)"/>
      <w:numFmt w:val="lowerLetter"/>
      <w:start w:val="9"/>
    </w:lvl>
    <w:lvl w:ilvl="1">
      <w:lvlJc w:val="left"/>
      <w:lvlText w:val="%2"/>
      <w:numFmt w:val="lowerLetter"/>
      <w:start w:val="1"/>
    </w:lvl>
  </w:abstractNum>
  <w:abstractNum w:abstractNumId="64">
    <w:nsid w:val="19E21BB2"/>
    <w:multiLevelType w:val="hybridMultilevel"/>
    <w:lvl w:ilvl="0">
      <w:lvlJc w:val="left"/>
      <w:lvlText w:val="(%1)"/>
      <w:numFmt w:val="lowerLetter"/>
      <w:start w:val="35"/>
    </w:lvl>
    <w:lvl w:ilvl="1">
      <w:lvlJc w:val="left"/>
      <w:lvlText w:val="%2"/>
      <w:numFmt w:val="lowerLetter"/>
      <w:start w:val="1"/>
    </w:lvl>
  </w:abstractNum>
  <w:abstractNum w:abstractNumId="65">
    <w:nsid w:val="75E0858A"/>
    <w:multiLevelType w:val="hybridMultilevel"/>
    <w:lvl w:ilvl="0">
      <w:lvlJc w:val="left"/>
      <w:lvlText w:val="(%1)"/>
      <w:numFmt w:val="lowerLetter"/>
      <w:start w:val="16"/>
    </w:lvl>
    <w:lvl w:ilvl="1">
      <w:lvlJc w:val="left"/>
      <w:lvlText w:val="(%2)"/>
      <w:numFmt w:val="lowerLetter"/>
      <w:start w:val="18"/>
    </w:lvl>
  </w:abstractNum>
  <w:abstractNum w:abstractNumId="66">
    <w:nsid w:val="57A61A29"/>
    <w:multiLevelType w:val="hybridMultilevel"/>
    <w:lvl w:ilvl="0">
      <w:lvlJc w:val="left"/>
      <w:lvlText w:val="(%1)"/>
      <w:numFmt w:val="lowerRoman"/>
      <w:start w:val="1"/>
    </w:lvl>
  </w:abstractNum>
  <w:abstractNum w:abstractNumId="67">
    <w:nsid w:val="5399C654"/>
    <w:multiLevelType w:val="hybridMultilevel"/>
    <w:lvl w:ilvl="0">
      <w:lvlJc w:val="left"/>
      <w:lvlText w:val="(%1)"/>
      <w:numFmt w:val="lowerRoman"/>
      <w:start w:val="2"/>
    </w:lvl>
  </w:abstractNum>
  <w:abstractNum w:abstractNumId="68">
    <w:nsid w:val="20EE1348"/>
    <w:multiLevelType w:val="hybridMultilevel"/>
    <w:lvl w:ilvl="0">
      <w:lvlJc w:val="left"/>
      <w:lvlText w:val="%1"/>
      <w:numFmt w:val="lowerRoman"/>
      <w:start w:val="1"/>
    </w:lvl>
    <w:lvl w:ilvl="1">
      <w:lvlJc w:val="left"/>
      <w:lvlText w:val="(%2)"/>
      <w:numFmt w:val="lowerLetter"/>
      <w:start w:val="20"/>
    </w:lvl>
    <w:lvl w:ilvl="2">
      <w:lvlJc w:val="left"/>
      <w:lvlText w:val="%3"/>
      <w:numFmt w:val="upperLetter"/>
      <w:start w:val="1"/>
    </w:lvl>
    <w:lvl w:ilvl="3">
      <w:lvlJc w:val="left"/>
      <w:lvlText w:val="%4"/>
      <w:numFmt w:val="decimal"/>
      <w:start w:val="1"/>
    </w:lvl>
  </w:abstractNum>
  <w:abstractNum w:abstractNumId="69">
    <w:nsid w:val="4427069A"/>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70">
    <w:nsid w:val="B37E80A"/>
    <w:multiLevelType w:val="hybridMultilevel"/>
    <w:lvl w:ilvl="0">
      <w:lvlJc w:val="left"/>
      <w:lvlText w:val="(%1)"/>
      <w:numFmt w:val="decimal"/>
      <w:start w:val="4"/>
    </w:lvl>
  </w:abstractNum>
  <w:abstractNum w:abstractNumId="71">
    <w:nsid w:val="2157F6BC"/>
    <w:multiLevelType w:val="hybridMultilevel"/>
    <w:lvl w:ilvl="0">
      <w:lvlJc w:val="left"/>
      <w:lvlText w:val="(%1)"/>
      <w:numFmt w:val="lowerLetter"/>
      <w:start w:val="24"/>
    </w:lvl>
  </w:abstractNum>
  <w:abstractNum w:abstractNumId="72">
    <w:nsid w:val="704E1DD5"/>
    <w:multiLevelType w:val="hybridMultilevel"/>
    <w:lvl w:ilvl="0">
      <w:lvlJc w:val="left"/>
      <w:lvlText w:val="%1"/>
      <w:numFmt w:val="lowerRoman"/>
      <w:start w:val="1"/>
    </w:lvl>
    <w:lvl w:ilvl="1">
      <w:lvlJc w:val="left"/>
      <w:lvlText w:val="(%2)"/>
      <w:numFmt w:val="lowerLetter"/>
      <w:start w:val="27"/>
    </w:lvl>
  </w:abstractNum>
  <w:abstractNum w:abstractNumId="73">
    <w:nsid w:val="57D2F10E"/>
    <w:multiLevelType w:val="hybridMultilevel"/>
    <w:lvl w:ilvl="0">
      <w:lvlJc w:val="left"/>
      <w:lvlText w:val="(%1)"/>
      <w:numFmt w:val="lowerRoman"/>
      <w:start w:val="1"/>
    </w:lvl>
    <w:lvl w:ilvl="1">
      <w:lvlJc w:val="left"/>
      <w:lvlText w:val="(%2)"/>
      <w:numFmt w:val="lowerLetter"/>
      <w:start w:val="28"/>
    </w:lvl>
  </w:abstractNum>
  <w:abstractNum w:abstractNumId="74">
    <w:nsid w:val="BFFAE1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1"/>
    </w:lvl>
  </w:abstractNum>
  <w:abstractNum w:abstractNumId="75">
    <w:nsid w:val="E3E47A8"/>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76">
    <w:nsid w:val="2E48F04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77">
    <w:nsid w:val="49D0FE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8">
    <w:nsid w:val="4BEE5A5B"/>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1"/>
    </w:lvl>
  </w:abstractNum>
  <w:abstractNum w:abstractNumId="79">
    <w:nsid w:val="5551B9F3"/>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3"/>
    </w:lvl>
  </w:abstractNum>
  <w:abstractNum w:abstractNumId="80">
    <w:nsid w:val="24F6AB8E"/>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81">
    <w:nsid w:val="634C574C"/>
    <w:multiLevelType w:val="hybridMultilevel"/>
    <w:lvl w:ilvl="0">
      <w:lvlJc w:val="left"/>
      <w:lvlText w:val="%1."/>
      <w:numFmt w:val="decimal"/>
      <w:start w:val="7"/>
    </w:lvl>
  </w:abstractNum>
  <w:abstractNum w:abstractNumId="82">
    <w:nsid w:val="24E99DD7"/>
    <w:multiLevelType w:val="hybridMultilevel"/>
    <w:lvl w:ilvl="0">
      <w:lvlJc w:val="left"/>
      <w:lvlText w:val="(%1)"/>
      <w:numFmt w:val="lowerLetter"/>
      <w:start w:val="1"/>
    </w:lvl>
  </w:abstractNum>
  <w:abstractNum w:abstractNumId="83">
    <w:nsid w:val="2A31B62D"/>
    <w:multiLevelType w:val="hybridMultilevel"/>
    <w:lvl w:ilvl="0">
      <w:lvlJc w:val="left"/>
      <w:lvlText w:val="%1"/>
      <w:numFmt w:val="lowerRoman"/>
      <w:start w:val="1"/>
    </w:lvl>
    <w:lvl w:ilvl="1">
      <w:lvlJc w:val="left"/>
      <w:lvlText w:val="(%2)"/>
      <w:numFmt w:val="lowerLetter"/>
      <w:start w:val="4"/>
    </w:lvl>
  </w:abstractNum>
  <w:abstractNum w:abstractNumId="84">
    <w:nsid w:val="1849C29B"/>
    <w:multiLevelType w:val="hybridMultilevel"/>
    <w:lvl w:ilvl="0">
      <w:lvlJc w:val="left"/>
      <w:lvlText w:val="(%1)"/>
      <w:numFmt w:val="lowerRoman"/>
      <w:start w:val="1"/>
    </w:lvl>
    <w:lvl w:ilvl="1">
      <w:lvlJc w:val="left"/>
      <w:lvlText w:val="%2"/>
      <w:numFmt w:val="lowerLetter"/>
      <w:start w:val="1"/>
    </w:lvl>
  </w:abstractNum>
  <w:abstractNum w:abstractNumId="85">
    <w:nsid w:val="7DFF9D09"/>
    <w:multiLevelType w:val="hybridMultilevel"/>
    <w:lvl w:ilvl="0">
      <w:lvlJc w:val="left"/>
      <w:lvlText w:val="(%1)"/>
      <w:numFmt w:val="lowerLetter"/>
      <w:start w:val="5"/>
    </w:lvl>
  </w:abstractNum>
  <w:abstractNum w:abstractNumId="86">
    <w:nsid w:val="754342"/>
    <w:multiLevelType w:val="hybridMultilevel"/>
    <w:lvl w:ilvl="0">
      <w:lvlJc w:val="left"/>
      <w:lvlText w:val="%1"/>
      <w:numFmt w:val="lowerRoman"/>
      <w:start w:val="1"/>
    </w:lvl>
    <w:lvl w:ilvl="1">
      <w:lvlJc w:val="left"/>
      <w:lvlText w:val="(%2)"/>
      <w:numFmt w:val="lowerLetter"/>
      <w:start w:val="7"/>
    </w:lvl>
  </w:abstractNum>
  <w:abstractNum w:abstractNumId="87">
    <w:nsid w:val="69E7F3E5"/>
    <w:multiLevelType w:val="hybridMultilevel"/>
    <w:lvl w:ilvl="0">
      <w:lvlJc w:val="left"/>
      <w:lvlText w:val="(%1)"/>
      <w:numFmt w:val="lowerRoman"/>
      <w:start w:val="1"/>
    </w:lvl>
    <w:lvl w:ilvl="1">
      <w:lvlJc w:val="left"/>
      <w:lvlText w:val="%2"/>
      <w:numFmt w:val="lowerLetter"/>
      <w:start w:val="1"/>
    </w:lvl>
  </w:abstractNum>
  <w:abstractNum w:abstractNumId="88">
    <w:nsid w:val="2A6DE806"/>
    <w:multiLevelType w:val="hybridMultilevel"/>
    <w:lvl w:ilvl="0">
      <w:lvlJc w:val="left"/>
      <w:lvlText w:val="(%1)"/>
      <w:numFmt w:val="lowerRoman"/>
      <w:start w:val="3"/>
    </w:lvl>
  </w:abstractNum>
  <w:abstractNum w:abstractNumId="89">
    <w:nsid w:val="1816F8C4"/>
    <w:multiLevelType w:val="hybridMultilevel"/>
    <w:lvl w:ilvl="0">
      <w:lvlJc w:val="left"/>
      <w:lvlText w:val="%1"/>
      <w:numFmt w:val="lowerRoman"/>
      <w:start w:val="1"/>
    </w:lvl>
    <w:lvl w:ilvl="1">
      <w:lvlJc w:val="left"/>
      <w:lvlText w:val="(%2)"/>
      <w:numFmt w:val="lowerLetter"/>
      <w:start w:val="8"/>
    </w:lvl>
    <w:lvl w:ilvl="2">
      <w:lvlJc w:val="left"/>
      <w:lvlText w:val="%3"/>
      <w:numFmt w:val="upperLetter"/>
      <w:start w:val="1"/>
    </w:lvl>
  </w:abstractNum>
  <w:abstractNum w:abstractNumId="90">
    <w:nsid w:val="37DF2233"/>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91">
    <w:nsid w:val="7AB49DAF"/>
    <w:multiLevelType w:val="hybridMultilevel"/>
    <w:lvl w:ilvl="0">
      <w:lvlJc w:val="left"/>
      <w:lvlText w:val="(%1)"/>
      <w:numFmt w:val="upperLetter"/>
      <w:start w:val="2"/>
    </w:lvl>
  </w:abstractNum>
  <w:abstractNum w:abstractNumId="92">
    <w:nsid w:val="759F82CD"/>
    <w:multiLevelType w:val="hybridMultilevel"/>
    <w:lvl w:ilvl="0">
      <w:lvlJc w:val="left"/>
      <w:lvlText w:val="%1"/>
      <w:numFmt w:val="lowerRoman"/>
      <w:start w:val="1"/>
    </w:lvl>
    <w:lvl w:ilvl="1">
      <w:lvlJc w:val="left"/>
      <w:lvlText w:val="(%2)"/>
      <w:numFmt w:val="lowerRoman"/>
      <w:start w:val="1"/>
    </w:lvl>
  </w:abstractNum>
  <w:abstractNum w:abstractNumId="93">
    <w:nsid w:val="61E74EA3"/>
    <w:multiLevelType w:val="hybridMultilevel"/>
    <w:lvl w:ilvl="0">
      <w:lvlJc w:val="left"/>
      <w:lvlText w:val="(%1)"/>
      <w:numFmt w:val="lowerRoman"/>
      <w:start w:val="1"/>
    </w:lvl>
    <w:lvl w:ilvl="1">
      <w:lvlJc w:val="left"/>
      <w:lvlText w:val="%2"/>
      <w:numFmt w:val="lowerRoman"/>
      <w:start w:val="1"/>
    </w:lvl>
  </w:abstractNum>
  <w:abstractNum w:abstractNumId="94">
    <w:nsid w:val="597B4D84"/>
    <w:multiLevelType w:val="hybridMultilevel"/>
    <w:lvl w:ilvl="0">
      <w:lvlJc w:val="left"/>
      <w:lvlText w:val="%1"/>
      <w:numFmt w:val="decimal"/>
      <w:start w:val="1"/>
    </w:lvl>
    <w:lvl w:ilvl="1">
      <w:lvlJc w:val="left"/>
      <w:lvlText w:val="(%2)"/>
      <w:numFmt w:val="lowerRoman"/>
      <w:start w:val="6"/>
    </w:lvl>
  </w:abstractNum>
  <w:abstractNum w:abstractNumId="95">
    <w:nsid w:val="F819E7F"/>
    <w:multiLevelType w:val="hybridMultilevel"/>
    <w:lvl w:ilvl="0">
      <w:lvlJc w:val="left"/>
      <w:lvlText w:val="%1."/>
      <w:numFmt w:val="decimal"/>
      <w:start w:val="8"/>
    </w:lvl>
    <w:lvl w:ilvl="1">
      <w:lvlJc w:val="left"/>
      <w:lvlText w:val="%2"/>
      <w:numFmt w:val="lowerRoman"/>
      <w:start w:val="1"/>
    </w:lvl>
  </w:abstractNum>
  <w:abstractNum w:abstractNumId="96">
    <w:nsid w:val="57C7D42D"/>
    <w:multiLevelType w:val="hybridMultilevel"/>
    <w:lvl w:ilvl="0">
      <w:lvlJc w:val="left"/>
      <w:lvlText w:val="%1."/>
      <w:numFmt w:val="decimal"/>
      <w:start w:val="9"/>
    </w:lvl>
  </w:abstractNum>
  <w:abstractNum w:abstractNumId="97">
    <w:nsid w:val="312167AD"/>
    <w:multiLevelType w:val="hybridMultilevel"/>
    <w:lvl w:ilvl="0">
      <w:lvlJc w:val="left"/>
      <w:lvlText w:val="%1."/>
      <w:numFmt w:val="decimal"/>
      <w:start w:val="10"/>
    </w:lvl>
  </w:abstractNum>
  <w:abstractNum w:abstractNumId="98">
    <w:nsid w:val="631B64D4"/>
    <w:multiLevelType w:val="hybridMultilevel"/>
    <w:lvl w:ilvl="0">
      <w:lvlJc w:val="left"/>
      <w:lvlText w:val="%1."/>
      <w:numFmt w:val="decimal"/>
      <w:start w:val="11"/>
    </w:lvl>
    <w:lvl w:ilvl="1">
      <w:lvlJc w:val="left"/>
      <w:lvlText w:val="(%2)"/>
      <w:numFmt w:val="lowerLetter"/>
      <w:start w:val="1"/>
    </w:lvl>
  </w:abstractNum>
  <w:abstractNum w:abstractNumId="99">
    <w:nsid w:val="78B5E776"/>
    <w:multiLevelType w:val="hybridMultilevel"/>
    <w:lvl w:ilvl="0">
      <w:lvlJc w:val="left"/>
      <w:lvlText w:val="%1."/>
      <w:numFmt w:val="decimal"/>
      <w:start w:val="13"/>
    </w:lvl>
    <w:lvl w:ilvl="1">
      <w:lvlJc w:val="left"/>
      <w:lvlText w:val="(%2)"/>
      <w:numFmt w:val="lowerLetter"/>
      <w:start w:val="1"/>
    </w:lvl>
  </w:abstractNum>
  <w:abstractNum w:abstractNumId="100">
    <w:nsid w:val="75486E4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01">
    <w:nsid w:val="6E534CDE"/>
    <w:multiLevelType w:val="hybridMultilevel"/>
    <w:lvl w:ilvl="0">
      <w:lvlJc w:val="left"/>
      <w:lvlText w:val="%1."/>
      <w:numFmt w:val="decimal"/>
      <w:start w:val="14"/>
    </w:lvl>
    <w:lvl w:ilvl="1">
      <w:lvlJc w:val="left"/>
      <w:lvlText w:val="(%2)"/>
      <w:numFmt w:val="lowerRoman"/>
    </w:lvl>
    <w:lvl w:ilvl="2">
      <w:lvlJc w:val="left"/>
      <w:lvlText w:val="(%3)"/>
      <w:numFmt w:val="lowerLetter"/>
      <w:start w:val="1"/>
    </w:lvl>
  </w:abstractNum>
  <w:abstractNum w:abstractNumId="102">
    <w:nsid w:val="1A0DDE3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103">
    <w:nsid w:val="65968C1C"/>
    <w:multiLevelType w:val="hybridMultilevel"/>
    <w:lvl w:ilvl="0">
      <w:lvlJc w:val="left"/>
      <w:lvlText w:val="%1."/>
      <w:numFmt w:val="decimal"/>
      <w:start w:val="15"/>
    </w:lvl>
    <w:lvl w:ilvl="1">
      <w:lvlJc w:val="left"/>
      <w:lvlText w:val="(%2)"/>
      <w:numFmt w:val="lowerRoman"/>
    </w:lvl>
    <w:lvl w:ilvl="2">
      <w:lvlJc w:val="left"/>
      <w:lvlText w:val="(%3)"/>
      <w:numFmt w:val="lowerLetter"/>
      <w:start w:val="1"/>
    </w:lvl>
  </w:abstractNum>
  <w:abstractNum w:abstractNumId="104">
    <w:nsid w:val="46263DEC"/>
    <w:multiLevelType w:val="hybridMultilevel"/>
    <w:lvl w:ilvl="0">
      <w:lvlJc w:val="left"/>
      <w:lvlText w:val="(%1)"/>
      <w:numFmt w:val="lowerLetter"/>
      <w:start w:val="3"/>
    </w:lvl>
  </w:abstractNum>
  <w:abstractNum w:abstractNumId="105">
    <w:nsid w:val="260D8C4A"/>
    <w:multiLevelType w:val="hybridMultilevel"/>
    <w:lvl w:ilvl="0">
      <w:lvlJc w:val="left"/>
      <w:lvlText w:val="%1."/>
      <w:numFmt w:val="decimal"/>
      <w:start w:val="16"/>
    </w:lvl>
  </w:abstractNum>
  <w:abstractNum w:abstractNumId="106">
    <w:nsid w:val="73D4D3C4"/>
    <w:multiLevelType w:val="hybridMultilevel"/>
    <w:lvl w:ilvl="0">
      <w:lvlJc w:val="left"/>
      <w:lvlText w:val="%1."/>
      <w:numFmt w:val="decimal"/>
      <w:start w:val="17"/>
    </w:lvl>
  </w:abstractNum>
  <w:abstractNum w:abstractNumId="107">
    <w:nsid w:val="746F2E30"/>
    <w:multiLevelType w:val="hybridMultilevel"/>
    <w:lvl w:ilvl="0">
      <w:lvlJc w:val="left"/>
      <w:lvlText w:val="%1."/>
      <w:numFmt w:val="decimal"/>
      <w:start w:val="1"/>
    </w:lvl>
    <w:lvl w:ilvl="1">
      <w:lvlJc w:val="left"/>
      <w:lvlText w:val="(%2)"/>
      <w:numFmt w:val="lowerLetter"/>
      <w:start w:val="1"/>
    </w:lvl>
  </w:abstractNum>
  <w:abstractNum w:abstractNumId="108">
    <w:nsid w:val="6FDE8AF6"/>
    <w:multiLevelType w:val="hybridMultilevel"/>
    <w:lvl w:ilvl="0">
      <w:lvlJc w:val="left"/>
      <w:lvlText w:val="%1"/>
      <w:numFmt w:val="decimal"/>
      <w:start w:val="14"/>
    </w:lvl>
    <w:lvl w:ilvl="1">
      <w:lvlJc w:val="left"/>
      <w:lvlText w:val="(%2)"/>
      <w:numFmt w:val="lowerLetter"/>
      <w:start w:val="5"/>
    </w:lvl>
  </w:abstractNum>
  <w:abstractNum w:abstractNumId="109">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upperLetter"/>
      <w:start w:val="1"/>
    </w:lvl>
  </w:abstractNum>
  <w:abstractNum w:abstractNumId="110">
    <w:nsid w:val="49C0E823"/>
    <w:multiLevelType w:val="hybridMultilevel"/>
    <w:lvl w:ilvl="0">
      <w:lvlJc w:val="left"/>
      <w:lvlText w:val="%1."/>
      <w:numFmt w:val="decimal"/>
      <w:start w:val="2"/>
    </w:lvl>
    <w:lvl w:ilvl="1">
      <w:lvlJc w:val="left"/>
      <w:lvlText w:val="(%2)"/>
      <w:numFmt w:val="lowerLetter"/>
      <w:start w:val="8"/>
    </w:lvl>
    <w:lvl w:ilvl="2">
      <w:lvlJc w:val="left"/>
      <w:lvlText w:val="(%3)"/>
      <w:numFmt w:val="lowerLetter"/>
      <w:start w:val="1"/>
    </w:lvl>
    <w:lvl w:ilvl="3">
      <w:lvlJc w:val="left"/>
      <w:lvlText w:val="(%4)"/>
      <w:numFmt w:val="upperLetter"/>
      <w:start w:val="1"/>
    </w:lvl>
  </w:abstractNum>
  <w:abstractNum w:abstractNumId="111">
    <w:nsid w:val="14D53685"/>
    <w:multiLevelType w:val="hybridMultilevel"/>
    <w:lvl w:ilvl="0">
      <w:lvlJc w:val="left"/>
      <w:lvlText w:val="(%1)"/>
      <w:numFmt w:val="upperLetter"/>
      <w:start w:val="2"/>
    </w:lvl>
  </w:abstractNum>
  <w:abstractNum w:abstractNumId="112">
    <w:nsid w:val="230F856C"/>
    <w:multiLevelType w:val="hybridMultilevel"/>
    <w:lvl w:ilvl="0">
      <w:lvlJc w:val="left"/>
      <w:lvlText w:val="(%1)"/>
      <w:numFmt w:val="lowerLetter"/>
      <w:start w:val="35"/>
    </w:lvl>
    <w:lvl w:ilvl="1">
      <w:lvlJc w:val="left"/>
      <w:lvlText w:val="%2"/>
      <w:numFmt w:val="lowerLetter"/>
      <w:start w:val="1"/>
    </w:lvl>
  </w:abstractNum>
  <w:abstractNum w:abstractNumId="113">
    <w:nsid w:val="6EAA85FB"/>
    <w:multiLevelType w:val="hybridMultilevel"/>
    <w:lvl w:ilvl="0">
      <w:lvlJc w:val="left"/>
      <w:lvlText w:val="(%1)"/>
      <w:numFmt w:val="lowerLetter"/>
      <w:start w:val="7"/>
    </w:lvl>
    <w:lvl w:ilvl="1">
      <w:lvlJc w:val="left"/>
      <w:lvlText w:val="(%2)"/>
      <w:numFmt w:val="lowerLetter"/>
      <w:start w:val="9"/>
    </w:lvl>
  </w:abstractNum>
  <w:abstractNum w:abstractNumId="114">
    <w:nsid w:val="3F06ECB2"/>
    <w:multiLevelType w:val="hybridMultilevel"/>
    <w:lvl w:ilvl="0">
      <w:lvlJc w:val="left"/>
      <w:lvlText w:val="(%1)"/>
      <w:numFmt w:val="lowerRoman"/>
      <w:start w:val="1"/>
    </w:lvl>
    <w:lvl w:ilvl="1">
      <w:lvlJc w:val="left"/>
      <w:lvlText w:val="(%2)"/>
      <w:numFmt w:val="upperLetter"/>
      <w:start w:val="1"/>
    </w:lvl>
  </w:abstractNum>
  <w:abstractNum w:abstractNumId="115">
    <w:nsid w:val="3B59480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16">
    <w:nsid w:val="6CAA230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7">
    <w:nsid w:val="3F7C2FF4"/>
    <w:multiLevelType w:val="hybridMultilevel"/>
    <w:lvl w:ilvl="0">
      <w:lvlJc w:val="left"/>
      <w:lvlText w:val="%1"/>
      <w:numFmt w:val="lowerLetter"/>
      <w:start w:val="1"/>
    </w:lvl>
    <w:lvl w:ilvl="1">
      <w:lvlJc w:val="left"/>
      <w:lvlText w:val="(%2)"/>
      <w:numFmt w:val="lowerLetter"/>
      <w:start w:val="11"/>
    </w:lvl>
    <w:lvl w:ilvl="2">
      <w:lvlJc w:val="left"/>
      <w:lvlText w:val="%3"/>
      <w:numFmt w:val="upperLetter"/>
      <w:start w:val="1"/>
    </w:lvl>
  </w:abstractNum>
  <w:abstractNum w:abstractNumId="118">
    <w:nsid w:val="25413BEC"/>
    <w:multiLevelType w:val="hybridMultilevel"/>
    <w:lvl w:ilvl="0">
      <w:lvlJc w:val="left"/>
      <w:lvlText w:val="%1"/>
      <w:numFmt w:val="lowerRoman"/>
      <w:start w:val="1"/>
    </w:lvl>
    <w:lvl w:ilvl="1">
      <w:lvlJc w:val="left"/>
      <w:lvlText w:val="(%2)"/>
      <w:numFmt w:val="lowerLetter"/>
      <w:start w:val="12"/>
    </w:lvl>
  </w:abstractNum>
  <w:abstractNum w:abstractNumId="119">
    <w:nsid w:val="17180B0B"/>
    <w:multiLevelType w:val="hybridMultilevel"/>
    <w:lvl w:ilvl="0">
      <w:lvlJc w:val="left"/>
      <w:lvlText w:val="(%1)"/>
      <w:numFmt w:val="lowerRoman"/>
      <w:start w:val="1"/>
    </w:lvl>
    <w:lvl w:ilvl="1">
      <w:lvlJc w:val="left"/>
      <w:lvlText w:val="%2"/>
      <w:numFmt w:val="lowerLetter"/>
      <w:start w:val="1"/>
    </w:lvl>
  </w:abstractNum>
  <w:abstractNum w:abstractNumId="120">
    <w:nsid w:val="579328B9"/>
    <w:multiLevelType w:val="hybridMultilevel"/>
    <w:lvl w:ilvl="0">
      <w:lvlJc w:val="left"/>
      <w:lvlText w:val="%1"/>
      <w:numFmt w:val="lowerRoman"/>
      <w:start w:val="1"/>
    </w:lvl>
    <w:lvl w:ilvl="1">
      <w:lvlJc w:val="left"/>
      <w:lvlText w:val="(%2)"/>
      <w:numFmt w:val="lowerLetter"/>
      <w:start w:val="19"/>
    </w:lvl>
    <w:lvl w:ilvl="2">
      <w:lvlJc w:val="left"/>
      <w:lvlText w:val="%3"/>
      <w:numFmt w:val="upperLetter"/>
      <w:start w:val="1"/>
    </w:lvl>
  </w:abstractNum>
  <w:abstractNum w:abstractNumId="121">
    <w:nsid w:val="5D205E2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22">
    <w:nsid w:val="11CCA8BA"/>
    <w:multiLevelType w:val="hybridMultilevel"/>
    <w:lvl w:ilvl="0">
      <w:lvlJc w:val="left"/>
      <w:lvlText w:val="(%1)"/>
      <w:numFmt w:val="lowerLetter"/>
      <w:start w:val="20"/>
    </w:lvl>
  </w:abstractNum>
  <w:abstractNum w:abstractNumId="123">
    <w:nsid w:val="4D32AB86"/>
    <w:multiLevelType w:val="hybridMultilevel"/>
    <w:lvl w:ilvl="0">
      <w:lvlJc w:val="left"/>
      <w:lvlText w:val="%1"/>
      <w:numFmt w:val="lowerRoman"/>
      <w:start w:val="1"/>
    </w:lvl>
    <w:lvl w:ilvl="1">
      <w:lvlJc w:val="left"/>
      <w:lvlText w:val="(%2)"/>
      <w:numFmt w:val="lowerLetter"/>
      <w:start w:val="21"/>
    </w:lvl>
  </w:abstractNum>
  <w:abstractNum w:abstractNumId="124">
    <w:nsid w:val="3F07ACC3"/>
    <w:multiLevelType w:val="hybridMultilevel"/>
    <w:lvl w:ilvl="0">
      <w:lvlJc w:val="left"/>
      <w:lvlText w:val="(%1)"/>
      <w:numFmt w:val="lowerRoman"/>
      <w:start w:val="1"/>
    </w:lvl>
    <w:lvl w:ilvl="1">
      <w:lvlJc w:val="left"/>
      <w:lvlText w:val="(%2)"/>
      <w:numFmt w:val="lowerLetter"/>
      <w:start w:val="22"/>
    </w:lvl>
  </w:abstractNum>
  <w:abstractNum w:abstractNumId="125">
    <w:nsid w:val="6B47F63E"/>
    <w:multiLevelType w:val="hybridMultilevel"/>
    <w:lvl w:ilvl="0">
      <w:lvlJc w:val="left"/>
      <w:lvlText w:val="(%1)"/>
      <w:numFmt w:val="lowerRoman"/>
      <w:start w:val="1"/>
    </w:lvl>
    <w:lvl w:ilvl="1">
      <w:lvlJc w:val="left"/>
      <w:lvlText w:val="(%2)"/>
      <w:numFmt w:val="lowerLetter"/>
      <w:start w:val="23"/>
    </w:lvl>
  </w:abstractNum>
  <w:abstractNum w:abstractNumId="126">
    <w:nsid w:val="5CB44A05"/>
    <w:multiLevelType w:val="hybridMultilevel"/>
    <w:lvl w:ilvl="0">
      <w:lvlJc w:val="left"/>
      <w:lvlText w:val="(%1)"/>
      <w:numFmt w:val="lowerRoman"/>
      <w:start w:val="1"/>
    </w:lvl>
  </w:abstractNum>
  <w:abstractNum w:abstractNumId="127">
    <w:nsid w:val="16CF80F1"/>
    <w:multiLevelType w:val="hybridMultilevel"/>
    <w:lvl w:ilvl="0">
      <w:lvlJc w:val="left"/>
      <w:lvlText w:val="%1"/>
      <w:numFmt w:val="lowerLetter"/>
      <w:start w:val="1"/>
    </w:lvl>
    <w:lvl w:ilvl="1">
      <w:lvlJc w:val="left"/>
      <w:lvlText w:val="(%2)"/>
      <w:numFmt w:val="lowerLetter"/>
      <w:start w:val="27"/>
    </w:lvl>
    <w:lvl w:ilvl="2">
      <w:lvlJc w:val="left"/>
      <w:lvlText w:val="%3"/>
      <w:numFmt w:val="upperLetter"/>
      <w:start w:val="1"/>
    </w:lvl>
  </w:abstractNum>
  <w:abstractNum w:abstractNumId="128">
    <w:nsid w:val="1C695DEC"/>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29">
    <w:nsid w:val="3FCFAED9"/>
    <w:multiLevelType w:val="hybridMultilevel"/>
    <w:lvl w:ilvl="0">
      <w:lvlJc w:val="left"/>
      <w:lvlText w:val="(%1)"/>
      <w:numFmt w:val="lowerLetter"/>
      <w:start w:val="35"/>
    </w:lvl>
    <w:lvl w:ilvl="1">
      <w:lvlJc w:val="left"/>
      <w:lvlText w:val="(%2)"/>
      <w:numFmt w:val="lowerLetter"/>
      <w:start w:val="31"/>
    </w:lvl>
    <w:lvl w:ilvl="2">
      <w:lvlJc w:val="left"/>
      <w:lvlText w:val="(%3)"/>
      <w:numFmt w:val="upperLetter"/>
      <w:start w:val="1"/>
    </w:lvl>
  </w:abstractNum>
  <w:abstractNum w:abstractNumId="130">
    <w:nsid w:val="F856867"/>
    <w:multiLevelType w:val="hybridMultilevel"/>
    <w:lvl w:ilvl="0">
      <w:lvlJc w:val="left"/>
      <w:lvlText w:val="(%1)"/>
      <w:numFmt w:val="lowerRoman"/>
      <w:start w:val="1"/>
    </w:lvl>
    <w:lvl w:ilvl="1">
      <w:lvlJc w:val="left"/>
      <w:lvlText w:val="(%2)"/>
      <w:numFmt w:val="upperLetter"/>
      <w:start w:val="1"/>
    </w:lvl>
  </w:abstractNum>
  <w:abstractNum w:abstractNumId="131">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32">
    <w:nsid w:val="2E22FBB7"/>
    <w:multiLevelType w:val="hybridMultilevel"/>
    <w:lvl w:ilvl="0">
      <w:lvlJc w:val="left"/>
      <w:lvlText w:val="(%1)"/>
      <w:numFmt w:val="lowerLetter"/>
      <w:start w:val="35"/>
    </w:lvl>
    <w:lvl w:ilvl="1">
      <w:lvlJc w:val="left"/>
      <w:lvlText w:val="(%2)"/>
      <w:numFmt w:val="lowerLetter"/>
      <w:start w:val="34"/>
    </w:lvl>
    <w:lvl w:ilvl="2">
      <w:lvlJc w:val="left"/>
      <w:lvlText w:val="(%3)"/>
      <w:numFmt w:val="upperLetter"/>
      <w:start w:val="1"/>
    </w:lvl>
  </w:abstractNum>
  <w:abstractNum w:abstractNumId="133">
    <w:nsid w:val="2993469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34">
    <w:nsid w:val="77485850"/>
    <w:multiLevelType w:val="hybridMultilevel"/>
    <w:lvl w:ilvl="0">
      <w:lvlJc w:val="left"/>
      <w:lvlText w:val="(%1)"/>
      <w:numFmt w:val="decimal"/>
      <w:start w:val="3"/>
    </w:lvl>
  </w:abstractNum>
  <w:abstractNum w:abstractNumId="135">
    <w:nsid w:val="744939A3"/>
    <w:multiLevelType w:val="hybridMultilevel"/>
    <w:lvl w:ilvl="0">
      <w:lvlJc w:val="left"/>
      <w:lvlText w:val="(%1)"/>
      <w:numFmt w:val="lowerLetter"/>
      <w:start w:val="38"/>
    </w:lvl>
  </w:abstractNum>
  <w:abstractNum w:abstractNumId="136">
    <w:nsid w:val="4FA0D2E3"/>
    <w:multiLevelType w:val="hybridMultilevel"/>
    <w:lvl w:ilvl="0">
      <w:lvlJc w:val="left"/>
      <w:lvlText w:val="(%1)"/>
      <w:numFmt w:val="lowerLetter"/>
      <w:start w:val="44"/>
    </w:lvl>
  </w:abstractNum>
  <w:abstractNum w:abstractNumId="137">
    <w:nsid w:val="6B1D2C14"/>
    <w:multiLevelType w:val="hybridMultilevel"/>
    <w:lvl w:ilvl="0">
      <w:lvlJc w:val="left"/>
      <w:lvlText w:val="(%1)"/>
      <w:numFmt w:val="lowerLetter"/>
      <w:start w:val="53"/>
    </w:lvl>
  </w:abstractNum>
  <w:abstractNum w:abstractNumId="138">
    <w:nsid w:val="68B867D3"/>
    <w:multiLevelType w:val="hybridMultilevel"/>
    <w:lvl w:ilvl="0">
      <w:lvlJc w:val="left"/>
      <w:lvlText w:val="%1"/>
      <w:numFmt w:val="decimal"/>
      <w:start w:val="1"/>
    </w:lvl>
    <w:lvl w:ilvl="1">
      <w:lvlJc w:val="left"/>
      <w:lvlText w:val="(%2)"/>
      <w:numFmt w:val="lowerLetter"/>
      <w:start w:val="55"/>
    </w:lvl>
  </w:abstractNum>
  <w:abstractNum w:abstractNumId="139">
    <w:nsid w:val="3F7F5DD9"/>
    <w:multiLevelType w:val="hybridMultilevel"/>
    <w:lvl w:ilvl="0">
      <w:lvlJc w:val="left"/>
      <w:lvlText w:val="%1."/>
      <w:numFmt w:val="decimal"/>
      <w:start w:val="3"/>
    </w:lvl>
    <w:lvl w:ilvl="1">
      <w:lvlJc w:val="left"/>
      <w:lvlText w:val="(%2)"/>
      <w:numFmt w:val="lowerLetter"/>
      <w:start w:val="1"/>
    </w:lvl>
  </w:abstractNum>
  <w:abstractNum w:abstractNumId="140">
    <w:nsid w:val="2AE05A34"/>
    <w:multiLevelType w:val="hybridMultilevel"/>
    <w:lvl w:ilvl="0">
      <w:lvlJc w:val="left"/>
      <w:lvlText w:val="%1."/>
      <w:numFmt w:val="decimal"/>
      <w:start w:val="5"/>
    </w:lvl>
    <w:lvl w:ilvl="1">
      <w:lvlJc w:val="left"/>
      <w:lvlText w:val="(%2)"/>
      <w:numFmt w:val="lowerLetter"/>
      <w:start w:val="1"/>
    </w:lvl>
  </w:abstractNum>
  <w:abstractNum w:abstractNumId="141">
    <w:nsid w:val="32794FF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abstractNum>
  <w:abstractNum w:abstractNumId="142">
    <w:nsid w:val="5454945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43">
    <w:nsid w:val="4DEFDFA0"/>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144">
    <w:nsid w:val="2123D5F2"/>
    <w:multiLevelType w:val="hybridMultilevel"/>
    <w:lvl w:ilvl="0">
      <w:lvlJc w:val="left"/>
      <w:lvlText w:val="(%1)"/>
      <w:numFmt w:val="lowerLetter"/>
      <w:start w:val="1"/>
    </w:lvl>
  </w:abstractNum>
  <w:abstractNum w:abstractNumId="145">
    <w:nsid w:val="135B8110"/>
    <w:multiLevelType w:val="hybridMultilevel"/>
    <w:lvl w:ilvl="0">
      <w:lvlJc w:val="left"/>
      <w:lvlText w:val="(%1)"/>
      <w:numFmt w:val="lowerLetter"/>
      <w:start w:val="5"/>
    </w:lvl>
  </w:abstractNum>
  <w:abstractNum w:abstractNumId="146">
    <w:nsid w:val="94927A8"/>
    <w:multiLevelType w:val="hybridMultilevel"/>
    <w:lvl w:ilvl="0">
      <w:lvlJc w:val="left"/>
      <w:lvlText w:val="%1."/>
      <w:numFmt w:val="decimal"/>
      <w:start w:val="8"/>
    </w:lvl>
  </w:abstractNum>
  <w:abstractNum w:abstractNumId="147">
    <w:nsid w:val="DCDF8F6"/>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48">
    <w:nsid w:val="52D7B105"/>
    <w:multiLevelType w:val="hybridMultilevel"/>
    <w:lvl w:ilvl="0">
      <w:lvlJc w:val="left"/>
      <w:lvlText w:val="(%1)"/>
      <w:numFmt w:val="lowerRoman"/>
      <w:start w:val="1"/>
    </w:lvl>
    <w:lvl w:ilvl="1">
      <w:lvlJc w:val="left"/>
      <w:lvlText w:val="(%2)"/>
      <w:numFmt w:val="lowerLetter"/>
      <w:start w:val="34"/>
    </w:lvl>
    <w:lvl w:ilvl="2">
      <w:lvlJc w:val="left"/>
      <w:lvlText w:val="(%3)"/>
      <w:numFmt w:val="upperLetter"/>
      <w:start w:val="1"/>
    </w:lvl>
  </w:abstractNum>
  <w:abstractNum w:abstractNumId="149">
    <w:nsid w:val="2E8A6394"/>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150">
    <w:nsid w:val="24E60401"/>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151">
    <w:nsid w:val="2A6AD9BE"/>
    <w:multiLevelType w:val="hybridMultilevel"/>
    <w:lvl w:ilvl="0">
      <w:lvlJc w:val="left"/>
      <w:lvlText w:val="(%1)"/>
      <w:numFmt w:val="lowerRoman"/>
      <w:start w:val="1"/>
    </w:lvl>
    <w:lvl w:ilvl="1">
      <w:lvlJc w:val="left"/>
      <w:lvlText w:val="(%2)"/>
      <w:numFmt w:val="lowerLetter"/>
      <w:start w:val="4"/>
    </w:lvl>
    <w:lvl w:ilvl="2">
      <w:lvlJc w:val="left"/>
      <w:lvlText w:val="%3"/>
      <w:numFmt w:val="upperLetter"/>
      <w:start w:val="1"/>
    </w:lvl>
  </w:abstractNum>
  <w:abstractNum w:abstractNumId="152">
    <w:nsid w:val="BAAC1B4"/>
    <w:multiLevelType w:val="hybridMultilevel"/>
    <w:lvl w:ilvl="0">
      <w:lvlJc w:val="left"/>
      <w:lvlText w:val="(%1)"/>
      <w:numFmt w:val="lowerRoman"/>
      <w:start w:val="1"/>
    </w:lvl>
  </w:abstractNum>
  <w:abstractNum w:abstractNumId="153">
    <w:nsid w:val="36B2ACBC"/>
    <w:multiLevelType w:val="hybridMultilevel"/>
    <w:lvl w:ilvl="0">
      <w:lvlJc w:val="left"/>
      <w:lvlText w:val="(%1)"/>
      <w:numFmt w:val="lowerRoman"/>
      <w:start w:val="2"/>
    </w:lvl>
    <w:lvl w:ilvl="1">
      <w:lvlJc w:val="left"/>
      <w:lvlText w:val="(%2)"/>
      <w:numFmt w:val="lowerLetter"/>
      <w:start w:val="5"/>
    </w:lvl>
  </w:abstractNum>
  <w:abstractNum w:abstractNumId="154">
    <w:nsid w:val="779D8544"/>
    <w:multiLevelType w:val="hybridMultilevel"/>
    <w:lvl w:ilvl="0">
      <w:lvlJc w:val="left"/>
      <w:lvlText w:val="%1"/>
      <w:numFmt w:val="lowerRoman"/>
      <w:start w:val="1"/>
    </w:lvl>
    <w:lvl w:ilvl="1">
      <w:lvlJc w:val="left"/>
      <w:lvlText w:val="(%2)"/>
      <w:numFmt w:val="lowerLetter"/>
      <w:start w:val="7"/>
    </w:lvl>
  </w:abstractNum>
  <w:abstractNum w:abstractNumId="155">
    <w:nsid w:val="4AB26E78"/>
    <w:multiLevelType w:val="hybridMultilevel"/>
    <w:lvl w:ilvl="0">
      <w:lvlJc w:val="left"/>
      <w:lvlText w:val="(%1)"/>
      <w:numFmt w:val="lowerRoman"/>
      <w:start w:val="1"/>
    </w:lvl>
    <w:lvl w:ilvl="1">
      <w:lvlJc w:val="left"/>
      <w:lvlText w:val="(%2)"/>
      <w:numFmt w:val="lowerLetter"/>
      <w:start w:val="8"/>
    </w:lvl>
  </w:abstractNum>
  <w:abstractNum w:abstractNumId="156">
    <w:nsid w:val="21FAA2FA"/>
    <w:multiLevelType w:val="hybridMultilevel"/>
    <w:lvl w:ilvl="0">
      <w:lvlJc w:val="left"/>
      <w:lvlText w:val="%1"/>
      <w:numFmt w:val="lowerRoman"/>
      <w:start w:val="1"/>
    </w:lvl>
    <w:lvl w:ilvl="1">
      <w:lvlJc w:val="left"/>
      <w:lvlText w:val="(%2)"/>
      <w:numFmt w:val="lowerLetter"/>
      <w:start w:val="9"/>
    </w:lvl>
  </w:abstractNum>
  <w:abstractNum w:abstractNumId="157">
    <w:nsid w:val="5451CF49"/>
    <w:multiLevelType w:val="hybridMultilevel"/>
    <w:lvl w:ilvl="0">
      <w:lvlJc w:val="left"/>
      <w:lvlText w:val="(%1)"/>
      <w:numFmt w:val="lowerRoman"/>
      <w:start w:val="1"/>
    </w:lvl>
    <w:lvl w:ilvl="1">
      <w:lvlJc w:val="left"/>
      <w:lvlText w:val="(%2)"/>
      <w:numFmt w:val="lowerLetter"/>
      <w:start w:val="10"/>
    </w:lvl>
  </w:abstractNum>
  <w:abstractNum w:abstractNumId="158">
    <w:nsid w:val="6181EF69"/>
    <w:multiLevelType w:val="hybridMultilevel"/>
    <w:lvl w:ilvl="0">
      <w:lvlJc w:val="left"/>
      <w:lvlText w:val="(%1)"/>
      <w:numFmt w:val="lowerRoman"/>
      <w:start w:val="1"/>
    </w:lvl>
    <w:lvl w:ilvl="1">
      <w:lvlJc w:val="left"/>
      <w:lvlText w:val="(%2)"/>
      <w:numFmt w:val="upperLetter"/>
      <w:start w:val="1"/>
    </w:lvl>
  </w:abstractNum>
  <w:abstractNum w:abstractNumId="159">
    <w:nsid w:val="3E6400E6"/>
    <w:multiLevelType w:val="hybridMultilevel"/>
    <w:lvl w:ilvl="0">
      <w:lvlJc w:val="left"/>
      <w:lvlText w:val="(%1)"/>
      <w:numFmt w:val="lowerRoman"/>
      <w:start w:val="2"/>
    </w:lvl>
  </w:abstractNum>
  <w:abstractNum w:abstractNumId="160">
    <w:nsid w:val="14217E23"/>
    <w:multiLevelType w:val="hybridMultilevel"/>
    <w:lvl w:ilvl="0">
      <w:lvlJc w:val="left"/>
      <w:lvlText w:val="%1"/>
      <w:numFmt w:val="decimal"/>
      <w:start w:val="1"/>
    </w:lvl>
    <w:lvl w:ilvl="1">
      <w:lvlJc w:val="left"/>
      <w:lvlText w:val="(%2)"/>
      <w:numFmt w:val="lowerLetter"/>
      <w:start w:val="12"/>
    </w:lvl>
  </w:abstractNum>
  <w:abstractNum w:abstractNumId="161">
    <w:nsid w:val="710757D0"/>
    <w:multiLevelType w:val="hybridMultilevel"/>
    <w:lvl w:ilvl="0">
      <w:lvlJc w:val="left"/>
      <w:lvlText w:val="%1."/>
      <w:numFmt w:val="decimal"/>
      <w:start w:val="9"/>
    </w:lvl>
    <w:lvl w:ilvl="1">
      <w:lvlJc w:val="left"/>
      <w:lvlText w:val="(%2)"/>
      <w:numFmt w:val="lowerLetter"/>
      <w:start w:val="1"/>
    </w:lvl>
  </w:abstractNum>
  <w:abstractNum w:abstractNumId="162">
    <w:nsid w:val="5015CD1A"/>
    <w:multiLevelType w:val="hybridMultilevel"/>
    <w:lvl w:ilvl="0">
      <w:lvlJc w:val="left"/>
      <w:lvlText w:val="%1"/>
      <w:numFmt w:val="lowerRoman"/>
      <w:start w:val="1"/>
    </w:lvl>
    <w:lvl w:ilvl="1">
      <w:lvlJc w:val="left"/>
      <w:lvlText w:val="(%2)"/>
      <w:numFmt w:val="lowerLetter"/>
      <w:start w:val="3"/>
    </w:lvl>
    <w:lvl w:ilvl="2">
      <w:lvlJc w:val="left"/>
      <w:lvlText w:val="%3"/>
      <w:numFmt w:val="upperLetter"/>
      <w:start w:val="1"/>
    </w:lvl>
  </w:abstractNum>
  <w:abstractNum w:abstractNumId="163">
    <w:nsid w:val="424479DA"/>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64">
    <w:nsid w:val="1A9A9E69"/>
    <w:multiLevelType w:val="hybridMultilevel"/>
    <w:lvl w:ilvl="0">
      <w:lvlJc w:val="left"/>
      <w:lvlText w:val="(%1)"/>
      <w:numFmt w:val="upperLetter"/>
      <w:start w:val="2"/>
    </w:lvl>
  </w:abstractNum>
  <w:abstractNum w:abstractNumId="165">
    <w:nsid w:val="475E256A"/>
    <w:multiLevelType w:val="hybridMultilevel"/>
    <w:lvl w:ilvl="0">
      <w:lvlJc w:val="left"/>
      <w:lvlText w:val="(%1)"/>
      <w:numFmt w:val="lowerRoman"/>
      <w:start w:val="3"/>
    </w:lvl>
  </w:abstractNum>
  <w:abstractNum w:abstractNumId="166">
    <w:nsid w:val="368DB37E"/>
    <w:multiLevelType w:val="hybridMultilevel"/>
    <w:lvl w:ilvl="0">
      <w:lvlJc w:val="left"/>
      <w:lvlText w:val="%1."/>
      <w:numFmt w:val="decimal"/>
      <w:start w:val="10"/>
    </w:lvl>
  </w:abstractNum>
  <w:abstractNum w:abstractNumId="167">
    <w:nsid w:val="6A3B714C"/>
    <w:multiLevelType w:val="hybridMultilevel"/>
    <w:lvl w:ilvl="0">
      <w:lvlJc w:val="left"/>
      <w:lvlText w:val="%1."/>
      <w:numFmt w:val="decimal"/>
      <w:start w:val="11"/>
    </w:lvl>
    <w:lvl w:ilvl="1">
      <w:lvlJc w:val="left"/>
      <w:lvlText w:val="(%2)"/>
      <w:numFmt w:val="lowerLetter"/>
      <w:start w:val="1"/>
    </w:lvl>
  </w:abstractNum>
  <w:abstractNum w:abstractNumId="168">
    <w:nsid w:val="327B517E"/>
    <w:multiLevelType w:val="hybridMultilevel"/>
    <w:lvl w:ilvl="0">
      <w:lvlJc w:val="left"/>
      <w:lvlText w:val="%1"/>
      <w:numFmt w:val="decimal"/>
      <w:start w:val="1"/>
    </w:lvl>
    <w:lvl w:ilvl="1">
      <w:lvlJc w:val="left"/>
      <w:lvlText w:val="(%2)"/>
      <w:numFmt w:val="lowerLetter"/>
      <w:start w:val="2"/>
    </w:lvl>
  </w:abstractNum>
  <w:abstractNum w:abstractNumId="169">
    <w:nsid w:val="1F461B51"/>
    <w:multiLevelType w:val="hybridMultilevel"/>
    <w:lvl w:ilvl="0">
      <w:lvlJc w:val="left"/>
      <w:lvlText w:val="%1."/>
      <w:numFmt w:val="decimal"/>
      <w:start w:val="12"/>
    </w:lvl>
    <w:lvl w:ilvl="1">
      <w:lvlJc w:val="left"/>
      <w:lvlText w:val="%2"/>
      <w:numFmt w:val="lowerLetter"/>
      <w:start w:val="1"/>
    </w:lvl>
  </w:abstractNum>
  <w:abstractNum w:abstractNumId="170">
    <w:nsid w:val="29BACF25"/>
    <w:multiLevelType w:val="hybridMultilevel"/>
    <w:lvl w:ilvl="0">
      <w:lvlJc w:val="left"/>
      <w:lvlText w:val="(%1)"/>
      <w:numFmt w:val="lowerLetter"/>
      <w:start w:val="1"/>
    </w:lvl>
  </w:abstractNum>
  <w:abstractNum w:abstractNumId="171">
    <w:nsid w:val="5D5BABB3"/>
    <w:multiLevelType w:val="hybridMultilevel"/>
    <w:lvl w:ilvl="0">
      <w:lvlJc w:val="left"/>
      <w:lvlText w:val="%1."/>
      <w:numFmt w:val="decimal"/>
      <w:start w:val="13"/>
    </w:lvl>
  </w:abstractNum>
  <w:abstractNum w:abstractNumId="172">
    <w:nsid w:val="51BF6B48"/>
    <w:multiLevelType w:val="hybridMultilevel"/>
    <w:lvl w:ilvl="0">
      <w:lvlJc w:val="left"/>
      <w:lvlText w:val="%1."/>
      <w:numFmt w:val="decimal"/>
      <w:start w:val="14"/>
    </w:lvl>
  </w:abstractNum>
  <w:abstractNum w:abstractNumId="173">
    <w:nsid w:val="7E0F6384"/>
    <w:multiLevelType w:val="hybridMultilevel"/>
    <w:lvl w:ilvl="0">
      <w:lvlJc w:val="left"/>
      <w:lvlText w:val="%1."/>
      <w:numFmt w:val="decimal"/>
      <w:start w:val="15"/>
    </w:lvl>
  </w:abstractNum>
  <w:abstractNum w:abstractNumId="174">
    <w:nsid w:val="2B4B8B53"/>
    <w:multiLevelType w:val="hybridMultilevel"/>
    <w:lvl w:ilvl="0">
      <w:lvlJc w:val="left"/>
      <w:lvlText w:val="%1."/>
      <w:numFmt w:val="decimal"/>
      <w:start w:val="16"/>
    </w:lvl>
  </w:abstractNum>
  <w:abstractNum w:abstractNumId="175">
    <w:nsid w:val="72E3413A"/>
    <w:multiLevelType w:val="hybridMultilevel"/>
    <w:lvl w:ilvl="0">
      <w:lvlJc w:val="left"/>
      <w:lvlText w:val="%1."/>
      <w:numFmt w:val="decimal"/>
      <w:start w:val="1"/>
    </w:lvl>
  </w:abstractNum>
  <w:abstractNum w:abstractNumId="176">
    <w:nsid w:val="116AE49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77">
    <w:nsid w:val="3494B2FB"/>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4"/>
    </w:lvl>
  </w:abstractNum>
  <w:abstractNum w:abstractNumId="178">
    <w:nsid w:val="B13A31"/>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179">
    <w:nsid w:val="64429599"/>
    <w:multiLevelType w:val="hybridMultilevel"/>
    <w:lvl w:ilvl="0">
      <w:lvlJc w:val="left"/>
      <w:lvlText w:val="(%1)"/>
      <w:numFmt w:val="lowerLetter"/>
      <w:start w:val="16"/>
    </w:lvl>
  </w:abstractNum>
  <w:abstractNum w:abstractNumId="180">
    <w:nsid w:val="631F1690"/>
    <w:multiLevelType w:val="hybridMultilevel"/>
    <w:lvl w:ilvl="0">
      <w:lvlJc w:val="left"/>
      <w:lvlText w:val="(%1)"/>
      <w:numFmt w:val="lowerLetter"/>
      <w:start w:val="27"/>
    </w:lvl>
    <w:lvl w:ilvl="1">
      <w:lvlJc w:val="left"/>
      <w:lvlText w:val="(%2)"/>
      <w:numFmt w:val="decimal"/>
      <w:start w:val="1"/>
    </w:lvl>
  </w:abstractNum>
  <w:abstractNum w:abstractNumId="181">
    <w:nsid w:val="25973E32"/>
    <w:multiLevelType w:val="hybridMultilevel"/>
    <w:lvl w:ilvl="0">
      <w:lvlJc w:val="left"/>
      <w:lvlText w:val="%1"/>
      <w:numFmt w:val="decimal"/>
      <w:start w:val="1"/>
    </w:lvl>
    <w:lvl w:ilvl="1">
      <w:lvlJc w:val="left"/>
      <w:lvlText w:val="(%2)"/>
      <w:numFmt w:val="lowerLetter"/>
      <w:start w:val="29"/>
    </w:lvl>
    <w:lvl w:ilvl="2">
      <w:lvlJc w:val="left"/>
      <w:lvlText w:val="%3"/>
      <w:numFmt w:val="decimal"/>
      <w:start w:val="1"/>
    </w:lvl>
  </w:abstractNum>
  <w:abstractNum w:abstractNumId="182">
    <w:nsid w:val="EAD6F57"/>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83">
    <w:nsid w:val="6EC9D844"/>
    <w:multiLevelType w:val="hybridMultilevel"/>
    <w:lvl w:ilvl="0">
      <w:lvlJc w:val="left"/>
      <w:lvlText w:val="%1"/>
      <w:numFmt w:val="lowerLetter"/>
      <w:start w:val="1"/>
    </w:lvl>
    <w:lvl w:ilvl="1">
      <w:lvlJc w:val="left"/>
      <w:lvlText w:val="(%2)"/>
      <w:numFmt w:val="decimal"/>
      <w:start w:val="3"/>
    </w:lvl>
  </w:abstractNum>
  <w:abstractNum w:abstractNumId="184">
    <w:nsid w:val="5C49EAEE"/>
    <w:multiLevelType w:val="hybridMultilevel"/>
    <w:lvl w:ilvl="0">
      <w:lvlJc w:val="left"/>
      <w:lvlText w:val="(%1)"/>
      <w:numFmt w:val="lowerLetter"/>
      <w:start w:val="3"/>
    </w:lvl>
    <w:lvl w:ilvl="1">
      <w:lvlJc w:val="left"/>
      <w:lvlText w:val="(%2)"/>
      <w:numFmt w:val="decimal"/>
      <w:start w:val="1"/>
    </w:lvl>
  </w:abstractNum>
  <w:abstractNum w:abstractNumId="185">
    <w:nsid w:val="64AF49B"/>
    <w:multiLevelType w:val="hybridMultilevel"/>
    <w:lvl w:ilvl="0">
      <w:lvlJc w:val="left"/>
      <w:lvlText w:val="%1."/>
      <w:numFmt w:val="decimal"/>
      <w:start w:val="4"/>
    </w:lvl>
    <w:lvl w:ilvl="1">
      <w:lvlJc w:val="left"/>
      <w:lvlText w:val="(%2)"/>
      <w:numFmt w:val="lowerLetter"/>
      <w:start w:val="1"/>
    </w:lvl>
  </w:abstractNum>
  <w:abstractNum w:abstractNumId="186">
    <w:nsid w:val="397C46BC"/>
    <w:multiLevelType w:val="hybridMultilevel"/>
    <w:lvl w:ilvl="0">
      <w:lvlJc w:val="left"/>
      <w:lvlText w:val="%1."/>
      <w:numFmt w:val="decimal"/>
      <w:start w:val="6"/>
    </w:lvl>
  </w:abstractNum>
  <w:abstractNum w:abstractNumId="187">
    <w:nsid w:val="7E448DE9"/>
    <w:multiLevelType w:val="hybridMultilevel"/>
    <w:lvl w:ilvl="0">
      <w:lvlJc w:val="left"/>
      <w:lvlText w:val="%1."/>
      <w:numFmt w:val="decimal"/>
      <w:start w:val="11"/>
    </w:lvl>
    <w:lvl w:ilvl="1">
      <w:lvlJc w:val="left"/>
      <w:lvlText w:val="(%2)"/>
      <w:numFmt w:val="lowerLetter"/>
      <w:start w:val="1"/>
    </w:lvl>
  </w:abstractNum>
  <w:abstractNum w:abstractNumId="188">
    <w:nsid w:val="5A9CC3E5"/>
    <w:multiLevelType w:val="hybridMultilevel"/>
    <w:lvl w:ilvl="0">
      <w:lvlJc w:val="left"/>
      <w:lvlText w:val="(%1)"/>
      <w:numFmt w:val="lowerLetter"/>
      <w:start w:val="1"/>
    </w:lvl>
  </w:abstractNum>
  <w:abstractNum w:abstractNumId="189">
    <w:nsid w:val="1AFE3625"/>
    <w:multiLevelType w:val="hybridMultilevel"/>
    <w:lvl w:ilvl="0">
      <w:lvlJc w:val="left"/>
      <w:lvlText w:val="%1."/>
      <w:numFmt w:val="decimal"/>
      <w:start w:val="1"/>
    </w:lvl>
    <w:lvl w:ilvl="1">
      <w:lvlJc w:val="left"/>
      <w:lvlText w:val="%2)"/>
      <w:numFmt w:val="lowerLetter"/>
      <w:start w:val="1"/>
    </w:lvl>
  </w:abstractNum>
  <w:abstractNum w:abstractNumId="190">
    <w:nsid w:val="3CA88ECF"/>
    <w:multiLevelType w:val="hybridMultilevel"/>
    <w:lvl w:ilvl="0">
      <w:lvlJc w:val="left"/>
      <w:lvlText w:val="%1."/>
      <w:numFmt w:val="decimal"/>
      <w:start w:val="1"/>
    </w:lvl>
    <w:lvl w:ilvl="1">
      <w:lvlJc w:val="left"/>
      <w:lvlText w:val="%2)"/>
      <w:numFmt w:val="lowerLetter"/>
      <w:start w:val="1"/>
    </w:lvl>
  </w:abstractNum>
  <w:abstractNum w:abstractNumId="191">
    <w:nsid w:val="6EBE4208"/>
    <w:multiLevelType w:val="hybridMultilevel"/>
    <w:lvl w:ilvl="0">
      <w:lvlJc w:val="left"/>
      <w:lvlText w:val="%1."/>
      <w:numFmt w:val="decimal"/>
      <w:start w:val="1"/>
    </w:lvl>
    <w:lvl w:ilvl="1">
      <w:lvlJc w:val="left"/>
      <w:lvlText w:val="%2)"/>
      <w:numFmt w:val="lowerLetter"/>
      <w:start w:val="1"/>
    </w:lvl>
  </w:abstractNum>
  <w:abstractNum w:abstractNumId="192">
    <w:nsid w:val="C058DF5"/>
    <w:multiLevelType w:val="hybridMultilevel"/>
    <w:lvl w:ilvl="0">
      <w:lvlJc w:val="left"/>
      <w:lvlText w:val="%1."/>
      <w:numFmt w:val="decimal"/>
      <w:start w:val="1"/>
    </w:lvl>
    <w:lvl w:ilvl="1">
      <w:lvlJc w:val="left"/>
      <w:lvlText w:val="%2)"/>
      <w:numFmt w:val="lowerLetter"/>
      <w:start w:val="1"/>
    </w:lvl>
  </w:abstractNum>
  <w:abstractNum w:abstractNumId="193">
    <w:nsid w:val="CBE5BE9"/>
    <w:multiLevelType w:val="hybridMultilevel"/>
    <w:lvl w:ilvl="0">
      <w:lvlJc w:val="left"/>
      <w:lvlText w:val="%1."/>
      <w:numFmt w:val="decimal"/>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2019-12-29T09:19:56Z</dcterms:created>
  <dcterms:modified xsi:type="dcterms:W3CDTF">2019-12-29T09:19:56Z</dcterms:modified>
</cp:coreProperties>
</file>