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top w:val="single" w:sz="8" w:color="2C2C2C"/>
            </w:tcBorders>
            <w:gridSpan w:val="3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2"/>
                <w:szCs w:val="32"/>
                <w:b w:val="1"/>
                <w:bCs w:val="1"/>
                <w:color w:val="auto"/>
              </w:rPr>
              <w:t>FORM 3</w:t>
            </w:r>
          </w:p>
        </w:tc>
        <w:tc>
          <w:tcPr>
            <w:tcW w:w="6600" w:type="dxa"/>
            <w:vAlign w:val="bottom"/>
            <w:tcBorders>
              <w:top w:val="single" w:sz="8" w:color="2C2C2C"/>
            </w:tcBorders>
            <w:gridSpan w:val="6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  <w:vMerge w:val="restart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  <w:gridSpan w:val="2"/>
          </w:tcPr>
          <w:p>
            <w:pPr>
              <w:jc w:val="center"/>
              <w:ind w:left="59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6"/>
              </w:rPr>
              <w:t>Washington, D.C. 20549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540" w:type="dxa"/>
            <w:vAlign w:val="bottom"/>
            <w:gridSpan w:val="4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460" w:type="dxa"/>
            <w:vAlign w:val="bottom"/>
            <w:gridSpan w:val="9"/>
          </w:tcPr>
          <w:p>
            <w:pPr>
              <w:ind w:left="80"/>
              <w:spacing w:after="0" w:line="33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2"/>
                <w:szCs w:val="22"/>
                <w:b w:val="1"/>
                <w:bCs w:val="1"/>
                <w:color w:val="auto"/>
                <w:w w:val="95"/>
              </w:rPr>
              <w:t xml:space="preserve">INITIAL STATEMENT OF BENEFICIAL OWNERSHIP OF SECURITIES </w:t>
            </w:r>
            <w:r>
              <w:rPr>
                <w:rFonts w:ascii="Times New Roman" w:cs="Times New Roman" w:eastAsia="Times New Roman" w:hAnsi="Times New Roman"/>
                <w:sz w:val="35"/>
                <w:szCs w:val="35"/>
                <w:color w:val="auto"/>
                <w:w w:val="95"/>
                <w:vertAlign w:val="superscript"/>
              </w:rPr>
              <w:t>OMB Number:</w:t>
            </w:r>
          </w:p>
        </w:tc>
        <w:tc>
          <w:tcPr>
            <w:tcW w:w="12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3235-0104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2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Expires: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jc w:val="right"/>
              <w:ind w:right="4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auto"/>
              </w:rPr>
              <w:t>January 31, 2005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restart"/>
          </w:tcPr>
          <w:p>
            <w:pPr>
              <w:jc w:val="center"/>
              <w:ind w:right="1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Filed pursuant to Section 16(a) of the Securities Exchange Act of 1934,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</w:rPr>
              <w:t>hours per response..................0.5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</w:tcPr>
          <w:p>
            <w:pPr>
              <w:jc w:val="center"/>
              <w:ind w:right="129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17(a) of the Public Utility Holding Company Act of 1935 or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restart"/>
          </w:tcPr>
          <w:p>
            <w:pPr>
              <w:jc w:val="center"/>
              <w:ind w:right="12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Section 30(h) of the Investment Company Act of 1940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(Print or Type Responses)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1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top w:val="single" w:sz="8" w:color="2C2C2C"/>
            </w:tcBorders>
            <w:gridSpan w:val="4"/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Name and Address of Reporting Person*</w:t>
            </w: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of Event</w:t>
            </w:r>
          </w:p>
        </w:tc>
        <w:tc>
          <w:tcPr>
            <w:tcW w:w="35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300"/>
              <w:spacing w:after="0" w:line="12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Issuer Name and Ticker or Trading Symbol</w:t>
            </w:r>
          </w:p>
        </w:tc>
        <w:tc>
          <w:tcPr>
            <w:tcW w:w="3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Requiring Statement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6360" w:type="dxa"/>
            <w:vAlign w:val="bottom"/>
            <w:gridSpan w:val="6"/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 (formerly named AT&amp;T Comcast Corporation): CMCSA and CMCSK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Roberts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Ralph</w:t>
            </w: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J.</w:t>
            </w: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November 18, 2002</w:t>
            </w: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6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(First)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I.R.S. Identification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6.If Amendment, Date of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Number of Reporting</w:t>
            </w:r>
          </w:p>
        </w:tc>
        <w:tc>
          <w:tcPr>
            <w:tcW w:w="3540" w:type="dxa"/>
            <w:vAlign w:val="bottom"/>
            <w:gridSpan w:val="2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Original (Month/Day/Year)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Person, if an entity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Comcast Corporation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(voluntary)</w:t>
            </w: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Director</w:t>
            </w:r>
          </w:p>
        </w:tc>
        <w:tc>
          <w:tcPr>
            <w:tcW w:w="2020" w:type="dxa"/>
            <w:vAlign w:val="bottom"/>
          </w:tcPr>
          <w:p>
            <w:pPr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10% Owner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1500 Market Street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Officer</w:t>
            </w:r>
          </w:p>
        </w:tc>
        <w:tc>
          <w:tcPr>
            <w:tcW w:w="20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 Other (specify below)</w:t>
            </w: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(Street)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ind w:left="5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(give title below)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60" w:type="dxa"/>
            <w:vAlign w:val="bottom"/>
            <w:gridSpan w:val="2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7. Individual or Joint/Group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restart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Chairman of the Executive and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Filing (Check Applicable 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540" w:type="dxa"/>
            <w:vAlign w:val="bottom"/>
            <w:gridSpan w:val="2"/>
          </w:tcPr>
          <w:p>
            <w:pPr>
              <w:ind w:left="10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Finance Committee</w:t>
            </w:r>
          </w:p>
        </w:tc>
        <w:tc>
          <w:tcPr>
            <w:tcW w:w="2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x 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Philadelphia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jc w:val="center"/>
              <w:ind w:right="1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89"/>
              </w:rPr>
              <w:t>PA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jc w:val="right"/>
              <w:ind w:right="1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20" w:type="dxa"/>
            <w:vAlign w:val="bottom"/>
            <w:gridSpan w:val="4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9"/>
              </w:rPr>
              <w:t>o Form filed by More than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top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top w:val="single" w:sz="8" w:color="2C2C2C"/>
            </w:tcBorders>
          </w:tcPr>
          <w:p>
            <w:pPr>
              <w:jc w:val="right"/>
              <w:ind w:right="1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100" w:type="dxa"/>
            <w:vAlign w:val="bottom"/>
            <w:tcBorders>
              <w:top w:val="single" w:sz="8" w:color="2C2C2C"/>
            </w:tcBorders>
            <w:gridSpan w:val="4"/>
            <w:vMerge w:val="restart"/>
          </w:tcPr>
          <w:p>
            <w:pPr>
              <w:jc w:val="center"/>
              <w:ind w:right="33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b w:val="1"/>
                <w:bCs w:val="1"/>
                <w:color w:val="auto"/>
                <w:w w:val="96"/>
              </w:rPr>
              <w:t>Table I -- Non-Derivative Securities Beneficially Owned</w:t>
            </w:r>
          </w:p>
        </w:tc>
        <w:tc>
          <w:tcPr>
            <w:tcW w:w="1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1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5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 Title of Security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Amount of Securities</w:t>
            </w:r>
          </w:p>
        </w:tc>
        <w:tc>
          <w:tcPr>
            <w:tcW w:w="1520" w:type="dxa"/>
            <w:vAlign w:val="bottom"/>
          </w:tcPr>
          <w:p>
            <w:pPr>
              <w:ind w:left="30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Ownership</w:t>
            </w:r>
          </w:p>
        </w:tc>
        <w:tc>
          <w:tcPr>
            <w:tcW w:w="3580" w:type="dxa"/>
            <w:vAlign w:val="bottom"/>
            <w:gridSpan w:val="3"/>
          </w:tcPr>
          <w:p>
            <w:pPr>
              <w:ind w:left="4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Nature of Indirect Beneficial Ownership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Beneficially Owned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Form: Direct</w:t>
            </w:r>
          </w:p>
        </w:tc>
        <w:tc>
          <w:tcPr>
            <w:tcW w:w="2020" w:type="dxa"/>
            <w:vAlign w:val="bottom"/>
          </w:tcPr>
          <w:p>
            <w:pPr>
              <w:jc w:val="center"/>
              <w:ind w:right="27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7"/>
              </w:rPr>
              <w:t>(Instr. 5)</w:t>
            </w: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20" w:type="dxa"/>
            <w:vAlign w:val="bottom"/>
          </w:tcPr>
          <w:p>
            <w:pPr>
              <w:ind w:left="4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(D) or Indirect</w:t>
            </w: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ind w:left="4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(I) (Instr. 5)</w:t>
            </w: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20" w:type="dxa"/>
            <w:vAlign w:val="bottom"/>
            <w:gridSpan w:val="2"/>
          </w:tcPr>
          <w:p>
            <w:pPr>
              <w:jc w:val="right"/>
              <w:ind w:right="53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5822315</wp:posOffset>
            </wp:positionH>
            <wp:positionV relativeFrom="page">
              <wp:posOffset>445135</wp:posOffset>
            </wp:positionV>
            <wp:extent cx="42545" cy="117475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1216660</wp:posOffset>
            </wp:positionH>
            <wp:positionV relativeFrom="page">
              <wp:posOffset>445135</wp:posOffset>
            </wp:positionV>
            <wp:extent cx="42545" cy="117475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11747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144780</wp:posOffset>
            </wp:positionH>
            <wp:positionV relativeFrom="page">
              <wp:posOffset>436245</wp:posOffset>
            </wp:positionV>
            <wp:extent cx="42545" cy="541083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7374255</wp:posOffset>
            </wp:positionH>
            <wp:positionV relativeFrom="page">
              <wp:posOffset>436245</wp:posOffset>
            </wp:positionV>
            <wp:extent cx="42545" cy="541083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54108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224155</wp:posOffset>
            </wp:positionH>
            <wp:positionV relativeFrom="paragraph">
              <wp:posOffset>-5046345</wp:posOffset>
            </wp:positionV>
            <wp:extent cx="42545" cy="69405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6940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2145030</wp:posOffset>
            </wp:positionH>
            <wp:positionV relativeFrom="paragraph">
              <wp:posOffset>-4222750</wp:posOffset>
            </wp:positionV>
            <wp:extent cx="3335655" cy="42278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35655" cy="42278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4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Reminder:</w:t>
        <w:tab/>
        <w:t>Report on a separate line for each class of securities beneficially owned directly or indirectly.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780" w:hanging="232"/>
        <w:spacing w:after="0"/>
        <w:tabs>
          <w:tab w:leader="none" w:pos="78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If the form is filed by more than one reporting person,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 Instruction 5(b)(v).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ind w:left="40" w:right="500"/>
        <w:spacing w:after="0" w:line="27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Potential persons who are to respond to the collection of information contained in this form are not required to respond unless the form displays a currently valid OMB control number.</w:t>
      </w:r>
    </w:p>
    <w:p>
      <w:pPr>
        <w:spacing w:after="0" w:line="201" w:lineRule="exact"/>
        <w:rPr>
          <w:sz w:val="24"/>
          <w:szCs w:val="24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1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687" w:right="239" w:bottom="1440" w:gutter="0" w:footer="0" w:header="0"/>
        </w:sectPr>
      </w:pPr>
    </w:p>
    <w:bookmarkStart w:id="1" w:name="page2"/>
    <w:bookmarkEnd w:id="1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FORM 3 (continued)</w:t>
      </w:r>
    </w:p>
    <w:p>
      <w:pPr>
        <w:spacing w:after="0" w:line="183" w:lineRule="exact"/>
        <w:rPr>
          <w:sz w:val="20"/>
          <w:szCs w:val="20"/>
          <w:color w:val="auto"/>
        </w:rPr>
      </w:pPr>
    </w:p>
    <w:p>
      <w:pPr>
        <w:jc w:val="center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Table II -- Derivative Securities Beneficially Owned (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i w:val="1"/>
          <w:iCs w:val="1"/>
          <w:color w:val="auto"/>
        </w:rPr>
        <w:t>e.g.</w:t>
      </w: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, puts, calls, warrants, options, convertible securities)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-6985</wp:posOffset>
            </wp:positionH>
            <wp:positionV relativeFrom="paragraph">
              <wp:posOffset>116205</wp:posOffset>
            </wp:positionV>
            <wp:extent cx="42545" cy="283845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1390015</wp:posOffset>
            </wp:positionH>
            <wp:positionV relativeFrom="paragraph">
              <wp:posOffset>125095</wp:posOffset>
            </wp:positionV>
            <wp:extent cx="42545" cy="282130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2496820</wp:posOffset>
            </wp:positionH>
            <wp:positionV relativeFrom="paragraph">
              <wp:posOffset>125095</wp:posOffset>
            </wp:positionV>
            <wp:extent cx="42545" cy="282130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4572000</wp:posOffset>
            </wp:positionH>
            <wp:positionV relativeFrom="paragraph">
              <wp:posOffset>125095</wp:posOffset>
            </wp:positionV>
            <wp:extent cx="42545" cy="2821305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5292090</wp:posOffset>
            </wp:positionH>
            <wp:positionV relativeFrom="paragraph">
              <wp:posOffset>125095</wp:posOffset>
            </wp:positionV>
            <wp:extent cx="42545" cy="2821305"/>
            <wp:wrapNone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7221855</wp:posOffset>
            </wp:positionH>
            <wp:positionV relativeFrom="paragraph">
              <wp:posOffset>116205</wp:posOffset>
            </wp:positionV>
            <wp:extent cx="42545" cy="2838450"/>
            <wp:wrapNone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384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6064250</wp:posOffset>
            </wp:positionH>
            <wp:positionV relativeFrom="paragraph">
              <wp:posOffset>125095</wp:posOffset>
            </wp:positionV>
            <wp:extent cx="42545" cy="2821305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821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6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top w:val="single" w:sz="8" w:color="2C2C2C"/>
            </w:tcBorders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1. Title of Derivative Security</w:t>
            </w:r>
          </w:p>
        </w:tc>
        <w:tc>
          <w:tcPr>
            <w:tcW w:w="164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2. Date Exercisable and</w:t>
            </w:r>
          </w:p>
        </w:tc>
        <w:tc>
          <w:tcPr>
            <w:tcW w:w="3380" w:type="dxa"/>
            <w:vAlign w:val="bottom"/>
            <w:tcBorders>
              <w:top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3. Title and Amount of Securities Underlying</w:t>
            </w:r>
          </w:p>
        </w:tc>
        <w:tc>
          <w:tcPr>
            <w:tcW w:w="1020" w:type="dxa"/>
            <w:vAlign w:val="bottom"/>
            <w:tcBorders>
              <w:top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4. Conversion</w:t>
            </w:r>
          </w:p>
        </w:tc>
        <w:tc>
          <w:tcPr>
            <w:tcW w:w="12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5. Ownership</w:t>
            </w:r>
          </w:p>
        </w:tc>
        <w:tc>
          <w:tcPr>
            <w:tcW w:w="1920" w:type="dxa"/>
            <w:vAlign w:val="bottom"/>
            <w:tcBorders>
              <w:top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6. Nature of Indirect</w:t>
            </w: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06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 Security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Exercise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Form of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Beneficial 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  <w:gridSpan w:val="2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(Month/Day/Year)</w:t>
            </w:r>
          </w:p>
        </w:tc>
        <w:tc>
          <w:tcPr>
            <w:tcW w:w="1820" w:type="dxa"/>
            <w:vAlign w:val="bottom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4)</w:t>
            </w: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Price of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940" w:type="dxa"/>
            <w:vAlign w:val="bottom"/>
            <w:gridSpan w:val="2"/>
          </w:tcPr>
          <w:p>
            <w:pPr>
              <w:ind w:left="2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Derivative</w:t>
            </w:r>
          </w:p>
        </w:tc>
        <w:tc>
          <w:tcPr>
            <w:tcW w:w="1220" w:type="dxa"/>
            <w:vAlign w:val="bottom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Securities: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vMerge w:val="restart"/>
          </w:tcPr>
          <w:p>
            <w:pPr>
              <w:ind w:left="1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Security</w:t>
            </w: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Direct (D)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0"/>
              </w:rPr>
              <w:t>Date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32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Expira-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Amount</w:t>
            </w:r>
          </w:p>
        </w:tc>
        <w:tc>
          <w:tcPr>
            <w:tcW w:w="10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or Indirect (I)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3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6"/>
              </w:rPr>
              <w:t>Exer-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tion</w:t>
            </w:r>
          </w:p>
        </w:tc>
        <w:tc>
          <w:tcPr>
            <w:tcW w:w="1820" w:type="dxa"/>
            <w:vAlign w:val="bottom"/>
            <w:vMerge w:val="restart"/>
          </w:tcPr>
          <w:p>
            <w:pPr>
              <w:ind w:left="8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Title</w:t>
            </w: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4"/>
              </w:rPr>
              <w:t>or Number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(Instr. 5)</w:t>
            </w: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2"/>
              </w:rPr>
              <w:t>cisable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8"/>
              </w:rPr>
              <w:t>Date</w:t>
            </w: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  <w:w w:val="95"/>
              </w:rPr>
              <w:t>of Shares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560" w:type="dxa"/>
            <w:vAlign w:val="bottom"/>
          </w:tcPr>
          <w:p>
            <w:pPr>
              <w:jc w:val="right"/>
              <w:ind w:right="63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020" w:type="dxa"/>
            <w:vAlign w:val="bottom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4"/>
                <w:szCs w:val="14"/>
                <w:color w:val="auto"/>
              </w:rPr>
              <w:t>(1)</w:t>
            </w:r>
          </w:p>
        </w:tc>
        <w:tc>
          <w:tcPr>
            <w:tcW w:w="1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1922145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3576955</wp:posOffset>
            </wp:positionH>
            <wp:positionV relativeFrom="paragraph">
              <wp:posOffset>-2378710</wp:posOffset>
            </wp:positionV>
            <wp:extent cx="42545" cy="2383790"/>
            <wp:wrapNone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545" cy="23837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4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Explanation of Responses:</w:t>
      </w:r>
    </w:p>
    <w:p>
      <w:pPr>
        <w:spacing w:after="0" w:line="185" w:lineRule="exact"/>
        <w:rPr>
          <w:sz w:val="20"/>
          <w:szCs w:val="20"/>
          <w:color w:val="auto"/>
        </w:rPr>
      </w:pPr>
    </w:p>
    <w:p>
      <w:pPr>
        <w:ind w:left="460" w:right="100" w:hanging="452"/>
        <w:spacing w:after="0" w:line="262" w:lineRule="auto"/>
        <w:tabs>
          <w:tab w:leader="none" w:pos="4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Shares and options to purchase shares of Issuer common stock were acquired pursuant to the merger of each of Comcast Holdings Corporation (formerly named Comcast Corporation) and AT&amp;T Broadband Corp. with wholly-owned subsidiaries of the Issuer. These acquisitions will be reported on Form 4 on November 20, 2002.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38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2 of 3</w:t>
      </w:r>
    </w:p>
    <w:p>
      <w:pPr>
        <w:sectPr>
          <w:pgSz w:w="11900" w:h="16838" w:orient="portrait"/>
          <w:cols w:equalWidth="0" w:num="1">
            <w:col w:w="11420"/>
          </w:cols>
          <w:pgMar w:left="240" w:top="123" w:right="239" w:bottom="1440" w:gutter="0" w:footer="0" w:header="0"/>
        </w:sectPr>
      </w:pPr>
    </w:p>
    <w:bookmarkStart w:id="2" w:name="page3"/>
    <w:bookmarkEnd w:id="2"/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28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/s/ Ralph J.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November 18, 2002</w:t>
            </w:r>
          </w:p>
        </w:tc>
      </w:tr>
      <w:tr>
        <w:trPr>
          <w:trHeight w:val="110"/>
        </w:trPr>
        <w:tc>
          <w:tcPr>
            <w:tcW w:w="45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</w:tr>
      <w:tr>
        <w:trPr>
          <w:trHeight w:val="329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7"/>
              </w:rPr>
              <w:t>** Signature of Reporting Person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9"/>
              </w:rPr>
              <w:t>Date</w:t>
            </w:r>
          </w:p>
        </w:tc>
      </w:tr>
      <w:tr>
        <w:trPr>
          <w:trHeight w:val="243"/>
        </w:trPr>
        <w:tc>
          <w:tcPr>
            <w:tcW w:w="450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8"/>
                <w:szCs w:val="18"/>
                <w:color w:val="auto"/>
                <w:w w:val="98"/>
              </w:rPr>
              <w:t>Ralph J. Roberts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2830830</wp:posOffset>
            </wp:positionH>
            <wp:positionV relativeFrom="paragraph">
              <wp:posOffset>-387985</wp:posOffset>
            </wp:positionV>
            <wp:extent cx="34290" cy="34290"/>
            <wp:wrapNone/>
            <wp:docPr id="16" name="Picture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5558155</wp:posOffset>
            </wp:positionH>
            <wp:positionV relativeFrom="paragraph">
              <wp:posOffset>-387985</wp:posOffset>
            </wp:positionV>
            <wp:extent cx="34290" cy="34290"/>
            <wp:wrapNone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/>
                    <pic:cNvPicPr>
                      <a:picLocks noChangeAspect="1" noChangeArrowheads="1"/>
                    </pic:cNvPicPr>
                  </pic:nvPicPr>
                  <pic:blipFill>
                    <a:blip r:embed="rId2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47" w:lineRule="exact"/>
        <w:rPr>
          <w:sz w:val="20"/>
          <w:szCs w:val="20"/>
          <w:color w:val="auto"/>
        </w:rPr>
      </w:pPr>
    </w:p>
    <w:p>
      <w:pPr>
        <w:ind w:left="720" w:right="6040" w:hanging="280"/>
        <w:spacing w:after="0" w:line="241" w:lineRule="auto"/>
        <w:tabs>
          <w:tab w:leader="none" w:pos="720" w:val="left"/>
        </w:tabs>
        <w:numPr>
          <w:ilvl w:val="0"/>
          <w:numId w:val="3"/>
        </w:numPr>
        <w:rPr>
          <w:rFonts w:ascii="Times New Roman" w:cs="Times New Roman" w:eastAsia="Times New Roman" w:hAnsi="Times New Roman"/>
          <w:sz w:val="14"/>
          <w:szCs w:val="14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 xml:space="preserve">Intentional misstatements or omissions of facts constitute Federal Criminal Violations. </w:t>
      </w:r>
      <w:r>
        <w:rPr>
          <w:rFonts w:ascii="Times New Roman" w:cs="Times New Roman" w:eastAsia="Times New Roman" w:hAnsi="Times New Roman"/>
          <w:sz w:val="14"/>
          <w:szCs w:val="14"/>
          <w:i w:val="1"/>
          <w:iCs w:val="1"/>
          <w:color w:val="auto"/>
        </w:rPr>
        <w:t xml:space="preserve">See </w:t>
      </w: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18 U.S.C. 1001 and 15 U.S.C. 78ff(a).</w:t>
      </w:r>
    </w:p>
    <w:p>
      <w:pPr>
        <w:spacing w:after="0" w:line="12" w:lineRule="exact"/>
        <w:rPr>
          <w:sz w:val="20"/>
          <w:szCs w:val="20"/>
          <w:color w:val="auto"/>
        </w:rPr>
      </w:pPr>
    </w:p>
    <w:p>
      <w:pPr>
        <w:ind w:left="280"/>
        <w:spacing w:after="0"/>
        <w:tabs>
          <w:tab w:leader="none" w:pos="7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4"/>
          <w:szCs w:val="14"/>
          <w:color w:val="auto"/>
        </w:rPr>
        <w:t>Note: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File three copies of this Form, one of which must be manually signed. If space is insufficient, </w:t>
      </w:r>
      <w:r>
        <w:rPr>
          <w:rFonts w:ascii="Times New Roman" w:cs="Times New Roman" w:eastAsia="Times New Roman" w:hAnsi="Times New Roman"/>
          <w:sz w:val="12"/>
          <w:szCs w:val="12"/>
          <w:i w:val="1"/>
          <w:iCs w:val="1"/>
          <w:color w:val="auto"/>
        </w:rPr>
        <w:t>See</w:t>
      </w:r>
      <w:r>
        <w:rPr>
          <w:rFonts w:ascii="Times New Roman" w:cs="Times New Roman" w:eastAsia="Times New Roman" w:hAnsi="Times New Roman"/>
          <w:sz w:val="12"/>
          <w:szCs w:val="12"/>
          <w:color w:val="auto"/>
        </w:rPr>
        <w:t xml:space="preserve"> Instruction 6 for procedure.</w:t>
      </w: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200" w:lineRule="exact"/>
        <w:rPr>
          <w:sz w:val="20"/>
          <w:szCs w:val="20"/>
          <w:color w:val="auto"/>
        </w:rPr>
      </w:pPr>
    </w:p>
    <w:p>
      <w:pPr>
        <w:spacing w:after="0" w:line="371" w:lineRule="exact"/>
        <w:rPr>
          <w:sz w:val="20"/>
          <w:szCs w:val="20"/>
          <w:color w:val="auto"/>
        </w:rPr>
      </w:pPr>
    </w:p>
    <w:p>
      <w:pPr>
        <w:jc w:val="right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Page 3 of 3</w:t>
      </w:r>
    </w:p>
    <w:sectPr>
      <w:pgSz w:w="11900" w:h="16838" w:orient="portrait"/>
      <w:cols w:equalWidth="0" w:num="1">
        <w:col w:w="11420"/>
      </w:cols>
      <w:pgMar w:left="240" w:top="1125" w:right="239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*"/>
      <w:numFmt w:val="bullet"/>
      <w:start w:val="1"/>
    </w:lvl>
  </w:abstractNum>
  <w:abstractNum w:abstractNumId="1">
    <w:nsid w:val="74B0DC51"/>
    <w:multiLevelType w:val="hybridMultilevel"/>
    <w:lvl w:ilvl="0">
      <w:lvlJc w:val="left"/>
      <w:lvlText w:val="(%1)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Relationship Id="rId18" Type="http://schemas.openxmlformats.org/officeDocument/2006/relationships/image" Target="media/image11.png"/><Relationship Id="rId19" Type="http://schemas.openxmlformats.org/officeDocument/2006/relationships/image" Target="media/image12.png"/><Relationship Id="rId20" Type="http://schemas.openxmlformats.org/officeDocument/2006/relationships/image" Target="media/image13.png"/><Relationship Id="rId21" Type="http://schemas.openxmlformats.org/officeDocument/2006/relationships/image" Target="media/image14.png"/><Relationship Id="rId22" Type="http://schemas.openxmlformats.org/officeDocument/2006/relationships/image" Target="media/image15.png"/><Relationship Id="rId23" Type="http://schemas.openxmlformats.org/officeDocument/2006/relationships/image" Target="media/image16.png"/><Relationship Id="rId24" Type="http://schemas.openxmlformats.org/officeDocument/2006/relationships/image" Target="media/image17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2019-12-15T07:04:59Z</dcterms:created>
  <dcterms:modified xsi:type="dcterms:W3CDTF">2019-12-15T07:04:59Z</dcterms:modified>
</cp:coreProperties>
</file>