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208280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39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34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CURRENT REPORT</w:t>
      </w:r>
    </w:p>
    <w:p>
      <w:pPr>
        <w:spacing w:after="0" w:line="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Pursuant to Section 13 OR 15(d) of</w:t>
      </w:r>
    </w:p>
    <w:p>
      <w:pPr>
        <w:spacing w:after="0" w:line="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The Securities Exchange Act of 1934</w:t>
      </w:r>
    </w:p>
    <w:p>
      <w:pPr>
        <w:spacing w:after="0" w:line="32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report (Date of earliest event reported): October 27, 2015</w:t>
      </w: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Comcast Corporation</w:t>
      </w:r>
    </w:p>
    <w:p>
      <w:pPr>
        <w:spacing w:after="0" w:line="23" w:lineRule="exact"/>
        <w:rPr>
          <w:sz w:val="24"/>
          <w:szCs w:val="24"/>
          <w:color w:val="auto"/>
        </w:rPr>
      </w:pPr>
    </w:p>
    <w:p>
      <w:pPr>
        <w:ind w:left="4940"/>
        <w:spacing w:after="0"/>
        <w:rPr>
          <w:sz w:val="20"/>
          <w:szCs w:val="20"/>
          <w:color w:val="auto"/>
        </w:rPr>
      </w:pPr>
      <w:r>
        <w:rPr>
          <w:rFonts w:ascii="Times New Roman" w:cs="Times New Roman" w:eastAsia="Times New Roman" w:hAnsi="Times New Roman"/>
          <w:sz w:val="14"/>
          <w:szCs w:val="14"/>
          <w:color w:val="auto"/>
        </w:rPr>
        <w:t>(Exact Name of Registrant</w:t>
      </w:r>
    </w:p>
    <w:p>
      <w:pPr>
        <w:ind w:left="4940"/>
        <w:spacing w:after="0"/>
        <w:rPr>
          <w:sz w:val="20"/>
          <w:szCs w:val="20"/>
          <w:color w:val="auto"/>
        </w:rPr>
      </w:pPr>
      <w:r>
        <w:rPr>
          <w:rFonts w:ascii="Times New Roman" w:cs="Times New Roman" w:eastAsia="Times New Roman" w:hAnsi="Times New Roman"/>
          <w:sz w:val="14"/>
          <w:szCs w:val="14"/>
          <w:color w:val="auto"/>
        </w:rPr>
        <w:t>as Specified in its Charter)</w:t>
      </w:r>
    </w:p>
    <w:p>
      <w:pPr>
        <w:spacing w:after="0" w:line="18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Pennsylvania</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(State or Other Jurisdiction of Incorporation)</w:t>
      </w:r>
    </w:p>
    <w:p>
      <w:pPr>
        <w:spacing w:after="0" w:line="188" w:lineRule="exact"/>
        <w:rPr>
          <w:sz w:val="24"/>
          <w:szCs w:val="24"/>
          <w:color w:val="auto"/>
        </w:rPr>
      </w:pPr>
    </w:p>
    <w:tbl>
      <w:tblPr>
        <w:tblLayout w:type="fixed"/>
        <w:tblInd w:w="1120" w:type="dxa"/>
        <w:tblCellMar>
          <w:top w:w="0" w:type="dxa"/>
          <w:left w:w="0" w:type="dxa"/>
          <w:bottom w:w="0" w:type="dxa"/>
          <w:right w:w="0" w:type="dxa"/>
        </w:tblCellMar>
      </w:tblPr>
      <w:tr>
        <w:trPr>
          <w:trHeight w:val="216"/>
        </w:trPr>
        <w:tc>
          <w:tcPr>
            <w:tcW w:w="4700" w:type="dxa"/>
            <w:vAlign w:val="bottom"/>
          </w:tcPr>
          <w:p>
            <w:pPr>
              <w:jc w:val="center"/>
              <w:ind w:right="2277"/>
              <w:spacing w:after="0"/>
              <w:rPr>
                <w:sz w:val="20"/>
                <w:szCs w:val="20"/>
                <w:color w:val="auto"/>
              </w:rPr>
            </w:pPr>
            <w:r>
              <w:rPr>
                <w:rFonts w:ascii="Times New Roman" w:cs="Times New Roman" w:eastAsia="Times New Roman" w:hAnsi="Times New Roman"/>
                <w:sz w:val="18"/>
                <w:szCs w:val="18"/>
                <w:b w:val="1"/>
                <w:bCs w:val="1"/>
                <w:color w:val="auto"/>
                <w:w w:val="99"/>
              </w:rPr>
              <w:t>001-32871</w:t>
            </w:r>
          </w:p>
        </w:tc>
        <w:tc>
          <w:tcPr>
            <w:tcW w:w="4320" w:type="dxa"/>
            <w:vAlign w:val="bottom"/>
          </w:tcPr>
          <w:p>
            <w:pPr>
              <w:jc w:val="center"/>
              <w:ind w:left="2239"/>
              <w:spacing w:after="0"/>
              <w:rPr>
                <w:sz w:val="20"/>
                <w:szCs w:val="20"/>
                <w:color w:val="auto"/>
              </w:rPr>
            </w:pPr>
            <w:r>
              <w:rPr>
                <w:rFonts w:ascii="Times New Roman" w:cs="Times New Roman" w:eastAsia="Times New Roman" w:hAnsi="Times New Roman"/>
                <w:sz w:val="18"/>
                <w:szCs w:val="18"/>
                <w:b w:val="1"/>
                <w:bCs w:val="1"/>
                <w:color w:val="auto"/>
              </w:rPr>
              <w:t>27-0000798</w:t>
            </w:r>
          </w:p>
        </w:tc>
      </w:tr>
      <w:tr>
        <w:trPr>
          <w:trHeight w:val="188"/>
        </w:trPr>
        <w:tc>
          <w:tcPr>
            <w:tcW w:w="4700" w:type="dxa"/>
            <w:vAlign w:val="bottom"/>
          </w:tcPr>
          <w:p>
            <w:pPr>
              <w:jc w:val="center"/>
              <w:ind w:right="2257"/>
              <w:spacing w:after="0"/>
              <w:rPr>
                <w:sz w:val="20"/>
                <w:szCs w:val="20"/>
                <w:color w:val="auto"/>
              </w:rPr>
            </w:pPr>
            <w:r>
              <w:rPr>
                <w:rFonts w:ascii="Times New Roman" w:cs="Times New Roman" w:eastAsia="Times New Roman" w:hAnsi="Times New Roman"/>
                <w:sz w:val="14"/>
                <w:szCs w:val="14"/>
                <w:color w:val="auto"/>
              </w:rPr>
              <w:t>(Commission File Number)</w:t>
            </w:r>
          </w:p>
        </w:tc>
        <w:tc>
          <w:tcPr>
            <w:tcW w:w="4320" w:type="dxa"/>
            <w:vAlign w:val="bottom"/>
          </w:tcPr>
          <w:p>
            <w:pPr>
              <w:jc w:val="center"/>
              <w:ind w:left="2259"/>
              <w:spacing w:after="0"/>
              <w:rPr>
                <w:sz w:val="20"/>
                <w:szCs w:val="20"/>
                <w:color w:val="auto"/>
              </w:rPr>
            </w:pPr>
            <w:r>
              <w:rPr>
                <w:rFonts w:ascii="Times New Roman" w:cs="Times New Roman" w:eastAsia="Times New Roman" w:hAnsi="Times New Roman"/>
                <w:sz w:val="14"/>
                <w:szCs w:val="14"/>
                <w:color w:val="auto"/>
              </w:rPr>
              <w:t>(IRS Employer Identification No.)</w:t>
            </w:r>
          </w:p>
        </w:tc>
      </w:tr>
      <w:tr>
        <w:trPr>
          <w:trHeight w:val="514"/>
        </w:trPr>
        <w:tc>
          <w:tcPr>
            <w:tcW w:w="4700" w:type="dxa"/>
            <w:vAlign w:val="bottom"/>
          </w:tcPr>
          <w:p>
            <w:pPr>
              <w:jc w:val="center"/>
              <w:ind w:right="2257"/>
              <w:spacing w:after="0"/>
              <w:rPr>
                <w:sz w:val="20"/>
                <w:szCs w:val="20"/>
                <w:color w:val="auto"/>
              </w:rPr>
            </w:pPr>
            <w:r>
              <w:rPr>
                <w:rFonts w:ascii="Times New Roman" w:cs="Times New Roman" w:eastAsia="Times New Roman" w:hAnsi="Times New Roman"/>
                <w:sz w:val="18"/>
                <w:szCs w:val="18"/>
                <w:b w:val="1"/>
                <w:bCs w:val="1"/>
                <w:color w:val="auto"/>
                <w:w w:val="99"/>
              </w:rPr>
              <w:t>One Comcast Center</w:t>
            </w:r>
          </w:p>
        </w:tc>
        <w:tc>
          <w:tcPr>
            <w:tcW w:w="4320" w:type="dxa"/>
            <w:vAlign w:val="bottom"/>
          </w:tcPr>
          <w:p>
            <w:pPr>
              <w:spacing w:after="0"/>
              <w:rPr>
                <w:sz w:val="24"/>
                <w:szCs w:val="24"/>
                <w:color w:val="auto"/>
              </w:rPr>
            </w:pPr>
          </w:p>
        </w:tc>
      </w:tr>
      <w:tr>
        <w:trPr>
          <w:trHeight w:val="216"/>
        </w:trPr>
        <w:tc>
          <w:tcPr>
            <w:tcW w:w="4700" w:type="dxa"/>
            <w:vAlign w:val="bottom"/>
          </w:tcPr>
          <w:p>
            <w:pPr>
              <w:jc w:val="center"/>
              <w:ind w:right="2257"/>
              <w:spacing w:after="0"/>
              <w:rPr>
                <w:sz w:val="20"/>
                <w:szCs w:val="20"/>
                <w:color w:val="auto"/>
              </w:rPr>
            </w:pPr>
            <w:r>
              <w:rPr>
                <w:rFonts w:ascii="Times New Roman" w:cs="Times New Roman" w:eastAsia="Times New Roman" w:hAnsi="Times New Roman"/>
                <w:sz w:val="18"/>
                <w:szCs w:val="18"/>
                <w:b w:val="1"/>
                <w:bCs w:val="1"/>
                <w:color w:val="auto"/>
                <w:w w:val="98"/>
              </w:rPr>
              <w:t>Philadelphia, PA</w:t>
            </w:r>
          </w:p>
        </w:tc>
        <w:tc>
          <w:tcPr>
            <w:tcW w:w="4320" w:type="dxa"/>
            <w:vAlign w:val="bottom"/>
          </w:tcPr>
          <w:p>
            <w:pPr>
              <w:jc w:val="center"/>
              <w:ind w:left="2239"/>
              <w:spacing w:after="0"/>
              <w:rPr>
                <w:sz w:val="20"/>
                <w:szCs w:val="20"/>
                <w:color w:val="auto"/>
              </w:rPr>
            </w:pPr>
            <w:r>
              <w:rPr>
                <w:rFonts w:ascii="Times New Roman" w:cs="Times New Roman" w:eastAsia="Times New Roman" w:hAnsi="Times New Roman"/>
                <w:sz w:val="18"/>
                <w:szCs w:val="18"/>
                <w:b w:val="1"/>
                <w:bCs w:val="1"/>
                <w:color w:val="auto"/>
              </w:rPr>
              <w:t>19103-2838</w:t>
            </w:r>
          </w:p>
        </w:tc>
      </w:tr>
      <w:tr>
        <w:trPr>
          <w:trHeight w:val="188"/>
        </w:trPr>
        <w:tc>
          <w:tcPr>
            <w:tcW w:w="4700" w:type="dxa"/>
            <w:vAlign w:val="bottom"/>
          </w:tcPr>
          <w:p>
            <w:pPr>
              <w:jc w:val="center"/>
              <w:ind w:right="2257"/>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4320" w:type="dxa"/>
            <w:vAlign w:val="bottom"/>
          </w:tcPr>
          <w:p>
            <w:pPr>
              <w:jc w:val="center"/>
              <w:ind w:left="2239"/>
              <w:spacing w:after="0"/>
              <w:rPr>
                <w:sz w:val="20"/>
                <w:szCs w:val="20"/>
                <w:color w:val="auto"/>
              </w:rPr>
            </w:pPr>
            <w:r>
              <w:rPr>
                <w:rFonts w:ascii="Times New Roman" w:cs="Times New Roman" w:eastAsia="Times New Roman" w:hAnsi="Times New Roman"/>
                <w:sz w:val="14"/>
                <w:szCs w:val="14"/>
                <w:color w:val="auto"/>
              </w:rPr>
              <w:t>(Zip Code)</w:t>
            </w:r>
          </w:p>
        </w:tc>
      </w:tr>
    </w:tbl>
    <w:p>
      <w:pPr>
        <w:spacing w:after="0" w:line="39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 xml:space="preserve">Registrant’s telephone number, including area code: </w:t>
      </w:r>
      <w:r>
        <w:rPr>
          <w:rFonts w:ascii="Times New Roman" w:cs="Times New Roman" w:eastAsia="Times New Roman" w:hAnsi="Times New Roman"/>
          <w:sz w:val="18"/>
          <w:szCs w:val="18"/>
          <w:b w:val="1"/>
          <w:bCs w:val="1"/>
          <w:color w:val="auto"/>
        </w:rPr>
        <w:t>(215) 286-1700</w:t>
      </w:r>
    </w:p>
    <w:p>
      <w:pPr>
        <w:spacing w:after="0" w:line="200" w:lineRule="exact"/>
        <w:rPr>
          <w:sz w:val="24"/>
          <w:szCs w:val="24"/>
          <w:color w:val="auto"/>
        </w:rPr>
      </w:pPr>
    </w:p>
    <w:p>
      <w:pPr>
        <w:spacing w:after="0" w:line="24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(Former Name or Former Address, if Changed Since Last Report)</w:t>
      </w:r>
    </w:p>
    <w:p>
      <w:pPr>
        <w:spacing w:after="0" w:line="208" w:lineRule="exact"/>
        <w:rPr>
          <w:sz w:val="24"/>
          <w:szCs w:val="24"/>
          <w:color w:val="auto"/>
        </w:rPr>
      </w:pPr>
    </w:p>
    <w:p>
      <w:pPr>
        <w:ind w:right="540" w:firstLine="324"/>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u w:val="single" w:color="auto"/>
          <w:color w:val="auto"/>
        </w:rPr>
        <w:t>see</w:t>
      </w:r>
      <w:r>
        <w:rPr>
          <w:rFonts w:ascii="Times New Roman" w:cs="Times New Roman" w:eastAsia="Times New Roman" w:hAnsi="Times New Roman"/>
          <w:sz w:val="18"/>
          <w:szCs w:val="18"/>
          <w:color w:val="auto"/>
        </w:rPr>
        <w:t xml:space="preserve"> General Instruction A.2. below):</w:t>
      </w:r>
    </w:p>
    <w:p>
      <w:pPr>
        <w:spacing w:after="0" w:line="170" w:lineRule="exact"/>
        <w:rPr>
          <w:sz w:val="24"/>
          <w:szCs w:val="24"/>
          <w:color w:val="auto"/>
        </w:rPr>
      </w:pPr>
    </w:p>
    <w:p>
      <w:pPr>
        <w:ind w:left="580" w:hanging="248"/>
        <w:spacing w:after="0"/>
        <w:tabs>
          <w:tab w:leader="none" w:pos="58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06" w:lineRule="exact"/>
        <w:rPr>
          <w:rFonts w:ascii="Times New Roman" w:cs="Times New Roman" w:eastAsia="Times New Roman" w:hAnsi="Times New Roman"/>
          <w:sz w:val="22"/>
          <w:szCs w:val="22"/>
          <w:color w:val="auto"/>
        </w:rPr>
      </w:pPr>
    </w:p>
    <w:p>
      <w:pPr>
        <w:ind w:left="580" w:hanging="248"/>
        <w:spacing w:after="0"/>
        <w:tabs>
          <w:tab w:leader="none" w:pos="58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06" w:lineRule="exact"/>
        <w:rPr>
          <w:rFonts w:ascii="Times New Roman" w:cs="Times New Roman" w:eastAsia="Times New Roman" w:hAnsi="Times New Roman"/>
          <w:sz w:val="22"/>
          <w:szCs w:val="22"/>
          <w:color w:val="auto"/>
        </w:rPr>
      </w:pPr>
    </w:p>
    <w:p>
      <w:pPr>
        <w:ind w:left="580" w:hanging="248"/>
        <w:spacing w:after="0"/>
        <w:tabs>
          <w:tab w:leader="none" w:pos="58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06" w:lineRule="exact"/>
        <w:rPr>
          <w:rFonts w:ascii="Times New Roman" w:cs="Times New Roman" w:eastAsia="Times New Roman" w:hAnsi="Times New Roman"/>
          <w:sz w:val="22"/>
          <w:szCs w:val="22"/>
          <w:color w:val="auto"/>
        </w:rPr>
      </w:pPr>
    </w:p>
    <w:p>
      <w:pPr>
        <w:ind w:left="580" w:hanging="248"/>
        <w:spacing w:after="0"/>
        <w:tabs>
          <w:tab w:leader="none" w:pos="58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67575"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29" w:lineRule="exact"/>
        <w:rPr>
          <w:sz w:val="24"/>
          <w:szCs w:val="24"/>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October 27, 2015, Comcast Corporation (“Comcast”) issued a press release reporting the results of its operations for the three and nine months ended September 30, 2015. The press release is attached hereto as Exhibit 99.1. Exhibit 99.2 sets forth the reasons Comcast believes that presentation of the non-GAAP financial measures contained in the press release provides useful information to investors regarding Comcast’s financial condition and results of operations. To the extent material, Exhibit 99.2 also discloses the additional purposes, if any, for which Comcast’s management uses these non-GAAP financial measures. A reconciliation of these non-GAAP financial measures with the most directly comparable GAAP financial measures is included in the press release itself. Comcast does not intend for this Item 2.02 or Exhibit 99.1 or Exhibit 99.2 to be treated as “filed” under the Securities Exchange Act of 1934, as amended, or incorporated by reference into its filings under the Securities Act of 1933, as amended.</w:t>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Exhibits</w:t>
      </w:r>
    </w:p>
    <w:p>
      <w:pPr>
        <w:spacing w:after="0" w:line="320" w:lineRule="exact"/>
        <w:rPr>
          <w:sz w:val="24"/>
          <w:szCs w:val="24"/>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31" w:lineRule="exact"/>
        <w:rPr>
          <w:sz w:val="24"/>
          <w:szCs w:val="24"/>
          <w:color w:val="auto"/>
        </w:rPr>
      </w:pPr>
    </w:p>
    <w:p>
      <w:pPr>
        <w:ind w:left="200"/>
        <w:spacing w:after="0"/>
        <w:tabs>
          <w:tab w:leader="none" w:pos="1240" w:val="left"/>
        </w:tabs>
        <w:rPr>
          <w:sz w:val="20"/>
          <w:szCs w:val="20"/>
          <w:color w:val="auto"/>
        </w:rPr>
      </w:pPr>
      <w:r>
        <w:rPr>
          <w:rFonts w:ascii="Times New Roman" w:cs="Times New Roman" w:eastAsia="Times New Roman" w:hAnsi="Times New Roman"/>
          <w:sz w:val="18"/>
          <w:szCs w:val="18"/>
          <w:b w:val="1"/>
          <w:bCs w:val="1"/>
          <w:u w:val="single" w:color="auto"/>
          <w:color w:val="auto"/>
        </w:rPr>
        <w:t>Number</w:t>
      </w:r>
      <w:r>
        <w:rPr>
          <w:sz w:val="20"/>
          <w:szCs w:val="20"/>
          <w:color w:val="auto"/>
        </w:rPr>
        <w:tab/>
      </w:r>
      <w:r>
        <w:rPr>
          <w:rFonts w:ascii="Times New Roman" w:cs="Times New Roman" w:eastAsia="Times New Roman" w:hAnsi="Times New Roman"/>
          <w:sz w:val="18"/>
          <w:szCs w:val="18"/>
          <w:b w:val="1"/>
          <w:bCs w:val="1"/>
          <w:u w:val="single" w:color="auto"/>
          <w:color w:val="auto"/>
        </w:rPr>
        <w:t>Description</w:t>
      </w:r>
    </w:p>
    <w:p>
      <w:pPr>
        <w:spacing w:after="0" w:line="207" w:lineRule="exact"/>
        <w:rPr>
          <w:sz w:val="24"/>
          <w:szCs w:val="24"/>
          <w:color w:val="auto"/>
        </w:rPr>
      </w:pPr>
    </w:p>
    <w:p>
      <w:pPr>
        <w:ind w:left="380"/>
        <w:spacing w:after="0"/>
        <w:tabs>
          <w:tab w:leader="none" w:pos="124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color w:val="auto"/>
        </w:rPr>
        <w:t>Comcast Corporation press release dated October 27, 2015.</w:t>
      </w:r>
    </w:p>
    <w:p>
      <w:pPr>
        <w:spacing w:after="0" w:line="27" w:lineRule="exact"/>
        <w:rPr>
          <w:sz w:val="24"/>
          <w:szCs w:val="24"/>
          <w:color w:val="auto"/>
        </w:rPr>
      </w:pPr>
    </w:p>
    <w:p>
      <w:pPr>
        <w:ind w:left="380"/>
        <w:spacing w:after="0"/>
        <w:tabs>
          <w:tab w:leader="none" w:pos="1240" w:val="left"/>
        </w:tabs>
        <w:rPr>
          <w:sz w:val="20"/>
          <w:szCs w:val="20"/>
          <w:color w:val="auto"/>
        </w:rPr>
      </w:pPr>
      <w:r>
        <w:rPr>
          <w:rFonts w:ascii="Times New Roman" w:cs="Times New Roman" w:eastAsia="Times New Roman" w:hAnsi="Times New Roman"/>
          <w:sz w:val="18"/>
          <w:szCs w:val="18"/>
          <w:color w:val="auto"/>
        </w:rPr>
        <w:t>99.2</w:t>
      </w:r>
      <w:r>
        <w:rPr>
          <w:sz w:val="20"/>
          <w:szCs w:val="20"/>
          <w:color w:val="auto"/>
        </w:rPr>
        <w:tab/>
      </w:r>
      <w:r>
        <w:rPr>
          <w:rFonts w:ascii="Times New Roman" w:cs="Times New Roman" w:eastAsia="Times New Roman" w:hAnsi="Times New Roman"/>
          <w:sz w:val="17"/>
          <w:szCs w:val="17"/>
          <w:color w:val="auto"/>
        </w:rPr>
        <w:t>Explanation of Non-GAAP and Other Financial Measures.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547" w:right="239" w:bottom="0" w:gutter="0" w:footer="0" w:header="0"/>
        </w:sectPr>
      </w:pPr>
    </w:p>
    <w:bookmarkStart w:id="1" w:name="page2"/>
    <w:bookmarkEnd w:id="1"/>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86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60" w:type="dxa"/>
            <w:vAlign w:val="bottom"/>
          </w:tcPr>
          <w:p>
            <w:pPr>
              <w:spacing w:after="0"/>
              <w:rPr>
                <w:sz w:val="20"/>
                <w:szCs w:val="20"/>
                <w:color w:val="auto"/>
              </w:rPr>
            </w:pPr>
          </w:p>
        </w:tc>
        <w:tc>
          <w:tcPr>
            <w:tcW w:w="7660" w:type="dxa"/>
            <w:vAlign w:val="bottom"/>
            <w:gridSpan w:val="2"/>
          </w:tcPr>
          <w:p>
            <w:pPr>
              <w:ind w:left="1960"/>
              <w:spacing w:after="0"/>
              <w:rPr>
                <w:sz w:val="20"/>
                <w:szCs w:val="20"/>
                <w:color w:val="auto"/>
              </w:rPr>
            </w:pPr>
            <w:r>
              <w:rPr>
                <w:rFonts w:ascii="Times New Roman" w:cs="Times New Roman" w:eastAsia="Times New Roman" w:hAnsi="Times New Roman"/>
                <w:sz w:val="18"/>
                <w:szCs w:val="18"/>
                <w:b w:val="1"/>
                <w:bCs w:val="1"/>
                <w:color w:val="auto"/>
              </w:rPr>
              <w:t>COMCAST CORPORATION</w:t>
            </w:r>
          </w:p>
        </w:tc>
        <w:tc>
          <w:tcPr>
            <w:tcW w:w="40" w:type="dxa"/>
            <w:vAlign w:val="bottom"/>
          </w:tcPr>
          <w:p>
            <w:pPr>
              <w:spacing w:after="0"/>
              <w:rPr>
                <w:sz w:val="20"/>
                <w:szCs w:val="20"/>
                <w:color w:val="auto"/>
              </w:rPr>
            </w:pPr>
          </w:p>
        </w:tc>
      </w:tr>
      <w:tr>
        <w:trPr>
          <w:trHeight w:val="648"/>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27, 2015</w:t>
            </w:r>
          </w:p>
        </w:tc>
        <w:tc>
          <w:tcPr>
            <w:tcW w:w="7660" w:type="dxa"/>
            <w:vAlign w:val="bottom"/>
            <w:gridSpan w:val="2"/>
          </w:tcPr>
          <w:p>
            <w:pPr>
              <w:ind w:left="1960"/>
              <w:spacing w:after="0"/>
              <w:rPr>
                <w:sz w:val="20"/>
                <w:szCs w:val="20"/>
                <w:color w:val="auto"/>
              </w:rPr>
            </w:pPr>
            <w:r>
              <w:rPr>
                <w:rFonts w:ascii="Times New Roman" w:cs="Times New Roman" w:eastAsia="Times New Roman" w:hAnsi="Times New Roman"/>
                <w:sz w:val="18"/>
                <w:szCs w:val="18"/>
                <w:color w:val="auto"/>
              </w:rPr>
              <w:t>By:   /s/ Lawrence J. Salva</w:t>
            </w:r>
          </w:p>
        </w:tc>
        <w:tc>
          <w:tcPr>
            <w:tcW w:w="40" w:type="dxa"/>
            <w:vAlign w:val="bottom"/>
          </w:tcPr>
          <w:p>
            <w:pPr>
              <w:spacing w:after="0"/>
              <w:rPr>
                <w:sz w:val="24"/>
                <w:szCs w:val="24"/>
                <w:color w:val="auto"/>
              </w:rPr>
            </w:pPr>
          </w:p>
        </w:tc>
      </w:tr>
      <w:tr>
        <w:trPr>
          <w:trHeight w:val="191"/>
        </w:trPr>
        <w:tc>
          <w:tcPr>
            <w:tcW w:w="376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52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Lawrence J. Salva</w:t>
            </w:r>
          </w:p>
        </w:tc>
        <w:tc>
          <w:tcPr>
            <w:tcW w:w="40" w:type="dxa"/>
            <w:vAlign w:val="bottom"/>
          </w:tcPr>
          <w:p>
            <w:pPr>
              <w:spacing w:after="0"/>
              <w:rPr>
                <w:sz w:val="16"/>
                <w:szCs w:val="16"/>
                <w:color w:val="auto"/>
              </w:rPr>
            </w:pPr>
          </w:p>
        </w:tc>
      </w:tr>
      <w:tr>
        <w:trPr>
          <w:trHeight w:val="216"/>
        </w:trPr>
        <w:tc>
          <w:tcPr>
            <w:tcW w:w="37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and Chief Accounting Officer</w:t>
            </w:r>
          </w:p>
        </w:tc>
        <w:tc>
          <w:tcPr>
            <w:tcW w:w="40" w:type="dxa"/>
            <w:vAlign w:val="bottom"/>
          </w:tcPr>
          <w:p>
            <w:pPr>
              <w:spacing w:after="0"/>
              <w:rPr>
                <w:sz w:val="18"/>
                <w:szCs w:val="18"/>
                <w:color w:val="auto"/>
              </w:rPr>
            </w:pPr>
          </w:p>
        </w:tc>
      </w:tr>
      <w:tr>
        <w:trPr>
          <w:trHeight w:val="234"/>
        </w:trPr>
        <w:tc>
          <w:tcPr>
            <w:tcW w:w="376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(Principal Accounting Officer)</w:t>
            </w:r>
          </w:p>
        </w:tc>
        <w:tc>
          <w:tcPr>
            <w:tcW w:w="40" w:type="dxa"/>
            <w:vAlign w:val="bottom"/>
          </w:tcPr>
          <w:p>
            <w:pPr>
              <w:spacing w:after="0"/>
              <w:rPr>
                <w:sz w:val="20"/>
                <w:szCs w:val="20"/>
                <w:color w:val="auto"/>
              </w:rPr>
            </w:pPr>
          </w:p>
        </w:tc>
      </w:tr>
      <w:tr>
        <w:trPr>
          <w:trHeight w:val="348"/>
        </w:trPr>
        <w:tc>
          <w:tcPr>
            <w:tcW w:w="3760" w:type="dxa"/>
            <w:vAlign w:val="bottom"/>
            <w:tcBorders>
              <w:bottom w:val="single" w:sz="8" w:color="808080"/>
            </w:tcBorders>
          </w:tcPr>
          <w:p>
            <w:pPr>
              <w:spacing w:after="0"/>
              <w:rPr>
                <w:sz w:val="24"/>
                <w:szCs w:val="24"/>
                <w:color w:val="auto"/>
              </w:rPr>
            </w:pPr>
          </w:p>
        </w:tc>
        <w:tc>
          <w:tcPr>
            <w:tcW w:w="2420" w:type="dxa"/>
            <w:vAlign w:val="bottom"/>
            <w:tcBorders>
              <w:bottom w:val="single" w:sz="8" w:color="808080"/>
            </w:tcBorders>
          </w:tcPr>
          <w:p>
            <w:pPr>
              <w:spacing w:after="0"/>
              <w:rPr>
                <w:sz w:val="24"/>
                <w:szCs w:val="24"/>
                <w:color w:val="auto"/>
              </w:rPr>
            </w:pPr>
          </w:p>
        </w:tc>
        <w:tc>
          <w:tcPr>
            <w:tcW w:w="524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576" w:right="199" w:bottom="1440" w:gutter="0" w:footer="0" w:header="0"/>
        </w:sectPr>
      </w:pPr>
    </w:p>
    <w:bookmarkStart w:id="2" w:name="page3"/>
    <w:bookmarkEnd w:id="2"/>
    <w:p>
      <w:pPr>
        <w:spacing w:after="0" w:line="11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271145</wp:posOffset>
            </wp:positionV>
            <wp:extent cx="7246620" cy="5486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9020"/>
        <w:spacing w:after="0"/>
        <w:rPr>
          <w:sz w:val="20"/>
          <w:szCs w:val="20"/>
          <w:color w:val="auto"/>
        </w:rPr>
      </w:pPr>
      <w:r>
        <w:rPr>
          <w:rFonts w:ascii="Arial" w:cs="Arial" w:eastAsia="Arial" w:hAnsi="Arial"/>
          <w:sz w:val="20"/>
          <w:szCs w:val="20"/>
          <w:b w:val="1"/>
          <w:bCs w:val="1"/>
          <w:color w:val="auto"/>
        </w:rPr>
        <w:t>PRESS RELEASE</w:t>
      </w:r>
    </w:p>
    <w:p>
      <w:pPr>
        <w:spacing w:after="0" w:line="386" w:lineRule="exact"/>
        <w:rPr>
          <w:sz w:val="20"/>
          <w:szCs w:val="20"/>
          <w:color w:val="auto"/>
        </w:rPr>
      </w:pPr>
    </w:p>
    <w:p>
      <w:pPr>
        <w:ind w:left="3060"/>
        <w:spacing w:after="0"/>
        <w:rPr>
          <w:sz w:val="20"/>
          <w:szCs w:val="20"/>
          <w:color w:val="auto"/>
        </w:rPr>
      </w:pPr>
      <w:r>
        <w:rPr>
          <w:rFonts w:ascii="Arial" w:cs="Arial" w:eastAsia="Arial" w:hAnsi="Arial"/>
          <w:sz w:val="22"/>
          <w:szCs w:val="22"/>
          <w:b w:val="1"/>
          <w:bCs w:val="1"/>
          <w:color w:val="auto"/>
        </w:rPr>
        <w:t>COMCAST REPORTS 3rd QUARTER 2015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1308735</wp:posOffset>
            </wp:positionH>
            <wp:positionV relativeFrom="paragraph">
              <wp:posOffset>17145</wp:posOffset>
            </wp:positionV>
            <wp:extent cx="464820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648200" cy="17145"/>
                    </a:xfrm>
                    <a:prstGeom prst="rect">
                      <a:avLst/>
                    </a:prstGeom>
                    <a:noFill/>
                  </pic:spPr>
                </pic:pic>
              </a:graphicData>
            </a:graphic>
          </wp:anchor>
        </w:drawing>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3rd Quarter 2015 Highlights:</w:t>
      </w:r>
    </w:p>
    <w:p>
      <w:pPr>
        <w:spacing w:after="0" w:line="136" w:lineRule="exact"/>
        <w:rPr>
          <w:sz w:val="20"/>
          <w:szCs w:val="20"/>
          <w:color w:val="auto"/>
        </w:rPr>
      </w:pPr>
    </w:p>
    <w:p>
      <w:pPr>
        <w:ind w:left="640" w:hanging="308"/>
        <w:spacing w:after="0"/>
        <w:tabs>
          <w:tab w:leader="none" w:pos="640" w:val="left"/>
        </w:tabs>
        <w:numPr>
          <w:ilvl w:val="0"/>
          <w:numId w:val="2"/>
        </w:numPr>
        <w:rPr>
          <w:rFonts w:ascii="Times New Roman" w:cs="Times New Roman" w:eastAsia="Times New Roman" w:hAnsi="Times New Roman"/>
          <w:sz w:val="22"/>
          <w:szCs w:val="22"/>
          <w:color w:val="auto"/>
        </w:rPr>
      </w:pPr>
      <w:r>
        <w:rPr>
          <w:rFonts w:ascii="Arial" w:cs="Arial" w:eastAsia="Arial" w:hAnsi="Arial"/>
          <w:sz w:val="18"/>
          <w:szCs w:val="18"/>
          <w:color w:val="auto"/>
        </w:rPr>
        <w:t>Consolidated Revenue Increased 11.2%, Operating Cash Flow Increased 8.4%, and Operating Income Increased 6.9%</w:t>
      </w:r>
    </w:p>
    <w:p>
      <w:pPr>
        <w:spacing w:after="0" w:line="111" w:lineRule="exact"/>
        <w:rPr>
          <w:rFonts w:ascii="Times New Roman" w:cs="Times New Roman" w:eastAsia="Times New Roman" w:hAnsi="Times New Roman"/>
          <w:sz w:val="22"/>
          <w:szCs w:val="22"/>
          <w:color w:val="auto"/>
        </w:rPr>
      </w:pPr>
    </w:p>
    <w:p>
      <w:pPr>
        <w:ind w:left="640" w:hanging="308"/>
        <w:spacing w:after="0"/>
        <w:tabs>
          <w:tab w:leader="none" w:pos="640" w:val="left"/>
        </w:tabs>
        <w:numPr>
          <w:ilvl w:val="0"/>
          <w:numId w:val="2"/>
        </w:numPr>
        <w:rPr>
          <w:rFonts w:ascii="Times New Roman" w:cs="Times New Roman" w:eastAsia="Times New Roman" w:hAnsi="Times New Roman"/>
          <w:sz w:val="22"/>
          <w:szCs w:val="22"/>
          <w:color w:val="auto"/>
        </w:rPr>
      </w:pPr>
      <w:r>
        <w:rPr>
          <w:rFonts w:ascii="Arial" w:cs="Arial" w:eastAsia="Arial" w:hAnsi="Arial"/>
          <w:sz w:val="18"/>
          <w:szCs w:val="18"/>
          <w:color w:val="auto"/>
        </w:rPr>
        <w:t>Free Cash Flow Increased 6.8%</w:t>
      </w:r>
    </w:p>
    <w:p>
      <w:pPr>
        <w:spacing w:after="0" w:line="111" w:lineRule="exact"/>
        <w:rPr>
          <w:rFonts w:ascii="Times New Roman" w:cs="Times New Roman" w:eastAsia="Times New Roman" w:hAnsi="Times New Roman"/>
          <w:sz w:val="22"/>
          <w:szCs w:val="22"/>
          <w:color w:val="auto"/>
        </w:rPr>
      </w:pPr>
    </w:p>
    <w:p>
      <w:pPr>
        <w:ind w:left="640" w:hanging="308"/>
        <w:spacing w:after="0"/>
        <w:tabs>
          <w:tab w:leader="none" w:pos="640" w:val="left"/>
        </w:tabs>
        <w:numPr>
          <w:ilvl w:val="0"/>
          <w:numId w:val="2"/>
        </w:numPr>
        <w:rPr>
          <w:rFonts w:ascii="Times New Roman" w:cs="Times New Roman" w:eastAsia="Times New Roman" w:hAnsi="Times New Roman"/>
          <w:sz w:val="22"/>
          <w:szCs w:val="22"/>
          <w:color w:val="auto"/>
        </w:rPr>
      </w:pPr>
      <w:r>
        <w:rPr>
          <w:rFonts w:ascii="Arial" w:cs="Arial" w:eastAsia="Arial" w:hAnsi="Arial"/>
          <w:sz w:val="18"/>
          <w:szCs w:val="18"/>
          <w:color w:val="auto"/>
        </w:rPr>
        <w:t>Excluding Adjustments, Earnings Per Share Increased 9.6%; As Reported, EPS Decreased 19.2%</w:t>
      </w:r>
    </w:p>
    <w:p>
      <w:pPr>
        <w:spacing w:after="0" w:line="111" w:lineRule="exact"/>
        <w:rPr>
          <w:rFonts w:ascii="Times New Roman" w:cs="Times New Roman" w:eastAsia="Times New Roman" w:hAnsi="Times New Roman"/>
          <w:sz w:val="22"/>
          <w:szCs w:val="22"/>
          <w:color w:val="auto"/>
        </w:rPr>
      </w:pPr>
    </w:p>
    <w:p>
      <w:pPr>
        <w:ind w:left="640" w:hanging="308"/>
        <w:spacing w:after="0"/>
        <w:tabs>
          <w:tab w:leader="none" w:pos="640" w:val="left"/>
        </w:tabs>
        <w:numPr>
          <w:ilvl w:val="0"/>
          <w:numId w:val="2"/>
        </w:numPr>
        <w:rPr>
          <w:rFonts w:ascii="Times New Roman" w:cs="Times New Roman" w:eastAsia="Times New Roman" w:hAnsi="Times New Roman"/>
          <w:sz w:val="22"/>
          <w:szCs w:val="22"/>
          <w:color w:val="auto"/>
        </w:rPr>
      </w:pPr>
      <w:r>
        <w:rPr>
          <w:rFonts w:ascii="Arial" w:cs="Arial" w:eastAsia="Arial" w:hAnsi="Arial"/>
          <w:sz w:val="18"/>
          <w:szCs w:val="18"/>
          <w:color w:val="auto"/>
        </w:rPr>
        <w:t>Quarterly Dividends and Quarterly Share Repurchases Increased $1.5 Billion, or 110.8% to $2.8 Billion</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Communications 3rd Quarter 2015 Highlights:</w:t>
      </w:r>
    </w:p>
    <w:p>
      <w:pPr>
        <w:spacing w:after="0" w:line="136" w:lineRule="exact"/>
        <w:rPr>
          <w:sz w:val="20"/>
          <w:szCs w:val="20"/>
          <w:color w:val="auto"/>
        </w:rPr>
      </w:pPr>
    </w:p>
    <w:p>
      <w:pPr>
        <w:ind w:left="640" w:hanging="308"/>
        <w:spacing w:after="0"/>
        <w:tabs>
          <w:tab w:leader="none" w:pos="640" w:val="left"/>
        </w:tabs>
        <w:numPr>
          <w:ilvl w:val="0"/>
          <w:numId w:val="3"/>
        </w:numPr>
        <w:rPr>
          <w:rFonts w:ascii="Times New Roman" w:cs="Times New Roman" w:eastAsia="Times New Roman" w:hAnsi="Times New Roman"/>
          <w:sz w:val="22"/>
          <w:szCs w:val="22"/>
          <w:color w:val="auto"/>
        </w:rPr>
      </w:pPr>
      <w:r>
        <w:rPr>
          <w:rFonts w:ascii="Arial" w:cs="Arial" w:eastAsia="Arial" w:hAnsi="Arial"/>
          <w:sz w:val="18"/>
          <w:szCs w:val="18"/>
          <w:color w:val="auto"/>
        </w:rPr>
        <w:t>Cable Communications Revenue Increased 6.3% and Operating Cash Flow Increased 6.4%</w:t>
      </w:r>
    </w:p>
    <w:p>
      <w:pPr>
        <w:spacing w:after="0" w:line="111" w:lineRule="exact"/>
        <w:rPr>
          <w:rFonts w:ascii="Times New Roman" w:cs="Times New Roman" w:eastAsia="Times New Roman" w:hAnsi="Times New Roman"/>
          <w:sz w:val="22"/>
          <w:szCs w:val="22"/>
          <w:color w:val="auto"/>
        </w:rPr>
      </w:pPr>
    </w:p>
    <w:p>
      <w:pPr>
        <w:ind w:left="640" w:hanging="308"/>
        <w:spacing w:after="0"/>
        <w:tabs>
          <w:tab w:leader="none" w:pos="640" w:val="left"/>
        </w:tabs>
        <w:numPr>
          <w:ilvl w:val="0"/>
          <w:numId w:val="3"/>
        </w:numPr>
        <w:rPr>
          <w:rFonts w:ascii="Times New Roman" w:cs="Times New Roman" w:eastAsia="Times New Roman" w:hAnsi="Times New Roman"/>
          <w:sz w:val="22"/>
          <w:szCs w:val="22"/>
          <w:color w:val="auto"/>
        </w:rPr>
      </w:pPr>
      <w:r>
        <w:rPr>
          <w:rFonts w:ascii="Arial" w:cs="Arial" w:eastAsia="Arial" w:hAnsi="Arial"/>
          <w:sz w:val="18"/>
          <w:szCs w:val="18"/>
          <w:color w:val="auto"/>
        </w:rPr>
        <w:t>Customer Relationships Increased by 156,000, a 90% Improvement from the Third Quarter of 2014</w:t>
      </w:r>
    </w:p>
    <w:p>
      <w:pPr>
        <w:spacing w:after="0" w:line="111" w:lineRule="exact"/>
        <w:rPr>
          <w:rFonts w:ascii="Times New Roman" w:cs="Times New Roman" w:eastAsia="Times New Roman" w:hAnsi="Times New Roman"/>
          <w:sz w:val="22"/>
          <w:szCs w:val="22"/>
          <w:color w:val="auto"/>
        </w:rPr>
      </w:pPr>
    </w:p>
    <w:p>
      <w:pPr>
        <w:ind w:left="640" w:hanging="308"/>
        <w:spacing w:after="0"/>
        <w:tabs>
          <w:tab w:leader="none" w:pos="640" w:val="left"/>
        </w:tabs>
        <w:numPr>
          <w:ilvl w:val="0"/>
          <w:numId w:val="3"/>
        </w:numPr>
        <w:rPr>
          <w:rFonts w:ascii="Times New Roman" w:cs="Times New Roman" w:eastAsia="Times New Roman" w:hAnsi="Times New Roman"/>
          <w:sz w:val="22"/>
          <w:szCs w:val="22"/>
          <w:color w:val="auto"/>
        </w:rPr>
      </w:pPr>
      <w:r>
        <w:rPr>
          <w:rFonts w:ascii="Arial" w:cs="Arial" w:eastAsia="Arial" w:hAnsi="Arial"/>
          <w:sz w:val="18"/>
          <w:szCs w:val="18"/>
          <w:color w:val="auto"/>
        </w:rPr>
        <w:t>Total Revenue per Customer Relationship Increased 4.3%</w:t>
      </w:r>
    </w:p>
    <w:p>
      <w:pPr>
        <w:spacing w:after="0" w:line="121" w:lineRule="exact"/>
        <w:rPr>
          <w:rFonts w:ascii="Times New Roman" w:cs="Times New Roman" w:eastAsia="Times New Roman" w:hAnsi="Times New Roman"/>
          <w:sz w:val="22"/>
          <w:szCs w:val="22"/>
          <w:color w:val="auto"/>
        </w:rPr>
      </w:pPr>
    </w:p>
    <w:p>
      <w:pPr>
        <w:ind w:left="660" w:hanging="328"/>
        <w:spacing w:after="0" w:line="239" w:lineRule="auto"/>
        <w:tabs>
          <w:tab w:leader="none" w:pos="645" w:val="left"/>
        </w:tabs>
        <w:numPr>
          <w:ilvl w:val="0"/>
          <w:numId w:val="3"/>
        </w:numPr>
        <w:rPr>
          <w:rFonts w:ascii="Times New Roman" w:cs="Times New Roman" w:eastAsia="Times New Roman" w:hAnsi="Times New Roman"/>
          <w:sz w:val="22"/>
          <w:szCs w:val="22"/>
          <w:color w:val="auto"/>
        </w:rPr>
      </w:pPr>
      <w:r>
        <w:rPr>
          <w:rFonts w:ascii="Arial" w:cs="Arial" w:eastAsia="Arial" w:hAnsi="Arial"/>
          <w:sz w:val="18"/>
          <w:szCs w:val="18"/>
          <w:color w:val="auto"/>
        </w:rPr>
        <w:t>Video Customer Net Losses Declined to 48,000, a 41% Improvement from the Third Quarter of 2014, and the Best Third Quarter Result in 9 Years</w:t>
      </w:r>
    </w:p>
    <w:p>
      <w:pPr>
        <w:spacing w:after="0" w:line="99" w:lineRule="exact"/>
        <w:rPr>
          <w:rFonts w:ascii="Times New Roman" w:cs="Times New Roman" w:eastAsia="Times New Roman" w:hAnsi="Times New Roman"/>
          <w:sz w:val="22"/>
          <w:szCs w:val="22"/>
          <w:color w:val="auto"/>
        </w:rPr>
      </w:pPr>
    </w:p>
    <w:p>
      <w:pPr>
        <w:ind w:left="640" w:hanging="308"/>
        <w:spacing w:after="0"/>
        <w:tabs>
          <w:tab w:leader="none" w:pos="640" w:val="left"/>
        </w:tabs>
        <w:numPr>
          <w:ilvl w:val="0"/>
          <w:numId w:val="3"/>
        </w:numPr>
        <w:rPr>
          <w:rFonts w:ascii="Times New Roman" w:cs="Times New Roman" w:eastAsia="Times New Roman" w:hAnsi="Times New Roman"/>
          <w:sz w:val="22"/>
          <w:szCs w:val="22"/>
          <w:color w:val="auto"/>
        </w:rPr>
      </w:pPr>
      <w:r>
        <w:rPr>
          <w:rFonts w:ascii="Arial" w:cs="Arial" w:eastAsia="Arial" w:hAnsi="Arial"/>
          <w:sz w:val="18"/>
          <w:szCs w:val="18"/>
          <w:color w:val="auto"/>
        </w:rPr>
        <w:t>X1 Deployments Continue to Accelerate; Nearly 25% of All Video Customers Now Have X1</w:t>
      </w:r>
    </w:p>
    <w:p>
      <w:pPr>
        <w:spacing w:after="0" w:line="111" w:lineRule="exact"/>
        <w:rPr>
          <w:rFonts w:ascii="Times New Roman" w:cs="Times New Roman" w:eastAsia="Times New Roman" w:hAnsi="Times New Roman"/>
          <w:sz w:val="22"/>
          <w:szCs w:val="22"/>
          <w:color w:val="auto"/>
        </w:rPr>
      </w:pPr>
    </w:p>
    <w:p>
      <w:pPr>
        <w:ind w:left="640" w:hanging="308"/>
        <w:spacing w:after="0"/>
        <w:tabs>
          <w:tab w:leader="none" w:pos="640" w:val="left"/>
        </w:tabs>
        <w:numPr>
          <w:ilvl w:val="0"/>
          <w:numId w:val="3"/>
        </w:numPr>
        <w:rPr>
          <w:rFonts w:ascii="Times New Roman" w:cs="Times New Roman" w:eastAsia="Times New Roman" w:hAnsi="Times New Roman"/>
          <w:sz w:val="22"/>
          <w:szCs w:val="22"/>
          <w:color w:val="auto"/>
        </w:rPr>
      </w:pPr>
      <w:r>
        <w:rPr>
          <w:rFonts w:ascii="Arial" w:cs="Arial" w:eastAsia="Arial" w:hAnsi="Arial"/>
          <w:sz w:val="18"/>
          <w:szCs w:val="18"/>
          <w:color w:val="auto"/>
        </w:rPr>
        <w:t>High-Speed Internet Customers Increased by 320,000, the Best Third Quarter Result in 6 Years, and Revenue Grew 10.2%</w:t>
      </w:r>
    </w:p>
    <w:p>
      <w:pPr>
        <w:spacing w:after="0" w:line="111" w:lineRule="exact"/>
        <w:rPr>
          <w:rFonts w:ascii="Times New Roman" w:cs="Times New Roman" w:eastAsia="Times New Roman" w:hAnsi="Times New Roman"/>
          <w:sz w:val="22"/>
          <w:szCs w:val="22"/>
          <w:color w:val="auto"/>
        </w:rPr>
      </w:pPr>
    </w:p>
    <w:p>
      <w:pPr>
        <w:ind w:left="640" w:hanging="308"/>
        <w:spacing w:after="0"/>
        <w:tabs>
          <w:tab w:leader="none" w:pos="640" w:val="left"/>
        </w:tabs>
        <w:numPr>
          <w:ilvl w:val="0"/>
          <w:numId w:val="3"/>
        </w:numPr>
        <w:rPr>
          <w:rFonts w:ascii="Times New Roman" w:cs="Times New Roman" w:eastAsia="Times New Roman" w:hAnsi="Times New Roman"/>
          <w:sz w:val="22"/>
          <w:szCs w:val="22"/>
          <w:color w:val="auto"/>
        </w:rPr>
      </w:pPr>
      <w:r>
        <w:rPr>
          <w:rFonts w:ascii="Arial" w:cs="Arial" w:eastAsia="Arial" w:hAnsi="Arial"/>
          <w:sz w:val="18"/>
          <w:szCs w:val="18"/>
          <w:color w:val="auto"/>
        </w:rPr>
        <w:t>Business Services Revenue Increased 19.5%; Second Largest Contributor to Cable Revenue Growth for 18 of the Last 19 Quarters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NBCUniversal 3rd Quarter 2015 Highlights:</w:t>
      </w:r>
    </w:p>
    <w:p>
      <w:pPr>
        <w:spacing w:after="0" w:line="136" w:lineRule="exact"/>
        <w:rPr>
          <w:sz w:val="20"/>
          <w:szCs w:val="20"/>
          <w:color w:val="auto"/>
        </w:rPr>
      </w:pPr>
    </w:p>
    <w:p>
      <w:pPr>
        <w:ind w:left="640" w:hanging="308"/>
        <w:spacing w:after="0"/>
        <w:tabs>
          <w:tab w:leader="none" w:pos="640" w:val="left"/>
        </w:tabs>
        <w:numPr>
          <w:ilvl w:val="0"/>
          <w:numId w:val="4"/>
        </w:numPr>
        <w:rPr>
          <w:rFonts w:ascii="Times New Roman" w:cs="Times New Roman" w:eastAsia="Times New Roman" w:hAnsi="Times New Roman"/>
          <w:sz w:val="22"/>
          <w:szCs w:val="22"/>
          <w:color w:val="auto"/>
        </w:rPr>
      </w:pPr>
      <w:r>
        <w:rPr>
          <w:rFonts w:ascii="Arial" w:cs="Arial" w:eastAsia="Arial" w:hAnsi="Arial"/>
          <w:sz w:val="18"/>
          <w:szCs w:val="18"/>
          <w:color w:val="auto"/>
        </w:rPr>
        <w:t>NBCUniversal Revenue Increased 20.8% and Operating Cash Flow Increased 17.0%</w:t>
      </w:r>
    </w:p>
    <w:p>
      <w:pPr>
        <w:spacing w:after="0" w:line="121" w:lineRule="exact"/>
        <w:rPr>
          <w:rFonts w:ascii="Times New Roman" w:cs="Times New Roman" w:eastAsia="Times New Roman" w:hAnsi="Times New Roman"/>
          <w:sz w:val="22"/>
          <w:szCs w:val="22"/>
          <w:color w:val="auto"/>
        </w:rPr>
      </w:pPr>
    </w:p>
    <w:p>
      <w:pPr>
        <w:ind w:left="660" w:right="180" w:hanging="328"/>
        <w:spacing w:after="0" w:line="239" w:lineRule="auto"/>
        <w:tabs>
          <w:tab w:leader="none" w:pos="645" w:val="left"/>
        </w:tabs>
        <w:numPr>
          <w:ilvl w:val="0"/>
          <w:numId w:val="4"/>
        </w:numPr>
        <w:rPr>
          <w:rFonts w:ascii="Times New Roman" w:cs="Times New Roman" w:eastAsia="Times New Roman" w:hAnsi="Times New Roman"/>
          <w:sz w:val="22"/>
          <w:szCs w:val="22"/>
          <w:color w:val="auto"/>
        </w:rPr>
      </w:pPr>
      <w:r>
        <w:rPr>
          <w:rFonts w:ascii="Arial" w:cs="Arial" w:eastAsia="Arial" w:hAnsi="Arial"/>
          <w:sz w:val="18"/>
          <w:szCs w:val="18"/>
          <w:color w:val="auto"/>
        </w:rPr>
        <w:t>NBC Ranked #1 Among Adults 18-49 for the Fifth Summer in a Row; NBC Won the Opening Two Weeks of the 2015-2016 Broadcast Season for the Fourth Straight Year Among Adults 18-49</w:t>
      </w:r>
    </w:p>
    <w:p>
      <w:pPr>
        <w:spacing w:after="0" w:line="99" w:lineRule="exact"/>
        <w:rPr>
          <w:rFonts w:ascii="Times New Roman" w:cs="Times New Roman" w:eastAsia="Times New Roman" w:hAnsi="Times New Roman"/>
          <w:sz w:val="22"/>
          <w:szCs w:val="22"/>
          <w:color w:val="auto"/>
        </w:rPr>
      </w:pPr>
    </w:p>
    <w:p>
      <w:pPr>
        <w:ind w:left="640" w:hanging="308"/>
        <w:spacing w:after="0"/>
        <w:tabs>
          <w:tab w:leader="none" w:pos="640" w:val="left"/>
        </w:tabs>
        <w:numPr>
          <w:ilvl w:val="0"/>
          <w:numId w:val="4"/>
        </w:numPr>
        <w:rPr>
          <w:rFonts w:ascii="Times New Roman" w:cs="Times New Roman" w:eastAsia="Times New Roman" w:hAnsi="Times New Roman"/>
          <w:sz w:val="22"/>
          <w:szCs w:val="22"/>
          <w:color w:val="auto"/>
        </w:rPr>
      </w:pPr>
      <w:r>
        <w:rPr>
          <w:rFonts w:ascii="Arial" w:cs="Arial" w:eastAsia="Arial" w:hAnsi="Arial"/>
          <w:sz w:val="18"/>
          <w:szCs w:val="18"/>
          <w:color w:val="auto"/>
        </w:rPr>
        <w:t>Universal Pictures is First Studio Ever to Have Three Films Hit $1 Billion in Worldwide Box Office Receipts in the Same Year</w:t>
      </w:r>
    </w:p>
    <w:p>
      <w:pPr>
        <w:spacing w:after="0" w:line="111" w:lineRule="exact"/>
        <w:rPr>
          <w:rFonts w:ascii="Times New Roman" w:cs="Times New Roman" w:eastAsia="Times New Roman" w:hAnsi="Times New Roman"/>
          <w:sz w:val="22"/>
          <w:szCs w:val="22"/>
          <w:color w:val="auto"/>
        </w:rPr>
      </w:pPr>
    </w:p>
    <w:p>
      <w:pPr>
        <w:ind w:left="640" w:hanging="308"/>
        <w:spacing w:after="0"/>
        <w:tabs>
          <w:tab w:leader="none" w:pos="640" w:val="left"/>
        </w:tabs>
        <w:numPr>
          <w:ilvl w:val="0"/>
          <w:numId w:val="4"/>
        </w:numPr>
        <w:rPr>
          <w:rFonts w:ascii="Times New Roman" w:cs="Times New Roman" w:eastAsia="Times New Roman" w:hAnsi="Times New Roman"/>
          <w:sz w:val="22"/>
          <w:szCs w:val="22"/>
          <w:color w:val="auto"/>
        </w:rPr>
      </w:pPr>
      <w:r>
        <w:rPr>
          <w:rFonts w:ascii="Arial" w:cs="Arial" w:eastAsia="Arial" w:hAnsi="Arial"/>
          <w:sz w:val="18"/>
          <w:szCs w:val="18"/>
          <w:color w:val="auto"/>
        </w:rPr>
        <w:t>Filmed Entertainment Revenue Increased 64.0% and Operating Cash Flow More Than Doubled</w:t>
      </w:r>
    </w:p>
    <w:p>
      <w:pPr>
        <w:spacing w:after="0" w:line="111" w:lineRule="exact"/>
        <w:rPr>
          <w:rFonts w:ascii="Times New Roman" w:cs="Times New Roman" w:eastAsia="Times New Roman" w:hAnsi="Times New Roman"/>
          <w:sz w:val="22"/>
          <w:szCs w:val="22"/>
          <w:color w:val="auto"/>
        </w:rPr>
      </w:pPr>
    </w:p>
    <w:p>
      <w:pPr>
        <w:ind w:left="640" w:hanging="308"/>
        <w:spacing w:after="0"/>
        <w:tabs>
          <w:tab w:leader="none" w:pos="640" w:val="left"/>
        </w:tabs>
        <w:numPr>
          <w:ilvl w:val="0"/>
          <w:numId w:val="4"/>
        </w:numPr>
        <w:rPr>
          <w:rFonts w:ascii="Times New Roman" w:cs="Times New Roman" w:eastAsia="Times New Roman" w:hAnsi="Times New Roman"/>
          <w:sz w:val="22"/>
          <w:szCs w:val="22"/>
          <w:color w:val="auto"/>
        </w:rPr>
      </w:pPr>
      <w:r>
        <w:rPr>
          <w:rFonts w:ascii="Arial" w:cs="Arial" w:eastAsia="Arial" w:hAnsi="Arial"/>
          <w:sz w:val="18"/>
          <w:szCs w:val="18"/>
          <w:color w:val="auto"/>
        </w:rPr>
        <w:t>Record Attendance at Theme Parks Drove Revenue and Operating Cash Flow Growth of 14.1%</w:t>
      </w:r>
    </w:p>
    <w:p>
      <w:pPr>
        <w:spacing w:after="0" w:line="378" w:lineRule="exact"/>
        <w:rPr>
          <w:sz w:val="20"/>
          <w:szCs w:val="20"/>
          <w:color w:val="auto"/>
        </w:rPr>
      </w:pPr>
    </w:p>
    <w:p>
      <w:pPr>
        <w:jc w:val="both"/>
        <w:ind w:right="20"/>
        <w:spacing w:after="0" w:line="276" w:lineRule="auto"/>
        <w:rPr>
          <w:sz w:val="20"/>
          <w:szCs w:val="20"/>
          <w:color w:val="auto"/>
        </w:rPr>
      </w:pPr>
      <w:r>
        <w:rPr>
          <w:rFonts w:ascii="Arial" w:cs="Arial" w:eastAsia="Arial" w:hAnsi="Arial"/>
          <w:sz w:val="18"/>
          <w:szCs w:val="18"/>
          <w:color w:val="auto"/>
        </w:rPr>
        <w:t>PHILADELPHIA – October 27, 2015… Comcast Corporation (NASDAQ: CMCSA, CMCSK) today reported results for the quarter ended September 30, 2015.</w:t>
      </w:r>
    </w:p>
    <w:p>
      <w:pPr>
        <w:spacing w:after="0" w:line="132" w:lineRule="exact"/>
        <w:rPr>
          <w:sz w:val="20"/>
          <w:szCs w:val="20"/>
          <w:color w:val="auto"/>
        </w:rPr>
      </w:pPr>
    </w:p>
    <w:p>
      <w:pPr>
        <w:jc w:val="both"/>
        <w:spacing w:after="0"/>
        <w:rPr>
          <w:sz w:val="20"/>
          <w:szCs w:val="20"/>
          <w:color w:val="auto"/>
        </w:rPr>
      </w:pPr>
      <w:r>
        <w:rPr>
          <w:rFonts w:ascii="Arial" w:cs="Arial" w:eastAsia="Arial" w:hAnsi="Arial"/>
          <w:sz w:val="18"/>
          <w:szCs w:val="18"/>
          <w:color w:val="auto"/>
        </w:rPr>
        <w:t xml:space="preserve">Brian L. Roberts, Chairman and Chief Executive Officer of Comcast Corporation, said, “I’m pleased to report that our businesses generated outstanding revenue and operating cash flow growth for the third quarter of 2015. At Cable Communications, overall customer relationships increased 156,000, a 90% improvement compared to last year, video subscriber results were the best for a third quarter in 9 years, high-speed Internet subscriber results were the best for a third quarter in 6 years, and churn across all product categories continues to improve. NBCUniversal also delivered terrific results, including another record-breaking box office quarter driven by </w:t>
      </w:r>
      <w:r>
        <w:rPr>
          <w:rFonts w:ascii="Arial" w:cs="Arial" w:eastAsia="Arial" w:hAnsi="Arial"/>
          <w:sz w:val="18"/>
          <w:szCs w:val="18"/>
          <w:i w:val="1"/>
          <w:iCs w:val="1"/>
          <w:color w:val="auto"/>
        </w:rPr>
        <w:t>Minions</w:t>
      </w:r>
      <w:r>
        <w:rPr>
          <w:rFonts w:ascii="Arial" w:cs="Arial" w:eastAsia="Arial" w:hAnsi="Arial"/>
          <w:sz w:val="18"/>
          <w:szCs w:val="18"/>
          <w:color w:val="auto"/>
        </w:rPr>
        <w:t xml:space="preserve"> and </w:t>
      </w:r>
      <w:r>
        <w:rPr>
          <w:rFonts w:ascii="Arial" w:cs="Arial" w:eastAsia="Arial" w:hAnsi="Arial"/>
          <w:sz w:val="18"/>
          <w:szCs w:val="18"/>
          <w:i w:val="1"/>
          <w:iCs w:val="1"/>
          <w:color w:val="auto"/>
        </w:rPr>
        <w:t>Jurassic</w:t>
      </w:r>
      <w:r>
        <w:rPr>
          <w:rFonts w:ascii="Arial" w:cs="Arial" w:eastAsia="Arial" w:hAnsi="Arial"/>
          <w:sz w:val="18"/>
          <w:szCs w:val="18"/>
          <w:color w:val="auto"/>
        </w:rPr>
        <w:t xml:space="preserve"> </w:t>
      </w:r>
      <w:r>
        <w:rPr>
          <w:rFonts w:ascii="Arial" w:cs="Arial" w:eastAsia="Arial" w:hAnsi="Arial"/>
          <w:sz w:val="18"/>
          <w:szCs w:val="18"/>
          <w:i w:val="1"/>
          <w:iCs w:val="1"/>
          <w:color w:val="auto"/>
        </w:rPr>
        <w:t>World</w:t>
      </w:r>
      <w:r>
        <w:rPr>
          <w:rFonts w:ascii="Arial" w:cs="Arial" w:eastAsia="Arial" w:hAnsi="Arial"/>
          <w:sz w:val="18"/>
          <w:szCs w:val="18"/>
          <w:color w:val="auto"/>
        </w:rPr>
        <w:t>, the highest summer attendance ever at our theme parks, and maintaining the #1 broadcast network ranking for the 5</w:t>
      </w:r>
      <w:r>
        <w:rPr>
          <w:rFonts w:ascii="Arial" w:cs="Arial" w:eastAsia="Arial" w:hAnsi="Arial"/>
          <w:sz w:val="18"/>
          <w:szCs w:val="18"/>
          <w:color w:val="auto"/>
          <w:vertAlign w:val="superscript"/>
        </w:rPr>
        <w:t>th</w:t>
      </w:r>
      <w:r>
        <w:rPr>
          <w:rFonts w:ascii="Arial" w:cs="Arial" w:eastAsia="Arial" w:hAnsi="Arial"/>
          <w:sz w:val="18"/>
          <w:szCs w:val="18"/>
          <w:i w:val="1"/>
          <w:iCs w:val="1"/>
          <w:color w:val="auto"/>
        </w:rPr>
        <w:t xml:space="preserve"> </w:t>
      </w:r>
      <w:r>
        <w:rPr>
          <w:rFonts w:ascii="Arial" w:cs="Arial" w:eastAsia="Arial" w:hAnsi="Arial"/>
          <w:sz w:val="18"/>
          <w:szCs w:val="18"/>
          <w:color w:val="auto"/>
        </w:rPr>
        <w:t>summer in a row.</w:t>
      </w:r>
      <w:r>
        <w:rPr>
          <w:rFonts w:ascii="Arial" w:cs="Arial" w:eastAsia="Arial" w:hAnsi="Arial"/>
          <w:sz w:val="18"/>
          <w:szCs w:val="18"/>
          <w:i w:val="1"/>
          <w:iCs w:val="1"/>
          <w:color w:val="auto"/>
        </w:rPr>
        <w:t xml:space="preserve"> </w:t>
      </w:r>
      <w:r>
        <w:rPr>
          <w:rFonts w:ascii="Arial" w:cs="Arial" w:eastAsia="Arial" w:hAnsi="Arial"/>
          <w:sz w:val="18"/>
          <w:szCs w:val="18"/>
          <w:color w:val="auto"/>
        </w:rPr>
        <w:t>These outstanding results from our unique portfolio of complementary businesses underscore our confidence that we are well positioned to compete, continue our strong performance and drive shareholder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187325</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Financial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31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640" w:type="dxa"/>
            <w:vAlign w:val="bottom"/>
          </w:tcPr>
          <w:p>
            <w:pPr>
              <w:jc w:val="right"/>
              <w:ind w:right="588"/>
              <w:spacing w:after="0"/>
              <w:rPr>
                <w:sz w:val="20"/>
                <w:szCs w:val="20"/>
                <w:color w:val="auto"/>
              </w:rPr>
            </w:pPr>
            <w:r>
              <w:rPr>
                <w:rFonts w:ascii="Arial" w:cs="Arial" w:eastAsia="Arial" w:hAnsi="Arial"/>
                <w:sz w:val="14"/>
                <w:szCs w:val="14"/>
                <w:color w:val="auto"/>
              </w:rPr>
              <w:t>3rd Quarter</w:t>
            </w:r>
          </w:p>
        </w:tc>
        <w:tc>
          <w:tcPr>
            <w:tcW w:w="15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540" w:type="dxa"/>
            <w:vAlign w:val="bottom"/>
          </w:tcPr>
          <w:p>
            <w:pPr>
              <w:jc w:val="right"/>
              <w:ind w:right="548"/>
              <w:spacing w:after="0"/>
              <w:rPr>
                <w:sz w:val="20"/>
                <w:szCs w:val="20"/>
                <w:color w:val="auto"/>
              </w:rPr>
            </w:pPr>
            <w:r>
              <w:rPr>
                <w:rFonts w:ascii="Arial" w:cs="Arial" w:eastAsia="Arial" w:hAnsi="Arial"/>
                <w:sz w:val="14"/>
                <w:szCs w:val="14"/>
                <w:color w:val="auto"/>
              </w:rPr>
              <w:t>Year to Date</w:t>
            </w:r>
          </w:p>
        </w:tc>
        <w:tc>
          <w:tcPr>
            <w:tcW w:w="800" w:type="dxa"/>
            <w:vAlign w:val="bottom"/>
          </w:tcPr>
          <w:p>
            <w:pPr>
              <w:spacing w:after="0"/>
              <w:rPr>
                <w:sz w:val="16"/>
                <w:szCs w:val="16"/>
                <w:color w:val="auto"/>
              </w:rPr>
            </w:pPr>
          </w:p>
        </w:tc>
      </w:tr>
      <w:tr>
        <w:trPr>
          <w:trHeight w:val="204"/>
        </w:trPr>
        <w:tc>
          <w:tcPr>
            <w:tcW w:w="3140" w:type="dxa"/>
            <w:vAlign w:val="bottom"/>
            <w:tcBorders>
              <w:bottom w:val="single" w:sz="8" w:color="auto"/>
            </w:tcBorders>
          </w:tcPr>
          <w:p>
            <w:pPr>
              <w:ind w:left="40"/>
              <w:spacing w:after="0"/>
              <w:rPr>
                <w:sz w:val="20"/>
                <w:szCs w:val="20"/>
                <w:color w:val="auto"/>
              </w:rPr>
            </w:pPr>
            <w:r>
              <w:rPr>
                <w:rFonts w:ascii="Arial" w:cs="Arial" w:eastAsia="Arial" w:hAnsi="Arial"/>
                <w:sz w:val="11"/>
                <w:szCs w:val="11"/>
                <w:i w:val="1"/>
                <w:iCs w:val="1"/>
                <w:color w:val="auto"/>
              </w:rPr>
              <w:t>($ in millions)</w:t>
            </w:r>
          </w:p>
        </w:tc>
        <w:tc>
          <w:tcPr>
            <w:tcW w:w="15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2014</w:t>
            </w:r>
          </w:p>
        </w:tc>
        <w:tc>
          <w:tcPr>
            <w:tcW w:w="164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2015</w:t>
            </w:r>
          </w:p>
        </w:tc>
        <w:tc>
          <w:tcPr>
            <w:tcW w:w="156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color w:val="auto"/>
              </w:rPr>
              <w:t>Growth</w:t>
            </w:r>
          </w:p>
        </w:tc>
        <w:tc>
          <w:tcPr>
            <w:tcW w:w="1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2014</w:t>
            </w:r>
          </w:p>
        </w:tc>
        <w:tc>
          <w:tcPr>
            <w:tcW w:w="15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2015</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Growth</w:t>
            </w:r>
          </w:p>
        </w:tc>
      </w:tr>
      <w:tr>
        <w:trPr>
          <w:trHeight w:val="222"/>
        </w:trPr>
        <w:tc>
          <w:tcPr>
            <w:tcW w:w="3140" w:type="dxa"/>
            <w:vAlign w:val="bottom"/>
          </w:tcPr>
          <w:p>
            <w:pPr>
              <w:ind w:left="40"/>
              <w:spacing w:after="0"/>
              <w:rPr>
                <w:sz w:val="20"/>
                <w:szCs w:val="20"/>
                <w:color w:val="auto"/>
              </w:rPr>
            </w:pPr>
            <w:r>
              <w:rPr>
                <w:rFonts w:ascii="Arial" w:cs="Arial" w:eastAsia="Arial" w:hAnsi="Arial"/>
                <w:sz w:val="14"/>
                <w:szCs w:val="14"/>
                <w:color w:val="auto"/>
              </w:rPr>
              <w:t>Revenue</w:t>
            </w:r>
          </w:p>
        </w:tc>
        <w:tc>
          <w:tcPr>
            <w:tcW w:w="1500" w:type="dxa"/>
            <w:vAlign w:val="bottom"/>
          </w:tcPr>
          <w:p>
            <w:pPr>
              <w:jc w:val="right"/>
              <w:ind w:right="168"/>
              <w:spacing w:after="0"/>
              <w:rPr>
                <w:sz w:val="20"/>
                <w:szCs w:val="20"/>
                <w:color w:val="auto"/>
              </w:rPr>
            </w:pPr>
            <w:r>
              <w:rPr>
                <w:rFonts w:ascii="Arial" w:cs="Arial" w:eastAsia="Arial" w:hAnsi="Arial"/>
                <w:sz w:val="14"/>
                <w:szCs w:val="14"/>
                <w:color w:val="auto"/>
              </w:rPr>
              <w:t>$16,791</w:t>
            </w:r>
          </w:p>
        </w:tc>
        <w:tc>
          <w:tcPr>
            <w:tcW w:w="1640" w:type="dxa"/>
            <w:vAlign w:val="bottom"/>
          </w:tcPr>
          <w:p>
            <w:pPr>
              <w:jc w:val="right"/>
              <w:ind w:right="388"/>
              <w:spacing w:after="0"/>
              <w:rPr>
                <w:sz w:val="20"/>
                <w:szCs w:val="20"/>
                <w:color w:val="auto"/>
              </w:rPr>
            </w:pPr>
            <w:r>
              <w:rPr>
                <w:rFonts w:ascii="Arial" w:cs="Arial" w:eastAsia="Arial" w:hAnsi="Arial"/>
                <w:sz w:val="14"/>
                <w:szCs w:val="14"/>
                <w:color w:val="auto"/>
              </w:rPr>
              <w:t>$18,669</w:t>
            </w:r>
          </w:p>
        </w:tc>
        <w:tc>
          <w:tcPr>
            <w:tcW w:w="1560" w:type="dxa"/>
            <w:vAlign w:val="bottom"/>
          </w:tcPr>
          <w:p>
            <w:pPr>
              <w:jc w:val="right"/>
              <w:ind w:right="528"/>
              <w:spacing w:after="0"/>
              <w:rPr>
                <w:sz w:val="20"/>
                <w:szCs w:val="20"/>
                <w:color w:val="auto"/>
              </w:rPr>
            </w:pPr>
            <w:r>
              <w:rPr>
                <w:rFonts w:ascii="Arial" w:cs="Arial" w:eastAsia="Arial" w:hAnsi="Arial"/>
                <w:sz w:val="14"/>
                <w:szCs w:val="14"/>
                <w:color w:val="auto"/>
              </w:rPr>
              <w:t>11.2%</w:t>
            </w:r>
          </w:p>
        </w:tc>
        <w:tc>
          <w:tcPr>
            <w:tcW w:w="1240" w:type="dxa"/>
            <w:vAlign w:val="bottom"/>
          </w:tcPr>
          <w:p>
            <w:pPr>
              <w:jc w:val="right"/>
              <w:ind w:right="68"/>
              <w:spacing w:after="0"/>
              <w:rPr>
                <w:sz w:val="20"/>
                <w:szCs w:val="20"/>
                <w:color w:val="auto"/>
              </w:rPr>
            </w:pPr>
            <w:r>
              <w:rPr>
                <w:rFonts w:ascii="Arial" w:cs="Arial" w:eastAsia="Arial" w:hAnsi="Arial"/>
                <w:sz w:val="14"/>
                <w:szCs w:val="14"/>
                <w:color w:val="auto"/>
              </w:rPr>
              <w:t>$51,043</w:t>
            </w:r>
          </w:p>
        </w:tc>
        <w:tc>
          <w:tcPr>
            <w:tcW w:w="1540" w:type="dxa"/>
            <w:vAlign w:val="bottom"/>
          </w:tcPr>
          <w:p>
            <w:pPr>
              <w:jc w:val="right"/>
              <w:ind w:right="188"/>
              <w:spacing w:after="0"/>
              <w:rPr>
                <w:sz w:val="20"/>
                <w:szCs w:val="20"/>
                <w:color w:val="auto"/>
              </w:rPr>
            </w:pPr>
            <w:r>
              <w:rPr>
                <w:rFonts w:ascii="Arial" w:cs="Arial" w:eastAsia="Arial" w:hAnsi="Arial"/>
                <w:sz w:val="14"/>
                <w:szCs w:val="14"/>
                <w:color w:val="auto"/>
              </w:rPr>
              <w:t>$55,265</w:t>
            </w:r>
          </w:p>
        </w:tc>
        <w:tc>
          <w:tcPr>
            <w:tcW w:w="800" w:type="dxa"/>
            <w:vAlign w:val="bottom"/>
          </w:tcPr>
          <w:p>
            <w:pPr>
              <w:jc w:val="right"/>
              <w:spacing w:after="0"/>
              <w:rPr>
                <w:sz w:val="20"/>
                <w:szCs w:val="20"/>
                <w:color w:val="auto"/>
              </w:rPr>
            </w:pPr>
            <w:r>
              <w:rPr>
                <w:rFonts w:ascii="Arial" w:cs="Arial" w:eastAsia="Arial" w:hAnsi="Arial"/>
                <w:sz w:val="14"/>
                <w:szCs w:val="14"/>
                <w:color w:val="auto"/>
              </w:rPr>
              <w:t>8.3%</w:t>
            </w:r>
          </w:p>
        </w:tc>
      </w:tr>
      <w:tr>
        <w:trPr>
          <w:trHeight w:val="184"/>
        </w:trPr>
        <w:tc>
          <w:tcPr>
            <w:tcW w:w="314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Excluding Olympics and Super Bowl</w:t>
            </w:r>
          </w:p>
        </w:tc>
        <w:tc>
          <w:tcPr>
            <w:tcW w:w="150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i w:val="1"/>
                <w:iCs w:val="1"/>
                <w:color w:val="auto"/>
              </w:rPr>
              <w:t>$49,940</w:t>
            </w:r>
          </w:p>
        </w:tc>
        <w:tc>
          <w:tcPr>
            <w:tcW w:w="15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i w:val="1"/>
                <w:iCs w:val="1"/>
                <w:color w:val="auto"/>
              </w:rPr>
              <w:t>$54,889</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i w:val="1"/>
                <w:iCs w:val="1"/>
                <w:color w:val="auto"/>
              </w:rPr>
              <w:t>9.9%</w:t>
            </w:r>
          </w:p>
        </w:tc>
      </w:tr>
      <w:tr>
        <w:trPr>
          <w:trHeight w:val="221"/>
        </w:trPr>
        <w:tc>
          <w:tcPr>
            <w:tcW w:w="3140" w:type="dxa"/>
            <w:vAlign w:val="bottom"/>
          </w:tcPr>
          <w:p>
            <w:pPr>
              <w:ind w:left="40"/>
              <w:spacing w:after="0"/>
              <w:rPr>
                <w:sz w:val="20"/>
                <w:szCs w:val="20"/>
                <w:color w:val="auto"/>
              </w:rPr>
            </w:pPr>
            <w:r>
              <w:rPr>
                <w:rFonts w:ascii="Arial" w:cs="Arial" w:eastAsia="Arial" w:hAnsi="Arial"/>
                <w:sz w:val="14"/>
                <w:szCs w:val="14"/>
                <w:color w:val="auto"/>
              </w:rPr>
              <w:t>Operating Cash Flow</w:t>
            </w:r>
            <w:r>
              <w:rPr>
                <w:rFonts w:ascii="Arial" w:cs="Arial" w:eastAsia="Arial" w:hAnsi="Arial"/>
                <w:sz w:val="14"/>
                <w:szCs w:val="14"/>
                <w:color w:val="auto"/>
                <w:vertAlign w:val="superscript"/>
              </w:rPr>
              <w:t>1</w:t>
            </w:r>
          </w:p>
        </w:tc>
        <w:tc>
          <w:tcPr>
            <w:tcW w:w="1500" w:type="dxa"/>
            <w:vAlign w:val="bottom"/>
          </w:tcPr>
          <w:p>
            <w:pPr>
              <w:jc w:val="right"/>
              <w:ind w:right="168"/>
              <w:spacing w:after="0"/>
              <w:rPr>
                <w:sz w:val="20"/>
                <w:szCs w:val="20"/>
                <w:color w:val="auto"/>
              </w:rPr>
            </w:pPr>
            <w:r>
              <w:rPr>
                <w:rFonts w:ascii="Arial" w:cs="Arial" w:eastAsia="Arial" w:hAnsi="Arial"/>
                <w:sz w:val="14"/>
                <w:szCs w:val="14"/>
                <w:color w:val="auto"/>
              </w:rPr>
              <w:t>$5,704</w:t>
            </w:r>
          </w:p>
        </w:tc>
        <w:tc>
          <w:tcPr>
            <w:tcW w:w="1640" w:type="dxa"/>
            <w:vAlign w:val="bottom"/>
          </w:tcPr>
          <w:p>
            <w:pPr>
              <w:jc w:val="right"/>
              <w:ind w:right="388"/>
              <w:spacing w:after="0"/>
              <w:rPr>
                <w:sz w:val="20"/>
                <w:szCs w:val="20"/>
                <w:color w:val="auto"/>
              </w:rPr>
            </w:pPr>
            <w:r>
              <w:rPr>
                <w:rFonts w:ascii="Arial" w:cs="Arial" w:eastAsia="Arial" w:hAnsi="Arial"/>
                <w:sz w:val="14"/>
                <w:szCs w:val="14"/>
                <w:color w:val="auto"/>
              </w:rPr>
              <w:t>$6,184</w:t>
            </w:r>
          </w:p>
        </w:tc>
        <w:tc>
          <w:tcPr>
            <w:tcW w:w="1560" w:type="dxa"/>
            <w:vAlign w:val="bottom"/>
          </w:tcPr>
          <w:p>
            <w:pPr>
              <w:jc w:val="right"/>
              <w:ind w:right="528"/>
              <w:spacing w:after="0"/>
              <w:rPr>
                <w:sz w:val="20"/>
                <w:szCs w:val="20"/>
                <w:color w:val="auto"/>
              </w:rPr>
            </w:pPr>
            <w:r>
              <w:rPr>
                <w:rFonts w:ascii="Arial" w:cs="Arial" w:eastAsia="Arial" w:hAnsi="Arial"/>
                <w:sz w:val="14"/>
                <w:szCs w:val="14"/>
                <w:color w:val="auto"/>
              </w:rPr>
              <w:t>8.4%</w:t>
            </w:r>
          </w:p>
        </w:tc>
        <w:tc>
          <w:tcPr>
            <w:tcW w:w="1240" w:type="dxa"/>
            <w:vAlign w:val="bottom"/>
          </w:tcPr>
          <w:p>
            <w:pPr>
              <w:jc w:val="right"/>
              <w:ind w:right="68"/>
              <w:spacing w:after="0"/>
              <w:rPr>
                <w:sz w:val="20"/>
                <w:szCs w:val="20"/>
                <w:color w:val="auto"/>
              </w:rPr>
            </w:pPr>
            <w:r>
              <w:rPr>
                <w:rFonts w:ascii="Arial" w:cs="Arial" w:eastAsia="Arial" w:hAnsi="Arial"/>
                <w:sz w:val="14"/>
                <w:szCs w:val="14"/>
                <w:color w:val="auto"/>
              </w:rPr>
              <w:t>$17,046</w:t>
            </w:r>
          </w:p>
        </w:tc>
        <w:tc>
          <w:tcPr>
            <w:tcW w:w="1540" w:type="dxa"/>
            <w:vAlign w:val="bottom"/>
          </w:tcPr>
          <w:p>
            <w:pPr>
              <w:jc w:val="right"/>
              <w:ind w:right="188"/>
              <w:spacing w:after="0"/>
              <w:rPr>
                <w:sz w:val="20"/>
                <w:szCs w:val="20"/>
                <w:color w:val="auto"/>
              </w:rPr>
            </w:pPr>
            <w:r>
              <w:rPr>
                <w:rFonts w:ascii="Arial" w:cs="Arial" w:eastAsia="Arial" w:hAnsi="Arial"/>
                <w:sz w:val="14"/>
                <w:szCs w:val="14"/>
                <w:color w:val="auto"/>
              </w:rPr>
              <w:t>$18,406</w:t>
            </w:r>
          </w:p>
        </w:tc>
        <w:tc>
          <w:tcPr>
            <w:tcW w:w="800" w:type="dxa"/>
            <w:vAlign w:val="bottom"/>
          </w:tcPr>
          <w:p>
            <w:pPr>
              <w:jc w:val="right"/>
              <w:spacing w:after="0"/>
              <w:rPr>
                <w:sz w:val="20"/>
                <w:szCs w:val="20"/>
                <w:color w:val="auto"/>
              </w:rPr>
            </w:pPr>
            <w:r>
              <w:rPr>
                <w:rFonts w:ascii="Arial" w:cs="Arial" w:eastAsia="Arial" w:hAnsi="Arial"/>
                <w:sz w:val="14"/>
                <w:szCs w:val="14"/>
                <w:color w:val="auto"/>
              </w:rPr>
              <w:t>8.0%</w:t>
            </w:r>
          </w:p>
        </w:tc>
      </w:tr>
      <w:tr>
        <w:trPr>
          <w:trHeight w:val="177"/>
        </w:trPr>
        <w:tc>
          <w:tcPr>
            <w:tcW w:w="314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Excluding Transaction-Related Costs</w:t>
            </w:r>
          </w:p>
        </w:tc>
        <w:tc>
          <w:tcPr>
            <w:tcW w:w="15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i w:val="1"/>
                <w:iCs w:val="1"/>
                <w:color w:val="auto"/>
              </w:rPr>
              <w:t>$5,781</w:t>
            </w:r>
          </w:p>
        </w:tc>
        <w:tc>
          <w:tcPr>
            <w:tcW w:w="164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i w:val="1"/>
                <w:iCs w:val="1"/>
                <w:color w:val="auto"/>
              </w:rPr>
              <w:t>$6,184</w:t>
            </w:r>
          </w:p>
        </w:tc>
        <w:tc>
          <w:tcPr>
            <w:tcW w:w="156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i w:val="1"/>
                <w:iCs w:val="1"/>
                <w:color w:val="auto"/>
              </w:rPr>
              <w:t>7.0%</w:t>
            </w:r>
          </w:p>
        </w:tc>
        <w:tc>
          <w:tcPr>
            <w:tcW w:w="1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i w:val="1"/>
                <w:iCs w:val="1"/>
                <w:color w:val="auto"/>
              </w:rPr>
              <w:t>$17,184</w:t>
            </w:r>
          </w:p>
        </w:tc>
        <w:tc>
          <w:tcPr>
            <w:tcW w:w="15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i w:val="1"/>
                <w:iCs w:val="1"/>
                <w:color w:val="auto"/>
              </w:rPr>
              <w:t>$18,584</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i w:val="1"/>
                <w:iCs w:val="1"/>
                <w:color w:val="auto"/>
              </w:rPr>
              <w:t>8.2%</w:t>
            </w:r>
          </w:p>
        </w:tc>
      </w:tr>
      <w:tr>
        <w:trPr>
          <w:trHeight w:val="196"/>
        </w:trPr>
        <w:tc>
          <w:tcPr>
            <w:tcW w:w="31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Operating Income</w:t>
            </w:r>
          </w:p>
        </w:tc>
        <w:tc>
          <w:tcPr>
            <w:tcW w:w="15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$3,745</w:t>
            </w:r>
          </w:p>
        </w:tc>
        <w:tc>
          <w:tcPr>
            <w:tcW w:w="164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$4,001</w:t>
            </w:r>
          </w:p>
        </w:tc>
        <w:tc>
          <w:tcPr>
            <w:tcW w:w="156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color w:val="auto"/>
              </w:rPr>
              <w:t>6.9%</w:t>
            </w:r>
          </w:p>
        </w:tc>
        <w:tc>
          <w:tcPr>
            <w:tcW w:w="1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$11,117</w:t>
            </w:r>
          </w:p>
        </w:tc>
        <w:tc>
          <w:tcPr>
            <w:tcW w:w="15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$11,996</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w:t>
            </w:r>
          </w:p>
        </w:tc>
      </w:tr>
      <w:tr>
        <w:trPr>
          <w:trHeight w:val="221"/>
        </w:trPr>
        <w:tc>
          <w:tcPr>
            <w:tcW w:w="3140" w:type="dxa"/>
            <w:vAlign w:val="bottom"/>
          </w:tcPr>
          <w:p>
            <w:pPr>
              <w:ind w:left="40"/>
              <w:spacing w:after="0"/>
              <w:rPr>
                <w:sz w:val="20"/>
                <w:szCs w:val="20"/>
                <w:color w:val="auto"/>
              </w:rPr>
            </w:pPr>
            <w:r>
              <w:rPr>
                <w:rFonts w:ascii="Arial" w:cs="Arial" w:eastAsia="Arial" w:hAnsi="Arial"/>
                <w:sz w:val="14"/>
                <w:szCs w:val="14"/>
                <w:color w:val="auto"/>
              </w:rPr>
              <w:t>Earnings per Share</w:t>
            </w:r>
            <w:r>
              <w:rPr>
                <w:rFonts w:ascii="Arial" w:cs="Arial" w:eastAsia="Arial" w:hAnsi="Arial"/>
                <w:sz w:val="14"/>
                <w:szCs w:val="14"/>
                <w:color w:val="auto"/>
                <w:vertAlign w:val="superscript"/>
              </w:rPr>
              <w:t>2</w:t>
            </w:r>
          </w:p>
        </w:tc>
        <w:tc>
          <w:tcPr>
            <w:tcW w:w="1500" w:type="dxa"/>
            <w:vAlign w:val="bottom"/>
          </w:tcPr>
          <w:p>
            <w:pPr>
              <w:jc w:val="right"/>
              <w:ind w:right="168"/>
              <w:spacing w:after="0"/>
              <w:rPr>
                <w:sz w:val="20"/>
                <w:szCs w:val="20"/>
                <w:color w:val="auto"/>
              </w:rPr>
            </w:pPr>
            <w:r>
              <w:rPr>
                <w:rFonts w:ascii="Arial" w:cs="Arial" w:eastAsia="Arial" w:hAnsi="Arial"/>
                <w:sz w:val="14"/>
                <w:szCs w:val="14"/>
                <w:color w:val="auto"/>
              </w:rPr>
              <w:t>$0.99</w:t>
            </w:r>
          </w:p>
        </w:tc>
        <w:tc>
          <w:tcPr>
            <w:tcW w:w="1640" w:type="dxa"/>
            <w:vAlign w:val="bottom"/>
          </w:tcPr>
          <w:p>
            <w:pPr>
              <w:jc w:val="right"/>
              <w:ind w:right="388"/>
              <w:spacing w:after="0"/>
              <w:rPr>
                <w:sz w:val="20"/>
                <w:szCs w:val="20"/>
                <w:color w:val="auto"/>
              </w:rPr>
            </w:pPr>
            <w:r>
              <w:rPr>
                <w:rFonts w:ascii="Arial" w:cs="Arial" w:eastAsia="Arial" w:hAnsi="Arial"/>
                <w:sz w:val="14"/>
                <w:szCs w:val="14"/>
                <w:color w:val="auto"/>
              </w:rPr>
              <w:t>$0.80</w:t>
            </w:r>
          </w:p>
        </w:tc>
        <w:tc>
          <w:tcPr>
            <w:tcW w:w="1560" w:type="dxa"/>
            <w:vAlign w:val="bottom"/>
          </w:tcPr>
          <w:p>
            <w:pPr>
              <w:jc w:val="right"/>
              <w:ind w:right="528"/>
              <w:spacing w:after="0"/>
              <w:rPr>
                <w:sz w:val="20"/>
                <w:szCs w:val="20"/>
                <w:color w:val="auto"/>
              </w:rPr>
            </w:pPr>
            <w:r>
              <w:rPr>
                <w:rFonts w:ascii="Arial" w:cs="Arial" w:eastAsia="Arial" w:hAnsi="Arial"/>
                <w:sz w:val="14"/>
                <w:szCs w:val="14"/>
                <w:color w:val="auto"/>
              </w:rPr>
              <w:t>(19.2%)</w:t>
            </w:r>
          </w:p>
        </w:tc>
        <w:tc>
          <w:tcPr>
            <w:tcW w:w="1240" w:type="dxa"/>
            <w:vAlign w:val="bottom"/>
          </w:tcPr>
          <w:p>
            <w:pPr>
              <w:jc w:val="right"/>
              <w:ind w:right="68"/>
              <w:spacing w:after="0"/>
              <w:rPr>
                <w:sz w:val="20"/>
                <w:szCs w:val="20"/>
                <w:color w:val="auto"/>
              </w:rPr>
            </w:pPr>
            <w:r>
              <w:rPr>
                <w:rFonts w:ascii="Arial" w:cs="Arial" w:eastAsia="Arial" w:hAnsi="Arial"/>
                <w:sz w:val="14"/>
                <w:szCs w:val="14"/>
                <w:color w:val="auto"/>
              </w:rPr>
              <w:t>$2.46</w:t>
            </w:r>
          </w:p>
        </w:tc>
        <w:tc>
          <w:tcPr>
            <w:tcW w:w="1540" w:type="dxa"/>
            <w:vAlign w:val="bottom"/>
          </w:tcPr>
          <w:p>
            <w:pPr>
              <w:jc w:val="right"/>
              <w:ind w:right="188"/>
              <w:spacing w:after="0"/>
              <w:rPr>
                <w:sz w:val="20"/>
                <w:szCs w:val="20"/>
                <w:color w:val="auto"/>
              </w:rPr>
            </w:pPr>
            <w:r>
              <w:rPr>
                <w:rFonts w:ascii="Arial" w:cs="Arial" w:eastAsia="Arial" w:hAnsi="Arial"/>
                <w:sz w:val="14"/>
                <w:szCs w:val="14"/>
                <w:color w:val="auto"/>
              </w:rPr>
              <w:t>$2.45</w:t>
            </w:r>
          </w:p>
        </w:tc>
        <w:tc>
          <w:tcPr>
            <w:tcW w:w="800" w:type="dxa"/>
            <w:vAlign w:val="bottom"/>
          </w:tcPr>
          <w:p>
            <w:pPr>
              <w:jc w:val="right"/>
              <w:spacing w:after="0"/>
              <w:rPr>
                <w:sz w:val="20"/>
                <w:szCs w:val="20"/>
                <w:color w:val="auto"/>
              </w:rPr>
            </w:pPr>
            <w:r>
              <w:rPr>
                <w:rFonts w:ascii="Arial" w:cs="Arial" w:eastAsia="Arial" w:hAnsi="Arial"/>
                <w:sz w:val="14"/>
                <w:szCs w:val="14"/>
                <w:color w:val="auto"/>
              </w:rPr>
              <w:t>(0.4%)</w:t>
            </w:r>
          </w:p>
        </w:tc>
      </w:tr>
      <w:tr>
        <w:trPr>
          <w:trHeight w:val="177"/>
        </w:trPr>
        <w:tc>
          <w:tcPr>
            <w:tcW w:w="314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Excluding Adjustments</w:t>
            </w:r>
          </w:p>
        </w:tc>
        <w:tc>
          <w:tcPr>
            <w:tcW w:w="15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i w:val="1"/>
                <w:iCs w:val="1"/>
                <w:color w:val="auto"/>
              </w:rPr>
              <w:t>$0.73</w:t>
            </w:r>
          </w:p>
        </w:tc>
        <w:tc>
          <w:tcPr>
            <w:tcW w:w="164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i w:val="1"/>
                <w:iCs w:val="1"/>
                <w:color w:val="auto"/>
              </w:rPr>
              <w:t>$0.80</w:t>
            </w:r>
          </w:p>
        </w:tc>
        <w:tc>
          <w:tcPr>
            <w:tcW w:w="156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i w:val="1"/>
                <w:iCs w:val="1"/>
                <w:color w:val="auto"/>
              </w:rPr>
              <w:t>9.6%</w:t>
            </w:r>
          </w:p>
        </w:tc>
        <w:tc>
          <w:tcPr>
            <w:tcW w:w="1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i w:val="1"/>
                <w:iCs w:val="1"/>
                <w:color w:val="auto"/>
              </w:rPr>
              <w:t>$2.17</w:t>
            </w:r>
          </w:p>
        </w:tc>
        <w:tc>
          <w:tcPr>
            <w:tcW w:w="15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i w:val="1"/>
                <w:iCs w:val="1"/>
                <w:color w:val="auto"/>
              </w:rPr>
              <w:t>$2.43</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i w:val="1"/>
                <w:iCs w:val="1"/>
                <w:color w:val="auto"/>
              </w:rPr>
              <w:t>12.0%</w:t>
            </w:r>
          </w:p>
        </w:tc>
      </w:tr>
      <w:tr>
        <w:trPr>
          <w:trHeight w:val="221"/>
        </w:trPr>
        <w:tc>
          <w:tcPr>
            <w:tcW w:w="3140" w:type="dxa"/>
            <w:vAlign w:val="bottom"/>
          </w:tcPr>
          <w:p>
            <w:pPr>
              <w:ind w:left="40"/>
              <w:spacing w:after="0"/>
              <w:rPr>
                <w:sz w:val="20"/>
                <w:szCs w:val="20"/>
                <w:color w:val="auto"/>
              </w:rPr>
            </w:pPr>
            <w:r>
              <w:rPr>
                <w:rFonts w:ascii="Arial" w:cs="Arial" w:eastAsia="Arial" w:hAnsi="Arial"/>
                <w:sz w:val="14"/>
                <w:szCs w:val="14"/>
                <w:color w:val="auto"/>
              </w:rPr>
              <w:t>Free Cash Flow</w:t>
            </w:r>
            <w:r>
              <w:rPr>
                <w:rFonts w:ascii="Arial" w:cs="Arial" w:eastAsia="Arial" w:hAnsi="Arial"/>
                <w:sz w:val="14"/>
                <w:szCs w:val="14"/>
                <w:color w:val="auto"/>
                <w:vertAlign w:val="superscript"/>
              </w:rPr>
              <w:t>3</w:t>
            </w:r>
          </w:p>
        </w:tc>
        <w:tc>
          <w:tcPr>
            <w:tcW w:w="1500" w:type="dxa"/>
            <w:vAlign w:val="bottom"/>
          </w:tcPr>
          <w:p>
            <w:pPr>
              <w:jc w:val="right"/>
              <w:ind w:right="168"/>
              <w:spacing w:after="0"/>
              <w:rPr>
                <w:sz w:val="20"/>
                <w:szCs w:val="20"/>
                <w:color w:val="auto"/>
              </w:rPr>
            </w:pPr>
            <w:r>
              <w:rPr>
                <w:rFonts w:ascii="Arial" w:cs="Arial" w:eastAsia="Arial" w:hAnsi="Arial"/>
                <w:sz w:val="14"/>
                <w:szCs w:val="14"/>
                <w:color w:val="auto"/>
              </w:rPr>
              <w:t>$2,494</w:t>
            </w:r>
          </w:p>
        </w:tc>
        <w:tc>
          <w:tcPr>
            <w:tcW w:w="1640" w:type="dxa"/>
            <w:vAlign w:val="bottom"/>
          </w:tcPr>
          <w:p>
            <w:pPr>
              <w:jc w:val="right"/>
              <w:ind w:right="388"/>
              <w:spacing w:after="0"/>
              <w:rPr>
                <w:sz w:val="20"/>
                <w:szCs w:val="20"/>
                <w:color w:val="auto"/>
              </w:rPr>
            </w:pPr>
            <w:r>
              <w:rPr>
                <w:rFonts w:ascii="Arial" w:cs="Arial" w:eastAsia="Arial" w:hAnsi="Arial"/>
                <w:sz w:val="14"/>
                <w:szCs w:val="14"/>
                <w:color w:val="auto"/>
              </w:rPr>
              <w:t>$2,663</w:t>
            </w:r>
          </w:p>
        </w:tc>
        <w:tc>
          <w:tcPr>
            <w:tcW w:w="1560" w:type="dxa"/>
            <w:vAlign w:val="bottom"/>
          </w:tcPr>
          <w:p>
            <w:pPr>
              <w:jc w:val="right"/>
              <w:ind w:right="528"/>
              <w:spacing w:after="0"/>
              <w:rPr>
                <w:sz w:val="20"/>
                <w:szCs w:val="20"/>
                <w:color w:val="auto"/>
              </w:rPr>
            </w:pPr>
            <w:r>
              <w:rPr>
                <w:rFonts w:ascii="Arial" w:cs="Arial" w:eastAsia="Arial" w:hAnsi="Arial"/>
                <w:sz w:val="14"/>
                <w:szCs w:val="14"/>
                <w:color w:val="auto"/>
              </w:rPr>
              <w:t>6.8%</w:t>
            </w:r>
          </w:p>
        </w:tc>
        <w:tc>
          <w:tcPr>
            <w:tcW w:w="1240" w:type="dxa"/>
            <w:vAlign w:val="bottom"/>
          </w:tcPr>
          <w:p>
            <w:pPr>
              <w:jc w:val="right"/>
              <w:ind w:right="68"/>
              <w:spacing w:after="0"/>
              <w:rPr>
                <w:sz w:val="20"/>
                <w:szCs w:val="20"/>
                <w:color w:val="auto"/>
              </w:rPr>
            </w:pPr>
            <w:r>
              <w:rPr>
                <w:rFonts w:ascii="Arial" w:cs="Arial" w:eastAsia="Arial" w:hAnsi="Arial"/>
                <w:sz w:val="14"/>
                <w:szCs w:val="14"/>
                <w:color w:val="auto"/>
              </w:rPr>
              <w:t>$6,473</w:t>
            </w:r>
          </w:p>
        </w:tc>
        <w:tc>
          <w:tcPr>
            <w:tcW w:w="1540" w:type="dxa"/>
            <w:vAlign w:val="bottom"/>
          </w:tcPr>
          <w:p>
            <w:pPr>
              <w:jc w:val="right"/>
              <w:ind w:right="188"/>
              <w:spacing w:after="0"/>
              <w:rPr>
                <w:sz w:val="20"/>
                <w:szCs w:val="20"/>
                <w:color w:val="auto"/>
              </w:rPr>
            </w:pPr>
            <w:r>
              <w:rPr>
                <w:rFonts w:ascii="Arial" w:cs="Arial" w:eastAsia="Arial" w:hAnsi="Arial"/>
                <w:sz w:val="14"/>
                <w:szCs w:val="14"/>
                <w:color w:val="auto"/>
              </w:rPr>
              <w:t>$7,347</w:t>
            </w:r>
          </w:p>
        </w:tc>
        <w:tc>
          <w:tcPr>
            <w:tcW w:w="800" w:type="dxa"/>
            <w:vAlign w:val="bottom"/>
          </w:tcPr>
          <w:p>
            <w:pPr>
              <w:jc w:val="right"/>
              <w:spacing w:after="0"/>
              <w:rPr>
                <w:sz w:val="20"/>
                <w:szCs w:val="20"/>
                <w:color w:val="auto"/>
              </w:rPr>
            </w:pPr>
            <w:r>
              <w:rPr>
                <w:rFonts w:ascii="Arial" w:cs="Arial" w:eastAsia="Arial" w:hAnsi="Arial"/>
                <w:sz w:val="14"/>
                <w:szCs w:val="14"/>
                <w:color w:val="auto"/>
              </w:rPr>
              <w:t>13.5%</w:t>
            </w:r>
          </w:p>
        </w:tc>
      </w:tr>
    </w:tbl>
    <w:p>
      <w:pPr>
        <w:spacing w:after="0" w:line="164" w:lineRule="exact"/>
        <w:rPr>
          <w:sz w:val="20"/>
          <w:szCs w:val="20"/>
          <w:color w:val="auto"/>
        </w:rPr>
      </w:pPr>
    </w:p>
    <w:p>
      <w:pPr>
        <w:jc w:val="both"/>
        <w:spacing w:after="0" w:line="291" w:lineRule="auto"/>
        <w:rPr>
          <w:sz w:val="20"/>
          <w:szCs w:val="20"/>
          <w:color w:val="auto"/>
        </w:rPr>
      </w:pPr>
      <w:r>
        <w:rPr>
          <w:rFonts w:ascii="Arial" w:cs="Arial" w:eastAsia="Arial" w:hAnsi="Arial"/>
          <w:sz w:val="14"/>
          <w:szCs w:val="14"/>
          <w:color w:val="auto"/>
        </w:rPr>
        <w:t>For additional detail on segment revenue and expenses, customer metrics, capital expenditures, and free cash flow, please refer to the trending schedules on Comcast’s Investor Relations website at www.cmcsa.com or www.cmcsk.com.</w:t>
      </w:r>
    </w:p>
    <w:p>
      <w:pPr>
        <w:sectPr>
          <w:pgSz w:w="11900" w:h="16953" w:orient="portrait"/>
          <w:cols w:equalWidth="0" w:num="1">
            <w:col w:w="11420"/>
          </w:cols>
          <w:pgMar w:left="240" w:top="114" w:right="239" w:bottom="0" w:gutter="0" w:footer="0" w:header="0"/>
        </w:sectPr>
      </w:pPr>
    </w:p>
    <w:p>
      <w:pPr>
        <w:spacing w:after="0" w:line="329" w:lineRule="exact"/>
        <w:rPr>
          <w:sz w:val="20"/>
          <w:szCs w:val="20"/>
          <w:color w:val="auto"/>
        </w:rPr>
      </w:pPr>
    </w:p>
    <w:p>
      <w:pPr>
        <w:jc w:val="both"/>
        <w:spacing w:after="0" w:line="260" w:lineRule="auto"/>
        <w:rPr>
          <w:sz w:val="20"/>
          <w:szCs w:val="20"/>
          <w:color w:val="auto"/>
        </w:rPr>
      </w:pPr>
      <w:r>
        <w:rPr>
          <w:rFonts w:ascii="Arial" w:cs="Arial" w:eastAsia="Arial" w:hAnsi="Arial"/>
          <w:sz w:val="18"/>
          <w:szCs w:val="18"/>
          <w:b w:val="1"/>
          <w:bCs w:val="1"/>
          <w:i w:val="1"/>
          <w:iCs w:val="1"/>
          <w:color w:val="auto"/>
        </w:rPr>
        <w:t xml:space="preserve">Consolidated Revenue </w:t>
      </w:r>
      <w:r>
        <w:rPr>
          <w:rFonts w:ascii="Arial" w:cs="Arial" w:eastAsia="Arial" w:hAnsi="Arial"/>
          <w:sz w:val="18"/>
          <w:szCs w:val="18"/>
          <w:color w:val="auto"/>
        </w:rPr>
        <w:t>for the third quarter of 2015 increased 11.2% to $18.7 billion.</w:t>
      </w:r>
      <w:r>
        <w:rPr>
          <w:rFonts w:ascii="Arial" w:cs="Arial" w:eastAsia="Arial" w:hAnsi="Arial"/>
          <w:sz w:val="18"/>
          <w:szCs w:val="18"/>
          <w:b w:val="1"/>
          <w:bCs w:val="1"/>
          <w:i w:val="1"/>
          <w:iCs w:val="1"/>
          <w:color w:val="auto"/>
        </w:rPr>
        <w:t xml:space="preserve"> Consolidated Operating Cash Flow </w:t>
      </w:r>
      <w:r>
        <w:rPr>
          <w:rFonts w:ascii="Arial" w:cs="Arial" w:eastAsia="Arial" w:hAnsi="Arial"/>
          <w:sz w:val="18"/>
          <w:szCs w:val="18"/>
          <w:color w:val="auto"/>
        </w:rPr>
        <w:t>increased 8.4%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$6.2 billion. Excluding $77 million of Time Warner Cable and Charter transaction-related costs in the third quarter of 2014, consolidated operating cash flow increased 7.0% (see Table 5). </w:t>
      </w:r>
      <w:r>
        <w:rPr>
          <w:rFonts w:ascii="Arial" w:cs="Arial" w:eastAsia="Arial" w:hAnsi="Arial"/>
          <w:sz w:val="18"/>
          <w:szCs w:val="18"/>
          <w:b w:val="1"/>
          <w:bCs w:val="1"/>
          <w:i w:val="1"/>
          <w:iCs w:val="1"/>
          <w:color w:val="auto"/>
        </w:rPr>
        <w:t>Consolidated Operating Income</w:t>
      </w:r>
      <w:r>
        <w:rPr>
          <w:rFonts w:ascii="Arial" w:cs="Arial" w:eastAsia="Arial" w:hAnsi="Arial"/>
          <w:sz w:val="18"/>
          <w:szCs w:val="18"/>
          <w:color w:val="auto"/>
        </w:rPr>
        <w:t xml:space="preserve"> increased 6.9% to $4.0 billion.</w:t>
      </w:r>
    </w:p>
    <w:p>
      <w:pPr>
        <w:sectPr>
          <w:pgSz w:w="11900" w:h="16953" w:orient="portrait"/>
          <w:cols w:equalWidth="0" w:num="1">
            <w:col w:w="11420"/>
          </w:cols>
          <w:pgMar w:left="240" w:top="114" w:right="239" w:bottom="0" w:gutter="0" w:footer="0" w:header="0"/>
          <w:type w:val="continuous"/>
        </w:sectPr>
      </w:pPr>
    </w:p>
    <w:bookmarkStart w:id="3" w:name="page4"/>
    <w:bookmarkEnd w:id="3"/>
    <w:p>
      <w:pPr>
        <w:jc w:val="both"/>
        <w:spacing w:after="0" w:line="248" w:lineRule="auto"/>
        <w:rPr>
          <w:sz w:val="20"/>
          <w:szCs w:val="20"/>
          <w:color w:val="auto"/>
        </w:rPr>
      </w:pPr>
      <w:r>
        <w:rPr>
          <w:rFonts w:ascii="Arial" w:cs="Arial" w:eastAsia="Arial" w:hAnsi="Arial"/>
          <w:sz w:val="18"/>
          <w:szCs w:val="18"/>
          <w:color w:val="auto"/>
        </w:rPr>
        <w:t>For the nine months ended September 30, 2015, consolidated revenue increased 8.3% to $55.3 billion. Consolidated operating cash flow increased 8.0% to $18.4 billion. Excluding $178 million of transaction-related costs in the first nine months of 2015 and $138 million in the first nine months of 2014, consolidated operating cash flow increased 8.2% (see Table 5). Consolidated operating income increased 7.9% to $12.0 billion.</w:t>
      </w:r>
    </w:p>
    <w:p>
      <w:pPr>
        <w:spacing w:after="0" w:line="15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 xml:space="preserve">Earnings per Share (EPS) </w:t>
      </w:r>
      <w:r>
        <w:rPr>
          <w:rFonts w:ascii="Arial" w:cs="Arial" w:eastAsia="Arial" w:hAnsi="Arial"/>
          <w:sz w:val="18"/>
          <w:szCs w:val="18"/>
          <w:color w:val="auto"/>
        </w:rPr>
        <w:t>for the third quarter of 2015 was $0.80, a 19.2% decrease from the $0.99 reported in the third quarter of 2014,</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which included a $ 724 million, or $0.28, benefit due to favorable income tax adjustments. Excluding income tax adjustments and transaction-related costs in the third quarter of 2014, EPS increased 9.6% to $0.80 (see Table 4).</w:t>
      </w:r>
    </w:p>
    <w:p>
      <w:pPr>
        <w:spacing w:after="0" w:line="151" w:lineRule="exact"/>
        <w:rPr>
          <w:sz w:val="20"/>
          <w:szCs w:val="20"/>
          <w:color w:val="auto"/>
        </w:rPr>
      </w:pPr>
    </w:p>
    <w:p>
      <w:pPr>
        <w:jc w:val="both"/>
        <w:ind w:right="20"/>
        <w:spacing w:after="0" w:line="276" w:lineRule="auto"/>
        <w:rPr>
          <w:sz w:val="20"/>
          <w:szCs w:val="20"/>
          <w:color w:val="auto"/>
        </w:rPr>
      </w:pPr>
      <w:r>
        <w:rPr>
          <w:rFonts w:ascii="Arial" w:cs="Arial" w:eastAsia="Arial" w:hAnsi="Arial"/>
          <w:sz w:val="18"/>
          <w:szCs w:val="18"/>
          <w:color w:val="auto"/>
        </w:rPr>
        <w:t>EPS for the nine months ended September 30, 2015 was $2.45, a 0.4% decrease from the $2.46 reported in the prior year. Excluding adjustments in the first nine months of 2015 and 2014, EPS increased 12.0% to $2.43 (see Table 4).</w:t>
      </w:r>
    </w:p>
    <w:p>
      <w:pPr>
        <w:spacing w:after="0" w:line="334" w:lineRule="exact"/>
        <w:rPr>
          <w:sz w:val="20"/>
          <w:szCs w:val="20"/>
          <w:color w:val="auto"/>
        </w:rPr>
      </w:pPr>
    </w:p>
    <w:p>
      <w:pPr>
        <w:jc w:val="both"/>
        <w:spacing w:after="0" w:line="245" w:lineRule="auto"/>
        <w:rPr>
          <w:sz w:val="20"/>
          <w:szCs w:val="20"/>
          <w:color w:val="auto"/>
        </w:rPr>
      </w:pPr>
      <w:r>
        <w:rPr>
          <w:rFonts w:ascii="Arial" w:cs="Arial" w:eastAsia="Arial" w:hAnsi="Arial"/>
          <w:sz w:val="18"/>
          <w:szCs w:val="18"/>
          <w:b w:val="1"/>
          <w:bCs w:val="1"/>
          <w:i w:val="1"/>
          <w:iCs w:val="1"/>
          <w:color w:val="auto"/>
        </w:rPr>
        <w:t xml:space="preserve">Capital Expenditures </w:t>
      </w:r>
      <w:r>
        <w:rPr>
          <w:rFonts w:ascii="Arial" w:cs="Arial" w:eastAsia="Arial" w:hAnsi="Arial"/>
          <w:sz w:val="18"/>
          <w:szCs w:val="18"/>
          <w:color w:val="auto"/>
        </w:rPr>
        <w:t>increased 11.0% to $2.2 billion in the third quarter of 2015 compared to the third quarter of 2014. Cable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Communications’ capital expenditures increased 12.6% to $1.9 billion in the third quarter of 2015, primarily reflecting increased spending on customer premise equipment related to the deployment of the X1 platform and wireless gateways and our ongoing investment to expand business services. Cable capital expenditures represented 15.8% of Cable revenue in the third quarter of 2015 compared to 14.9% in last year’s third quarter. NBCUniversal’s capital expenditures decreased 2.2% to $289 million in the third quarter of 2015.</w:t>
      </w:r>
    </w:p>
    <w:p>
      <w:pPr>
        <w:spacing w:after="0" w:line="15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the nine months ended September 30, 2015, capital expenditures increased 12.8% to $5.9 billion compared to the prior year. Cable Communications capital expenditures increased $690 million, or 16.1%, to $5.0 billion and represented 14.2% of Cable revenue compared to 13.0% in 2014. NBCUniversal’s capital expenditures decreased $55 million, or 6.2%, to $829 million for the first nine months of 2015.</w:t>
      </w:r>
    </w:p>
    <w:p>
      <w:pPr>
        <w:spacing w:after="0" w:line="35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 xml:space="preserve">Free Cash Flow </w:t>
      </w:r>
      <w:r>
        <w:rPr>
          <w:rFonts w:ascii="Arial" w:cs="Arial" w:eastAsia="Arial" w:hAnsi="Arial"/>
          <w:sz w:val="18"/>
          <w:szCs w:val="18"/>
          <w:color w:val="auto"/>
        </w:rPr>
        <w:t>increased 6.8% to $ 2.7 billion in the third quarter of 2015 compared to $2.5 billion in the third quarter of 2014, reflecting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growth in consolidated operating cash flow, partially offset by higher capital expenditures and cash taxes. Free cash flow for the nine months ended September 30, 2015 increased 13.5% to $7.3 billion compared to $6.5 billion in 2014.</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100" w:type="dxa"/>
            <w:vAlign w:val="bottom"/>
          </w:tcPr>
          <w:p>
            <w:pPr>
              <w:jc w:val="right"/>
              <w:ind w:right="168"/>
              <w:spacing w:after="0"/>
              <w:rPr>
                <w:sz w:val="20"/>
                <w:szCs w:val="20"/>
                <w:color w:val="auto"/>
              </w:rPr>
            </w:pPr>
            <w:r>
              <w:rPr>
                <w:rFonts w:ascii="Arial" w:cs="Arial" w:eastAsia="Arial" w:hAnsi="Arial"/>
                <w:sz w:val="14"/>
                <w:szCs w:val="14"/>
                <w:color w:val="auto"/>
              </w:rPr>
              <w:t>3rd Quarter</w:t>
            </w:r>
          </w:p>
        </w:tc>
        <w:tc>
          <w:tcPr>
            <w:tcW w:w="10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100" w:type="dxa"/>
            <w:vAlign w:val="bottom"/>
          </w:tcPr>
          <w:p>
            <w:pPr>
              <w:jc w:val="right"/>
              <w:ind w:right="128"/>
              <w:spacing w:after="0"/>
              <w:rPr>
                <w:sz w:val="20"/>
                <w:szCs w:val="20"/>
                <w:color w:val="auto"/>
              </w:rPr>
            </w:pPr>
            <w:r>
              <w:rPr>
                <w:rFonts w:ascii="Arial" w:cs="Arial" w:eastAsia="Arial" w:hAnsi="Arial"/>
                <w:sz w:val="14"/>
                <w:szCs w:val="14"/>
                <w:color w:val="auto"/>
              </w:rPr>
              <w:t>Year to Date</w:t>
            </w:r>
          </w:p>
        </w:tc>
        <w:tc>
          <w:tcPr>
            <w:tcW w:w="720" w:type="dxa"/>
            <w:vAlign w:val="bottom"/>
          </w:tcPr>
          <w:p>
            <w:pPr>
              <w:spacing w:after="0"/>
              <w:rPr>
                <w:sz w:val="16"/>
                <w:szCs w:val="16"/>
                <w:color w:val="auto"/>
              </w:rPr>
            </w:pPr>
          </w:p>
        </w:tc>
      </w:tr>
      <w:tr>
        <w:trPr>
          <w:trHeight w:val="204"/>
        </w:trPr>
        <w:tc>
          <w:tcPr>
            <w:tcW w:w="5280" w:type="dxa"/>
            <w:vAlign w:val="bottom"/>
          </w:tcPr>
          <w:p>
            <w:pPr>
              <w:ind w:left="40"/>
              <w:spacing w:after="0"/>
              <w:rPr>
                <w:sz w:val="20"/>
                <w:szCs w:val="20"/>
                <w:color w:val="auto"/>
              </w:rPr>
            </w:pPr>
            <w:r>
              <w:rPr>
                <w:rFonts w:ascii="Arial" w:cs="Arial" w:eastAsia="Arial" w:hAnsi="Arial"/>
                <w:sz w:val="11"/>
                <w:szCs w:val="11"/>
                <w:i w:val="1"/>
                <w:iCs w:val="1"/>
                <w:color w:val="auto"/>
              </w:rPr>
              <w:t>($ in millions)</w:t>
            </w: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2014</w:t>
            </w:r>
          </w:p>
        </w:tc>
        <w:tc>
          <w:tcPr>
            <w:tcW w:w="1100" w:type="dxa"/>
            <w:vAlign w:val="bottom"/>
          </w:tcPr>
          <w:p>
            <w:pPr>
              <w:jc w:val="right"/>
              <w:ind w:right="188"/>
              <w:spacing w:after="0"/>
              <w:rPr>
                <w:sz w:val="20"/>
                <w:szCs w:val="20"/>
                <w:color w:val="auto"/>
              </w:rPr>
            </w:pPr>
            <w:r>
              <w:rPr>
                <w:rFonts w:ascii="Arial" w:cs="Arial" w:eastAsia="Arial" w:hAnsi="Arial"/>
                <w:sz w:val="14"/>
                <w:szCs w:val="14"/>
                <w:color w:val="auto"/>
              </w:rPr>
              <w:t>2015</w:t>
            </w:r>
          </w:p>
        </w:tc>
        <w:tc>
          <w:tcPr>
            <w:tcW w:w="1080" w:type="dxa"/>
            <w:vAlign w:val="bottom"/>
          </w:tcPr>
          <w:p>
            <w:pPr>
              <w:jc w:val="right"/>
              <w:ind w:right="288"/>
              <w:spacing w:after="0"/>
              <w:rPr>
                <w:sz w:val="20"/>
                <w:szCs w:val="20"/>
                <w:color w:val="auto"/>
              </w:rPr>
            </w:pPr>
            <w:r>
              <w:rPr>
                <w:rFonts w:ascii="Arial" w:cs="Arial" w:eastAsia="Arial" w:hAnsi="Arial"/>
                <w:sz w:val="14"/>
                <w:szCs w:val="14"/>
                <w:color w:val="auto"/>
              </w:rPr>
              <w:t>Growth</w:t>
            </w: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2014</w:t>
            </w:r>
          </w:p>
        </w:tc>
        <w:tc>
          <w:tcPr>
            <w:tcW w:w="1100" w:type="dxa"/>
            <w:vAlign w:val="bottom"/>
          </w:tcPr>
          <w:p>
            <w:pPr>
              <w:jc w:val="right"/>
              <w:ind w:right="168"/>
              <w:spacing w:after="0"/>
              <w:rPr>
                <w:sz w:val="20"/>
                <w:szCs w:val="20"/>
                <w:color w:val="auto"/>
              </w:rPr>
            </w:pPr>
            <w:r>
              <w:rPr>
                <w:rFonts w:ascii="Arial" w:cs="Arial" w:eastAsia="Arial" w:hAnsi="Arial"/>
                <w:sz w:val="14"/>
                <w:szCs w:val="14"/>
                <w:color w:val="auto"/>
              </w:rPr>
              <w:t>2015</w:t>
            </w:r>
          </w:p>
        </w:tc>
        <w:tc>
          <w:tcPr>
            <w:tcW w:w="720" w:type="dxa"/>
            <w:vAlign w:val="bottom"/>
          </w:tcPr>
          <w:p>
            <w:pPr>
              <w:jc w:val="right"/>
              <w:spacing w:after="0"/>
              <w:rPr>
                <w:sz w:val="20"/>
                <w:szCs w:val="20"/>
                <w:color w:val="auto"/>
              </w:rPr>
            </w:pPr>
            <w:r>
              <w:rPr>
                <w:rFonts w:ascii="Arial" w:cs="Arial" w:eastAsia="Arial" w:hAnsi="Arial"/>
                <w:sz w:val="14"/>
                <w:szCs w:val="14"/>
                <w:color w:val="auto"/>
              </w:rPr>
              <w:t>Growth</w:t>
            </w:r>
          </w:p>
        </w:tc>
      </w:tr>
      <w:tr>
        <w:trPr>
          <w:trHeight w:val="27"/>
        </w:trPr>
        <w:tc>
          <w:tcPr>
            <w:tcW w:w="5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03"/>
        </w:trPr>
        <w:tc>
          <w:tcPr>
            <w:tcW w:w="52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Operating Cash Flow</w:t>
            </w:r>
          </w:p>
        </w:tc>
        <w:tc>
          <w:tcPr>
            <w:tcW w:w="11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$5,704</w:t>
            </w:r>
          </w:p>
        </w:tc>
        <w:tc>
          <w:tcPr>
            <w:tcW w:w="11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$6,184</w:t>
            </w:r>
          </w:p>
        </w:tc>
        <w:tc>
          <w:tcPr>
            <w:tcW w:w="10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8.4%</w:t>
            </w: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$17,046</w:t>
            </w:r>
          </w:p>
        </w:tc>
        <w:tc>
          <w:tcPr>
            <w:tcW w:w="11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$18,406</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8.0%</w:t>
            </w:r>
          </w:p>
        </w:tc>
      </w:tr>
      <w:tr>
        <w:trPr>
          <w:trHeight w:val="196"/>
        </w:trPr>
        <w:tc>
          <w:tcPr>
            <w:tcW w:w="52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Capital Expenditures</w:t>
            </w:r>
          </w:p>
        </w:tc>
        <w:tc>
          <w:tcPr>
            <w:tcW w:w="11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(1,950)</w:t>
            </w:r>
          </w:p>
        </w:tc>
        <w:tc>
          <w:tcPr>
            <w:tcW w:w="11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(2,165)</w:t>
            </w:r>
          </w:p>
        </w:tc>
        <w:tc>
          <w:tcPr>
            <w:tcW w:w="10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11.0%</w:t>
            </w: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(5,196)</w:t>
            </w:r>
          </w:p>
        </w:tc>
        <w:tc>
          <w:tcPr>
            <w:tcW w:w="11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(5,862)</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12.8%</w:t>
            </w:r>
          </w:p>
        </w:tc>
      </w:tr>
      <w:tr>
        <w:trPr>
          <w:trHeight w:val="196"/>
        </w:trPr>
        <w:tc>
          <w:tcPr>
            <w:tcW w:w="52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Cash Paid for Capitalized Software and Other Intangible Assets</w:t>
            </w:r>
          </w:p>
        </w:tc>
        <w:tc>
          <w:tcPr>
            <w:tcW w:w="11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(258)</w:t>
            </w:r>
          </w:p>
        </w:tc>
        <w:tc>
          <w:tcPr>
            <w:tcW w:w="11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(316)</w:t>
            </w:r>
          </w:p>
        </w:tc>
        <w:tc>
          <w:tcPr>
            <w:tcW w:w="10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22.5%</w:t>
            </w: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(735)</w:t>
            </w:r>
          </w:p>
        </w:tc>
        <w:tc>
          <w:tcPr>
            <w:tcW w:w="11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(916)</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24.6%</w:t>
            </w:r>
          </w:p>
        </w:tc>
      </w:tr>
      <w:tr>
        <w:trPr>
          <w:trHeight w:val="196"/>
        </w:trPr>
        <w:tc>
          <w:tcPr>
            <w:tcW w:w="52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Cash Interest Expense</w:t>
            </w:r>
          </w:p>
        </w:tc>
        <w:tc>
          <w:tcPr>
            <w:tcW w:w="11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(656)</w:t>
            </w:r>
          </w:p>
        </w:tc>
        <w:tc>
          <w:tcPr>
            <w:tcW w:w="11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(673)</w:t>
            </w:r>
          </w:p>
        </w:tc>
        <w:tc>
          <w:tcPr>
            <w:tcW w:w="10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2.6%</w:t>
            </w: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(1,820)</w:t>
            </w:r>
          </w:p>
        </w:tc>
        <w:tc>
          <w:tcPr>
            <w:tcW w:w="11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(1,914)</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w:t>
            </w:r>
          </w:p>
        </w:tc>
      </w:tr>
      <w:tr>
        <w:trPr>
          <w:trHeight w:val="196"/>
        </w:trPr>
        <w:tc>
          <w:tcPr>
            <w:tcW w:w="52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Cash Taxes on Operating Items (Including Economic Stimulus Packages)</w:t>
            </w:r>
          </w:p>
        </w:tc>
        <w:tc>
          <w:tcPr>
            <w:tcW w:w="11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(1,020)</w:t>
            </w:r>
          </w:p>
        </w:tc>
        <w:tc>
          <w:tcPr>
            <w:tcW w:w="11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(1,116)</w:t>
            </w:r>
          </w:p>
        </w:tc>
        <w:tc>
          <w:tcPr>
            <w:tcW w:w="10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9.4%</w:t>
            </w: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(3,179)</w:t>
            </w:r>
          </w:p>
        </w:tc>
        <w:tc>
          <w:tcPr>
            <w:tcW w:w="11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(3,405)</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w:t>
            </w:r>
          </w:p>
        </w:tc>
      </w:tr>
      <w:tr>
        <w:trPr>
          <w:trHeight w:val="196"/>
        </w:trPr>
        <w:tc>
          <w:tcPr>
            <w:tcW w:w="52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Changes in Operating Assets and Liabilities</w:t>
            </w:r>
          </w:p>
        </w:tc>
        <w:tc>
          <w:tcPr>
            <w:tcW w:w="11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412</w:t>
            </w:r>
          </w:p>
        </w:tc>
        <w:tc>
          <w:tcPr>
            <w:tcW w:w="11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412</w:t>
            </w:r>
          </w:p>
        </w:tc>
        <w:tc>
          <w:tcPr>
            <w:tcW w:w="10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0.0%</w:t>
            </w: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(493)</w:t>
            </w:r>
          </w:p>
        </w:tc>
        <w:tc>
          <w:tcPr>
            <w:tcW w:w="11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108</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NM</w:t>
            </w:r>
          </w:p>
        </w:tc>
      </w:tr>
      <w:tr>
        <w:trPr>
          <w:trHeight w:val="196"/>
        </w:trPr>
        <w:tc>
          <w:tcPr>
            <w:tcW w:w="52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Noncash Share-Based Compensation</w:t>
            </w:r>
          </w:p>
        </w:tc>
        <w:tc>
          <w:tcPr>
            <w:tcW w:w="11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120</w:t>
            </w:r>
          </w:p>
        </w:tc>
        <w:tc>
          <w:tcPr>
            <w:tcW w:w="11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136</w:t>
            </w:r>
          </w:p>
        </w:tc>
        <w:tc>
          <w:tcPr>
            <w:tcW w:w="10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13.3%</w:t>
            </w: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386</w:t>
            </w:r>
          </w:p>
        </w:tc>
        <w:tc>
          <w:tcPr>
            <w:tcW w:w="11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430</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11.4%</w:t>
            </w:r>
          </w:p>
        </w:tc>
      </w:tr>
      <w:tr>
        <w:trPr>
          <w:trHeight w:val="183"/>
        </w:trPr>
        <w:tc>
          <w:tcPr>
            <w:tcW w:w="5280" w:type="dxa"/>
            <w:vAlign w:val="bottom"/>
          </w:tcPr>
          <w:p>
            <w:pPr>
              <w:ind w:left="40"/>
              <w:spacing w:after="0"/>
              <w:rPr>
                <w:sz w:val="20"/>
                <w:szCs w:val="20"/>
                <w:color w:val="auto"/>
              </w:rPr>
            </w:pPr>
            <w:r>
              <w:rPr>
                <w:rFonts w:ascii="Arial" w:cs="Arial" w:eastAsia="Arial" w:hAnsi="Arial"/>
                <w:sz w:val="14"/>
                <w:szCs w:val="14"/>
                <w:color w:val="auto"/>
              </w:rPr>
              <w:t>Distributions to Noncontrolling Interests and Dividends for</w:t>
            </w: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(53)</w:t>
            </w:r>
          </w:p>
        </w:tc>
        <w:tc>
          <w:tcPr>
            <w:tcW w:w="1100" w:type="dxa"/>
            <w:vAlign w:val="bottom"/>
          </w:tcPr>
          <w:p>
            <w:pPr>
              <w:jc w:val="right"/>
              <w:ind w:right="188"/>
              <w:spacing w:after="0"/>
              <w:rPr>
                <w:sz w:val="20"/>
                <w:szCs w:val="20"/>
                <w:color w:val="auto"/>
              </w:rPr>
            </w:pPr>
            <w:r>
              <w:rPr>
                <w:rFonts w:ascii="Arial" w:cs="Arial" w:eastAsia="Arial" w:hAnsi="Arial"/>
                <w:sz w:val="14"/>
                <w:szCs w:val="14"/>
                <w:color w:val="auto"/>
              </w:rPr>
              <w:t>(64)</w:t>
            </w:r>
          </w:p>
        </w:tc>
        <w:tc>
          <w:tcPr>
            <w:tcW w:w="1080" w:type="dxa"/>
            <w:vAlign w:val="bottom"/>
          </w:tcPr>
          <w:p>
            <w:pPr>
              <w:jc w:val="right"/>
              <w:ind w:right="288"/>
              <w:spacing w:after="0"/>
              <w:rPr>
                <w:sz w:val="20"/>
                <w:szCs w:val="20"/>
                <w:color w:val="auto"/>
              </w:rPr>
            </w:pPr>
            <w:r>
              <w:rPr>
                <w:rFonts w:ascii="Arial" w:cs="Arial" w:eastAsia="Arial" w:hAnsi="Arial"/>
                <w:sz w:val="14"/>
                <w:szCs w:val="14"/>
                <w:color w:val="auto"/>
              </w:rPr>
              <w:t>20.8%</w:t>
            </w: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(170)</w:t>
            </w:r>
          </w:p>
        </w:tc>
        <w:tc>
          <w:tcPr>
            <w:tcW w:w="1100" w:type="dxa"/>
            <w:vAlign w:val="bottom"/>
          </w:tcPr>
          <w:p>
            <w:pPr>
              <w:jc w:val="right"/>
              <w:ind w:right="168"/>
              <w:spacing w:after="0"/>
              <w:rPr>
                <w:sz w:val="20"/>
                <w:szCs w:val="20"/>
                <w:color w:val="auto"/>
              </w:rPr>
            </w:pPr>
            <w:r>
              <w:rPr>
                <w:rFonts w:ascii="Arial" w:cs="Arial" w:eastAsia="Arial" w:hAnsi="Arial"/>
                <w:sz w:val="14"/>
                <w:szCs w:val="14"/>
                <w:color w:val="auto"/>
              </w:rPr>
              <w:t>(178)</w:t>
            </w:r>
          </w:p>
        </w:tc>
        <w:tc>
          <w:tcPr>
            <w:tcW w:w="720" w:type="dxa"/>
            <w:vAlign w:val="bottom"/>
          </w:tcPr>
          <w:p>
            <w:pPr>
              <w:jc w:val="right"/>
              <w:spacing w:after="0"/>
              <w:rPr>
                <w:sz w:val="20"/>
                <w:szCs w:val="20"/>
                <w:color w:val="auto"/>
              </w:rPr>
            </w:pPr>
            <w:r>
              <w:rPr>
                <w:rFonts w:ascii="Arial" w:cs="Arial" w:eastAsia="Arial" w:hAnsi="Arial"/>
                <w:sz w:val="14"/>
                <w:szCs w:val="14"/>
                <w:color w:val="auto"/>
              </w:rPr>
              <w:t>4.7%</w:t>
            </w:r>
          </w:p>
        </w:tc>
      </w:tr>
      <w:tr>
        <w:trPr>
          <w:trHeight w:val="175"/>
        </w:trPr>
        <w:tc>
          <w:tcPr>
            <w:tcW w:w="52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Redeemable Subsidiary Preferred Stock</w:t>
            </w:r>
          </w:p>
        </w:tc>
        <w:tc>
          <w:tcPr>
            <w:tcW w:w="11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r>
      <w:tr>
        <w:trPr>
          <w:trHeight w:val="196"/>
        </w:trPr>
        <w:tc>
          <w:tcPr>
            <w:tcW w:w="52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Other</w:t>
            </w:r>
          </w:p>
        </w:tc>
        <w:tc>
          <w:tcPr>
            <w:tcW w:w="11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33</w:t>
            </w:r>
          </w:p>
        </w:tc>
        <w:tc>
          <w:tcPr>
            <w:tcW w:w="11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98</w:t>
            </w:r>
          </w:p>
        </w:tc>
        <w:tc>
          <w:tcPr>
            <w:tcW w:w="10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197.0%</w:t>
            </w: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151</w:t>
            </w:r>
          </w:p>
        </w:tc>
        <w:tc>
          <w:tcPr>
            <w:tcW w:w="11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177</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17.2%</w:t>
            </w:r>
          </w:p>
        </w:tc>
      </w:tr>
      <w:tr>
        <w:trPr>
          <w:trHeight w:val="196"/>
        </w:trPr>
        <w:tc>
          <w:tcPr>
            <w:tcW w:w="52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Free Cash Flow (Including Economic Stimulus Packages)</w:t>
            </w:r>
          </w:p>
        </w:tc>
        <w:tc>
          <w:tcPr>
            <w:tcW w:w="11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$2,332</w:t>
            </w:r>
          </w:p>
        </w:tc>
        <w:tc>
          <w:tcPr>
            <w:tcW w:w="11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$2,496</w:t>
            </w:r>
          </w:p>
        </w:tc>
        <w:tc>
          <w:tcPr>
            <w:tcW w:w="10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7.0%</w:t>
            </w: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$5,990</w:t>
            </w:r>
          </w:p>
        </w:tc>
        <w:tc>
          <w:tcPr>
            <w:tcW w:w="11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$6,846</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14.3%</w:t>
            </w:r>
          </w:p>
        </w:tc>
      </w:tr>
      <w:tr>
        <w:trPr>
          <w:trHeight w:val="196"/>
        </w:trPr>
        <w:tc>
          <w:tcPr>
            <w:tcW w:w="52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Economic Stimulus Packages</w:t>
            </w:r>
          </w:p>
        </w:tc>
        <w:tc>
          <w:tcPr>
            <w:tcW w:w="11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162</w:t>
            </w:r>
          </w:p>
        </w:tc>
        <w:tc>
          <w:tcPr>
            <w:tcW w:w="11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167</w:t>
            </w:r>
          </w:p>
        </w:tc>
        <w:tc>
          <w:tcPr>
            <w:tcW w:w="10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3.1%</w:t>
            </w: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483</w:t>
            </w:r>
          </w:p>
        </w:tc>
        <w:tc>
          <w:tcPr>
            <w:tcW w:w="11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501</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w:t>
            </w:r>
          </w:p>
        </w:tc>
      </w:tr>
      <w:tr>
        <w:trPr>
          <w:trHeight w:val="196"/>
        </w:trPr>
        <w:tc>
          <w:tcPr>
            <w:tcW w:w="52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Free Cash Flow</w:t>
            </w:r>
            <w:r>
              <w:rPr>
                <w:rFonts w:ascii="Arial" w:cs="Arial" w:eastAsia="Arial" w:hAnsi="Arial"/>
                <w:sz w:val="14"/>
                <w:szCs w:val="14"/>
                <w:b w:val="1"/>
                <w:bCs w:val="1"/>
                <w:color w:val="auto"/>
                <w:vertAlign w:val="superscript"/>
              </w:rPr>
              <w:t>3</w:t>
            </w:r>
          </w:p>
        </w:tc>
        <w:tc>
          <w:tcPr>
            <w:tcW w:w="11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$2,494</w:t>
            </w:r>
          </w:p>
        </w:tc>
        <w:tc>
          <w:tcPr>
            <w:tcW w:w="11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$2,663</w:t>
            </w:r>
          </w:p>
        </w:tc>
        <w:tc>
          <w:tcPr>
            <w:tcW w:w="10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6.8%</w:t>
            </w: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$6,473</w:t>
            </w:r>
          </w:p>
        </w:tc>
        <w:tc>
          <w:tcPr>
            <w:tcW w:w="11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$7,347</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13.5%</w:t>
            </w:r>
          </w:p>
        </w:tc>
      </w:tr>
    </w:tbl>
    <w:p>
      <w:pPr>
        <w:spacing w:after="0" w:line="46" w:lineRule="exact"/>
        <w:rPr>
          <w:sz w:val="20"/>
          <w:szCs w:val="20"/>
          <w:color w:val="auto"/>
        </w:rPr>
      </w:pPr>
    </w:p>
    <w:p>
      <w:pPr>
        <w:spacing w:after="0"/>
        <w:rPr>
          <w:sz w:val="20"/>
          <w:szCs w:val="20"/>
          <w:color w:val="auto"/>
        </w:rPr>
      </w:pPr>
      <w:r>
        <w:rPr>
          <w:rFonts w:ascii="Arial" w:cs="Arial" w:eastAsia="Arial" w:hAnsi="Arial"/>
          <w:sz w:val="13"/>
          <w:szCs w:val="13"/>
          <w:color w:val="auto"/>
        </w:rPr>
        <w:t>NM=comparison not meaningful.</w:t>
      </w:r>
    </w:p>
    <w:p>
      <w:pPr>
        <w:spacing w:after="0" w:line="28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 xml:space="preserve">Dividends and Share Repurchases. </w:t>
      </w:r>
      <w:r>
        <w:rPr>
          <w:rFonts w:ascii="Arial" w:cs="Arial" w:eastAsia="Arial" w:hAnsi="Arial"/>
          <w:sz w:val="18"/>
          <w:szCs w:val="18"/>
          <w:color w:val="auto"/>
        </w:rPr>
        <w:t>During the third quarter of 2015, Comcast paid dividends totaling $623 million and repurchased 37.1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of its common shares for $2.2 billion. In the first nine months of 2015, Comcast has repurchased 99.6 million of its common shares for $5.8 billion. Comcast continues to plan to repurchase a total of $6.75 billion of its common shares during 2015.</w:t>
      </w: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Communications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38735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40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320" w:type="dxa"/>
            <w:vAlign w:val="bottom"/>
          </w:tcPr>
          <w:p>
            <w:pPr>
              <w:jc w:val="right"/>
              <w:ind w:right="328"/>
              <w:spacing w:after="0"/>
              <w:rPr>
                <w:sz w:val="20"/>
                <w:szCs w:val="20"/>
                <w:color w:val="auto"/>
              </w:rPr>
            </w:pPr>
            <w:r>
              <w:rPr>
                <w:rFonts w:ascii="Arial" w:cs="Arial" w:eastAsia="Arial" w:hAnsi="Arial"/>
                <w:sz w:val="14"/>
                <w:szCs w:val="14"/>
                <w:color w:val="auto"/>
              </w:rPr>
              <w:t>3rd Quarter</w:t>
            </w:r>
          </w:p>
        </w:tc>
        <w:tc>
          <w:tcPr>
            <w:tcW w:w="1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80" w:type="dxa"/>
            <w:vAlign w:val="bottom"/>
          </w:tcPr>
          <w:p>
            <w:pPr>
              <w:jc w:val="right"/>
              <w:ind w:right="268"/>
              <w:spacing w:after="0"/>
              <w:rPr>
                <w:sz w:val="20"/>
                <w:szCs w:val="20"/>
                <w:color w:val="auto"/>
              </w:rPr>
            </w:pPr>
            <w:r>
              <w:rPr>
                <w:rFonts w:ascii="Arial" w:cs="Arial" w:eastAsia="Arial" w:hAnsi="Arial"/>
                <w:sz w:val="14"/>
                <w:szCs w:val="14"/>
                <w:color w:val="auto"/>
              </w:rPr>
              <w:t>Year to Date</w:t>
            </w:r>
          </w:p>
        </w:tc>
        <w:tc>
          <w:tcPr>
            <w:tcW w:w="820" w:type="dxa"/>
            <w:vAlign w:val="bottom"/>
          </w:tcPr>
          <w:p>
            <w:pPr>
              <w:spacing w:after="0"/>
              <w:rPr>
                <w:sz w:val="16"/>
                <w:szCs w:val="16"/>
                <w:color w:val="auto"/>
              </w:rPr>
            </w:pPr>
          </w:p>
        </w:tc>
      </w:tr>
      <w:tr>
        <w:trPr>
          <w:trHeight w:val="204"/>
        </w:trPr>
        <w:tc>
          <w:tcPr>
            <w:tcW w:w="4040" w:type="dxa"/>
            <w:vAlign w:val="bottom"/>
          </w:tcPr>
          <w:p>
            <w:pPr>
              <w:ind w:left="40"/>
              <w:spacing w:after="0"/>
              <w:rPr>
                <w:sz w:val="20"/>
                <w:szCs w:val="20"/>
                <w:color w:val="auto"/>
              </w:rPr>
            </w:pPr>
            <w:r>
              <w:rPr>
                <w:rFonts w:ascii="Arial" w:cs="Arial" w:eastAsia="Arial" w:hAnsi="Arial"/>
                <w:sz w:val="11"/>
                <w:szCs w:val="11"/>
                <w:i w:val="1"/>
                <w:iCs w:val="1"/>
                <w:color w:val="auto"/>
              </w:rPr>
              <w:t>($ in millions)</w:t>
            </w:r>
          </w:p>
        </w:tc>
        <w:tc>
          <w:tcPr>
            <w:tcW w:w="1600" w:type="dxa"/>
            <w:vAlign w:val="bottom"/>
          </w:tcPr>
          <w:p>
            <w:pPr>
              <w:jc w:val="right"/>
              <w:ind w:right="88"/>
              <w:spacing w:after="0"/>
              <w:rPr>
                <w:sz w:val="20"/>
                <w:szCs w:val="20"/>
                <w:color w:val="auto"/>
              </w:rPr>
            </w:pPr>
            <w:r>
              <w:rPr>
                <w:rFonts w:ascii="Arial" w:cs="Arial" w:eastAsia="Arial" w:hAnsi="Arial"/>
                <w:sz w:val="14"/>
                <w:szCs w:val="14"/>
                <w:color w:val="auto"/>
              </w:rPr>
              <w:t>2014</w:t>
            </w:r>
          </w:p>
        </w:tc>
        <w:tc>
          <w:tcPr>
            <w:tcW w:w="1320" w:type="dxa"/>
            <w:vAlign w:val="bottom"/>
          </w:tcPr>
          <w:p>
            <w:pPr>
              <w:jc w:val="right"/>
              <w:ind w:right="248"/>
              <w:spacing w:after="0"/>
              <w:rPr>
                <w:sz w:val="20"/>
                <w:szCs w:val="20"/>
                <w:color w:val="auto"/>
              </w:rPr>
            </w:pPr>
            <w:r>
              <w:rPr>
                <w:rFonts w:ascii="Arial" w:cs="Arial" w:eastAsia="Arial" w:hAnsi="Arial"/>
                <w:sz w:val="14"/>
                <w:szCs w:val="14"/>
                <w:color w:val="auto"/>
              </w:rPr>
              <w:t>2015</w:t>
            </w:r>
          </w:p>
        </w:tc>
        <w:tc>
          <w:tcPr>
            <w:tcW w:w="1240" w:type="dxa"/>
            <w:vAlign w:val="bottom"/>
          </w:tcPr>
          <w:p>
            <w:pPr>
              <w:jc w:val="right"/>
              <w:ind w:right="368"/>
              <w:spacing w:after="0"/>
              <w:rPr>
                <w:sz w:val="20"/>
                <w:szCs w:val="20"/>
                <w:color w:val="auto"/>
              </w:rPr>
            </w:pPr>
            <w:r>
              <w:rPr>
                <w:rFonts w:ascii="Arial" w:cs="Arial" w:eastAsia="Arial" w:hAnsi="Arial"/>
                <w:sz w:val="14"/>
                <w:szCs w:val="14"/>
                <w:color w:val="auto"/>
              </w:rPr>
              <w:t>Growth</w:t>
            </w: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2014</w:t>
            </w:r>
          </w:p>
        </w:tc>
        <w:tc>
          <w:tcPr>
            <w:tcW w:w="1280" w:type="dxa"/>
            <w:vAlign w:val="bottom"/>
          </w:tcPr>
          <w:p>
            <w:pPr>
              <w:jc w:val="right"/>
              <w:ind w:right="228"/>
              <w:spacing w:after="0"/>
              <w:rPr>
                <w:sz w:val="20"/>
                <w:szCs w:val="20"/>
                <w:color w:val="auto"/>
              </w:rPr>
            </w:pPr>
            <w:r>
              <w:rPr>
                <w:rFonts w:ascii="Arial" w:cs="Arial" w:eastAsia="Arial" w:hAnsi="Arial"/>
                <w:sz w:val="14"/>
                <w:szCs w:val="14"/>
                <w:color w:val="auto"/>
              </w:rPr>
              <w:t>2015</w:t>
            </w:r>
          </w:p>
        </w:tc>
        <w:tc>
          <w:tcPr>
            <w:tcW w:w="820" w:type="dxa"/>
            <w:vAlign w:val="bottom"/>
          </w:tcPr>
          <w:p>
            <w:pPr>
              <w:jc w:val="right"/>
              <w:spacing w:after="0"/>
              <w:rPr>
                <w:sz w:val="20"/>
                <w:szCs w:val="20"/>
                <w:color w:val="auto"/>
              </w:rPr>
            </w:pPr>
            <w:r>
              <w:rPr>
                <w:rFonts w:ascii="Arial" w:cs="Arial" w:eastAsia="Arial" w:hAnsi="Arial"/>
                <w:sz w:val="14"/>
                <w:szCs w:val="14"/>
                <w:color w:val="auto"/>
              </w:rPr>
              <w:t>Growth</w:t>
            </w:r>
          </w:p>
        </w:tc>
      </w:tr>
      <w:tr>
        <w:trPr>
          <w:trHeight w:val="27"/>
        </w:trPr>
        <w:tc>
          <w:tcPr>
            <w:tcW w:w="40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03"/>
        </w:trPr>
        <w:tc>
          <w:tcPr>
            <w:tcW w:w="40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Cable Communications Revenue</w:t>
            </w:r>
          </w:p>
        </w:tc>
        <w:tc>
          <w:tcPr>
            <w:tcW w:w="16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r>
      <w:tr>
        <w:trPr>
          <w:trHeight w:val="196"/>
        </w:trPr>
        <w:tc>
          <w:tcPr>
            <w:tcW w:w="40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Video</w:t>
            </w:r>
          </w:p>
        </w:tc>
        <w:tc>
          <w:tcPr>
            <w:tcW w:w="16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$5,179</w:t>
            </w:r>
          </w:p>
        </w:tc>
        <w:tc>
          <w:tcPr>
            <w:tcW w:w="13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$5,348</w:t>
            </w:r>
          </w:p>
        </w:tc>
        <w:tc>
          <w:tcPr>
            <w:tcW w:w="124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color w:val="auto"/>
              </w:rPr>
              <w:t>3.3%</w:t>
            </w:r>
          </w:p>
        </w:tc>
        <w:tc>
          <w:tcPr>
            <w:tcW w:w="11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$15,596</w:t>
            </w:r>
          </w:p>
        </w:tc>
        <w:tc>
          <w:tcPr>
            <w:tcW w:w="12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$16,110</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w:t>
            </w:r>
          </w:p>
        </w:tc>
      </w:tr>
      <w:tr>
        <w:trPr>
          <w:trHeight w:val="196"/>
        </w:trPr>
        <w:tc>
          <w:tcPr>
            <w:tcW w:w="40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High-Speed Internet</w:t>
            </w:r>
          </w:p>
        </w:tc>
        <w:tc>
          <w:tcPr>
            <w:tcW w:w="16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2,840</w:t>
            </w:r>
          </w:p>
        </w:tc>
        <w:tc>
          <w:tcPr>
            <w:tcW w:w="13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3,129</w:t>
            </w:r>
          </w:p>
        </w:tc>
        <w:tc>
          <w:tcPr>
            <w:tcW w:w="124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color w:val="auto"/>
              </w:rPr>
              <w:t>10.2%</w:t>
            </w:r>
          </w:p>
        </w:tc>
        <w:tc>
          <w:tcPr>
            <w:tcW w:w="11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8,409</w:t>
            </w:r>
          </w:p>
        </w:tc>
        <w:tc>
          <w:tcPr>
            <w:tcW w:w="12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9,274</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10.3%</w:t>
            </w:r>
          </w:p>
        </w:tc>
      </w:tr>
      <w:tr>
        <w:trPr>
          <w:trHeight w:val="196"/>
        </w:trPr>
        <w:tc>
          <w:tcPr>
            <w:tcW w:w="40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Voice</w:t>
            </w:r>
          </w:p>
        </w:tc>
        <w:tc>
          <w:tcPr>
            <w:tcW w:w="16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913</w:t>
            </w:r>
          </w:p>
        </w:tc>
        <w:tc>
          <w:tcPr>
            <w:tcW w:w="13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900</w:t>
            </w:r>
          </w:p>
        </w:tc>
        <w:tc>
          <w:tcPr>
            <w:tcW w:w="124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color w:val="auto"/>
              </w:rPr>
              <w:t>(1.4%)</w:t>
            </w:r>
          </w:p>
        </w:tc>
        <w:tc>
          <w:tcPr>
            <w:tcW w:w="11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2,755</w:t>
            </w:r>
          </w:p>
        </w:tc>
        <w:tc>
          <w:tcPr>
            <w:tcW w:w="12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2,709</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w:t>
            </w:r>
          </w:p>
        </w:tc>
      </w:tr>
      <w:tr>
        <w:trPr>
          <w:trHeight w:val="196"/>
        </w:trPr>
        <w:tc>
          <w:tcPr>
            <w:tcW w:w="40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Business Services</w:t>
            </w:r>
          </w:p>
        </w:tc>
        <w:tc>
          <w:tcPr>
            <w:tcW w:w="16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1,011</w:t>
            </w:r>
          </w:p>
        </w:tc>
        <w:tc>
          <w:tcPr>
            <w:tcW w:w="13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1,208</w:t>
            </w:r>
          </w:p>
        </w:tc>
        <w:tc>
          <w:tcPr>
            <w:tcW w:w="124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color w:val="auto"/>
              </w:rPr>
              <w:t>19.5%</w:t>
            </w:r>
          </w:p>
        </w:tc>
        <w:tc>
          <w:tcPr>
            <w:tcW w:w="11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2,893</w:t>
            </w:r>
          </w:p>
        </w:tc>
        <w:tc>
          <w:tcPr>
            <w:tcW w:w="12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3,483</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20.4%</w:t>
            </w:r>
          </w:p>
        </w:tc>
      </w:tr>
      <w:tr>
        <w:trPr>
          <w:trHeight w:val="196"/>
        </w:trPr>
        <w:tc>
          <w:tcPr>
            <w:tcW w:w="40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Advertising</w:t>
            </w:r>
          </w:p>
        </w:tc>
        <w:tc>
          <w:tcPr>
            <w:tcW w:w="16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596</w:t>
            </w:r>
          </w:p>
        </w:tc>
        <w:tc>
          <w:tcPr>
            <w:tcW w:w="13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593</w:t>
            </w:r>
          </w:p>
        </w:tc>
        <w:tc>
          <w:tcPr>
            <w:tcW w:w="124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color w:val="auto"/>
              </w:rPr>
              <w:t>(0.2%)</w:t>
            </w:r>
          </w:p>
        </w:tc>
        <w:tc>
          <w:tcPr>
            <w:tcW w:w="11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1,690</w:t>
            </w:r>
          </w:p>
        </w:tc>
        <w:tc>
          <w:tcPr>
            <w:tcW w:w="12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1,679</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(0.6%)</w:t>
            </w:r>
          </w:p>
        </w:tc>
      </w:tr>
      <w:tr>
        <w:trPr>
          <w:trHeight w:val="203"/>
        </w:trPr>
        <w:tc>
          <w:tcPr>
            <w:tcW w:w="40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Other</w:t>
            </w:r>
          </w:p>
        </w:tc>
        <w:tc>
          <w:tcPr>
            <w:tcW w:w="16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502</w:t>
            </w:r>
          </w:p>
        </w:tc>
        <w:tc>
          <w:tcPr>
            <w:tcW w:w="13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562</w:t>
            </w:r>
          </w:p>
        </w:tc>
        <w:tc>
          <w:tcPr>
            <w:tcW w:w="124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color w:val="auto"/>
              </w:rPr>
              <w:t>11.8%</w:t>
            </w:r>
          </w:p>
        </w:tc>
        <w:tc>
          <w:tcPr>
            <w:tcW w:w="11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1,484</w:t>
            </w:r>
          </w:p>
        </w:tc>
        <w:tc>
          <w:tcPr>
            <w:tcW w:w="12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1,644</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10.7%</w:t>
            </w:r>
          </w:p>
        </w:tc>
      </w:tr>
      <w:tr>
        <w:trPr>
          <w:trHeight w:val="228"/>
        </w:trPr>
        <w:tc>
          <w:tcPr>
            <w:tcW w:w="4040" w:type="dxa"/>
            <w:vAlign w:val="bottom"/>
          </w:tcPr>
          <w:p>
            <w:pPr>
              <w:ind w:left="40"/>
              <w:spacing w:after="0"/>
              <w:rPr>
                <w:sz w:val="20"/>
                <w:szCs w:val="20"/>
                <w:color w:val="auto"/>
              </w:rPr>
            </w:pPr>
            <w:r>
              <w:rPr>
                <w:rFonts w:ascii="Arial" w:cs="Arial" w:eastAsia="Arial" w:hAnsi="Arial"/>
                <w:sz w:val="14"/>
                <w:szCs w:val="14"/>
                <w:b w:val="1"/>
                <w:bCs w:val="1"/>
                <w:color w:val="auto"/>
              </w:rPr>
              <w:t>Cable Communications Revenue</w:t>
            </w:r>
          </w:p>
        </w:tc>
        <w:tc>
          <w:tcPr>
            <w:tcW w:w="1600" w:type="dxa"/>
            <w:vAlign w:val="bottom"/>
          </w:tcPr>
          <w:p>
            <w:pPr>
              <w:jc w:val="right"/>
              <w:ind w:right="88"/>
              <w:spacing w:after="0"/>
              <w:rPr>
                <w:sz w:val="20"/>
                <w:szCs w:val="20"/>
                <w:color w:val="auto"/>
              </w:rPr>
            </w:pPr>
            <w:r>
              <w:rPr>
                <w:rFonts w:ascii="Arial" w:cs="Arial" w:eastAsia="Arial" w:hAnsi="Arial"/>
                <w:sz w:val="14"/>
                <w:szCs w:val="14"/>
                <w:b w:val="1"/>
                <w:bCs w:val="1"/>
                <w:color w:val="auto"/>
              </w:rPr>
              <w:t>$11,041</w:t>
            </w:r>
          </w:p>
        </w:tc>
        <w:tc>
          <w:tcPr>
            <w:tcW w:w="1320" w:type="dxa"/>
            <w:vAlign w:val="bottom"/>
          </w:tcPr>
          <w:p>
            <w:pPr>
              <w:jc w:val="right"/>
              <w:ind w:right="248"/>
              <w:spacing w:after="0"/>
              <w:rPr>
                <w:sz w:val="20"/>
                <w:szCs w:val="20"/>
                <w:color w:val="auto"/>
              </w:rPr>
            </w:pPr>
            <w:r>
              <w:rPr>
                <w:rFonts w:ascii="Arial" w:cs="Arial" w:eastAsia="Arial" w:hAnsi="Arial"/>
                <w:sz w:val="14"/>
                <w:szCs w:val="14"/>
                <w:b w:val="1"/>
                <w:bCs w:val="1"/>
                <w:color w:val="auto"/>
              </w:rPr>
              <w:t>$11,740</w:t>
            </w:r>
          </w:p>
        </w:tc>
        <w:tc>
          <w:tcPr>
            <w:tcW w:w="1240" w:type="dxa"/>
            <w:vAlign w:val="bottom"/>
          </w:tcPr>
          <w:p>
            <w:pPr>
              <w:jc w:val="right"/>
              <w:ind w:right="368"/>
              <w:spacing w:after="0"/>
              <w:rPr>
                <w:sz w:val="20"/>
                <w:szCs w:val="20"/>
                <w:color w:val="auto"/>
              </w:rPr>
            </w:pPr>
            <w:r>
              <w:rPr>
                <w:rFonts w:ascii="Arial" w:cs="Arial" w:eastAsia="Arial" w:hAnsi="Arial"/>
                <w:sz w:val="14"/>
                <w:szCs w:val="14"/>
                <w:b w:val="1"/>
                <w:bCs w:val="1"/>
                <w:color w:val="auto"/>
              </w:rPr>
              <w:t>6.3%</w:t>
            </w:r>
          </w:p>
        </w:tc>
        <w:tc>
          <w:tcPr>
            <w:tcW w:w="1120" w:type="dxa"/>
            <w:vAlign w:val="bottom"/>
          </w:tcPr>
          <w:p>
            <w:pPr>
              <w:jc w:val="right"/>
              <w:ind w:right="68"/>
              <w:spacing w:after="0"/>
              <w:rPr>
                <w:sz w:val="20"/>
                <w:szCs w:val="20"/>
                <w:color w:val="auto"/>
              </w:rPr>
            </w:pPr>
            <w:r>
              <w:rPr>
                <w:rFonts w:ascii="Arial" w:cs="Arial" w:eastAsia="Arial" w:hAnsi="Arial"/>
                <w:sz w:val="14"/>
                <w:szCs w:val="14"/>
                <w:b w:val="1"/>
                <w:bCs w:val="1"/>
                <w:color w:val="auto"/>
              </w:rPr>
              <w:t>$32,827</w:t>
            </w:r>
          </w:p>
        </w:tc>
        <w:tc>
          <w:tcPr>
            <w:tcW w:w="1280" w:type="dxa"/>
            <w:vAlign w:val="bottom"/>
          </w:tcPr>
          <w:p>
            <w:pPr>
              <w:jc w:val="right"/>
              <w:ind w:right="228"/>
              <w:spacing w:after="0"/>
              <w:rPr>
                <w:sz w:val="20"/>
                <w:szCs w:val="20"/>
                <w:color w:val="auto"/>
              </w:rPr>
            </w:pPr>
            <w:r>
              <w:rPr>
                <w:rFonts w:ascii="Arial" w:cs="Arial" w:eastAsia="Arial" w:hAnsi="Arial"/>
                <w:sz w:val="14"/>
                <w:szCs w:val="14"/>
                <w:b w:val="1"/>
                <w:bCs w:val="1"/>
                <w:color w:val="auto"/>
              </w:rPr>
              <w:t>$34,899</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6.3%</w:t>
            </w:r>
          </w:p>
        </w:tc>
      </w:tr>
      <w:tr>
        <w:trPr>
          <w:trHeight w:val="185"/>
        </w:trPr>
        <w:tc>
          <w:tcPr>
            <w:tcW w:w="40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r>
      <w:tr>
        <w:trPr>
          <w:trHeight w:val="203"/>
        </w:trPr>
        <w:tc>
          <w:tcPr>
            <w:tcW w:w="40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Cable Communications Operating Cash Flow</w:t>
            </w:r>
          </w:p>
        </w:tc>
        <w:tc>
          <w:tcPr>
            <w:tcW w:w="16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$4,464</w:t>
            </w:r>
          </w:p>
        </w:tc>
        <w:tc>
          <w:tcPr>
            <w:tcW w:w="13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$4,748</w:t>
            </w:r>
          </w:p>
        </w:tc>
        <w:tc>
          <w:tcPr>
            <w:tcW w:w="124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6.4%</w:t>
            </w:r>
          </w:p>
        </w:tc>
        <w:tc>
          <w:tcPr>
            <w:tcW w:w="11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$13,428</w:t>
            </w:r>
          </w:p>
        </w:tc>
        <w:tc>
          <w:tcPr>
            <w:tcW w:w="12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$14,220</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5.9%</w:t>
            </w:r>
          </w:p>
        </w:tc>
      </w:tr>
      <w:tr>
        <w:trPr>
          <w:trHeight w:val="215"/>
        </w:trPr>
        <w:tc>
          <w:tcPr>
            <w:tcW w:w="4040" w:type="dxa"/>
            <w:vAlign w:val="bottom"/>
          </w:tcPr>
          <w:p>
            <w:pPr>
              <w:ind w:left="40"/>
              <w:spacing w:after="0"/>
              <w:rPr>
                <w:sz w:val="20"/>
                <w:szCs w:val="20"/>
                <w:color w:val="auto"/>
              </w:rPr>
            </w:pPr>
            <w:r>
              <w:rPr>
                <w:rFonts w:ascii="Arial" w:cs="Arial" w:eastAsia="Arial" w:hAnsi="Arial"/>
                <w:sz w:val="14"/>
                <w:szCs w:val="14"/>
                <w:i w:val="1"/>
                <w:iCs w:val="1"/>
                <w:color w:val="auto"/>
              </w:rPr>
              <w:t>Operating Cash Flow Margin</w:t>
            </w:r>
          </w:p>
        </w:tc>
        <w:tc>
          <w:tcPr>
            <w:tcW w:w="1600" w:type="dxa"/>
            <w:vAlign w:val="bottom"/>
          </w:tcPr>
          <w:p>
            <w:pPr>
              <w:jc w:val="right"/>
              <w:ind w:right="88"/>
              <w:spacing w:after="0"/>
              <w:rPr>
                <w:sz w:val="20"/>
                <w:szCs w:val="20"/>
                <w:color w:val="auto"/>
              </w:rPr>
            </w:pPr>
            <w:r>
              <w:rPr>
                <w:rFonts w:ascii="Arial" w:cs="Arial" w:eastAsia="Arial" w:hAnsi="Arial"/>
                <w:sz w:val="14"/>
                <w:szCs w:val="14"/>
                <w:i w:val="1"/>
                <w:iCs w:val="1"/>
                <w:color w:val="auto"/>
              </w:rPr>
              <w:t>40.4%</w:t>
            </w:r>
          </w:p>
        </w:tc>
        <w:tc>
          <w:tcPr>
            <w:tcW w:w="1320" w:type="dxa"/>
            <w:vAlign w:val="bottom"/>
          </w:tcPr>
          <w:p>
            <w:pPr>
              <w:jc w:val="right"/>
              <w:ind w:right="248"/>
              <w:spacing w:after="0"/>
              <w:rPr>
                <w:sz w:val="20"/>
                <w:szCs w:val="20"/>
                <w:color w:val="auto"/>
              </w:rPr>
            </w:pPr>
            <w:r>
              <w:rPr>
                <w:rFonts w:ascii="Arial" w:cs="Arial" w:eastAsia="Arial" w:hAnsi="Arial"/>
                <w:sz w:val="14"/>
                <w:szCs w:val="14"/>
                <w:i w:val="1"/>
                <w:iCs w:val="1"/>
                <w:color w:val="auto"/>
              </w:rPr>
              <w:t>40.4%</w:t>
            </w:r>
          </w:p>
        </w:tc>
        <w:tc>
          <w:tcPr>
            <w:tcW w:w="1240" w:type="dxa"/>
            <w:vAlign w:val="bottom"/>
          </w:tcPr>
          <w:p>
            <w:pPr>
              <w:spacing w:after="0"/>
              <w:rPr>
                <w:sz w:val="18"/>
                <w:szCs w:val="18"/>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i w:val="1"/>
                <w:iCs w:val="1"/>
                <w:color w:val="auto"/>
              </w:rPr>
              <w:t>40.9%</w:t>
            </w:r>
          </w:p>
        </w:tc>
        <w:tc>
          <w:tcPr>
            <w:tcW w:w="1280" w:type="dxa"/>
            <w:vAlign w:val="bottom"/>
          </w:tcPr>
          <w:p>
            <w:pPr>
              <w:jc w:val="right"/>
              <w:ind w:right="228"/>
              <w:spacing w:after="0"/>
              <w:rPr>
                <w:sz w:val="20"/>
                <w:szCs w:val="20"/>
                <w:color w:val="auto"/>
              </w:rPr>
            </w:pPr>
            <w:r>
              <w:rPr>
                <w:rFonts w:ascii="Arial" w:cs="Arial" w:eastAsia="Arial" w:hAnsi="Arial"/>
                <w:sz w:val="14"/>
                <w:szCs w:val="14"/>
                <w:i w:val="1"/>
                <w:iCs w:val="1"/>
                <w:color w:val="auto"/>
              </w:rPr>
              <w:t>40.7%</w:t>
            </w:r>
          </w:p>
        </w:tc>
        <w:tc>
          <w:tcPr>
            <w:tcW w:w="820" w:type="dxa"/>
            <w:vAlign w:val="bottom"/>
          </w:tcPr>
          <w:p>
            <w:pPr>
              <w:spacing w:after="0"/>
              <w:rPr>
                <w:sz w:val="18"/>
                <w:szCs w:val="18"/>
                <w:color w:val="auto"/>
              </w:rPr>
            </w:pPr>
          </w:p>
        </w:tc>
      </w:tr>
      <w:tr>
        <w:trPr>
          <w:trHeight w:val="191"/>
        </w:trPr>
        <w:tc>
          <w:tcPr>
            <w:tcW w:w="40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r>
      <w:tr>
        <w:trPr>
          <w:trHeight w:val="203"/>
        </w:trPr>
        <w:tc>
          <w:tcPr>
            <w:tcW w:w="40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Cable Communications Capital Expenditures</w:t>
            </w:r>
          </w:p>
        </w:tc>
        <w:tc>
          <w:tcPr>
            <w:tcW w:w="16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$1,644</w:t>
            </w:r>
          </w:p>
        </w:tc>
        <w:tc>
          <w:tcPr>
            <w:tcW w:w="13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$1,851</w:t>
            </w:r>
          </w:p>
        </w:tc>
        <w:tc>
          <w:tcPr>
            <w:tcW w:w="124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12.6%</w:t>
            </w:r>
          </w:p>
        </w:tc>
        <w:tc>
          <w:tcPr>
            <w:tcW w:w="11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$4,282</w:t>
            </w:r>
          </w:p>
        </w:tc>
        <w:tc>
          <w:tcPr>
            <w:tcW w:w="12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$4,972</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16.1%</w:t>
            </w:r>
          </w:p>
        </w:tc>
      </w:tr>
      <w:tr>
        <w:trPr>
          <w:trHeight w:val="196"/>
        </w:trPr>
        <w:tc>
          <w:tcPr>
            <w:tcW w:w="404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Percent of Cable Communications Revenue</w:t>
            </w:r>
          </w:p>
        </w:tc>
        <w:tc>
          <w:tcPr>
            <w:tcW w:w="16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i w:val="1"/>
                <w:iCs w:val="1"/>
                <w:color w:val="auto"/>
              </w:rPr>
              <w:t>14.9%</w:t>
            </w:r>
          </w:p>
        </w:tc>
        <w:tc>
          <w:tcPr>
            <w:tcW w:w="13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i w:val="1"/>
                <w:iCs w:val="1"/>
                <w:color w:val="auto"/>
              </w:rPr>
              <w:t>15.8%</w:t>
            </w:r>
          </w:p>
        </w:tc>
        <w:tc>
          <w:tcPr>
            <w:tcW w:w="12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i w:val="1"/>
                <w:iCs w:val="1"/>
                <w:color w:val="auto"/>
              </w:rPr>
              <w:t>13.0%</w:t>
            </w:r>
          </w:p>
        </w:tc>
        <w:tc>
          <w:tcPr>
            <w:tcW w:w="12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i w:val="1"/>
                <w:iCs w:val="1"/>
                <w:color w:val="auto"/>
              </w:rPr>
              <w:t>14.2%</w:t>
            </w:r>
          </w:p>
        </w:tc>
        <w:tc>
          <w:tcPr>
            <w:tcW w:w="820" w:type="dxa"/>
            <w:vAlign w:val="bottom"/>
            <w:tcBorders>
              <w:bottom w:val="single" w:sz="8" w:color="auto"/>
            </w:tcBorders>
          </w:tcPr>
          <w:p>
            <w:pPr>
              <w:spacing w:after="0"/>
              <w:rPr>
                <w:sz w:val="17"/>
                <w:szCs w:val="17"/>
                <w:color w:val="auto"/>
              </w:rPr>
            </w:pPr>
          </w:p>
        </w:tc>
      </w:tr>
    </w:tbl>
    <w:p>
      <w:pPr>
        <w:spacing w:after="0" w:line="220" w:lineRule="exact"/>
        <w:rPr>
          <w:sz w:val="20"/>
          <w:szCs w:val="20"/>
          <w:color w:val="auto"/>
        </w:rPr>
      </w:pPr>
    </w:p>
    <w:p>
      <w:pPr>
        <w:jc w:val="both"/>
        <w:spacing w:after="0" w:line="248" w:lineRule="auto"/>
        <w:rPr>
          <w:sz w:val="20"/>
          <w:szCs w:val="20"/>
          <w:color w:val="auto"/>
        </w:rPr>
      </w:pPr>
      <w:r>
        <w:rPr>
          <w:rFonts w:ascii="Arial" w:cs="Arial" w:eastAsia="Arial" w:hAnsi="Arial"/>
          <w:sz w:val="18"/>
          <w:szCs w:val="18"/>
          <w:b w:val="1"/>
          <w:bCs w:val="1"/>
          <w:i w:val="1"/>
          <w:iCs w:val="1"/>
          <w:color w:val="auto"/>
        </w:rPr>
        <w:t xml:space="preserve">Revenue </w:t>
      </w:r>
      <w:r>
        <w:rPr>
          <w:rFonts w:ascii="Arial" w:cs="Arial" w:eastAsia="Arial" w:hAnsi="Arial"/>
          <w:sz w:val="18"/>
          <w:szCs w:val="18"/>
          <w:color w:val="auto"/>
        </w:rPr>
        <w:t>for Cable Communications increased 6.3% to $11.7 billion in the third quarter of 2015 compared to $ 11.0 billion in the third quarter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2014, driven by increases of 10.2% in high-speed Internet, 19.5% in business services and 3.3% in video. The increase in Cable revenue reflects increased customer relationships (see below), customers receiving higher levels of service and customers taking additional services, as well as rate adjustments.</w:t>
      </w:r>
    </w:p>
    <w:p>
      <w:pPr>
        <w:sectPr>
          <w:pgSz w:w="11900" w:h="16838" w:orient="portrait"/>
          <w:cols w:equalWidth="0" w:num="1">
            <w:col w:w="11420"/>
          </w:cols>
          <w:pgMar w:left="240" w:top="319" w:right="239" w:bottom="0" w:gutter="0" w:footer="0" w:header="0"/>
        </w:sectPr>
      </w:pPr>
    </w:p>
    <w:bookmarkStart w:id="4" w:name="page5"/>
    <w:bookmarkEnd w:id="4"/>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For the nine months ended September 30, 2015, Cable revenue increased 6.3% to $34.9 billion compared to $32.8 billion in 2014.</w:t>
      </w:r>
    </w:p>
    <w:p>
      <w:pPr>
        <w:spacing w:after="0" w:line="199" w:lineRule="exact"/>
        <w:rPr>
          <w:sz w:val="20"/>
          <w:szCs w:val="20"/>
          <w:color w:val="auto"/>
        </w:rPr>
      </w:pPr>
    </w:p>
    <w:p>
      <w:pPr>
        <w:jc w:val="both"/>
        <w:spacing w:after="0" w:line="248" w:lineRule="auto"/>
        <w:rPr>
          <w:sz w:val="20"/>
          <w:szCs w:val="20"/>
          <w:color w:val="auto"/>
        </w:rPr>
      </w:pPr>
      <w:r>
        <w:rPr>
          <w:rFonts w:ascii="Arial" w:cs="Arial" w:eastAsia="Arial" w:hAnsi="Arial"/>
          <w:sz w:val="18"/>
          <w:szCs w:val="18"/>
          <w:b w:val="1"/>
          <w:bCs w:val="1"/>
          <w:i w:val="1"/>
          <w:iCs w:val="1"/>
          <w:color w:val="auto"/>
        </w:rPr>
        <w:t xml:space="preserve">Customer Relationships </w:t>
      </w:r>
      <w:r>
        <w:rPr>
          <w:rFonts w:ascii="Arial" w:cs="Arial" w:eastAsia="Arial" w:hAnsi="Arial"/>
          <w:sz w:val="18"/>
          <w:szCs w:val="18"/>
          <w:color w:val="auto"/>
        </w:rPr>
        <w:t>increased by 156,000 to 27.4 million in the third quarter of 2015, a 74,000 or 90.2% improvement compared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third quarter of 2014, primarily driven by increases in double product relationships. Video net losses improved 40.6% year-over-year to 48,000 and were the best result for a third quarter in nine years. High-speed Internet customer net additions of 320,000 improved versus last year and were the strongest for a third quarter in six years, while voice customers grew by 17,000.</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374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2580" w:type="dxa"/>
            <w:vAlign w:val="bottom"/>
          </w:tcPr>
          <w:p>
            <w:pPr>
              <w:jc w:val="right"/>
              <w:ind w:right="1708"/>
              <w:spacing w:after="0"/>
              <w:rPr>
                <w:sz w:val="20"/>
                <w:szCs w:val="20"/>
                <w:color w:val="auto"/>
              </w:rPr>
            </w:pPr>
            <w:r>
              <w:rPr>
                <w:rFonts w:ascii="Arial" w:cs="Arial" w:eastAsia="Arial" w:hAnsi="Arial"/>
                <w:sz w:val="14"/>
                <w:szCs w:val="14"/>
                <w:color w:val="auto"/>
              </w:rPr>
              <w:t>Customers</w:t>
            </w:r>
          </w:p>
        </w:tc>
        <w:tc>
          <w:tcPr>
            <w:tcW w:w="2320" w:type="dxa"/>
            <w:vAlign w:val="bottom"/>
          </w:tcPr>
          <w:p>
            <w:pPr>
              <w:jc w:val="right"/>
              <w:ind w:right="48"/>
              <w:spacing w:after="0"/>
              <w:rPr>
                <w:sz w:val="20"/>
                <w:szCs w:val="20"/>
                <w:color w:val="auto"/>
              </w:rPr>
            </w:pPr>
            <w:r>
              <w:rPr>
                <w:rFonts w:ascii="Arial" w:cs="Arial" w:eastAsia="Arial" w:hAnsi="Arial"/>
                <w:sz w:val="14"/>
                <w:szCs w:val="14"/>
                <w:color w:val="auto"/>
              </w:rPr>
              <w:t>Net Additions</w:t>
            </w:r>
          </w:p>
        </w:tc>
        <w:tc>
          <w:tcPr>
            <w:tcW w:w="560" w:type="dxa"/>
            <w:vAlign w:val="bottom"/>
          </w:tcPr>
          <w:p>
            <w:pPr>
              <w:spacing w:after="0"/>
              <w:rPr>
                <w:sz w:val="16"/>
                <w:szCs w:val="16"/>
                <w:color w:val="auto"/>
              </w:rPr>
            </w:pPr>
          </w:p>
        </w:tc>
      </w:tr>
      <w:tr>
        <w:trPr>
          <w:trHeight w:val="272"/>
        </w:trPr>
        <w:tc>
          <w:tcPr>
            <w:tcW w:w="3740" w:type="dxa"/>
            <w:vAlign w:val="bottom"/>
            <w:tcBorders>
              <w:bottom w:val="single" w:sz="8" w:color="auto"/>
            </w:tcBorders>
          </w:tcPr>
          <w:p>
            <w:pPr>
              <w:ind w:left="40"/>
              <w:spacing w:after="0"/>
              <w:rPr>
                <w:sz w:val="20"/>
                <w:szCs w:val="20"/>
                <w:color w:val="auto"/>
              </w:rPr>
            </w:pPr>
            <w:r>
              <w:rPr>
                <w:rFonts w:ascii="Arial" w:cs="Arial" w:eastAsia="Arial" w:hAnsi="Arial"/>
                <w:sz w:val="11"/>
                <w:szCs w:val="11"/>
                <w:i w:val="1"/>
                <w:iCs w:val="1"/>
                <w:color w:val="auto"/>
              </w:rPr>
              <w:t>(in thousands)</w:t>
            </w:r>
          </w:p>
        </w:tc>
        <w:tc>
          <w:tcPr>
            <w:tcW w:w="2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3Q14</w:t>
            </w:r>
          </w:p>
        </w:tc>
        <w:tc>
          <w:tcPr>
            <w:tcW w:w="2580" w:type="dxa"/>
            <w:vAlign w:val="bottom"/>
            <w:tcBorders>
              <w:bottom w:val="single" w:sz="8" w:color="auto"/>
            </w:tcBorders>
          </w:tcPr>
          <w:p>
            <w:pPr>
              <w:jc w:val="right"/>
              <w:ind w:right="948"/>
              <w:spacing w:after="0"/>
              <w:rPr>
                <w:sz w:val="20"/>
                <w:szCs w:val="20"/>
                <w:color w:val="auto"/>
              </w:rPr>
            </w:pPr>
            <w:r>
              <w:rPr>
                <w:rFonts w:ascii="Arial" w:cs="Arial" w:eastAsia="Arial" w:hAnsi="Arial"/>
                <w:sz w:val="14"/>
                <w:szCs w:val="14"/>
                <w:color w:val="auto"/>
              </w:rPr>
              <w:t>3Q15</w:t>
            </w:r>
          </w:p>
        </w:tc>
        <w:tc>
          <w:tcPr>
            <w:tcW w:w="2320" w:type="dxa"/>
            <w:vAlign w:val="bottom"/>
            <w:tcBorders>
              <w:bottom w:val="single" w:sz="8" w:color="auto"/>
            </w:tcBorders>
          </w:tcPr>
          <w:p>
            <w:pPr>
              <w:jc w:val="right"/>
              <w:ind w:right="848"/>
              <w:spacing w:after="0"/>
              <w:rPr>
                <w:sz w:val="20"/>
                <w:szCs w:val="20"/>
                <w:color w:val="auto"/>
              </w:rPr>
            </w:pPr>
            <w:r>
              <w:rPr>
                <w:rFonts w:ascii="Arial" w:cs="Arial" w:eastAsia="Arial" w:hAnsi="Arial"/>
                <w:sz w:val="14"/>
                <w:szCs w:val="14"/>
                <w:color w:val="auto"/>
              </w:rPr>
              <w:t>3Q14</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3Q15</w:t>
            </w:r>
          </w:p>
        </w:tc>
      </w:tr>
      <w:tr>
        <w:trPr>
          <w:trHeight w:val="203"/>
        </w:trPr>
        <w:tc>
          <w:tcPr>
            <w:tcW w:w="37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Video Customers</w:t>
            </w:r>
          </w:p>
        </w:tc>
        <w:tc>
          <w:tcPr>
            <w:tcW w:w="2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22,376</w:t>
            </w:r>
          </w:p>
        </w:tc>
        <w:tc>
          <w:tcPr>
            <w:tcW w:w="2580" w:type="dxa"/>
            <w:vAlign w:val="bottom"/>
            <w:tcBorders>
              <w:bottom w:val="single" w:sz="8" w:color="auto"/>
            </w:tcBorders>
          </w:tcPr>
          <w:p>
            <w:pPr>
              <w:jc w:val="right"/>
              <w:ind w:right="948"/>
              <w:spacing w:after="0"/>
              <w:rPr>
                <w:sz w:val="20"/>
                <w:szCs w:val="20"/>
                <w:color w:val="auto"/>
              </w:rPr>
            </w:pPr>
            <w:r>
              <w:rPr>
                <w:rFonts w:ascii="Arial" w:cs="Arial" w:eastAsia="Arial" w:hAnsi="Arial"/>
                <w:sz w:val="14"/>
                <w:szCs w:val="14"/>
                <w:color w:val="auto"/>
              </w:rPr>
              <w:t>22,258</w:t>
            </w:r>
          </w:p>
        </w:tc>
        <w:tc>
          <w:tcPr>
            <w:tcW w:w="2320" w:type="dxa"/>
            <w:vAlign w:val="bottom"/>
            <w:tcBorders>
              <w:bottom w:val="single" w:sz="8" w:color="auto"/>
            </w:tcBorders>
          </w:tcPr>
          <w:p>
            <w:pPr>
              <w:jc w:val="right"/>
              <w:ind w:right="848"/>
              <w:spacing w:after="0"/>
              <w:rPr>
                <w:sz w:val="20"/>
                <w:szCs w:val="20"/>
                <w:color w:val="auto"/>
              </w:rPr>
            </w:pPr>
            <w:r>
              <w:rPr>
                <w:rFonts w:ascii="Arial" w:cs="Arial" w:eastAsia="Arial" w:hAnsi="Arial"/>
                <w:sz w:val="14"/>
                <w:szCs w:val="14"/>
                <w:color w:val="auto"/>
              </w:rPr>
              <w:t>(81)</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w:t>
            </w:r>
          </w:p>
        </w:tc>
      </w:tr>
      <w:tr>
        <w:trPr>
          <w:trHeight w:val="196"/>
        </w:trPr>
        <w:tc>
          <w:tcPr>
            <w:tcW w:w="37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High-Speed Internet Customers</w:t>
            </w:r>
          </w:p>
        </w:tc>
        <w:tc>
          <w:tcPr>
            <w:tcW w:w="2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21,586</w:t>
            </w:r>
          </w:p>
        </w:tc>
        <w:tc>
          <w:tcPr>
            <w:tcW w:w="2580" w:type="dxa"/>
            <w:vAlign w:val="bottom"/>
            <w:tcBorders>
              <w:bottom w:val="single" w:sz="8" w:color="auto"/>
            </w:tcBorders>
          </w:tcPr>
          <w:p>
            <w:pPr>
              <w:jc w:val="right"/>
              <w:ind w:right="948"/>
              <w:spacing w:after="0"/>
              <w:rPr>
                <w:sz w:val="20"/>
                <w:szCs w:val="20"/>
                <w:color w:val="auto"/>
              </w:rPr>
            </w:pPr>
            <w:r>
              <w:rPr>
                <w:rFonts w:ascii="Arial" w:cs="Arial" w:eastAsia="Arial" w:hAnsi="Arial"/>
                <w:sz w:val="14"/>
                <w:szCs w:val="14"/>
                <w:color w:val="auto"/>
              </w:rPr>
              <w:t>22,868</w:t>
            </w:r>
          </w:p>
        </w:tc>
        <w:tc>
          <w:tcPr>
            <w:tcW w:w="2320" w:type="dxa"/>
            <w:vAlign w:val="bottom"/>
            <w:tcBorders>
              <w:bottom w:val="single" w:sz="8" w:color="auto"/>
            </w:tcBorders>
          </w:tcPr>
          <w:p>
            <w:pPr>
              <w:jc w:val="right"/>
              <w:ind w:right="848"/>
              <w:spacing w:after="0"/>
              <w:rPr>
                <w:sz w:val="20"/>
                <w:szCs w:val="20"/>
                <w:color w:val="auto"/>
              </w:rPr>
            </w:pPr>
            <w:r>
              <w:rPr>
                <w:rFonts w:ascii="Arial" w:cs="Arial" w:eastAsia="Arial" w:hAnsi="Arial"/>
                <w:sz w:val="14"/>
                <w:szCs w:val="14"/>
                <w:color w:val="auto"/>
              </w:rPr>
              <w:t>315</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320</w:t>
            </w:r>
          </w:p>
        </w:tc>
      </w:tr>
      <w:tr>
        <w:trPr>
          <w:trHeight w:val="203"/>
        </w:trPr>
        <w:tc>
          <w:tcPr>
            <w:tcW w:w="37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Voice Customers</w:t>
            </w:r>
          </w:p>
        </w:tc>
        <w:tc>
          <w:tcPr>
            <w:tcW w:w="2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11,070</w:t>
            </w:r>
          </w:p>
        </w:tc>
        <w:tc>
          <w:tcPr>
            <w:tcW w:w="2580" w:type="dxa"/>
            <w:vAlign w:val="bottom"/>
            <w:tcBorders>
              <w:bottom w:val="single" w:sz="8" w:color="auto"/>
            </w:tcBorders>
          </w:tcPr>
          <w:p>
            <w:pPr>
              <w:jc w:val="right"/>
              <w:ind w:right="948"/>
              <w:spacing w:after="0"/>
              <w:rPr>
                <w:sz w:val="20"/>
                <w:szCs w:val="20"/>
                <w:color w:val="auto"/>
              </w:rPr>
            </w:pPr>
            <w:r>
              <w:rPr>
                <w:rFonts w:ascii="Arial" w:cs="Arial" w:eastAsia="Arial" w:hAnsi="Arial"/>
                <w:sz w:val="14"/>
                <w:szCs w:val="14"/>
                <w:color w:val="auto"/>
              </w:rPr>
              <w:t>11,336</w:t>
            </w:r>
          </w:p>
        </w:tc>
        <w:tc>
          <w:tcPr>
            <w:tcW w:w="2320" w:type="dxa"/>
            <w:vAlign w:val="bottom"/>
            <w:tcBorders>
              <w:bottom w:val="single" w:sz="8" w:color="auto"/>
            </w:tcBorders>
          </w:tcPr>
          <w:p>
            <w:pPr>
              <w:jc w:val="right"/>
              <w:ind w:right="848"/>
              <w:spacing w:after="0"/>
              <w:rPr>
                <w:sz w:val="20"/>
                <w:szCs w:val="20"/>
                <w:color w:val="auto"/>
              </w:rPr>
            </w:pPr>
            <w:r>
              <w:rPr>
                <w:rFonts w:ascii="Arial" w:cs="Arial" w:eastAsia="Arial" w:hAnsi="Arial"/>
                <w:sz w:val="14"/>
                <w:szCs w:val="14"/>
                <w:color w:val="auto"/>
              </w:rPr>
              <w:t>68</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w:t>
            </w:r>
          </w:p>
        </w:tc>
      </w:tr>
      <w:tr>
        <w:trPr>
          <w:trHeight w:val="210"/>
        </w:trPr>
        <w:tc>
          <w:tcPr>
            <w:tcW w:w="3740" w:type="dxa"/>
            <w:vAlign w:val="bottom"/>
            <w:tcBorders>
              <w:bottom w:val="single" w:sz="8" w:color="auto"/>
            </w:tcBorders>
          </w:tcPr>
          <w:p>
            <w:pPr>
              <w:spacing w:after="0"/>
              <w:rPr>
                <w:sz w:val="18"/>
                <w:szCs w:val="18"/>
                <w:color w:val="auto"/>
              </w:rPr>
            </w:pPr>
          </w:p>
        </w:tc>
        <w:tc>
          <w:tcPr>
            <w:tcW w:w="222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r>
      <w:tr>
        <w:trPr>
          <w:trHeight w:val="203"/>
        </w:trPr>
        <w:tc>
          <w:tcPr>
            <w:tcW w:w="37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Single Product Customers</w:t>
            </w:r>
          </w:p>
        </w:tc>
        <w:tc>
          <w:tcPr>
            <w:tcW w:w="2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8,444</w:t>
            </w:r>
          </w:p>
        </w:tc>
        <w:tc>
          <w:tcPr>
            <w:tcW w:w="2580" w:type="dxa"/>
            <w:vAlign w:val="bottom"/>
            <w:tcBorders>
              <w:bottom w:val="single" w:sz="8" w:color="auto"/>
            </w:tcBorders>
          </w:tcPr>
          <w:p>
            <w:pPr>
              <w:jc w:val="right"/>
              <w:ind w:right="948"/>
              <w:spacing w:after="0"/>
              <w:rPr>
                <w:sz w:val="20"/>
                <w:szCs w:val="20"/>
                <w:color w:val="auto"/>
              </w:rPr>
            </w:pPr>
            <w:r>
              <w:rPr>
                <w:rFonts w:ascii="Arial" w:cs="Arial" w:eastAsia="Arial" w:hAnsi="Arial"/>
                <w:sz w:val="14"/>
                <w:szCs w:val="14"/>
                <w:color w:val="auto"/>
              </w:rPr>
              <w:t>8,367</w:t>
            </w:r>
          </w:p>
        </w:tc>
        <w:tc>
          <w:tcPr>
            <w:tcW w:w="2320" w:type="dxa"/>
            <w:vAlign w:val="bottom"/>
            <w:tcBorders>
              <w:bottom w:val="single" w:sz="8" w:color="auto"/>
            </w:tcBorders>
          </w:tcPr>
          <w:p>
            <w:pPr>
              <w:jc w:val="right"/>
              <w:ind w:right="848"/>
              <w:spacing w:after="0"/>
              <w:rPr>
                <w:sz w:val="20"/>
                <w:szCs w:val="20"/>
                <w:color w:val="auto"/>
              </w:rPr>
            </w:pPr>
            <w:r>
              <w:rPr>
                <w:rFonts w:ascii="Arial" w:cs="Arial" w:eastAsia="Arial" w:hAnsi="Arial"/>
                <w:sz w:val="14"/>
                <w:szCs w:val="14"/>
                <w:color w:val="auto"/>
              </w:rPr>
              <w:t>(66)</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w:t>
            </w:r>
          </w:p>
        </w:tc>
      </w:tr>
      <w:tr>
        <w:trPr>
          <w:trHeight w:val="196"/>
        </w:trPr>
        <w:tc>
          <w:tcPr>
            <w:tcW w:w="37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Double Product Customers</w:t>
            </w:r>
          </w:p>
        </w:tc>
        <w:tc>
          <w:tcPr>
            <w:tcW w:w="2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8,650</w:t>
            </w:r>
          </w:p>
        </w:tc>
        <w:tc>
          <w:tcPr>
            <w:tcW w:w="2580" w:type="dxa"/>
            <w:vAlign w:val="bottom"/>
            <w:tcBorders>
              <w:bottom w:val="single" w:sz="8" w:color="auto"/>
            </w:tcBorders>
          </w:tcPr>
          <w:p>
            <w:pPr>
              <w:jc w:val="right"/>
              <w:ind w:right="948"/>
              <w:spacing w:after="0"/>
              <w:rPr>
                <w:sz w:val="20"/>
                <w:szCs w:val="20"/>
                <w:color w:val="auto"/>
              </w:rPr>
            </w:pPr>
            <w:r>
              <w:rPr>
                <w:rFonts w:ascii="Arial" w:cs="Arial" w:eastAsia="Arial" w:hAnsi="Arial"/>
                <w:sz w:val="14"/>
                <w:szCs w:val="14"/>
                <w:color w:val="auto"/>
              </w:rPr>
              <w:t>9,066</w:t>
            </w:r>
          </w:p>
        </w:tc>
        <w:tc>
          <w:tcPr>
            <w:tcW w:w="2320" w:type="dxa"/>
            <w:vAlign w:val="bottom"/>
            <w:tcBorders>
              <w:bottom w:val="single" w:sz="8" w:color="auto"/>
            </w:tcBorders>
          </w:tcPr>
          <w:p>
            <w:pPr>
              <w:jc w:val="right"/>
              <w:ind w:right="848"/>
              <w:spacing w:after="0"/>
              <w:rPr>
                <w:sz w:val="20"/>
                <w:szCs w:val="20"/>
                <w:color w:val="auto"/>
              </w:rPr>
            </w:pPr>
            <w:r>
              <w:rPr>
                <w:rFonts w:ascii="Arial" w:cs="Arial" w:eastAsia="Arial" w:hAnsi="Arial"/>
                <w:sz w:val="14"/>
                <w:szCs w:val="14"/>
                <w:color w:val="auto"/>
              </w:rPr>
              <w:t>76</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130</w:t>
            </w:r>
          </w:p>
        </w:tc>
      </w:tr>
      <w:tr>
        <w:trPr>
          <w:trHeight w:val="203"/>
        </w:trPr>
        <w:tc>
          <w:tcPr>
            <w:tcW w:w="37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Triple Product Customers</w:t>
            </w:r>
          </w:p>
        </w:tc>
        <w:tc>
          <w:tcPr>
            <w:tcW w:w="2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9,763</w:t>
            </w:r>
          </w:p>
        </w:tc>
        <w:tc>
          <w:tcPr>
            <w:tcW w:w="2580" w:type="dxa"/>
            <w:vAlign w:val="bottom"/>
            <w:tcBorders>
              <w:bottom w:val="single" w:sz="8" w:color="auto"/>
            </w:tcBorders>
          </w:tcPr>
          <w:p>
            <w:pPr>
              <w:jc w:val="right"/>
              <w:ind w:right="948"/>
              <w:spacing w:after="0"/>
              <w:rPr>
                <w:sz w:val="20"/>
                <w:szCs w:val="20"/>
                <w:color w:val="auto"/>
              </w:rPr>
            </w:pPr>
            <w:r>
              <w:rPr>
                <w:rFonts w:ascii="Arial" w:cs="Arial" w:eastAsia="Arial" w:hAnsi="Arial"/>
                <w:sz w:val="14"/>
                <w:szCs w:val="14"/>
                <w:color w:val="auto"/>
              </w:rPr>
              <w:t>9,988</w:t>
            </w:r>
          </w:p>
        </w:tc>
        <w:tc>
          <w:tcPr>
            <w:tcW w:w="2320" w:type="dxa"/>
            <w:vAlign w:val="bottom"/>
            <w:tcBorders>
              <w:bottom w:val="single" w:sz="8" w:color="auto"/>
            </w:tcBorders>
          </w:tcPr>
          <w:p>
            <w:pPr>
              <w:jc w:val="right"/>
              <w:ind w:right="848"/>
              <w:spacing w:after="0"/>
              <w:rPr>
                <w:sz w:val="20"/>
                <w:szCs w:val="20"/>
                <w:color w:val="auto"/>
              </w:rPr>
            </w:pPr>
            <w:r>
              <w:rPr>
                <w:rFonts w:ascii="Arial" w:cs="Arial" w:eastAsia="Arial" w:hAnsi="Arial"/>
                <w:sz w:val="14"/>
                <w:szCs w:val="14"/>
                <w:color w:val="auto"/>
              </w:rPr>
              <w:t>72</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r>
      <w:tr>
        <w:trPr>
          <w:trHeight w:val="228"/>
        </w:trPr>
        <w:tc>
          <w:tcPr>
            <w:tcW w:w="3740" w:type="dxa"/>
            <w:vAlign w:val="bottom"/>
          </w:tcPr>
          <w:p>
            <w:pPr>
              <w:ind w:left="40"/>
              <w:spacing w:after="0"/>
              <w:rPr>
                <w:sz w:val="20"/>
                <w:szCs w:val="20"/>
                <w:color w:val="auto"/>
              </w:rPr>
            </w:pPr>
            <w:r>
              <w:rPr>
                <w:rFonts w:ascii="Arial" w:cs="Arial" w:eastAsia="Arial" w:hAnsi="Arial"/>
                <w:sz w:val="14"/>
                <w:szCs w:val="14"/>
                <w:b w:val="1"/>
                <w:bCs w:val="1"/>
                <w:color w:val="auto"/>
              </w:rPr>
              <w:t>Customer Relationships</w:t>
            </w:r>
          </w:p>
        </w:tc>
        <w:tc>
          <w:tcPr>
            <w:tcW w:w="2220" w:type="dxa"/>
            <w:vAlign w:val="bottom"/>
          </w:tcPr>
          <w:p>
            <w:pPr>
              <w:jc w:val="right"/>
              <w:ind w:right="28"/>
              <w:spacing w:after="0"/>
              <w:rPr>
                <w:sz w:val="20"/>
                <w:szCs w:val="20"/>
                <w:color w:val="auto"/>
              </w:rPr>
            </w:pPr>
            <w:r>
              <w:rPr>
                <w:rFonts w:ascii="Arial" w:cs="Arial" w:eastAsia="Arial" w:hAnsi="Arial"/>
                <w:sz w:val="14"/>
                <w:szCs w:val="14"/>
                <w:b w:val="1"/>
                <w:bCs w:val="1"/>
                <w:color w:val="auto"/>
              </w:rPr>
              <w:t>26,857</w:t>
            </w:r>
          </w:p>
        </w:tc>
        <w:tc>
          <w:tcPr>
            <w:tcW w:w="2580" w:type="dxa"/>
            <w:vAlign w:val="bottom"/>
          </w:tcPr>
          <w:p>
            <w:pPr>
              <w:jc w:val="right"/>
              <w:ind w:right="948"/>
              <w:spacing w:after="0"/>
              <w:rPr>
                <w:sz w:val="20"/>
                <w:szCs w:val="20"/>
                <w:color w:val="auto"/>
              </w:rPr>
            </w:pPr>
            <w:r>
              <w:rPr>
                <w:rFonts w:ascii="Arial" w:cs="Arial" w:eastAsia="Arial" w:hAnsi="Arial"/>
                <w:sz w:val="14"/>
                <w:szCs w:val="14"/>
                <w:b w:val="1"/>
                <w:bCs w:val="1"/>
                <w:color w:val="auto"/>
              </w:rPr>
              <w:t>27,421</w:t>
            </w:r>
          </w:p>
        </w:tc>
        <w:tc>
          <w:tcPr>
            <w:tcW w:w="2320" w:type="dxa"/>
            <w:vAlign w:val="bottom"/>
          </w:tcPr>
          <w:p>
            <w:pPr>
              <w:jc w:val="right"/>
              <w:ind w:right="848"/>
              <w:spacing w:after="0"/>
              <w:rPr>
                <w:sz w:val="20"/>
                <w:szCs w:val="20"/>
                <w:color w:val="auto"/>
              </w:rPr>
            </w:pPr>
            <w:r>
              <w:rPr>
                <w:rFonts w:ascii="Arial" w:cs="Arial" w:eastAsia="Arial" w:hAnsi="Arial"/>
                <w:sz w:val="14"/>
                <w:szCs w:val="14"/>
                <w:b w:val="1"/>
                <w:bCs w:val="1"/>
                <w:color w:val="auto"/>
              </w:rPr>
              <w:t>82</w:t>
            </w:r>
          </w:p>
        </w:tc>
        <w:tc>
          <w:tcPr>
            <w:tcW w:w="560" w:type="dxa"/>
            <w:vAlign w:val="bottom"/>
          </w:tcPr>
          <w:p>
            <w:pPr>
              <w:jc w:val="right"/>
              <w:spacing w:after="0"/>
              <w:rPr>
                <w:sz w:val="20"/>
                <w:szCs w:val="20"/>
                <w:color w:val="auto"/>
              </w:rPr>
            </w:pPr>
            <w:r>
              <w:rPr>
                <w:rFonts w:ascii="Arial" w:cs="Arial" w:eastAsia="Arial" w:hAnsi="Arial"/>
                <w:sz w:val="14"/>
                <w:szCs w:val="14"/>
                <w:color w:val="auto"/>
              </w:rPr>
              <w:t>156</w:t>
            </w:r>
          </w:p>
        </w:tc>
      </w:tr>
    </w:tbl>
    <w:p>
      <w:pPr>
        <w:spacing w:after="0" w:line="48" w:lineRule="exact"/>
        <w:rPr>
          <w:sz w:val="20"/>
          <w:szCs w:val="20"/>
          <w:color w:val="auto"/>
        </w:rPr>
      </w:pPr>
    </w:p>
    <w:p>
      <w:pPr>
        <w:ind w:right="160"/>
        <w:spacing w:after="0" w:line="249" w:lineRule="auto"/>
        <w:rPr>
          <w:sz w:val="20"/>
          <w:szCs w:val="20"/>
          <w:color w:val="auto"/>
        </w:rPr>
      </w:pPr>
      <w:r>
        <w:rPr>
          <w:rFonts w:ascii="Arial" w:cs="Arial" w:eastAsia="Arial" w:hAnsi="Arial"/>
          <w:sz w:val="13"/>
          <w:szCs w:val="13"/>
          <w:color w:val="auto"/>
        </w:rPr>
        <w:t>The improvement in video customer net losses in the third quarter of 2015 includes an 11,000 increase in net additions, compared to the third quarter of 2014, related to schools participating in our Xfinity On Campus service.</w:t>
      </w:r>
    </w:p>
    <w:p>
      <w:pPr>
        <w:spacing w:after="0" w:line="175" w:lineRule="exact"/>
        <w:rPr>
          <w:sz w:val="20"/>
          <w:szCs w:val="20"/>
          <w:color w:val="auto"/>
        </w:rPr>
      </w:pPr>
    </w:p>
    <w:p>
      <w:pPr>
        <w:jc w:val="both"/>
        <w:spacing w:after="0" w:line="248" w:lineRule="auto"/>
        <w:rPr>
          <w:sz w:val="20"/>
          <w:szCs w:val="20"/>
          <w:color w:val="auto"/>
        </w:rPr>
      </w:pPr>
      <w:r>
        <w:rPr>
          <w:rFonts w:ascii="Arial" w:cs="Arial" w:eastAsia="Arial" w:hAnsi="Arial"/>
          <w:sz w:val="18"/>
          <w:szCs w:val="18"/>
          <w:b w:val="1"/>
          <w:bCs w:val="1"/>
          <w:i w:val="1"/>
          <w:iCs w:val="1"/>
          <w:color w:val="auto"/>
        </w:rPr>
        <w:t xml:space="preserve">Operating Cash Flow </w:t>
      </w:r>
      <w:r>
        <w:rPr>
          <w:rFonts w:ascii="Arial" w:cs="Arial" w:eastAsia="Arial" w:hAnsi="Arial"/>
          <w:sz w:val="18"/>
          <w:szCs w:val="18"/>
          <w:color w:val="auto"/>
        </w:rPr>
        <w:t>for Cable Communications increased 6.4% to $4.7 billion in the third quarter of 2015 compared to $4.5 billion in the third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quarter of 2014, reflecting higher revenue, partially offset by a 6.3% increase in operating expenses primarily related to higher video programming costs, as well as an increase in technical and product support expenses driven by an acceleration in the deployment of X1 and investments to improve the customer experience. This quarter’s operating cash flow margin was 40.4%, consistent with the prior year period.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For the nine months ended September 30, 2015, Cable operating cash flow increased 5.9% to $14.2 billion compared to $13.4 billion in 2014.</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Year-to-date operating cash flow margin was 40.7% compared to 40.9% in 2014.</w:t>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NBCUniversal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55880</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30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380" w:type="dxa"/>
            <w:vAlign w:val="bottom"/>
          </w:tcPr>
          <w:p>
            <w:pPr>
              <w:jc w:val="right"/>
              <w:ind w:right="388"/>
              <w:spacing w:after="0"/>
              <w:rPr>
                <w:sz w:val="20"/>
                <w:szCs w:val="20"/>
                <w:color w:val="auto"/>
              </w:rPr>
            </w:pPr>
            <w:r>
              <w:rPr>
                <w:rFonts w:ascii="Arial" w:cs="Arial" w:eastAsia="Arial" w:hAnsi="Arial"/>
                <w:sz w:val="14"/>
                <w:szCs w:val="14"/>
                <w:color w:val="auto"/>
              </w:rPr>
              <w:t>3rd Quarter</w:t>
            </w:r>
          </w:p>
        </w:tc>
        <w:tc>
          <w:tcPr>
            <w:tcW w:w="1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380" w:type="dxa"/>
            <w:vAlign w:val="bottom"/>
          </w:tcPr>
          <w:p>
            <w:pPr>
              <w:jc w:val="right"/>
              <w:ind w:right="348"/>
              <w:spacing w:after="0"/>
              <w:rPr>
                <w:sz w:val="20"/>
                <w:szCs w:val="20"/>
                <w:color w:val="auto"/>
              </w:rPr>
            </w:pPr>
            <w:r>
              <w:rPr>
                <w:rFonts w:ascii="Arial" w:cs="Arial" w:eastAsia="Arial" w:hAnsi="Arial"/>
                <w:sz w:val="14"/>
                <w:szCs w:val="14"/>
                <w:color w:val="auto"/>
              </w:rPr>
              <w:t>Year to Date</w:t>
            </w:r>
          </w:p>
        </w:tc>
        <w:tc>
          <w:tcPr>
            <w:tcW w:w="10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30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i w:val="1"/>
                <w:iCs w:val="1"/>
                <w:color w:val="auto"/>
              </w:rPr>
              <w:t>Excluding</w:t>
            </w:r>
          </w:p>
        </w:tc>
        <w:tc>
          <w:tcPr>
            <w:tcW w:w="0" w:type="dxa"/>
            <w:vAlign w:val="bottom"/>
          </w:tcPr>
          <w:p>
            <w:pPr>
              <w:spacing w:after="0"/>
              <w:rPr>
                <w:sz w:val="1"/>
                <w:szCs w:val="1"/>
                <w:color w:val="auto"/>
              </w:rPr>
            </w:pPr>
          </w:p>
        </w:tc>
      </w:tr>
      <w:tr>
        <w:trPr>
          <w:trHeight w:val="162"/>
        </w:trPr>
        <w:tc>
          <w:tcPr>
            <w:tcW w:w="30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i w:val="1"/>
                <w:iCs w:val="1"/>
                <w:color w:val="auto"/>
              </w:rPr>
              <w:t>Olympics</w:t>
            </w:r>
          </w:p>
        </w:tc>
        <w:tc>
          <w:tcPr>
            <w:tcW w:w="0" w:type="dxa"/>
            <w:vAlign w:val="bottom"/>
          </w:tcPr>
          <w:p>
            <w:pPr>
              <w:spacing w:after="0"/>
              <w:rPr>
                <w:sz w:val="1"/>
                <w:szCs w:val="1"/>
                <w:color w:val="auto"/>
              </w:rPr>
            </w:pPr>
          </w:p>
        </w:tc>
      </w:tr>
      <w:tr>
        <w:trPr>
          <w:trHeight w:val="162"/>
        </w:trPr>
        <w:tc>
          <w:tcPr>
            <w:tcW w:w="3080" w:type="dxa"/>
            <w:vAlign w:val="bottom"/>
          </w:tcPr>
          <w:p>
            <w:pPr>
              <w:spacing w:after="0"/>
              <w:rPr>
                <w:sz w:val="14"/>
                <w:szCs w:val="14"/>
                <w:color w:val="auto"/>
              </w:rPr>
            </w:pPr>
          </w:p>
        </w:tc>
        <w:tc>
          <w:tcPr>
            <w:tcW w:w="1260" w:type="dxa"/>
            <w:vAlign w:val="bottom"/>
            <w:vMerge w:val="restart"/>
          </w:tcPr>
          <w:p>
            <w:pPr>
              <w:jc w:val="right"/>
              <w:ind w:right="128"/>
              <w:spacing w:after="0"/>
              <w:rPr>
                <w:sz w:val="20"/>
                <w:szCs w:val="20"/>
                <w:color w:val="auto"/>
              </w:rPr>
            </w:pPr>
            <w:r>
              <w:rPr>
                <w:rFonts w:ascii="Arial" w:cs="Arial" w:eastAsia="Arial" w:hAnsi="Arial"/>
                <w:sz w:val="14"/>
                <w:szCs w:val="14"/>
                <w:color w:val="auto"/>
              </w:rPr>
              <w:t>2014</w:t>
            </w:r>
          </w:p>
        </w:tc>
        <w:tc>
          <w:tcPr>
            <w:tcW w:w="1380" w:type="dxa"/>
            <w:vAlign w:val="bottom"/>
            <w:vMerge w:val="restart"/>
          </w:tcPr>
          <w:p>
            <w:pPr>
              <w:jc w:val="right"/>
              <w:ind w:right="288"/>
              <w:spacing w:after="0"/>
              <w:rPr>
                <w:sz w:val="20"/>
                <w:szCs w:val="20"/>
                <w:color w:val="auto"/>
              </w:rPr>
            </w:pPr>
            <w:r>
              <w:rPr>
                <w:rFonts w:ascii="Arial" w:cs="Arial" w:eastAsia="Arial" w:hAnsi="Arial"/>
                <w:sz w:val="14"/>
                <w:szCs w:val="14"/>
                <w:color w:val="auto"/>
              </w:rPr>
              <w:t>2015</w:t>
            </w:r>
          </w:p>
        </w:tc>
        <w:tc>
          <w:tcPr>
            <w:tcW w:w="1260" w:type="dxa"/>
            <w:vAlign w:val="bottom"/>
            <w:vMerge w:val="restart"/>
          </w:tcPr>
          <w:p>
            <w:pPr>
              <w:jc w:val="right"/>
              <w:ind w:right="348"/>
              <w:spacing w:after="0"/>
              <w:rPr>
                <w:sz w:val="20"/>
                <w:szCs w:val="20"/>
                <w:color w:val="auto"/>
              </w:rPr>
            </w:pPr>
            <w:r>
              <w:rPr>
                <w:rFonts w:ascii="Arial" w:cs="Arial" w:eastAsia="Arial" w:hAnsi="Arial"/>
                <w:sz w:val="14"/>
                <w:szCs w:val="14"/>
                <w:color w:val="auto"/>
              </w:rPr>
              <w:t>Growth</w:t>
            </w:r>
          </w:p>
        </w:tc>
        <w:tc>
          <w:tcPr>
            <w:tcW w:w="1100" w:type="dxa"/>
            <w:vAlign w:val="bottom"/>
            <w:vMerge w:val="restart"/>
          </w:tcPr>
          <w:p>
            <w:pPr>
              <w:jc w:val="right"/>
              <w:ind w:right="108"/>
              <w:spacing w:after="0"/>
              <w:rPr>
                <w:sz w:val="20"/>
                <w:szCs w:val="20"/>
                <w:color w:val="auto"/>
              </w:rPr>
            </w:pPr>
            <w:r>
              <w:rPr>
                <w:rFonts w:ascii="Arial" w:cs="Arial" w:eastAsia="Arial" w:hAnsi="Arial"/>
                <w:sz w:val="14"/>
                <w:szCs w:val="14"/>
                <w:color w:val="auto"/>
              </w:rPr>
              <w:t>2014</w:t>
            </w:r>
          </w:p>
        </w:tc>
        <w:tc>
          <w:tcPr>
            <w:tcW w:w="1380" w:type="dxa"/>
            <w:vAlign w:val="bottom"/>
            <w:vMerge w:val="restart"/>
          </w:tcPr>
          <w:p>
            <w:pPr>
              <w:jc w:val="right"/>
              <w:ind w:right="288"/>
              <w:spacing w:after="0"/>
              <w:rPr>
                <w:sz w:val="20"/>
                <w:szCs w:val="20"/>
                <w:color w:val="auto"/>
              </w:rPr>
            </w:pPr>
            <w:r>
              <w:rPr>
                <w:rFonts w:ascii="Arial" w:cs="Arial" w:eastAsia="Arial" w:hAnsi="Arial"/>
                <w:sz w:val="14"/>
                <w:szCs w:val="14"/>
                <w:color w:val="auto"/>
              </w:rPr>
              <w:t>2015</w:t>
            </w:r>
          </w:p>
        </w:tc>
        <w:tc>
          <w:tcPr>
            <w:tcW w:w="1040" w:type="dxa"/>
            <w:vAlign w:val="bottom"/>
            <w:vMerge w:val="restart"/>
          </w:tcPr>
          <w:p>
            <w:pPr>
              <w:jc w:val="right"/>
              <w:ind w:right="148"/>
              <w:spacing w:after="0"/>
              <w:rPr>
                <w:sz w:val="20"/>
                <w:szCs w:val="20"/>
                <w:color w:val="auto"/>
              </w:rPr>
            </w:pPr>
            <w:r>
              <w:rPr>
                <w:rFonts w:ascii="Arial" w:cs="Arial" w:eastAsia="Arial" w:hAnsi="Arial"/>
                <w:sz w:val="14"/>
                <w:szCs w:val="14"/>
                <w:color w:val="auto"/>
              </w:rPr>
              <w:t>Growth</w:t>
            </w:r>
          </w:p>
        </w:tc>
        <w:tc>
          <w:tcPr>
            <w:tcW w:w="920" w:type="dxa"/>
            <w:vAlign w:val="bottom"/>
          </w:tcPr>
          <w:p>
            <w:pPr>
              <w:jc w:val="right"/>
              <w:spacing w:after="0"/>
              <w:rPr>
                <w:sz w:val="20"/>
                <w:szCs w:val="20"/>
                <w:color w:val="auto"/>
              </w:rPr>
            </w:pPr>
            <w:r>
              <w:rPr>
                <w:rFonts w:ascii="Arial" w:cs="Arial" w:eastAsia="Arial" w:hAnsi="Arial"/>
                <w:sz w:val="14"/>
                <w:szCs w:val="14"/>
                <w:i w:val="1"/>
                <w:iCs w:val="1"/>
                <w:color w:val="auto"/>
              </w:rPr>
              <w:t>&amp; Super</w:t>
            </w:r>
          </w:p>
        </w:tc>
        <w:tc>
          <w:tcPr>
            <w:tcW w:w="0" w:type="dxa"/>
            <w:vAlign w:val="bottom"/>
          </w:tcPr>
          <w:p>
            <w:pPr>
              <w:spacing w:after="0"/>
              <w:rPr>
                <w:sz w:val="1"/>
                <w:szCs w:val="1"/>
                <w:color w:val="auto"/>
              </w:rPr>
            </w:pPr>
          </w:p>
        </w:tc>
      </w:tr>
      <w:tr>
        <w:trPr>
          <w:trHeight w:val="194"/>
        </w:trPr>
        <w:tc>
          <w:tcPr>
            <w:tcW w:w="3080" w:type="dxa"/>
            <w:vAlign w:val="bottom"/>
          </w:tcPr>
          <w:p>
            <w:pPr>
              <w:ind w:left="40"/>
              <w:spacing w:after="0"/>
              <w:rPr>
                <w:sz w:val="20"/>
                <w:szCs w:val="20"/>
                <w:color w:val="auto"/>
              </w:rPr>
            </w:pPr>
            <w:r>
              <w:rPr>
                <w:rFonts w:ascii="Arial" w:cs="Arial" w:eastAsia="Arial" w:hAnsi="Arial"/>
                <w:sz w:val="11"/>
                <w:szCs w:val="11"/>
                <w:i w:val="1"/>
                <w:iCs w:val="1"/>
                <w:color w:val="auto"/>
              </w:rPr>
              <w:t>($ in millions)</w:t>
            </w:r>
          </w:p>
        </w:tc>
        <w:tc>
          <w:tcPr>
            <w:tcW w:w="1260" w:type="dxa"/>
            <w:vAlign w:val="bottom"/>
            <w:vMerge w:val="continue"/>
          </w:tcPr>
          <w:p>
            <w:pPr>
              <w:spacing w:after="0"/>
              <w:rPr>
                <w:sz w:val="16"/>
                <w:szCs w:val="16"/>
                <w:color w:val="auto"/>
              </w:rPr>
            </w:pPr>
          </w:p>
        </w:tc>
        <w:tc>
          <w:tcPr>
            <w:tcW w:w="1380" w:type="dxa"/>
            <w:vAlign w:val="bottom"/>
            <w:vMerge w:val="continue"/>
          </w:tcPr>
          <w:p>
            <w:pPr>
              <w:spacing w:after="0"/>
              <w:rPr>
                <w:sz w:val="16"/>
                <w:szCs w:val="16"/>
                <w:color w:val="auto"/>
              </w:rPr>
            </w:pPr>
          </w:p>
        </w:tc>
        <w:tc>
          <w:tcPr>
            <w:tcW w:w="1260" w:type="dxa"/>
            <w:vAlign w:val="bottom"/>
            <w:vMerge w:val="continue"/>
          </w:tcPr>
          <w:p>
            <w:pPr>
              <w:spacing w:after="0"/>
              <w:rPr>
                <w:sz w:val="16"/>
                <w:szCs w:val="16"/>
                <w:color w:val="auto"/>
              </w:rPr>
            </w:pPr>
          </w:p>
        </w:tc>
        <w:tc>
          <w:tcPr>
            <w:tcW w:w="1100" w:type="dxa"/>
            <w:vAlign w:val="bottom"/>
            <w:vMerge w:val="continue"/>
          </w:tcPr>
          <w:p>
            <w:pPr>
              <w:spacing w:after="0"/>
              <w:rPr>
                <w:sz w:val="16"/>
                <w:szCs w:val="16"/>
                <w:color w:val="auto"/>
              </w:rPr>
            </w:pPr>
          </w:p>
        </w:tc>
        <w:tc>
          <w:tcPr>
            <w:tcW w:w="1380" w:type="dxa"/>
            <w:vAlign w:val="bottom"/>
            <w:vMerge w:val="continue"/>
          </w:tcPr>
          <w:p>
            <w:pPr>
              <w:spacing w:after="0"/>
              <w:rPr>
                <w:sz w:val="16"/>
                <w:szCs w:val="16"/>
                <w:color w:val="auto"/>
              </w:rPr>
            </w:pPr>
          </w:p>
        </w:tc>
        <w:tc>
          <w:tcPr>
            <w:tcW w:w="1040" w:type="dxa"/>
            <w:vAlign w:val="bottom"/>
            <w:vMerge w:val="continue"/>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i w:val="1"/>
                <w:iCs w:val="1"/>
                <w:color w:val="auto"/>
              </w:rPr>
              <w:t>Bowl</w:t>
            </w:r>
          </w:p>
        </w:tc>
        <w:tc>
          <w:tcPr>
            <w:tcW w:w="0" w:type="dxa"/>
            <w:vAlign w:val="bottom"/>
          </w:tcPr>
          <w:p>
            <w:pPr>
              <w:spacing w:after="0"/>
              <w:rPr>
                <w:sz w:val="1"/>
                <w:szCs w:val="1"/>
                <w:color w:val="auto"/>
              </w:rPr>
            </w:pPr>
          </w:p>
        </w:tc>
      </w:tr>
      <w:tr>
        <w:trPr>
          <w:trHeight w:val="27"/>
        </w:trPr>
        <w:tc>
          <w:tcPr>
            <w:tcW w:w="30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30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NBCUniversal Revenue</w:t>
            </w:r>
          </w:p>
        </w:tc>
        <w:tc>
          <w:tcPr>
            <w:tcW w:w="12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0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Cable Networks</w:t>
            </w:r>
          </w:p>
        </w:tc>
        <w:tc>
          <w:tcPr>
            <w:tcW w:w="12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$2,255</w:t>
            </w:r>
          </w:p>
        </w:tc>
        <w:tc>
          <w:tcPr>
            <w:tcW w:w="13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$2,412</w:t>
            </w:r>
          </w:p>
        </w:tc>
        <w:tc>
          <w:tcPr>
            <w:tcW w:w="126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7.0%</w:t>
            </w:r>
          </w:p>
        </w:tc>
        <w:tc>
          <w:tcPr>
            <w:tcW w:w="11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$7,236</w:t>
            </w:r>
          </w:p>
        </w:tc>
        <w:tc>
          <w:tcPr>
            <w:tcW w:w="13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$7,221</w:t>
            </w:r>
          </w:p>
        </w:tc>
        <w:tc>
          <w:tcPr>
            <w:tcW w:w="10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(0.2%)</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196"/>
        </w:trPr>
        <w:tc>
          <w:tcPr>
            <w:tcW w:w="30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Broadcast Television</w:t>
            </w:r>
          </w:p>
        </w:tc>
        <w:tc>
          <w:tcPr>
            <w:tcW w:w="12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1,770</w:t>
            </w:r>
          </w:p>
        </w:tc>
        <w:tc>
          <w:tcPr>
            <w:tcW w:w="13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1,971</w:t>
            </w:r>
          </w:p>
        </w:tc>
        <w:tc>
          <w:tcPr>
            <w:tcW w:w="126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11.3%</w:t>
            </w:r>
          </w:p>
        </w:tc>
        <w:tc>
          <w:tcPr>
            <w:tcW w:w="11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6,207</w:t>
            </w:r>
          </w:p>
        </w:tc>
        <w:tc>
          <w:tcPr>
            <w:tcW w:w="13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6,032</w:t>
            </w:r>
          </w:p>
        </w:tc>
        <w:tc>
          <w:tcPr>
            <w:tcW w:w="10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(2.8%)</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196"/>
        </w:trPr>
        <w:tc>
          <w:tcPr>
            <w:tcW w:w="30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Filmed Entertainment</w:t>
            </w:r>
          </w:p>
        </w:tc>
        <w:tc>
          <w:tcPr>
            <w:tcW w:w="12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1,186</w:t>
            </w:r>
          </w:p>
        </w:tc>
        <w:tc>
          <w:tcPr>
            <w:tcW w:w="13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1,946</w:t>
            </w:r>
          </w:p>
        </w:tc>
        <w:tc>
          <w:tcPr>
            <w:tcW w:w="126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64.0%</w:t>
            </w:r>
          </w:p>
        </w:tc>
        <w:tc>
          <w:tcPr>
            <w:tcW w:w="11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3,713</w:t>
            </w:r>
          </w:p>
        </w:tc>
        <w:tc>
          <w:tcPr>
            <w:tcW w:w="13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5,658</w:t>
            </w:r>
          </w:p>
        </w:tc>
        <w:tc>
          <w:tcPr>
            <w:tcW w:w="10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52.4%</w:t>
            </w:r>
          </w:p>
        </w:tc>
        <w:tc>
          <w:tcPr>
            <w:tcW w:w="9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0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Theme Parks</w:t>
            </w:r>
          </w:p>
        </w:tc>
        <w:tc>
          <w:tcPr>
            <w:tcW w:w="12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786</w:t>
            </w:r>
          </w:p>
        </w:tc>
        <w:tc>
          <w:tcPr>
            <w:tcW w:w="13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896</w:t>
            </w:r>
          </w:p>
        </w:tc>
        <w:tc>
          <w:tcPr>
            <w:tcW w:w="126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14.1%</w:t>
            </w:r>
          </w:p>
        </w:tc>
        <w:tc>
          <w:tcPr>
            <w:tcW w:w="11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1,888</w:t>
            </w:r>
          </w:p>
        </w:tc>
        <w:tc>
          <w:tcPr>
            <w:tcW w:w="13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2,320</w:t>
            </w:r>
          </w:p>
        </w:tc>
        <w:tc>
          <w:tcPr>
            <w:tcW w:w="10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22.9%</w:t>
            </w:r>
          </w:p>
        </w:tc>
        <w:tc>
          <w:tcPr>
            <w:tcW w:w="9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Headquarters, Other and Eliminations</w:t>
            </w:r>
          </w:p>
        </w:tc>
        <w:tc>
          <w:tcPr>
            <w:tcW w:w="12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(76)</w:t>
            </w:r>
          </w:p>
        </w:tc>
        <w:tc>
          <w:tcPr>
            <w:tcW w:w="13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(74)</w:t>
            </w:r>
          </w:p>
        </w:tc>
        <w:tc>
          <w:tcPr>
            <w:tcW w:w="126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NM</w:t>
            </w:r>
          </w:p>
        </w:tc>
        <w:tc>
          <w:tcPr>
            <w:tcW w:w="11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(231)</w:t>
            </w:r>
          </w:p>
        </w:tc>
        <w:tc>
          <w:tcPr>
            <w:tcW w:w="13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(246)</w:t>
            </w:r>
          </w:p>
        </w:tc>
        <w:tc>
          <w:tcPr>
            <w:tcW w:w="10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NM</w:t>
            </w:r>
          </w:p>
        </w:tc>
        <w:tc>
          <w:tcPr>
            <w:tcW w:w="9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3080" w:type="dxa"/>
            <w:vAlign w:val="bottom"/>
          </w:tcPr>
          <w:p>
            <w:pPr>
              <w:ind w:left="40"/>
              <w:spacing w:after="0"/>
              <w:rPr>
                <w:sz w:val="20"/>
                <w:szCs w:val="20"/>
                <w:color w:val="auto"/>
              </w:rPr>
            </w:pPr>
            <w:r>
              <w:rPr>
                <w:rFonts w:ascii="Arial" w:cs="Arial" w:eastAsia="Arial" w:hAnsi="Arial"/>
                <w:sz w:val="14"/>
                <w:szCs w:val="14"/>
                <w:b w:val="1"/>
                <w:bCs w:val="1"/>
                <w:color w:val="auto"/>
              </w:rPr>
              <w:t>NBCUniversal Revenue</w:t>
            </w:r>
          </w:p>
        </w:tc>
        <w:tc>
          <w:tcPr>
            <w:tcW w:w="1260" w:type="dxa"/>
            <w:vAlign w:val="bottom"/>
          </w:tcPr>
          <w:p>
            <w:pPr>
              <w:jc w:val="right"/>
              <w:ind w:right="128"/>
              <w:spacing w:after="0"/>
              <w:rPr>
                <w:sz w:val="20"/>
                <w:szCs w:val="20"/>
                <w:color w:val="auto"/>
              </w:rPr>
            </w:pPr>
            <w:r>
              <w:rPr>
                <w:rFonts w:ascii="Arial" w:cs="Arial" w:eastAsia="Arial" w:hAnsi="Arial"/>
                <w:sz w:val="14"/>
                <w:szCs w:val="14"/>
                <w:b w:val="1"/>
                <w:bCs w:val="1"/>
                <w:color w:val="auto"/>
              </w:rPr>
              <w:t>$5,921</w:t>
            </w:r>
          </w:p>
        </w:tc>
        <w:tc>
          <w:tcPr>
            <w:tcW w:w="1380" w:type="dxa"/>
            <w:vAlign w:val="bottom"/>
          </w:tcPr>
          <w:p>
            <w:pPr>
              <w:jc w:val="right"/>
              <w:ind w:right="288"/>
              <w:spacing w:after="0"/>
              <w:rPr>
                <w:sz w:val="20"/>
                <w:szCs w:val="20"/>
                <w:color w:val="auto"/>
              </w:rPr>
            </w:pPr>
            <w:r>
              <w:rPr>
                <w:rFonts w:ascii="Arial" w:cs="Arial" w:eastAsia="Arial" w:hAnsi="Arial"/>
                <w:sz w:val="14"/>
                <w:szCs w:val="14"/>
                <w:b w:val="1"/>
                <w:bCs w:val="1"/>
                <w:color w:val="auto"/>
              </w:rPr>
              <w:t>$7,151</w:t>
            </w:r>
          </w:p>
        </w:tc>
        <w:tc>
          <w:tcPr>
            <w:tcW w:w="1260" w:type="dxa"/>
            <w:vAlign w:val="bottom"/>
          </w:tcPr>
          <w:p>
            <w:pPr>
              <w:jc w:val="right"/>
              <w:ind w:right="348"/>
              <w:spacing w:after="0"/>
              <w:rPr>
                <w:sz w:val="20"/>
                <w:szCs w:val="20"/>
                <w:color w:val="auto"/>
              </w:rPr>
            </w:pPr>
            <w:r>
              <w:rPr>
                <w:rFonts w:ascii="Arial" w:cs="Arial" w:eastAsia="Arial" w:hAnsi="Arial"/>
                <w:sz w:val="14"/>
                <w:szCs w:val="14"/>
                <w:b w:val="1"/>
                <w:bCs w:val="1"/>
                <w:color w:val="auto"/>
              </w:rPr>
              <w:t>20.8%</w:t>
            </w:r>
          </w:p>
        </w:tc>
        <w:tc>
          <w:tcPr>
            <w:tcW w:w="1100" w:type="dxa"/>
            <w:vAlign w:val="bottom"/>
          </w:tcPr>
          <w:p>
            <w:pPr>
              <w:jc w:val="right"/>
              <w:ind w:right="108"/>
              <w:spacing w:after="0"/>
              <w:rPr>
                <w:sz w:val="20"/>
                <w:szCs w:val="20"/>
                <w:color w:val="auto"/>
              </w:rPr>
            </w:pPr>
            <w:r>
              <w:rPr>
                <w:rFonts w:ascii="Arial" w:cs="Arial" w:eastAsia="Arial" w:hAnsi="Arial"/>
                <w:sz w:val="14"/>
                <w:szCs w:val="14"/>
                <w:b w:val="1"/>
                <w:bCs w:val="1"/>
                <w:color w:val="auto"/>
              </w:rPr>
              <w:t>$18,813</w:t>
            </w:r>
          </w:p>
        </w:tc>
        <w:tc>
          <w:tcPr>
            <w:tcW w:w="1380" w:type="dxa"/>
            <w:vAlign w:val="bottom"/>
          </w:tcPr>
          <w:p>
            <w:pPr>
              <w:jc w:val="right"/>
              <w:ind w:right="288"/>
              <w:spacing w:after="0"/>
              <w:rPr>
                <w:sz w:val="20"/>
                <w:szCs w:val="20"/>
                <w:color w:val="auto"/>
              </w:rPr>
            </w:pPr>
            <w:r>
              <w:rPr>
                <w:rFonts w:ascii="Arial" w:cs="Arial" w:eastAsia="Arial" w:hAnsi="Arial"/>
                <w:sz w:val="14"/>
                <w:szCs w:val="14"/>
                <w:b w:val="1"/>
                <w:bCs w:val="1"/>
                <w:color w:val="auto"/>
              </w:rPr>
              <w:t>$20,985</w:t>
            </w:r>
          </w:p>
        </w:tc>
        <w:tc>
          <w:tcPr>
            <w:tcW w:w="1040" w:type="dxa"/>
            <w:vAlign w:val="bottom"/>
          </w:tcPr>
          <w:p>
            <w:pPr>
              <w:jc w:val="right"/>
              <w:ind w:right="148"/>
              <w:spacing w:after="0"/>
              <w:rPr>
                <w:sz w:val="20"/>
                <w:szCs w:val="20"/>
                <w:color w:val="auto"/>
              </w:rPr>
            </w:pPr>
            <w:r>
              <w:rPr>
                <w:rFonts w:ascii="Arial" w:cs="Arial" w:eastAsia="Arial" w:hAnsi="Arial"/>
                <w:sz w:val="14"/>
                <w:szCs w:val="14"/>
                <w:b w:val="1"/>
                <w:bCs w:val="1"/>
                <w:color w:val="auto"/>
              </w:rPr>
              <w:t>11.5%</w:t>
            </w: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16.4%</w:t>
            </w:r>
          </w:p>
        </w:tc>
        <w:tc>
          <w:tcPr>
            <w:tcW w:w="0" w:type="dxa"/>
            <w:vAlign w:val="bottom"/>
          </w:tcPr>
          <w:p>
            <w:pPr>
              <w:spacing w:after="0"/>
              <w:rPr>
                <w:sz w:val="1"/>
                <w:szCs w:val="1"/>
                <w:color w:val="auto"/>
              </w:rPr>
            </w:pPr>
          </w:p>
        </w:tc>
      </w:tr>
      <w:tr>
        <w:trPr>
          <w:trHeight w:val="185"/>
        </w:trPr>
        <w:tc>
          <w:tcPr>
            <w:tcW w:w="30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0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NBCUniversal Operating Cash Flow</w:t>
            </w:r>
          </w:p>
        </w:tc>
        <w:tc>
          <w:tcPr>
            <w:tcW w:w="12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0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Cable Networks</w:t>
            </w:r>
          </w:p>
        </w:tc>
        <w:tc>
          <w:tcPr>
            <w:tcW w:w="12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$868</w:t>
            </w:r>
          </w:p>
        </w:tc>
        <w:tc>
          <w:tcPr>
            <w:tcW w:w="13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$835</w:t>
            </w:r>
          </w:p>
        </w:tc>
        <w:tc>
          <w:tcPr>
            <w:tcW w:w="126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(3.9%)</w:t>
            </w:r>
          </w:p>
        </w:tc>
        <w:tc>
          <w:tcPr>
            <w:tcW w:w="11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$2,677</w:t>
            </w:r>
          </w:p>
        </w:tc>
        <w:tc>
          <w:tcPr>
            <w:tcW w:w="13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$2,605</w:t>
            </w:r>
          </w:p>
        </w:tc>
        <w:tc>
          <w:tcPr>
            <w:tcW w:w="10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(2.7%)</w:t>
            </w:r>
          </w:p>
        </w:tc>
        <w:tc>
          <w:tcPr>
            <w:tcW w:w="9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0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Broadcast Television</w:t>
            </w:r>
          </w:p>
        </w:tc>
        <w:tc>
          <w:tcPr>
            <w:tcW w:w="12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142</w:t>
            </w:r>
          </w:p>
        </w:tc>
        <w:tc>
          <w:tcPr>
            <w:tcW w:w="13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150</w:t>
            </w:r>
          </w:p>
        </w:tc>
        <w:tc>
          <w:tcPr>
            <w:tcW w:w="126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6.1%</w:t>
            </w:r>
          </w:p>
        </w:tc>
        <w:tc>
          <w:tcPr>
            <w:tcW w:w="11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504</w:t>
            </w:r>
          </w:p>
        </w:tc>
        <w:tc>
          <w:tcPr>
            <w:tcW w:w="13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563</w:t>
            </w:r>
          </w:p>
        </w:tc>
        <w:tc>
          <w:tcPr>
            <w:tcW w:w="10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11.8%</w:t>
            </w:r>
          </w:p>
        </w:tc>
        <w:tc>
          <w:tcPr>
            <w:tcW w:w="9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0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Filmed Entertainment</w:t>
            </w:r>
          </w:p>
        </w:tc>
        <w:tc>
          <w:tcPr>
            <w:tcW w:w="12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151</w:t>
            </w:r>
          </w:p>
        </w:tc>
        <w:tc>
          <w:tcPr>
            <w:tcW w:w="13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376</w:t>
            </w:r>
          </w:p>
        </w:tc>
        <w:tc>
          <w:tcPr>
            <w:tcW w:w="126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149.5%</w:t>
            </w:r>
          </w:p>
        </w:tc>
        <w:tc>
          <w:tcPr>
            <w:tcW w:w="11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634</w:t>
            </w:r>
          </w:p>
        </w:tc>
        <w:tc>
          <w:tcPr>
            <w:tcW w:w="13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1,091</w:t>
            </w:r>
          </w:p>
        </w:tc>
        <w:tc>
          <w:tcPr>
            <w:tcW w:w="10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72.2%</w:t>
            </w:r>
          </w:p>
        </w:tc>
        <w:tc>
          <w:tcPr>
            <w:tcW w:w="9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0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Theme Parks</w:t>
            </w:r>
          </w:p>
        </w:tc>
        <w:tc>
          <w:tcPr>
            <w:tcW w:w="12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402</w:t>
            </w:r>
          </w:p>
        </w:tc>
        <w:tc>
          <w:tcPr>
            <w:tcW w:w="13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458</w:t>
            </w:r>
          </w:p>
        </w:tc>
        <w:tc>
          <w:tcPr>
            <w:tcW w:w="126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14.1%</w:t>
            </w:r>
          </w:p>
        </w:tc>
        <w:tc>
          <w:tcPr>
            <w:tcW w:w="11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816</w:t>
            </w:r>
          </w:p>
        </w:tc>
        <w:tc>
          <w:tcPr>
            <w:tcW w:w="13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1,075</w:t>
            </w:r>
          </w:p>
        </w:tc>
        <w:tc>
          <w:tcPr>
            <w:tcW w:w="10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31.8%</w:t>
            </w:r>
          </w:p>
        </w:tc>
        <w:tc>
          <w:tcPr>
            <w:tcW w:w="9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Headquarters, Other and Eliminations</w:t>
            </w:r>
          </w:p>
        </w:tc>
        <w:tc>
          <w:tcPr>
            <w:tcW w:w="12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(147)</w:t>
            </w:r>
          </w:p>
        </w:tc>
        <w:tc>
          <w:tcPr>
            <w:tcW w:w="13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(162)</w:t>
            </w:r>
          </w:p>
        </w:tc>
        <w:tc>
          <w:tcPr>
            <w:tcW w:w="126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NM</w:t>
            </w:r>
          </w:p>
        </w:tc>
        <w:tc>
          <w:tcPr>
            <w:tcW w:w="11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(470)</w:t>
            </w:r>
          </w:p>
        </w:tc>
        <w:tc>
          <w:tcPr>
            <w:tcW w:w="13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(471)</w:t>
            </w:r>
          </w:p>
        </w:tc>
        <w:tc>
          <w:tcPr>
            <w:tcW w:w="10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NM</w:t>
            </w:r>
          </w:p>
        </w:tc>
        <w:tc>
          <w:tcPr>
            <w:tcW w:w="9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3080" w:type="dxa"/>
            <w:vAlign w:val="bottom"/>
          </w:tcPr>
          <w:p>
            <w:pPr>
              <w:ind w:left="40"/>
              <w:spacing w:after="0"/>
              <w:rPr>
                <w:sz w:val="20"/>
                <w:szCs w:val="20"/>
                <w:color w:val="auto"/>
              </w:rPr>
            </w:pPr>
            <w:r>
              <w:rPr>
                <w:rFonts w:ascii="Arial" w:cs="Arial" w:eastAsia="Arial" w:hAnsi="Arial"/>
                <w:sz w:val="14"/>
                <w:szCs w:val="14"/>
                <w:b w:val="1"/>
                <w:bCs w:val="1"/>
                <w:color w:val="auto"/>
              </w:rPr>
              <w:t>NBCUniversal Operating Cash Flow</w:t>
            </w:r>
          </w:p>
        </w:tc>
        <w:tc>
          <w:tcPr>
            <w:tcW w:w="1260" w:type="dxa"/>
            <w:vAlign w:val="bottom"/>
          </w:tcPr>
          <w:p>
            <w:pPr>
              <w:jc w:val="right"/>
              <w:ind w:right="128"/>
              <w:spacing w:after="0"/>
              <w:rPr>
                <w:sz w:val="20"/>
                <w:szCs w:val="20"/>
                <w:color w:val="auto"/>
              </w:rPr>
            </w:pPr>
            <w:r>
              <w:rPr>
                <w:rFonts w:ascii="Arial" w:cs="Arial" w:eastAsia="Arial" w:hAnsi="Arial"/>
                <w:sz w:val="14"/>
                <w:szCs w:val="14"/>
                <w:b w:val="1"/>
                <w:bCs w:val="1"/>
                <w:color w:val="auto"/>
              </w:rPr>
              <w:t>$1,416</w:t>
            </w:r>
          </w:p>
        </w:tc>
        <w:tc>
          <w:tcPr>
            <w:tcW w:w="1380" w:type="dxa"/>
            <w:vAlign w:val="bottom"/>
          </w:tcPr>
          <w:p>
            <w:pPr>
              <w:jc w:val="right"/>
              <w:ind w:right="288"/>
              <w:spacing w:after="0"/>
              <w:rPr>
                <w:sz w:val="20"/>
                <w:szCs w:val="20"/>
                <w:color w:val="auto"/>
              </w:rPr>
            </w:pPr>
            <w:r>
              <w:rPr>
                <w:rFonts w:ascii="Arial" w:cs="Arial" w:eastAsia="Arial" w:hAnsi="Arial"/>
                <w:sz w:val="14"/>
                <w:szCs w:val="14"/>
                <w:b w:val="1"/>
                <w:bCs w:val="1"/>
                <w:color w:val="auto"/>
              </w:rPr>
              <w:t>$1,657</w:t>
            </w:r>
          </w:p>
        </w:tc>
        <w:tc>
          <w:tcPr>
            <w:tcW w:w="1260" w:type="dxa"/>
            <w:vAlign w:val="bottom"/>
          </w:tcPr>
          <w:p>
            <w:pPr>
              <w:jc w:val="right"/>
              <w:ind w:right="348"/>
              <w:spacing w:after="0"/>
              <w:rPr>
                <w:sz w:val="20"/>
                <w:szCs w:val="20"/>
                <w:color w:val="auto"/>
              </w:rPr>
            </w:pPr>
            <w:r>
              <w:rPr>
                <w:rFonts w:ascii="Arial" w:cs="Arial" w:eastAsia="Arial" w:hAnsi="Arial"/>
                <w:sz w:val="14"/>
                <w:szCs w:val="14"/>
                <w:b w:val="1"/>
                <w:bCs w:val="1"/>
                <w:color w:val="auto"/>
              </w:rPr>
              <w:t>17.0%</w:t>
            </w:r>
          </w:p>
        </w:tc>
        <w:tc>
          <w:tcPr>
            <w:tcW w:w="1100" w:type="dxa"/>
            <w:vAlign w:val="bottom"/>
          </w:tcPr>
          <w:p>
            <w:pPr>
              <w:jc w:val="right"/>
              <w:ind w:right="108"/>
              <w:spacing w:after="0"/>
              <w:rPr>
                <w:sz w:val="20"/>
                <w:szCs w:val="20"/>
                <w:color w:val="auto"/>
              </w:rPr>
            </w:pPr>
            <w:r>
              <w:rPr>
                <w:rFonts w:ascii="Arial" w:cs="Arial" w:eastAsia="Arial" w:hAnsi="Arial"/>
                <w:sz w:val="14"/>
                <w:szCs w:val="14"/>
                <w:b w:val="1"/>
                <w:bCs w:val="1"/>
                <w:color w:val="auto"/>
              </w:rPr>
              <w:t>$4,161</w:t>
            </w:r>
          </w:p>
        </w:tc>
        <w:tc>
          <w:tcPr>
            <w:tcW w:w="1380" w:type="dxa"/>
            <w:vAlign w:val="bottom"/>
          </w:tcPr>
          <w:p>
            <w:pPr>
              <w:jc w:val="right"/>
              <w:ind w:right="288"/>
              <w:spacing w:after="0"/>
              <w:rPr>
                <w:sz w:val="20"/>
                <w:szCs w:val="20"/>
                <w:color w:val="auto"/>
              </w:rPr>
            </w:pPr>
            <w:r>
              <w:rPr>
                <w:rFonts w:ascii="Arial" w:cs="Arial" w:eastAsia="Arial" w:hAnsi="Arial"/>
                <w:sz w:val="14"/>
                <w:szCs w:val="14"/>
                <w:b w:val="1"/>
                <w:bCs w:val="1"/>
                <w:color w:val="auto"/>
              </w:rPr>
              <w:t>$4,863</w:t>
            </w:r>
          </w:p>
        </w:tc>
        <w:tc>
          <w:tcPr>
            <w:tcW w:w="1040" w:type="dxa"/>
            <w:vAlign w:val="bottom"/>
          </w:tcPr>
          <w:p>
            <w:pPr>
              <w:jc w:val="right"/>
              <w:ind w:right="148"/>
              <w:spacing w:after="0"/>
              <w:rPr>
                <w:sz w:val="20"/>
                <w:szCs w:val="20"/>
                <w:color w:val="auto"/>
              </w:rPr>
            </w:pPr>
            <w:r>
              <w:rPr>
                <w:rFonts w:ascii="Arial" w:cs="Arial" w:eastAsia="Arial" w:hAnsi="Arial"/>
                <w:sz w:val="14"/>
                <w:szCs w:val="14"/>
                <w:b w:val="1"/>
                <w:bCs w:val="1"/>
                <w:color w:val="auto"/>
              </w:rPr>
              <w:t>16.9%</w:t>
            </w: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4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 xml:space="preserve">Revenue </w:t>
      </w:r>
      <w:r>
        <w:rPr>
          <w:rFonts w:ascii="Arial" w:cs="Arial" w:eastAsia="Arial" w:hAnsi="Arial"/>
          <w:sz w:val="18"/>
          <w:szCs w:val="18"/>
          <w:color w:val="auto"/>
        </w:rPr>
        <w:t>for NBCUniversal increased 20.8% to $7.2 billion in the third quarter of 2015 compared to $5.9 billion in the third quarter of 2014.</w:t>
      </w:r>
      <w:r>
        <w:rPr>
          <w:rFonts w:ascii="Arial" w:cs="Arial" w:eastAsia="Arial" w:hAnsi="Arial"/>
          <w:sz w:val="18"/>
          <w:szCs w:val="18"/>
          <w:b w:val="1"/>
          <w:bCs w:val="1"/>
          <w:i w:val="1"/>
          <w:iCs w:val="1"/>
          <w:color w:val="auto"/>
        </w:rPr>
        <w:t xml:space="preserve"> Operating Cash Flow </w:t>
      </w:r>
      <w:r>
        <w:rPr>
          <w:rFonts w:ascii="Arial" w:cs="Arial" w:eastAsia="Arial" w:hAnsi="Arial"/>
          <w:sz w:val="18"/>
          <w:szCs w:val="18"/>
          <w:color w:val="auto"/>
        </w:rPr>
        <w:t>increased 17.0% to $1.7 billion compared to $1.4 billion in the third quarter of 2014, driven by strong results at Filmed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Entertainment and Theme Parks.</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For the nine months ended September 30, 2015, NBCUniversal revenue increased 11.5% to $21.0 billion compared to $18.8 billion in 2014. Excluding $376 million of revenue generated by the broadcast of the NFL’s Super Bowl in the first quarter of 2015 and $1.1 billion of revenue generated by the Sochi Olympics in the first quarter of 2014, revenue increased 16.4% (see Table 5). Operating cash flow increased 16.9% to $4.9 billion compared to $4.2 billion in the first nine months of 2014.</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Networks</w:t>
      </w:r>
    </w:p>
    <w:p>
      <w:pPr>
        <w:spacing w:after="0" w:line="20"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For the third quarter of 2015, revenue from the Cable Networks segment increased 7.0% to $2.4 billion compared to $2.3 billion in the third quarter of 2014, driven by an 8.6% increase in distribution revenue and a 2.0% increase in advertising revenue, partially reflecting the introduction of NASCAR on our sports network, NBCSN, as well as a 17.6% increase in content licensing and other revenue. Operating cash flow decreased 3.9% to $835 million compared to $868 million in the third quarter of 2014, reflecting higher revenue, more than offset by increased sports programming costs, driven by the impact of NASCAR.</w:t>
      </w:r>
    </w:p>
    <w:p>
      <w:pPr>
        <w:spacing w:after="0" w:line="163"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For the nine months ended September 30, 2015, revenue from the Cable Networks segment decreased 0.2% to $7.2 billion. Excluding $257 million of revenue generated by the Sochi Olympics in the first quarter of 2014, revenue increased 3.5% (see Table 5). Operating cash flow</w:t>
      </w:r>
    </w:p>
    <w:p>
      <w:pPr>
        <w:sectPr>
          <w:pgSz w:w="11900" w:h="16878" w:orient="portrait"/>
          <w:cols w:equalWidth="0" w:num="1">
            <w:col w:w="11420"/>
          </w:cols>
          <w:pgMar w:left="240" w:top="116" w:right="239" w:bottom="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decreased 2.7% to $2.6 billion in the first nine months of 2015 compared to $2.7 billion in 2014.</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Broadcast Television</w:t>
      </w:r>
    </w:p>
    <w:p>
      <w:pPr>
        <w:spacing w:after="0" w:line="20"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For the third quarter of 2015, revenue from the Broadcast Television segment increased 11.3% to $2.0 billion compared to $1.8 billion in the third quarter of 2014, reflecting a 33.5% increase in content licensing revenue, higher retransmission consent fees, and a 2.8% increase in advertising revenue. Operating cash flow increased 6.1% to $150 million compared to $142 million in the third quarter of 2014, reflecting higher revenue, partially offset by an increase in programming and production costs associated with the timing of content provided under our licensing agreements and studio production costs.</w:t>
      </w:r>
    </w:p>
    <w:p>
      <w:pPr>
        <w:spacing w:after="0" w:line="163"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For the nine months ended September 30, 2015, revenue from the Broadcast Television segment decreased 2.8% to $6.0 billion compared to $6.2 billion in 2014. Excluding $376 million of revenue generated by the NFL’s Super Bowl in the first quarter of 2015, as well as $846 million of revenue generated by the Sochi Olympics in the first quarter of 2014, revenue increased 5.5% (see Table 5). Operating cash flow increased 11.8% to $563 million compared to $504 million in the first nine months of 2014.</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Filmed Entertainment</w:t>
      </w:r>
    </w:p>
    <w:p>
      <w:pPr>
        <w:spacing w:after="0" w:line="20"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 xml:space="preserve">For the third quarter of 2015, revenue from the Filmed Entertainment segment increased 64.0% to $1.9 billion compared to $1.2 billion in the third quarter of 2014, driven by higher theatrical revenue from the record performances of </w:t>
      </w:r>
      <w:r>
        <w:rPr>
          <w:rFonts w:ascii="Arial" w:cs="Arial" w:eastAsia="Arial" w:hAnsi="Arial"/>
          <w:sz w:val="18"/>
          <w:szCs w:val="18"/>
          <w:i w:val="1"/>
          <w:iCs w:val="1"/>
          <w:color w:val="auto"/>
        </w:rPr>
        <w:t>Minions</w:t>
      </w:r>
      <w:r>
        <w:rPr>
          <w:rFonts w:ascii="Arial" w:cs="Arial" w:eastAsia="Arial" w:hAnsi="Arial"/>
          <w:sz w:val="18"/>
          <w:szCs w:val="18"/>
          <w:color w:val="auto"/>
        </w:rPr>
        <w:t xml:space="preserve"> and </w:t>
      </w:r>
      <w:r>
        <w:rPr>
          <w:rFonts w:ascii="Arial" w:cs="Arial" w:eastAsia="Arial" w:hAnsi="Arial"/>
          <w:sz w:val="18"/>
          <w:szCs w:val="18"/>
          <w:i w:val="1"/>
          <w:iCs w:val="1"/>
          <w:color w:val="auto"/>
        </w:rPr>
        <w:t>Jurassic World</w:t>
      </w:r>
      <w:r>
        <w:rPr>
          <w:rFonts w:ascii="Arial" w:cs="Arial" w:eastAsia="Arial" w:hAnsi="Arial"/>
          <w:sz w:val="18"/>
          <w:szCs w:val="18"/>
          <w:color w:val="auto"/>
        </w:rPr>
        <w:t xml:space="preserve">, continuing on the earlier success of </w:t>
      </w:r>
      <w:r>
        <w:rPr>
          <w:rFonts w:ascii="Arial" w:cs="Arial" w:eastAsia="Arial" w:hAnsi="Arial"/>
          <w:sz w:val="18"/>
          <w:szCs w:val="18"/>
          <w:i w:val="1"/>
          <w:iCs w:val="1"/>
          <w:color w:val="auto"/>
        </w:rPr>
        <w:t>Furious 7</w:t>
      </w:r>
      <w:r>
        <w:rPr>
          <w:rFonts w:ascii="Arial" w:cs="Arial" w:eastAsia="Arial" w:hAnsi="Arial"/>
          <w:sz w:val="18"/>
          <w:szCs w:val="18"/>
          <w:color w:val="auto"/>
        </w:rPr>
        <w:t>. Operating cash flow increased $225 million to $376 million compared to $151 million in the third quarter of 2014, reflecting higher revenue, partially offset by an increase in the amortization of film costs and higher advertising, marketing and promotion expense due to a larger film slate.</w:t>
      </w:r>
    </w:p>
    <w:p>
      <w:pPr>
        <w:spacing w:after="0" w:line="163" w:lineRule="exact"/>
        <w:rPr>
          <w:sz w:val="20"/>
          <w:szCs w:val="20"/>
          <w:color w:val="auto"/>
        </w:rPr>
      </w:pPr>
    </w:p>
    <w:p>
      <w:pPr>
        <w:jc w:val="both"/>
        <w:ind w:right="20"/>
        <w:spacing w:after="0" w:line="276" w:lineRule="auto"/>
        <w:rPr>
          <w:sz w:val="20"/>
          <w:szCs w:val="20"/>
          <w:color w:val="auto"/>
        </w:rPr>
      </w:pPr>
      <w:r>
        <w:rPr>
          <w:rFonts w:ascii="Arial" w:cs="Arial" w:eastAsia="Arial" w:hAnsi="Arial"/>
          <w:sz w:val="18"/>
          <w:szCs w:val="18"/>
          <w:color w:val="auto"/>
        </w:rPr>
        <w:t>For the nine months ended September 30, 2015, revenue from the Filmed Entertainment segment increased 52.4% to $5.7 billion compared to $3.7 billion in 2014. Operating cash flow increased 72.2% to $1.1 billion compared to $634 million in the first nine months of 2014.</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Theme Parks</w:t>
      </w:r>
    </w:p>
    <w:p>
      <w:pPr>
        <w:spacing w:after="0" w:line="2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 xml:space="preserve">For the third quarter of 2015, revenue from the Theme Parks segment increased 14.1% to $896 million compared to $786 million in the third quarter of 2014, reflecting higher guest attendance and per capita spending, driven by the continued success of Orlando’s </w:t>
      </w:r>
      <w:r>
        <w:rPr>
          <w:rFonts w:ascii="Arial" w:cs="Arial" w:eastAsia="Arial" w:hAnsi="Arial"/>
          <w:sz w:val="18"/>
          <w:szCs w:val="18"/>
          <w:i w:val="1"/>
          <w:iCs w:val="1"/>
          <w:color w:val="auto"/>
        </w:rPr>
        <w:t>The Wizarding</w:t>
      </w:r>
      <w:r>
        <w:rPr>
          <w:rFonts w:ascii="Arial" w:cs="Arial" w:eastAsia="Arial" w:hAnsi="Arial"/>
          <w:sz w:val="18"/>
          <w:szCs w:val="18"/>
          <w:color w:val="auto"/>
        </w:rPr>
        <w:t xml:space="preserve"> </w:t>
      </w:r>
      <w:r>
        <w:rPr>
          <w:rFonts w:ascii="Arial" w:cs="Arial" w:eastAsia="Arial" w:hAnsi="Arial"/>
          <w:sz w:val="18"/>
          <w:szCs w:val="18"/>
          <w:i w:val="1"/>
          <w:iCs w:val="1"/>
          <w:color w:val="auto"/>
        </w:rPr>
        <w:t>World of Harry Potter</w:t>
      </w:r>
      <w:r>
        <w:rPr>
          <w:rFonts w:ascii="Arial" w:cs="Arial" w:eastAsia="Arial" w:hAnsi="Arial"/>
          <w:sz w:val="18"/>
          <w:szCs w:val="18"/>
          <w:color w:val="auto"/>
        </w:rPr>
        <w:t>™ –</w:t>
      </w:r>
      <w:r>
        <w:rPr>
          <w:rFonts w:ascii="Arial" w:cs="Arial" w:eastAsia="Arial" w:hAnsi="Arial"/>
          <w:sz w:val="18"/>
          <w:szCs w:val="18"/>
          <w:i w:val="1"/>
          <w:iCs w:val="1"/>
          <w:color w:val="auto"/>
        </w:rPr>
        <w:t xml:space="preserve"> Diagon Alley</w:t>
      </w:r>
      <w:r>
        <w:rPr>
          <w:rFonts w:ascii="Arial" w:cs="Arial" w:eastAsia="Arial" w:hAnsi="Arial"/>
          <w:sz w:val="18"/>
          <w:szCs w:val="18"/>
          <w:color w:val="auto"/>
        </w:rPr>
        <w:t>™, as well as</w:t>
      </w:r>
      <w:r>
        <w:rPr>
          <w:rFonts w:ascii="Arial" w:cs="Arial" w:eastAsia="Arial" w:hAnsi="Arial"/>
          <w:sz w:val="18"/>
          <w:szCs w:val="18"/>
          <w:i w:val="1"/>
          <w:iCs w:val="1"/>
          <w:color w:val="auto"/>
        </w:rPr>
        <w:t xml:space="preserve"> Fast and Furious: Supercharged </w:t>
      </w:r>
      <w:r>
        <w:rPr>
          <w:rFonts w:ascii="Arial" w:cs="Arial" w:eastAsia="Arial" w:hAnsi="Arial"/>
          <w:sz w:val="18"/>
          <w:szCs w:val="18"/>
          <w:color w:val="auto"/>
        </w:rPr>
        <w:t>at the Hollywood park. Third quarter operating cash flow</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increased 14.1% to $458 million compared to $402 million in the same period last year, reflecting higher revenue, partially offset by an increase in operating costs to support new attractions and $18 million of transaction-related costs associated with the development of a theme park in China.</w:t>
      </w:r>
    </w:p>
    <w:p>
      <w:pPr>
        <w:spacing w:after="0" w:line="164"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For the nine months ended September 30, 2015, revenue from the Theme Parks segment increased 22.9% to $2.3 billion compared to $1.9 billion in 2014. Operating cash flow increased 31.8% to $1.1 billion compared to $816 million in the first nine months of 2014.</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Headquarters, Other and Eliminations</w:t>
      </w:r>
    </w:p>
    <w:p>
      <w:pPr>
        <w:spacing w:after="0" w:line="20"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NBCUniversal Headquarters, Other and Eliminations include overhead and eliminations among the NBCUniversal businesses. For the quarter ended September 30, 2015, NBCUniversal Headquarters, Other and Eliminations operating cash flow loss was $162 million compared to a loss of $147 million in the third quarter of 2014.</w:t>
      </w:r>
    </w:p>
    <w:p>
      <w:pPr>
        <w:spacing w:after="0" w:line="162"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For the nine months ended September 30, 2015, NBCUniversal Headquarters, Other and Eliminations operating cash flow loss was $471 million compared to a loss of $470 million in 2014.</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Other and Eliminations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7"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Corporate, Other and Eliminations primarily include corporate operations, Comcast-Spectacor and eliminations among Comcast’s businesses. For the quarter ended September 30, 2015, Corporate, Other and Eliminations revenue was ($222) million compared to ($171) million in 2014. The operating cash flow loss was $221 million, including $56 million of expenses related to a contract settlement, compared to a loss of $176 million in the third quarter of 2014, which included $77 million of transaction-related costs.</w:t>
      </w:r>
    </w:p>
    <w:p>
      <w:pPr>
        <w:spacing w:after="0" w:line="157"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For the nine months ended September 30, 2015, Corporate, Other and Eliminations revenue was ($619) million compared to ($597) million in 2014. The operating cash flow loss was $677 million, including $178 million of transaction-related costs, compared to a loss of $543 million in the first nine months of 2014, which included $138 million of transaction-related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238760</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w:t>
      </w:r>
    </w:p>
    <w:p>
      <w:pPr>
        <w:spacing w:after="0" w:line="20" w:lineRule="exact"/>
        <w:rPr>
          <w:sz w:val="20"/>
          <w:szCs w:val="20"/>
          <w:color w:val="auto"/>
        </w:rPr>
      </w:pPr>
    </w:p>
    <w:p>
      <w:pPr>
        <w:ind w:left="180" w:hanging="166"/>
        <w:spacing w:after="0" w:line="251" w:lineRule="auto"/>
        <w:tabs>
          <w:tab w:leader="none" w:pos="247"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define Operating Cash Flow as operating income (loss) before depreciation and amortization, excluding impairment charges related to fixed and intangible assets and gains or losses on the sale of assets, if any.</w:t>
      </w:r>
    </w:p>
    <w:p>
      <w:pPr>
        <w:spacing w:after="0" w:line="153" w:lineRule="exact"/>
        <w:rPr>
          <w:sz w:val="20"/>
          <w:szCs w:val="20"/>
          <w:color w:val="auto"/>
        </w:rPr>
      </w:pPr>
    </w:p>
    <w:p>
      <w:pPr>
        <w:ind w:left="20"/>
        <w:spacing w:after="0"/>
        <w:rPr>
          <w:sz w:val="20"/>
          <w:szCs w:val="20"/>
          <w:color w:val="auto"/>
        </w:rPr>
      </w:pPr>
      <w:r>
        <w:rPr>
          <w:rFonts w:ascii="Arial" w:cs="Arial" w:eastAsia="Arial" w:hAnsi="Arial"/>
          <w:sz w:val="18"/>
          <w:szCs w:val="18"/>
          <w:color w:val="auto"/>
        </w:rPr>
        <w:t>2 Earnings per share amounts are presented on a diluted basis.</w:t>
      </w:r>
    </w:p>
    <w:p>
      <w:pPr>
        <w:spacing w:after="0" w:line="198" w:lineRule="exact"/>
        <w:rPr>
          <w:sz w:val="20"/>
          <w:szCs w:val="20"/>
          <w:color w:val="auto"/>
        </w:rPr>
      </w:pPr>
    </w:p>
    <w:p>
      <w:pPr>
        <w:jc w:val="both"/>
        <w:ind w:left="180" w:hanging="166"/>
        <w:spacing w:after="0" w:line="245" w:lineRule="auto"/>
        <w:tabs>
          <w:tab w:leader="none" w:pos="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define Free Cash Flow as Net Cash Provided by Operating Activities (as stated in our Consolidated Statement of Cash Flows) reduced by capital expenditures, cash paid for intangible assets, principal payments on capital leases and cash distributions to noncontrolling interests; and adjusted for any payments and receipts related to certain nonoperating items, net of estimated tax benefits. The definition of Free Cash Flow excludes any impact from Economic Stimulus packages. These amounts have been excluded from Free Cash Flow to provide an appropriate comparison.</w:t>
      </w:r>
    </w:p>
    <w:p>
      <w:pPr>
        <w:spacing w:after="0" w:line="15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All percentages are calculated on whole numbers. Minor differences may exist due to rounding.</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Conference Call and Other Information</w:t>
      </w:r>
    </w:p>
    <w:p>
      <w:pPr>
        <w:spacing w:after="0" w:line="27"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 xml:space="preserve">Comcast Corporation will host a conference call with the financial community today, October 27, 2015 at 8:30 a.m. Eastern Time (ET). The conference call and related materials will be broadcast live and posted on its Investor Relations website at </w:t>
      </w:r>
      <w:r>
        <w:rPr>
          <w:rFonts w:ascii="Arial" w:cs="Arial" w:eastAsia="Arial" w:hAnsi="Arial"/>
          <w:sz w:val="16"/>
          <w:szCs w:val="16"/>
          <w:u w:val="single" w:color="auto"/>
          <w:color w:val="0000FF"/>
        </w:rPr>
        <w:t>www.cmcsa.com</w:t>
      </w:r>
      <w:r>
        <w:rPr>
          <w:rFonts w:ascii="Arial" w:cs="Arial" w:eastAsia="Arial" w:hAnsi="Arial"/>
          <w:sz w:val="16"/>
          <w:szCs w:val="16"/>
          <w:color w:val="auto"/>
        </w:rPr>
        <w:t xml:space="preserve"> or </w:t>
      </w:r>
      <w:r>
        <w:rPr>
          <w:rFonts w:ascii="Arial" w:cs="Arial" w:eastAsia="Arial" w:hAnsi="Arial"/>
          <w:sz w:val="16"/>
          <w:szCs w:val="16"/>
          <w:u w:val="single" w:color="auto"/>
          <w:color w:val="0000FF"/>
        </w:rPr>
        <w:t>www.cmcsk.com</w:t>
      </w:r>
      <w:r>
        <w:rPr>
          <w:rFonts w:ascii="Arial" w:cs="Arial" w:eastAsia="Arial" w:hAnsi="Arial"/>
          <w:sz w:val="16"/>
          <w:szCs w:val="16"/>
          <w:color w:val="auto"/>
        </w:rPr>
        <w:t>. Those parties interested in participating via telephone should dial (800) 263-8495 with the conference ID number 39613302. A replay of the call will be available starting at 11:30 a.m. ET</w:t>
      </w:r>
    </w:p>
    <w:p>
      <w:pPr>
        <w:sectPr>
          <w:pgSz w:w="11900" w:h="16838" w:orient="portrait"/>
          <w:cols w:equalWidth="0" w:num="1">
            <w:col w:w="11420"/>
          </w:cols>
          <w:pgMar w:left="240" w:top="115" w:right="239" w:bottom="0" w:gutter="0" w:footer="0" w:header="0"/>
        </w:sectPr>
      </w:pPr>
    </w:p>
    <w:bookmarkStart w:id="6" w:name="page7"/>
    <w:bookmarkEnd w:id="6"/>
    <w:p>
      <w:pPr>
        <w:jc w:val="both"/>
        <w:spacing w:after="0" w:line="291" w:lineRule="auto"/>
        <w:rPr>
          <w:sz w:val="20"/>
          <w:szCs w:val="20"/>
          <w:color w:val="auto"/>
        </w:rPr>
      </w:pPr>
      <w:r>
        <w:rPr>
          <w:rFonts w:ascii="Arial" w:cs="Arial" w:eastAsia="Arial" w:hAnsi="Arial"/>
          <w:sz w:val="16"/>
          <w:szCs w:val="16"/>
          <w:color w:val="auto"/>
        </w:rPr>
        <w:t>on October 27, 2015, on the Investor Relations website or by telephone. To access the telephone replay, which will be available until Tuesday, November 3, 2015 at midnight ET, please dial (855) 859-2056 and enter the conference ID number 39613302.</w:t>
      </w:r>
    </w:p>
    <w:p>
      <w:pPr>
        <w:spacing w:after="0" w:line="135"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 xml:space="preserve">From time to time, we post information that may be of interest to investors on our website at </w:t>
      </w:r>
      <w:r>
        <w:rPr>
          <w:rFonts w:ascii="Arial" w:cs="Arial" w:eastAsia="Arial" w:hAnsi="Arial"/>
          <w:sz w:val="16"/>
          <w:szCs w:val="16"/>
          <w:u w:val="single" w:color="auto"/>
          <w:color w:val="0000FF"/>
        </w:rPr>
        <w:t>www.cmcsa.com</w:t>
      </w:r>
      <w:r>
        <w:rPr>
          <w:rFonts w:ascii="Arial" w:cs="Arial" w:eastAsia="Arial" w:hAnsi="Arial"/>
          <w:sz w:val="16"/>
          <w:szCs w:val="16"/>
          <w:color w:val="auto"/>
        </w:rPr>
        <w:t xml:space="preserve"> or </w:t>
      </w:r>
      <w:r>
        <w:rPr>
          <w:rFonts w:ascii="Arial" w:cs="Arial" w:eastAsia="Arial" w:hAnsi="Arial"/>
          <w:sz w:val="16"/>
          <w:szCs w:val="16"/>
          <w:u w:val="single" w:color="auto"/>
          <w:color w:val="0000FF"/>
        </w:rPr>
        <w:t>www.cmcsk.com</w:t>
      </w:r>
      <w:r>
        <w:rPr>
          <w:rFonts w:ascii="Arial" w:cs="Arial" w:eastAsia="Arial" w:hAnsi="Arial"/>
          <w:sz w:val="16"/>
          <w:szCs w:val="16"/>
          <w:color w:val="auto"/>
        </w:rPr>
        <w:t xml:space="preserve"> and on our corporate blog, </w:t>
      </w:r>
      <w:r>
        <w:rPr>
          <w:rFonts w:ascii="Arial" w:cs="Arial" w:eastAsia="Arial" w:hAnsi="Arial"/>
          <w:sz w:val="16"/>
          <w:szCs w:val="16"/>
          <w:u w:val="single" w:color="auto"/>
          <w:color w:val="0000FF"/>
        </w:rPr>
        <w:t>www.corporate.comcast.com/comcast-voices</w:t>
      </w:r>
      <w:r>
        <w:rPr>
          <w:rFonts w:ascii="Arial" w:cs="Arial" w:eastAsia="Arial" w:hAnsi="Arial"/>
          <w:sz w:val="16"/>
          <w:szCs w:val="16"/>
          <w:color w:val="000000"/>
        </w:rPr>
        <w:t>. To automatically receive Comcast financial news by email, please visit</w:t>
      </w:r>
      <w:r>
        <w:rPr>
          <w:rFonts w:ascii="Arial" w:cs="Arial" w:eastAsia="Arial" w:hAnsi="Arial"/>
          <w:sz w:val="16"/>
          <w:szCs w:val="16"/>
          <w:color w:val="0000FF"/>
        </w:rPr>
        <w:t xml:space="preserve"> </w:t>
      </w:r>
      <w:r>
        <w:rPr>
          <w:rFonts w:ascii="Arial" w:cs="Arial" w:eastAsia="Arial" w:hAnsi="Arial"/>
          <w:sz w:val="16"/>
          <w:szCs w:val="16"/>
          <w:u w:val="single" w:color="auto"/>
          <w:color w:val="0000FF"/>
        </w:rPr>
        <w:t>www.cmcsa.com</w:t>
      </w:r>
      <w:r>
        <w:rPr>
          <w:rFonts w:ascii="Arial" w:cs="Arial" w:eastAsia="Arial" w:hAnsi="Arial"/>
          <w:sz w:val="16"/>
          <w:szCs w:val="16"/>
          <w:color w:val="0000FF"/>
        </w:rPr>
        <w:t xml:space="preserve"> </w:t>
      </w:r>
      <w:r>
        <w:rPr>
          <w:rFonts w:ascii="Arial" w:cs="Arial" w:eastAsia="Arial" w:hAnsi="Arial"/>
          <w:sz w:val="16"/>
          <w:szCs w:val="16"/>
          <w:color w:val="000000"/>
        </w:rPr>
        <w:t>or</w:t>
      </w:r>
      <w:r>
        <w:rPr>
          <w:rFonts w:ascii="Arial" w:cs="Arial" w:eastAsia="Arial" w:hAnsi="Arial"/>
          <w:sz w:val="16"/>
          <w:szCs w:val="16"/>
          <w:color w:val="0000FF"/>
        </w:rPr>
        <w:t xml:space="preserve"> </w:t>
      </w:r>
      <w:r>
        <w:rPr>
          <w:rFonts w:ascii="Arial" w:cs="Arial" w:eastAsia="Arial" w:hAnsi="Arial"/>
          <w:sz w:val="16"/>
          <w:szCs w:val="16"/>
          <w:u w:val="single" w:color="auto"/>
          <w:color w:val="0000FF"/>
        </w:rPr>
        <w:t>www.cmcsk.com</w:t>
      </w:r>
      <w:r>
        <w:rPr>
          <w:rFonts w:ascii="Arial" w:cs="Arial" w:eastAsia="Arial" w:hAnsi="Arial"/>
          <w:sz w:val="16"/>
          <w:szCs w:val="16"/>
          <w:color w:val="0000FF"/>
        </w:rPr>
        <w:t xml:space="preserve"> </w:t>
      </w:r>
      <w:r>
        <w:rPr>
          <w:rFonts w:ascii="Arial" w:cs="Arial" w:eastAsia="Arial" w:hAnsi="Arial"/>
          <w:sz w:val="16"/>
          <w:szCs w:val="16"/>
          <w:color w:val="000000"/>
        </w:rPr>
        <w:t>and</w:t>
      </w:r>
      <w:r>
        <w:rPr>
          <w:rFonts w:ascii="Arial" w:cs="Arial" w:eastAsia="Arial" w:hAnsi="Arial"/>
          <w:sz w:val="16"/>
          <w:szCs w:val="16"/>
          <w:color w:val="0000FF"/>
        </w:rPr>
        <w:t xml:space="preserve"> </w:t>
      </w:r>
      <w:r>
        <w:rPr>
          <w:rFonts w:ascii="Arial" w:cs="Arial" w:eastAsia="Arial" w:hAnsi="Arial"/>
          <w:sz w:val="16"/>
          <w:szCs w:val="16"/>
          <w:color w:val="000000"/>
        </w:rPr>
        <w:t>subscribe to email alerts.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174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3220" w:type="dxa"/>
            <w:vAlign w:val="bottom"/>
          </w:tcPr>
          <w:p>
            <w:pPr>
              <w:jc w:val="right"/>
              <w:ind w:right="1659"/>
              <w:spacing w:after="0"/>
              <w:rPr>
                <w:sz w:val="20"/>
                <w:szCs w:val="20"/>
                <w:color w:val="auto"/>
              </w:rPr>
            </w:pPr>
            <w:r>
              <w:rPr>
                <w:rFonts w:ascii="Arial" w:cs="Arial" w:eastAsia="Arial" w:hAnsi="Arial"/>
                <w:sz w:val="16"/>
                <w:szCs w:val="16"/>
                <w:color w:val="auto"/>
              </w:rPr>
              <w:t>###</w:t>
            </w: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551"/>
        </w:trPr>
        <w:tc>
          <w:tcPr>
            <w:tcW w:w="1740" w:type="dxa"/>
            <w:vAlign w:val="bottom"/>
          </w:tcPr>
          <w:p>
            <w:pPr>
              <w:spacing w:after="0"/>
              <w:rPr>
                <w:sz w:val="20"/>
                <w:szCs w:val="20"/>
                <w:color w:val="auto"/>
              </w:rPr>
            </w:pPr>
            <w:r>
              <w:rPr>
                <w:rFonts w:ascii="Arial" w:cs="Arial" w:eastAsia="Arial" w:hAnsi="Arial"/>
                <w:sz w:val="16"/>
                <w:szCs w:val="16"/>
                <w:b w:val="1"/>
                <w:bCs w:val="1"/>
                <w:color w:val="auto"/>
              </w:rPr>
              <w:t>Investor Contacts:</w:t>
            </w:r>
          </w:p>
        </w:tc>
        <w:tc>
          <w:tcPr>
            <w:tcW w:w="2620" w:type="dxa"/>
            <w:vAlign w:val="bottom"/>
          </w:tcPr>
          <w:p>
            <w:pPr>
              <w:spacing w:after="0"/>
              <w:rPr>
                <w:sz w:val="24"/>
                <w:szCs w:val="24"/>
                <w:color w:val="auto"/>
              </w:rPr>
            </w:pPr>
          </w:p>
        </w:tc>
        <w:tc>
          <w:tcPr>
            <w:tcW w:w="3220" w:type="dxa"/>
            <w:vAlign w:val="bottom"/>
          </w:tcPr>
          <w:p>
            <w:pPr>
              <w:ind w:left="1700"/>
              <w:spacing w:after="0"/>
              <w:rPr>
                <w:sz w:val="20"/>
                <w:szCs w:val="20"/>
                <w:color w:val="auto"/>
              </w:rPr>
            </w:pPr>
            <w:r>
              <w:rPr>
                <w:rFonts w:ascii="Arial" w:cs="Arial" w:eastAsia="Arial" w:hAnsi="Arial"/>
                <w:sz w:val="16"/>
                <w:szCs w:val="16"/>
                <w:b w:val="1"/>
                <w:bCs w:val="1"/>
                <w:color w:val="auto"/>
              </w:rPr>
              <w:t>Press Contacts:</w:t>
            </w: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89"/>
        </w:trPr>
        <w:tc>
          <w:tcPr>
            <w:tcW w:w="1740" w:type="dxa"/>
            <w:vAlign w:val="bottom"/>
          </w:tcPr>
          <w:p>
            <w:pPr>
              <w:spacing w:after="0"/>
              <w:rPr>
                <w:sz w:val="20"/>
                <w:szCs w:val="20"/>
                <w:color w:val="auto"/>
              </w:rPr>
            </w:pPr>
            <w:r>
              <w:rPr>
                <w:rFonts w:ascii="Arial" w:cs="Arial" w:eastAsia="Arial" w:hAnsi="Arial"/>
                <w:sz w:val="16"/>
                <w:szCs w:val="16"/>
                <w:color w:val="auto"/>
              </w:rPr>
              <w:t>Jason Armstrong</w:t>
            </w:r>
          </w:p>
        </w:tc>
        <w:tc>
          <w:tcPr>
            <w:tcW w:w="2620" w:type="dxa"/>
            <w:vAlign w:val="bottom"/>
          </w:tcPr>
          <w:p>
            <w:pPr>
              <w:jc w:val="right"/>
              <w:ind w:right="1119"/>
              <w:spacing w:after="0"/>
              <w:rPr>
                <w:sz w:val="20"/>
                <w:szCs w:val="20"/>
                <w:color w:val="auto"/>
              </w:rPr>
            </w:pPr>
            <w:r>
              <w:rPr>
                <w:rFonts w:ascii="Arial" w:cs="Arial" w:eastAsia="Arial" w:hAnsi="Arial"/>
                <w:sz w:val="16"/>
                <w:szCs w:val="16"/>
                <w:color w:val="auto"/>
              </w:rPr>
              <w:t>(215) 286-7972</w:t>
            </w:r>
          </w:p>
        </w:tc>
        <w:tc>
          <w:tcPr>
            <w:tcW w:w="3220" w:type="dxa"/>
            <w:vAlign w:val="bottom"/>
          </w:tcPr>
          <w:p>
            <w:pPr>
              <w:ind w:left="1700"/>
              <w:spacing w:after="0"/>
              <w:rPr>
                <w:sz w:val="20"/>
                <w:szCs w:val="20"/>
                <w:color w:val="auto"/>
              </w:rPr>
            </w:pPr>
            <w:r>
              <w:rPr>
                <w:rFonts w:ascii="Arial" w:cs="Arial" w:eastAsia="Arial" w:hAnsi="Arial"/>
                <w:sz w:val="16"/>
                <w:szCs w:val="16"/>
                <w:color w:val="auto"/>
              </w:rPr>
              <w:t>D’Arcy Rudnay</w:t>
            </w:r>
          </w:p>
        </w:tc>
        <w:tc>
          <w:tcPr>
            <w:tcW w:w="680" w:type="dxa"/>
            <w:vAlign w:val="bottom"/>
          </w:tcPr>
          <w:p>
            <w:pPr>
              <w:jc w:val="right"/>
              <w:spacing w:after="0"/>
              <w:rPr>
                <w:sz w:val="20"/>
                <w:szCs w:val="20"/>
                <w:color w:val="auto"/>
              </w:rPr>
            </w:pPr>
            <w:r>
              <w:rPr>
                <w:rFonts w:ascii="Arial" w:cs="Arial" w:eastAsia="Arial" w:hAnsi="Arial"/>
                <w:sz w:val="16"/>
                <w:szCs w:val="16"/>
                <w:color w:val="auto"/>
              </w:rPr>
              <w:t>(215)</w:t>
            </w:r>
          </w:p>
        </w:tc>
        <w:tc>
          <w:tcPr>
            <w:tcW w:w="700" w:type="dxa"/>
            <w:vAlign w:val="bottom"/>
          </w:tcPr>
          <w:p>
            <w:pPr>
              <w:ind w:left="20"/>
              <w:spacing w:after="0"/>
              <w:rPr>
                <w:sz w:val="20"/>
                <w:szCs w:val="20"/>
                <w:color w:val="auto"/>
              </w:rPr>
            </w:pPr>
            <w:r>
              <w:rPr>
                <w:rFonts w:ascii="Arial" w:cs="Arial" w:eastAsia="Arial" w:hAnsi="Arial"/>
                <w:sz w:val="16"/>
                <w:szCs w:val="16"/>
                <w:color w:val="auto"/>
                <w:w w:val="97"/>
              </w:rPr>
              <w:t>286-8582</w:t>
            </w:r>
          </w:p>
        </w:tc>
      </w:tr>
      <w:tr>
        <w:trPr>
          <w:trHeight w:val="219"/>
        </w:trPr>
        <w:tc>
          <w:tcPr>
            <w:tcW w:w="1740" w:type="dxa"/>
            <w:vAlign w:val="bottom"/>
          </w:tcPr>
          <w:p>
            <w:pPr>
              <w:spacing w:after="0"/>
              <w:rPr>
                <w:sz w:val="20"/>
                <w:szCs w:val="20"/>
                <w:color w:val="auto"/>
              </w:rPr>
            </w:pPr>
            <w:r>
              <w:rPr>
                <w:rFonts w:ascii="Arial" w:cs="Arial" w:eastAsia="Arial" w:hAnsi="Arial"/>
                <w:sz w:val="16"/>
                <w:szCs w:val="16"/>
                <w:color w:val="auto"/>
              </w:rPr>
              <w:t>Jane Kearns</w:t>
            </w:r>
          </w:p>
        </w:tc>
        <w:tc>
          <w:tcPr>
            <w:tcW w:w="2620" w:type="dxa"/>
            <w:vAlign w:val="bottom"/>
          </w:tcPr>
          <w:p>
            <w:pPr>
              <w:jc w:val="right"/>
              <w:ind w:right="1119"/>
              <w:spacing w:after="0"/>
              <w:rPr>
                <w:sz w:val="20"/>
                <w:szCs w:val="20"/>
                <w:color w:val="auto"/>
              </w:rPr>
            </w:pPr>
            <w:r>
              <w:rPr>
                <w:rFonts w:ascii="Arial" w:cs="Arial" w:eastAsia="Arial" w:hAnsi="Arial"/>
                <w:sz w:val="16"/>
                <w:szCs w:val="16"/>
                <w:color w:val="auto"/>
              </w:rPr>
              <w:t>(215) 286-4794</w:t>
            </w:r>
          </w:p>
        </w:tc>
        <w:tc>
          <w:tcPr>
            <w:tcW w:w="3220" w:type="dxa"/>
            <w:vAlign w:val="bottom"/>
          </w:tcPr>
          <w:p>
            <w:pPr>
              <w:ind w:left="1700"/>
              <w:spacing w:after="0"/>
              <w:rPr>
                <w:sz w:val="20"/>
                <w:szCs w:val="20"/>
                <w:color w:val="auto"/>
              </w:rPr>
            </w:pPr>
            <w:r>
              <w:rPr>
                <w:rFonts w:ascii="Arial" w:cs="Arial" w:eastAsia="Arial" w:hAnsi="Arial"/>
                <w:sz w:val="16"/>
                <w:szCs w:val="16"/>
                <w:color w:val="auto"/>
              </w:rPr>
              <w:t>John Demming</w:t>
            </w:r>
          </w:p>
        </w:tc>
        <w:tc>
          <w:tcPr>
            <w:tcW w:w="680" w:type="dxa"/>
            <w:vAlign w:val="bottom"/>
          </w:tcPr>
          <w:p>
            <w:pPr>
              <w:jc w:val="right"/>
              <w:spacing w:after="0"/>
              <w:rPr>
                <w:sz w:val="20"/>
                <w:szCs w:val="20"/>
                <w:color w:val="auto"/>
              </w:rPr>
            </w:pPr>
            <w:r>
              <w:rPr>
                <w:rFonts w:ascii="Arial" w:cs="Arial" w:eastAsia="Arial" w:hAnsi="Arial"/>
                <w:sz w:val="16"/>
                <w:szCs w:val="16"/>
                <w:color w:val="auto"/>
              </w:rPr>
              <w:t>(215)</w:t>
            </w:r>
          </w:p>
        </w:tc>
        <w:tc>
          <w:tcPr>
            <w:tcW w:w="700" w:type="dxa"/>
            <w:vAlign w:val="bottom"/>
          </w:tcPr>
          <w:p>
            <w:pPr>
              <w:ind w:left="20"/>
              <w:spacing w:after="0"/>
              <w:rPr>
                <w:sz w:val="20"/>
                <w:szCs w:val="20"/>
                <w:color w:val="auto"/>
              </w:rPr>
            </w:pPr>
            <w:r>
              <w:rPr>
                <w:rFonts w:ascii="Arial" w:cs="Arial" w:eastAsia="Arial" w:hAnsi="Arial"/>
                <w:sz w:val="16"/>
                <w:szCs w:val="16"/>
                <w:color w:val="auto"/>
                <w:w w:val="97"/>
              </w:rPr>
              <w:t>286-8011</w:t>
            </w:r>
          </w:p>
        </w:tc>
      </w:tr>
    </w:tbl>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Caution Concerning Forward-Looking Statements</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This press release contains forward-looking statements. Readers are cautioned that such forward-looking statements involve risks and uncertainties that could cause actual events or our actual results to differ materially from those expressed in any such forward-looking statements. Readers are directed to Comcast’s periodic and other reports filed with the Securities and Exchange Commission (SEC) for a description of such risks and uncertainties. We undertake no obligation to update any forward-looking statements.</w:t>
      </w:r>
    </w:p>
    <w:p>
      <w:pPr>
        <w:spacing w:after="0" w:line="5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Non-GAAP Financial Measures</w:t>
      </w:r>
    </w:p>
    <w:p>
      <w:pPr>
        <w:spacing w:after="0" w:line="27"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In this discussion, we sometimes refer to financial measures that are not presented according to generally accepted accounting principles in the U.S. (GAAP). Certain of these measures are considered “non-GAAP financial measures” under the SEC regulations; those rules require the supplemental explanations and reconciliations that are in Comcast’s Form 8-K (Quarterly Earnings Release) furnished to the SEC.</w:t>
      </w:r>
    </w:p>
    <w:p>
      <w:pPr>
        <w:spacing w:after="0" w:line="5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About Comcast Corporation</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 xml:space="preserve">Comcast Corporation (Nasdaq: CMCSA, CMCSK) is a global media and technology company with two primary businesses, Comcast Cable and NBCUniversal. Comcast Cable is one of the nation’s largest video, high-speed Internet and phone providers to residential customers under the XFINITY brand and also provides these services to businesses. NBCUniversal operates news, entertainment and sports cable networks, the NBC and Telemundo broadcast networks, television production operations, television station groups, Universal Pictures and Universal Parks and Resorts. Visit </w:t>
      </w:r>
      <w:r>
        <w:rPr>
          <w:rFonts w:ascii="Arial" w:cs="Arial" w:eastAsia="Arial" w:hAnsi="Arial"/>
          <w:sz w:val="16"/>
          <w:szCs w:val="16"/>
          <w:u w:val="single" w:color="auto"/>
          <w:color w:val="0000FF"/>
        </w:rPr>
        <w:t>www.comcastcorporation.com</w:t>
      </w:r>
      <w:r>
        <w:rPr>
          <w:rFonts w:ascii="Arial" w:cs="Arial" w:eastAsia="Arial" w:hAnsi="Arial"/>
          <w:sz w:val="16"/>
          <w:szCs w:val="16"/>
          <w:color w:val="auto"/>
        </w:rPr>
        <w:t xml:space="preserve"> for more information.</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drawing>
          <wp:anchor simplePos="0" relativeHeight="251657728" behindDoc="1" locked="0" layoutInCell="0" allowOverlap="1">
            <wp:simplePos x="0" y="0"/>
            <wp:positionH relativeFrom="column">
              <wp:posOffset>6290945</wp:posOffset>
            </wp:positionH>
            <wp:positionV relativeFrom="paragraph">
              <wp:posOffset>455295</wp:posOffset>
            </wp:positionV>
            <wp:extent cx="960755" cy="3943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960755" cy="394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25"/>
          <w:szCs w:val="25"/>
          <w:b w:val="1"/>
          <w:bCs w:val="1"/>
          <w:color w:val="C9C9C9"/>
        </w:rPr>
        <w:t>TABLE 1</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b w:val="1"/>
          <w:bCs w:val="1"/>
          <w:color w:val="C9C9C9"/>
        </w:rPr>
        <w:t>Condensed Consolidated Statement of Income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00" w:type="dxa"/>
            <w:vAlign w:val="bottom"/>
          </w:tcPr>
          <w:p>
            <w:pPr>
              <w:spacing w:after="0"/>
              <w:rPr>
                <w:sz w:val="18"/>
                <w:szCs w:val="18"/>
                <w:color w:val="auto"/>
              </w:rPr>
            </w:pPr>
          </w:p>
        </w:tc>
        <w:tc>
          <w:tcPr>
            <w:tcW w:w="3300" w:type="dxa"/>
            <w:vAlign w:val="bottom"/>
            <w:gridSpan w:val="5"/>
          </w:tcPr>
          <w:p>
            <w:pPr>
              <w:jc w:val="center"/>
              <w:ind w:right="280"/>
              <w:spacing w:after="0"/>
              <w:rPr>
                <w:sz w:val="20"/>
                <w:szCs w:val="20"/>
                <w:color w:val="auto"/>
              </w:rPr>
            </w:pPr>
            <w:r>
              <w:rPr>
                <w:rFonts w:ascii="Arial" w:cs="Arial" w:eastAsia="Arial" w:hAnsi="Arial"/>
                <w:sz w:val="18"/>
                <w:szCs w:val="18"/>
                <w:b w:val="1"/>
                <w:bCs w:val="1"/>
                <w:color w:val="auto"/>
                <w:w w:val="99"/>
              </w:rPr>
              <w:t>Three Months Ended</w:t>
            </w:r>
          </w:p>
        </w:tc>
        <w:tc>
          <w:tcPr>
            <w:tcW w:w="3020" w:type="dxa"/>
            <w:vAlign w:val="bottom"/>
            <w:gridSpan w:val="4"/>
          </w:tcPr>
          <w:p>
            <w:pPr>
              <w:jc w:val="center"/>
              <w:spacing w:after="0"/>
              <w:rPr>
                <w:sz w:val="20"/>
                <w:szCs w:val="20"/>
                <w:color w:val="auto"/>
              </w:rPr>
            </w:pPr>
            <w:r>
              <w:rPr>
                <w:rFonts w:ascii="Arial" w:cs="Arial" w:eastAsia="Arial" w:hAnsi="Arial"/>
                <w:sz w:val="18"/>
                <w:szCs w:val="18"/>
                <w:b w:val="1"/>
                <w:bCs w:val="1"/>
                <w:color w:val="auto"/>
                <w:w w:val="99"/>
              </w:rPr>
              <w:t>Nine Months Ended</w:t>
            </w:r>
          </w:p>
        </w:tc>
        <w:tc>
          <w:tcPr>
            <w:tcW w:w="0" w:type="dxa"/>
            <w:vAlign w:val="bottom"/>
          </w:tcPr>
          <w:p>
            <w:pPr>
              <w:spacing w:after="0"/>
              <w:rPr>
                <w:sz w:val="1"/>
                <w:szCs w:val="1"/>
                <w:color w:val="auto"/>
              </w:rPr>
            </w:pPr>
          </w:p>
        </w:tc>
      </w:tr>
      <w:tr>
        <w:trPr>
          <w:trHeight w:val="205"/>
        </w:trPr>
        <w:tc>
          <w:tcPr>
            <w:tcW w:w="5000" w:type="dxa"/>
            <w:vAlign w:val="bottom"/>
          </w:tcPr>
          <w:p>
            <w:pPr>
              <w:spacing w:after="0" w:line="205" w:lineRule="exact"/>
              <w:rPr>
                <w:sz w:val="20"/>
                <w:szCs w:val="20"/>
                <w:color w:val="auto"/>
              </w:rPr>
            </w:pPr>
            <w:r>
              <w:rPr>
                <w:rFonts w:ascii="Arial" w:cs="Arial" w:eastAsia="Arial" w:hAnsi="Arial"/>
                <w:sz w:val="18"/>
                <w:szCs w:val="18"/>
                <w:color w:val="auto"/>
              </w:rPr>
              <w:t>(in millions, except per share data)</w:t>
            </w:r>
          </w:p>
        </w:tc>
        <w:tc>
          <w:tcPr>
            <w:tcW w:w="2120" w:type="dxa"/>
            <w:vAlign w:val="bottom"/>
            <w:gridSpan w:val="3"/>
          </w:tcPr>
          <w:p>
            <w:pPr>
              <w:jc w:val="center"/>
              <w:ind w:left="790"/>
              <w:spacing w:after="0" w:line="205" w:lineRule="exact"/>
              <w:rPr>
                <w:sz w:val="20"/>
                <w:szCs w:val="20"/>
                <w:color w:val="auto"/>
              </w:rPr>
            </w:pPr>
            <w:r>
              <w:rPr>
                <w:rFonts w:ascii="Arial" w:cs="Arial" w:eastAsia="Arial" w:hAnsi="Arial"/>
                <w:sz w:val="18"/>
                <w:szCs w:val="18"/>
                <w:b w:val="1"/>
                <w:bCs w:val="1"/>
                <w:color w:val="auto"/>
              </w:rPr>
              <w:t>September 30,</w:t>
            </w:r>
          </w:p>
        </w:tc>
        <w:tc>
          <w:tcPr>
            <w:tcW w:w="900" w:type="dxa"/>
            <w:vAlign w:val="bottom"/>
            <w:vMerge w:val="restart"/>
          </w:tcPr>
          <w:p>
            <w:pPr>
              <w:jc w:val="right"/>
              <w:ind w:right="390"/>
              <w:spacing w:after="0"/>
              <w:rPr>
                <w:sz w:val="20"/>
                <w:szCs w:val="20"/>
                <w:color w:val="auto"/>
              </w:rPr>
            </w:pPr>
            <w:r>
              <w:rPr>
                <w:rFonts w:ascii="Arial" w:cs="Arial" w:eastAsia="Arial" w:hAnsi="Arial"/>
                <w:sz w:val="18"/>
                <w:szCs w:val="18"/>
                <w:b w:val="1"/>
                <w:bCs w:val="1"/>
                <w:color w:val="auto"/>
                <w:w w:val="99"/>
              </w:rPr>
              <w:t>2015</w:t>
            </w:r>
          </w:p>
        </w:tc>
        <w:tc>
          <w:tcPr>
            <w:tcW w:w="280" w:type="dxa"/>
            <w:vAlign w:val="bottom"/>
          </w:tcPr>
          <w:p>
            <w:pPr>
              <w:spacing w:after="0"/>
              <w:rPr>
                <w:sz w:val="17"/>
                <w:szCs w:val="17"/>
                <w:color w:val="auto"/>
              </w:rPr>
            </w:pPr>
          </w:p>
        </w:tc>
        <w:tc>
          <w:tcPr>
            <w:tcW w:w="2120" w:type="dxa"/>
            <w:vAlign w:val="bottom"/>
            <w:gridSpan w:val="3"/>
          </w:tcPr>
          <w:p>
            <w:pPr>
              <w:jc w:val="center"/>
              <w:ind w:left="810"/>
              <w:spacing w:after="0" w:line="205" w:lineRule="exact"/>
              <w:rPr>
                <w:sz w:val="20"/>
                <w:szCs w:val="20"/>
                <w:color w:val="auto"/>
              </w:rPr>
            </w:pPr>
            <w:r>
              <w:rPr>
                <w:rFonts w:ascii="Arial" w:cs="Arial" w:eastAsia="Arial" w:hAnsi="Arial"/>
                <w:sz w:val="18"/>
                <w:szCs w:val="18"/>
                <w:b w:val="1"/>
                <w:bCs w:val="1"/>
                <w:color w:val="auto"/>
                <w:w w:val="99"/>
              </w:rPr>
              <w:t>September 30,</w:t>
            </w:r>
          </w:p>
        </w:tc>
        <w:tc>
          <w:tcPr>
            <w:tcW w:w="900" w:type="dxa"/>
            <w:vAlign w:val="bottom"/>
            <w:vMerge w:val="restart"/>
          </w:tcPr>
          <w:p>
            <w:pPr>
              <w:jc w:val="right"/>
              <w:ind w:right="390"/>
              <w:spacing w:after="0"/>
              <w:rPr>
                <w:sz w:val="20"/>
                <w:szCs w:val="20"/>
                <w:color w:val="auto"/>
              </w:rPr>
            </w:pPr>
            <w:r>
              <w:rPr>
                <w:rFonts w:ascii="Arial" w:cs="Arial" w:eastAsia="Arial" w:hAnsi="Arial"/>
                <w:sz w:val="18"/>
                <w:szCs w:val="18"/>
                <w:b w:val="1"/>
                <w:bCs w:val="1"/>
                <w:color w:val="auto"/>
                <w:w w:val="99"/>
              </w:rPr>
              <w:t>2015</w:t>
            </w:r>
          </w:p>
        </w:tc>
        <w:tc>
          <w:tcPr>
            <w:tcW w:w="0" w:type="dxa"/>
            <w:vAlign w:val="bottom"/>
          </w:tcPr>
          <w:p>
            <w:pPr>
              <w:spacing w:after="0"/>
              <w:rPr>
                <w:sz w:val="1"/>
                <w:szCs w:val="1"/>
                <w:color w:val="auto"/>
              </w:rPr>
            </w:pPr>
          </w:p>
        </w:tc>
      </w:tr>
      <w:tr>
        <w:trPr>
          <w:trHeight w:val="225"/>
        </w:trPr>
        <w:tc>
          <w:tcPr>
            <w:tcW w:w="5000" w:type="dxa"/>
            <w:vAlign w:val="bottom"/>
            <w:vMerge w:val="restart"/>
          </w:tcPr>
          <w:p>
            <w:pPr>
              <w:spacing w:after="0"/>
              <w:rPr>
                <w:sz w:val="20"/>
                <w:szCs w:val="20"/>
                <w:color w:val="auto"/>
              </w:rPr>
            </w:pPr>
            <w:r>
              <w:rPr>
                <w:rFonts w:ascii="Arial" w:cs="Arial" w:eastAsia="Arial" w:hAnsi="Arial"/>
                <w:sz w:val="18"/>
                <w:szCs w:val="18"/>
                <w:b w:val="1"/>
                <w:bCs w:val="1"/>
                <w:color w:val="auto"/>
              </w:rPr>
              <w:t>Revenue</w:t>
            </w:r>
          </w:p>
        </w:tc>
        <w:tc>
          <w:tcPr>
            <w:tcW w:w="13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2014</w:t>
            </w:r>
          </w:p>
        </w:tc>
        <w:tc>
          <w:tcPr>
            <w:tcW w:w="30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2014</w:t>
            </w:r>
          </w:p>
        </w:tc>
        <w:tc>
          <w:tcPr>
            <w:tcW w:w="28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5000" w:type="dxa"/>
            <w:vAlign w:val="bottom"/>
            <w:vMerge w:val="continue"/>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$16,791</w:t>
            </w:r>
          </w:p>
        </w:tc>
        <w:tc>
          <w:tcPr>
            <w:tcW w:w="3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b w:val="1"/>
                <w:bCs w:val="1"/>
                <w:color w:val="auto"/>
              </w:rPr>
              <w:t>$18,669</w:t>
            </w:r>
          </w:p>
        </w:tc>
        <w:tc>
          <w:tcPr>
            <w:tcW w:w="28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$51,043</w:t>
            </w:r>
          </w:p>
        </w:tc>
        <w:tc>
          <w:tcPr>
            <w:tcW w:w="2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b w:val="1"/>
                <w:bCs w:val="1"/>
                <w:color w:val="auto"/>
              </w:rPr>
              <w:t>$55,265</w:t>
            </w:r>
          </w:p>
        </w:tc>
        <w:tc>
          <w:tcPr>
            <w:tcW w:w="0" w:type="dxa"/>
            <w:vAlign w:val="bottom"/>
          </w:tcPr>
          <w:p>
            <w:pPr>
              <w:spacing w:after="0"/>
              <w:rPr>
                <w:sz w:val="1"/>
                <w:szCs w:val="1"/>
                <w:color w:val="auto"/>
              </w:rPr>
            </w:pPr>
          </w:p>
        </w:tc>
      </w:tr>
      <w:tr>
        <w:trPr>
          <w:trHeight w:val="343"/>
        </w:trPr>
        <w:tc>
          <w:tcPr>
            <w:tcW w:w="5000" w:type="dxa"/>
            <w:vAlign w:val="bottom"/>
          </w:tcPr>
          <w:p>
            <w:pPr>
              <w:ind w:left="180"/>
              <w:spacing w:after="0"/>
              <w:rPr>
                <w:sz w:val="20"/>
                <w:szCs w:val="20"/>
                <w:color w:val="auto"/>
              </w:rPr>
            </w:pPr>
            <w:r>
              <w:rPr>
                <w:rFonts w:ascii="Arial" w:cs="Arial" w:eastAsia="Arial" w:hAnsi="Arial"/>
                <w:sz w:val="18"/>
                <w:szCs w:val="18"/>
                <w:color w:val="auto"/>
              </w:rPr>
              <w:t>Programming and production</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4,772</w:t>
            </w: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b w:val="1"/>
                <w:bCs w:val="1"/>
                <w:color w:val="auto"/>
              </w:rPr>
              <w:t>5,582</w:t>
            </w:r>
          </w:p>
        </w:tc>
        <w:tc>
          <w:tcPr>
            <w:tcW w:w="280" w:type="dxa"/>
            <w:vAlign w:val="bottom"/>
          </w:tcPr>
          <w:p>
            <w:pPr>
              <w:spacing w:after="0"/>
              <w:rPr>
                <w:sz w:val="24"/>
                <w:szCs w:val="24"/>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15,554</w:t>
            </w: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b w:val="1"/>
                <w:bCs w:val="1"/>
                <w:color w:val="auto"/>
              </w:rPr>
              <w:t>16,714</w:t>
            </w:r>
          </w:p>
        </w:tc>
        <w:tc>
          <w:tcPr>
            <w:tcW w:w="0" w:type="dxa"/>
            <w:vAlign w:val="bottom"/>
          </w:tcPr>
          <w:p>
            <w:pPr>
              <w:spacing w:after="0"/>
              <w:rPr>
                <w:sz w:val="1"/>
                <w:szCs w:val="1"/>
                <w:color w:val="auto"/>
              </w:rPr>
            </w:pPr>
          </w:p>
        </w:tc>
      </w:tr>
      <w:tr>
        <w:trPr>
          <w:trHeight w:val="203"/>
        </w:trPr>
        <w:tc>
          <w:tcPr>
            <w:tcW w:w="5000" w:type="dxa"/>
            <w:vAlign w:val="bottom"/>
          </w:tcPr>
          <w:p>
            <w:pPr>
              <w:ind w:left="180"/>
              <w:spacing w:after="0" w:line="202" w:lineRule="exact"/>
              <w:rPr>
                <w:sz w:val="20"/>
                <w:szCs w:val="20"/>
                <w:color w:val="auto"/>
              </w:rPr>
            </w:pPr>
            <w:r>
              <w:rPr>
                <w:rFonts w:ascii="Arial" w:cs="Arial" w:eastAsia="Arial" w:hAnsi="Arial"/>
                <w:sz w:val="18"/>
                <w:szCs w:val="18"/>
                <w:color w:val="auto"/>
              </w:rPr>
              <w:t>Other operating and administrative</w:t>
            </w:r>
          </w:p>
        </w:tc>
        <w:tc>
          <w:tcPr>
            <w:tcW w:w="13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5,017</w:t>
            </w: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jc w:val="right"/>
              <w:ind w:right="30"/>
              <w:spacing w:after="0" w:line="202" w:lineRule="exact"/>
              <w:rPr>
                <w:sz w:val="20"/>
                <w:szCs w:val="20"/>
                <w:color w:val="auto"/>
              </w:rPr>
            </w:pPr>
            <w:r>
              <w:rPr>
                <w:rFonts w:ascii="Arial" w:cs="Arial" w:eastAsia="Arial" w:hAnsi="Arial"/>
                <w:sz w:val="18"/>
                <w:szCs w:val="18"/>
                <w:b w:val="1"/>
                <w:bCs w:val="1"/>
                <w:color w:val="auto"/>
              </w:rPr>
              <w:t>5,394</w:t>
            </w:r>
          </w:p>
        </w:tc>
        <w:tc>
          <w:tcPr>
            <w:tcW w:w="280" w:type="dxa"/>
            <w:vAlign w:val="bottom"/>
          </w:tcPr>
          <w:p>
            <w:pPr>
              <w:spacing w:after="0"/>
              <w:rPr>
                <w:sz w:val="17"/>
                <w:szCs w:val="17"/>
                <w:color w:val="auto"/>
              </w:rPr>
            </w:pPr>
          </w:p>
        </w:tc>
        <w:tc>
          <w:tcPr>
            <w:tcW w:w="13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14,688</w:t>
            </w: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00" w:type="dxa"/>
            <w:vAlign w:val="bottom"/>
          </w:tcPr>
          <w:p>
            <w:pPr>
              <w:jc w:val="right"/>
              <w:ind w:right="30"/>
              <w:spacing w:after="0" w:line="202" w:lineRule="exact"/>
              <w:rPr>
                <w:sz w:val="20"/>
                <w:szCs w:val="20"/>
                <w:color w:val="auto"/>
              </w:rPr>
            </w:pPr>
            <w:r>
              <w:rPr>
                <w:rFonts w:ascii="Arial" w:cs="Arial" w:eastAsia="Arial" w:hAnsi="Arial"/>
                <w:sz w:val="18"/>
                <w:szCs w:val="18"/>
                <w:b w:val="1"/>
                <w:bCs w:val="1"/>
                <w:color w:val="auto"/>
              </w:rPr>
              <w:t>15,753</w:t>
            </w:r>
          </w:p>
        </w:tc>
        <w:tc>
          <w:tcPr>
            <w:tcW w:w="0" w:type="dxa"/>
            <w:vAlign w:val="bottom"/>
          </w:tcPr>
          <w:p>
            <w:pPr>
              <w:spacing w:after="0"/>
              <w:rPr>
                <w:sz w:val="1"/>
                <w:szCs w:val="1"/>
                <w:color w:val="auto"/>
              </w:rPr>
            </w:pPr>
          </w:p>
        </w:tc>
      </w:tr>
      <w:tr>
        <w:trPr>
          <w:trHeight w:val="227"/>
        </w:trPr>
        <w:tc>
          <w:tcPr>
            <w:tcW w:w="5000" w:type="dxa"/>
            <w:vAlign w:val="bottom"/>
          </w:tcPr>
          <w:p>
            <w:pPr>
              <w:ind w:left="180"/>
              <w:spacing w:after="0"/>
              <w:rPr>
                <w:sz w:val="20"/>
                <w:szCs w:val="20"/>
                <w:color w:val="auto"/>
              </w:rPr>
            </w:pPr>
            <w:r>
              <w:rPr>
                <w:rFonts w:ascii="Arial" w:cs="Arial" w:eastAsia="Arial" w:hAnsi="Arial"/>
                <w:sz w:val="18"/>
                <w:szCs w:val="18"/>
                <w:color w:val="auto"/>
              </w:rPr>
              <w:t>Advertising, marketing and promotion</w:t>
            </w: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1,298</w:t>
            </w:r>
          </w:p>
        </w:tc>
        <w:tc>
          <w:tcPr>
            <w:tcW w:w="30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1,509</w:t>
            </w:r>
          </w:p>
        </w:tc>
        <w:tc>
          <w:tcPr>
            <w:tcW w:w="280" w:type="dxa"/>
            <w:vAlign w:val="bottom"/>
          </w:tcPr>
          <w:p>
            <w:pPr>
              <w:spacing w:after="0"/>
              <w:rPr>
                <w:sz w:val="19"/>
                <w:szCs w:val="19"/>
                <w:color w:val="auto"/>
              </w:rPr>
            </w:pPr>
          </w:p>
        </w:tc>
        <w:tc>
          <w:tcPr>
            <w:tcW w:w="13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3,755</w:t>
            </w:r>
          </w:p>
        </w:tc>
        <w:tc>
          <w:tcPr>
            <w:tcW w:w="28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4,392</w:t>
            </w:r>
          </w:p>
        </w:tc>
        <w:tc>
          <w:tcPr>
            <w:tcW w:w="0" w:type="dxa"/>
            <w:vAlign w:val="bottom"/>
          </w:tcPr>
          <w:p>
            <w:pPr>
              <w:spacing w:after="0"/>
              <w:rPr>
                <w:sz w:val="1"/>
                <w:szCs w:val="1"/>
                <w:color w:val="auto"/>
              </w:rPr>
            </w:pPr>
          </w:p>
        </w:tc>
      </w:tr>
      <w:tr>
        <w:trPr>
          <w:trHeight w:val="196"/>
        </w:trPr>
        <w:tc>
          <w:tcPr>
            <w:tcW w:w="5000" w:type="dxa"/>
            <w:vAlign w:val="bottom"/>
          </w:tcPr>
          <w:p>
            <w:pPr>
              <w:spacing w:after="0"/>
              <w:rPr>
                <w:sz w:val="17"/>
                <w:szCs w:val="17"/>
                <w:color w:val="auto"/>
              </w:rPr>
            </w:pPr>
          </w:p>
        </w:tc>
        <w:tc>
          <w:tcPr>
            <w:tcW w:w="136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11,087</w:t>
            </w:r>
          </w:p>
        </w:tc>
        <w:tc>
          <w:tcPr>
            <w:tcW w:w="30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b w:val="1"/>
                <w:bCs w:val="1"/>
                <w:color w:val="auto"/>
              </w:rPr>
              <w:t>12,485</w:t>
            </w:r>
          </w:p>
        </w:tc>
        <w:tc>
          <w:tcPr>
            <w:tcW w:w="280" w:type="dxa"/>
            <w:vAlign w:val="bottom"/>
          </w:tcPr>
          <w:p>
            <w:pPr>
              <w:spacing w:after="0"/>
              <w:rPr>
                <w:sz w:val="17"/>
                <w:szCs w:val="17"/>
                <w:color w:val="auto"/>
              </w:rPr>
            </w:pPr>
          </w:p>
        </w:tc>
        <w:tc>
          <w:tcPr>
            <w:tcW w:w="136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33,997</w:t>
            </w:r>
          </w:p>
        </w:tc>
        <w:tc>
          <w:tcPr>
            <w:tcW w:w="28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b w:val="1"/>
                <w:bCs w:val="1"/>
                <w:color w:val="auto"/>
              </w:rPr>
              <w:t>36,859</w:t>
            </w:r>
          </w:p>
        </w:tc>
        <w:tc>
          <w:tcPr>
            <w:tcW w:w="0" w:type="dxa"/>
            <w:vAlign w:val="bottom"/>
          </w:tcPr>
          <w:p>
            <w:pPr>
              <w:spacing w:after="0"/>
              <w:rPr>
                <w:sz w:val="1"/>
                <w:szCs w:val="1"/>
                <w:color w:val="auto"/>
              </w:rPr>
            </w:pPr>
          </w:p>
        </w:tc>
      </w:tr>
      <w:tr>
        <w:trPr>
          <w:trHeight w:val="438"/>
        </w:trPr>
        <w:tc>
          <w:tcPr>
            <w:tcW w:w="5000" w:type="dxa"/>
            <w:vAlign w:val="bottom"/>
          </w:tcPr>
          <w:p>
            <w:pPr>
              <w:spacing w:after="0"/>
              <w:rPr>
                <w:sz w:val="20"/>
                <w:szCs w:val="20"/>
                <w:color w:val="auto"/>
              </w:rPr>
            </w:pPr>
            <w:r>
              <w:rPr>
                <w:rFonts w:ascii="Arial" w:cs="Arial" w:eastAsia="Arial" w:hAnsi="Arial"/>
                <w:sz w:val="18"/>
                <w:szCs w:val="18"/>
                <w:b w:val="1"/>
                <w:bCs w:val="1"/>
                <w:color w:val="auto"/>
              </w:rPr>
              <w:t>Operating cash flow</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5,704</w:t>
            </w: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b w:val="1"/>
                <w:bCs w:val="1"/>
                <w:color w:val="auto"/>
              </w:rPr>
              <w:t>6,184</w:t>
            </w:r>
          </w:p>
        </w:tc>
        <w:tc>
          <w:tcPr>
            <w:tcW w:w="280" w:type="dxa"/>
            <w:vAlign w:val="bottom"/>
          </w:tcPr>
          <w:p>
            <w:pPr>
              <w:spacing w:after="0"/>
              <w:rPr>
                <w:sz w:val="24"/>
                <w:szCs w:val="24"/>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17,046</w:t>
            </w: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b w:val="1"/>
                <w:bCs w:val="1"/>
                <w:color w:val="auto"/>
              </w:rPr>
              <w:t>18,406</w:t>
            </w:r>
          </w:p>
        </w:tc>
        <w:tc>
          <w:tcPr>
            <w:tcW w:w="0" w:type="dxa"/>
            <w:vAlign w:val="bottom"/>
          </w:tcPr>
          <w:p>
            <w:pPr>
              <w:spacing w:after="0"/>
              <w:rPr>
                <w:sz w:val="1"/>
                <w:szCs w:val="1"/>
                <w:color w:val="auto"/>
              </w:rPr>
            </w:pPr>
          </w:p>
        </w:tc>
      </w:tr>
      <w:tr>
        <w:trPr>
          <w:trHeight w:val="368"/>
        </w:trPr>
        <w:tc>
          <w:tcPr>
            <w:tcW w:w="5000" w:type="dxa"/>
            <w:vAlign w:val="bottom"/>
          </w:tcPr>
          <w:p>
            <w:pPr>
              <w:ind w:left="200"/>
              <w:spacing w:after="0"/>
              <w:rPr>
                <w:sz w:val="20"/>
                <w:szCs w:val="20"/>
                <w:color w:val="auto"/>
              </w:rPr>
            </w:pPr>
            <w:r>
              <w:rPr>
                <w:rFonts w:ascii="Arial" w:cs="Arial" w:eastAsia="Arial" w:hAnsi="Arial"/>
                <w:sz w:val="18"/>
                <w:szCs w:val="18"/>
                <w:color w:val="auto"/>
              </w:rPr>
              <w:t>Depreciation expense</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1,539</w:t>
            </w: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b w:val="1"/>
                <w:bCs w:val="1"/>
                <w:color w:val="auto"/>
              </w:rPr>
              <w:t>1,697</w:t>
            </w:r>
          </w:p>
        </w:tc>
        <w:tc>
          <w:tcPr>
            <w:tcW w:w="280" w:type="dxa"/>
            <w:vAlign w:val="bottom"/>
          </w:tcPr>
          <w:p>
            <w:pPr>
              <w:spacing w:after="0"/>
              <w:rPr>
                <w:sz w:val="24"/>
                <w:szCs w:val="24"/>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4,707</w:t>
            </w: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b w:val="1"/>
                <w:bCs w:val="1"/>
                <w:color w:val="auto"/>
              </w:rPr>
              <w:t>5,005</w:t>
            </w:r>
          </w:p>
        </w:tc>
        <w:tc>
          <w:tcPr>
            <w:tcW w:w="0" w:type="dxa"/>
            <w:vAlign w:val="bottom"/>
          </w:tcPr>
          <w:p>
            <w:pPr>
              <w:spacing w:after="0"/>
              <w:rPr>
                <w:sz w:val="1"/>
                <w:szCs w:val="1"/>
                <w:color w:val="auto"/>
              </w:rPr>
            </w:pPr>
          </w:p>
        </w:tc>
      </w:tr>
      <w:tr>
        <w:trPr>
          <w:trHeight w:val="227"/>
        </w:trPr>
        <w:tc>
          <w:tcPr>
            <w:tcW w:w="5000" w:type="dxa"/>
            <w:vAlign w:val="bottom"/>
          </w:tcPr>
          <w:p>
            <w:pPr>
              <w:ind w:left="200"/>
              <w:spacing w:after="0"/>
              <w:rPr>
                <w:sz w:val="20"/>
                <w:szCs w:val="20"/>
                <w:color w:val="auto"/>
              </w:rPr>
            </w:pPr>
            <w:r>
              <w:rPr>
                <w:rFonts w:ascii="Arial" w:cs="Arial" w:eastAsia="Arial" w:hAnsi="Arial"/>
                <w:sz w:val="18"/>
                <w:szCs w:val="18"/>
                <w:color w:val="auto"/>
              </w:rPr>
              <w:t>Amortization expense</w:t>
            </w: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420</w:t>
            </w:r>
          </w:p>
        </w:tc>
        <w:tc>
          <w:tcPr>
            <w:tcW w:w="30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486</w:t>
            </w:r>
          </w:p>
        </w:tc>
        <w:tc>
          <w:tcPr>
            <w:tcW w:w="280" w:type="dxa"/>
            <w:vAlign w:val="bottom"/>
          </w:tcPr>
          <w:p>
            <w:pPr>
              <w:spacing w:after="0"/>
              <w:rPr>
                <w:sz w:val="19"/>
                <w:szCs w:val="19"/>
                <w:color w:val="auto"/>
              </w:rPr>
            </w:pPr>
          </w:p>
        </w:tc>
        <w:tc>
          <w:tcPr>
            <w:tcW w:w="13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1,222</w:t>
            </w:r>
          </w:p>
        </w:tc>
        <w:tc>
          <w:tcPr>
            <w:tcW w:w="28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1,405</w:t>
            </w:r>
          </w:p>
        </w:tc>
        <w:tc>
          <w:tcPr>
            <w:tcW w:w="0" w:type="dxa"/>
            <w:vAlign w:val="bottom"/>
          </w:tcPr>
          <w:p>
            <w:pPr>
              <w:spacing w:after="0"/>
              <w:rPr>
                <w:sz w:val="1"/>
                <w:szCs w:val="1"/>
                <w:color w:val="auto"/>
              </w:rPr>
            </w:pPr>
          </w:p>
        </w:tc>
      </w:tr>
      <w:tr>
        <w:trPr>
          <w:trHeight w:val="196"/>
        </w:trPr>
        <w:tc>
          <w:tcPr>
            <w:tcW w:w="5000" w:type="dxa"/>
            <w:vAlign w:val="bottom"/>
            <w:vMerge w:val="restart"/>
          </w:tcPr>
          <w:p>
            <w:pPr>
              <w:spacing w:after="0"/>
              <w:rPr>
                <w:sz w:val="20"/>
                <w:szCs w:val="20"/>
                <w:color w:val="auto"/>
              </w:rPr>
            </w:pPr>
            <w:r>
              <w:rPr>
                <w:rFonts w:ascii="Arial" w:cs="Arial" w:eastAsia="Arial" w:hAnsi="Arial"/>
                <w:sz w:val="18"/>
                <w:szCs w:val="18"/>
                <w:b w:val="1"/>
                <w:bCs w:val="1"/>
                <w:color w:val="auto"/>
              </w:rPr>
              <w:t>Operating income</w:t>
            </w:r>
          </w:p>
        </w:tc>
        <w:tc>
          <w:tcPr>
            <w:tcW w:w="136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1,959</w:t>
            </w:r>
          </w:p>
        </w:tc>
        <w:tc>
          <w:tcPr>
            <w:tcW w:w="30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b w:val="1"/>
                <w:bCs w:val="1"/>
                <w:color w:val="auto"/>
              </w:rPr>
              <w:t>2,183</w:t>
            </w:r>
          </w:p>
        </w:tc>
        <w:tc>
          <w:tcPr>
            <w:tcW w:w="280" w:type="dxa"/>
            <w:vAlign w:val="bottom"/>
          </w:tcPr>
          <w:p>
            <w:pPr>
              <w:spacing w:after="0"/>
              <w:rPr>
                <w:sz w:val="17"/>
                <w:szCs w:val="17"/>
                <w:color w:val="auto"/>
              </w:rPr>
            </w:pPr>
          </w:p>
        </w:tc>
        <w:tc>
          <w:tcPr>
            <w:tcW w:w="136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5,929</w:t>
            </w:r>
          </w:p>
        </w:tc>
        <w:tc>
          <w:tcPr>
            <w:tcW w:w="28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b w:val="1"/>
                <w:bCs w:val="1"/>
                <w:color w:val="auto"/>
              </w:rPr>
              <w:t>6,410</w:t>
            </w:r>
          </w:p>
        </w:tc>
        <w:tc>
          <w:tcPr>
            <w:tcW w:w="0" w:type="dxa"/>
            <w:vAlign w:val="bottom"/>
          </w:tcPr>
          <w:p>
            <w:pPr>
              <w:spacing w:after="0"/>
              <w:rPr>
                <w:sz w:val="1"/>
                <w:szCs w:val="1"/>
                <w:color w:val="auto"/>
              </w:rPr>
            </w:pPr>
          </w:p>
        </w:tc>
      </w:tr>
      <w:tr>
        <w:trPr>
          <w:trHeight w:val="246"/>
        </w:trPr>
        <w:tc>
          <w:tcPr>
            <w:tcW w:w="5000" w:type="dxa"/>
            <w:vAlign w:val="bottom"/>
            <w:vMerge w:val="continue"/>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3,745</w:t>
            </w:r>
          </w:p>
        </w:tc>
        <w:tc>
          <w:tcPr>
            <w:tcW w:w="3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b w:val="1"/>
                <w:bCs w:val="1"/>
                <w:color w:val="auto"/>
              </w:rPr>
              <w:t>4,001</w:t>
            </w:r>
          </w:p>
        </w:tc>
        <w:tc>
          <w:tcPr>
            <w:tcW w:w="28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11,117</w:t>
            </w:r>
          </w:p>
        </w:tc>
        <w:tc>
          <w:tcPr>
            <w:tcW w:w="2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b w:val="1"/>
                <w:bCs w:val="1"/>
                <w:color w:val="auto"/>
              </w:rPr>
              <w:t>11,996</w:t>
            </w:r>
          </w:p>
        </w:tc>
        <w:tc>
          <w:tcPr>
            <w:tcW w:w="0" w:type="dxa"/>
            <w:vAlign w:val="bottom"/>
          </w:tcPr>
          <w:p>
            <w:pPr>
              <w:spacing w:after="0"/>
              <w:rPr>
                <w:sz w:val="1"/>
                <w:szCs w:val="1"/>
                <w:color w:val="auto"/>
              </w:rPr>
            </w:pPr>
          </w:p>
        </w:tc>
      </w:tr>
      <w:tr>
        <w:trPr>
          <w:trHeight w:val="345"/>
        </w:trPr>
        <w:tc>
          <w:tcPr>
            <w:tcW w:w="5000" w:type="dxa"/>
            <w:vAlign w:val="bottom"/>
          </w:tcPr>
          <w:p>
            <w:pPr>
              <w:spacing w:after="0"/>
              <w:rPr>
                <w:sz w:val="20"/>
                <w:szCs w:val="20"/>
                <w:color w:val="auto"/>
              </w:rPr>
            </w:pPr>
            <w:r>
              <w:rPr>
                <w:rFonts w:ascii="Arial" w:cs="Arial" w:eastAsia="Arial" w:hAnsi="Arial"/>
                <w:sz w:val="18"/>
                <w:szCs w:val="18"/>
                <w:color w:val="auto"/>
              </w:rPr>
              <w:t>Other income (expense)</w:t>
            </w:r>
          </w:p>
        </w:tc>
        <w:tc>
          <w:tcPr>
            <w:tcW w:w="1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(659)</w:t>
            </w: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(2,028)</w:t>
            </w:r>
          </w:p>
        </w:tc>
        <w:tc>
          <w:tcPr>
            <w:tcW w:w="0" w:type="dxa"/>
            <w:vAlign w:val="bottom"/>
          </w:tcPr>
          <w:p>
            <w:pPr>
              <w:spacing w:after="0"/>
              <w:rPr>
                <w:sz w:val="1"/>
                <w:szCs w:val="1"/>
                <w:color w:val="auto"/>
              </w:rPr>
            </w:pPr>
          </w:p>
        </w:tc>
      </w:tr>
      <w:tr>
        <w:trPr>
          <w:trHeight w:val="201"/>
        </w:trPr>
        <w:tc>
          <w:tcPr>
            <w:tcW w:w="5000" w:type="dxa"/>
            <w:vAlign w:val="bottom"/>
          </w:tcPr>
          <w:p>
            <w:pPr>
              <w:ind w:left="200"/>
              <w:spacing w:after="0" w:line="201" w:lineRule="exact"/>
              <w:rPr>
                <w:sz w:val="20"/>
                <w:szCs w:val="20"/>
                <w:color w:val="auto"/>
              </w:rPr>
            </w:pPr>
            <w:r>
              <w:rPr>
                <w:rFonts w:ascii="Arial" w:cs="Arial" w:eastAsia="Arial" w:hAnsi="Arial"/>
                <w:sz w:val="18"/>
                <w:szCs w:val="18"/>
                <w:color w:val="auto"/>
              </w:rPr>
              <w:t>Interest expense</w:t>
            </w:r>
          </w:p>
        </w:tc>
        <w:tc>
          <w:tcPr>
            <w:tcW w:w="1360" w:type="dxa"/>
            <w:vAlign w:val="bottom"/>
          </w:tcPr>
          <w:p>
            <w:pPr>
              <w:jc w:val="right"/>
              <w:spacing w:after="0" w:line="201" w:lineRule="exact"/>
              <w:rPr>
                <w:sz w:val="20"/>
                <w:szCs w:val="20"/>
                <w:color w:val="auto"/>
              </w:rPr>
            </w:pPr>
            <w:r>
              <w:rPr>
                <w:rFonts w:ascii="Arial" w:cs="Arial" w:eastAsia="Arial" w:hAnsi="Arial"/>
                <w:sz w:val="18"/>
                <w:szCs w:val="18"/>
                <w:color w:val="auto"/>
              </w:rPr>
              <w:t>(663)</w:t>
            </w: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jc w:val="right"/>
              <w:spacing w:after="0" w:line="201" w:lineRule="exact"/>
              <w:rPr>
                <w:sz w:val="20"/>
                <w:szCs w:val="20"/>
                <w:color w:val="auto"/>
              </w:rPr>
            </w:pPr>
            <w:r>
              <w:rPr>
                <w:rFonts w:ascii="Arial" w:cs="Arial" w:eastAsia="Arial" w:hAnsi="Arial"/>
                <w:sz w:val="18"/>
                <w:szCs w:val="18"/>
                <w:color w:val="auto"/>
              </w:rPr>
              <w:t>(1,953)</w:t>
            </w: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00" w:type="dxa"/>
            <w:vAlign w:val="bottom"/>
          </w:tcPr>
          <w:p>
            <w:pPr>
              <w:ind w:left="200"/>
              <w:spacing w:after="0" w:line="202" w:lineRule="exact"/>
              <w:rPr>
                <w:sz w:val="20"/>
                <w:szCs w:val="20"/>
                <w:color w:val="auto"/>
              </w:rPr>
            </w:pPr>
            <w:r>
              <w:rPr>
                <w:rFonts w:ascii="Arial" w:cs="Arial" w:eastAsia="Arial" w:hAnsi="Arial"/>
                <w:sz w:val="18"/>
                <w:szCs w:val="18"/>
                <w:color w:val="auto"/>
              </w:rPr>
              <w:t>Investment income (loss), net</w:t>
            </w:r>
          </w:p>
        </w:tc>
        <w:tc>
          <w:tcPr>
            <w:tcW w:w="13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21</w:t>
            </w: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(26)</w:t>
            </w:r>
          </w:p>
        </w:tc>
        <w:tc>
          <w:tcPr>
            <w:tcW w:w="280" w:type="dxa"/>
            <w:vAlign w:val="bottom"/>
          </w:tcPr>
          <w:p>
            <w:pPr>
              <w:spacing w:after="0"/>
              <w:rPr>
                <w:sz w:val="17"/>
                <w:szCs w:val="17"/>
                <w:color w:val="auto"/>
              </w:rPr>
            </w:pPr>
          </w:p>
        </w:tc>
        <w:tc>
          <w:tcPr>
            <w:tcW w:w="13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254</w:t>
            </w: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00" w:type="dxa"/>
            <w:vAlign w:val="bottom"/>
          </w:tcPr>
          <w:p>
            <w:pPr>
              <w:jc w:val="right"/>
              <w:ind w:right="30"/>
              <w:spacing w:after="0" w:line="202" w:lineRule="exact"/>
              <w:rPr>
                <w:sz w:val="20"/>
                <w:szCs w:val="20"/>
                <w:color w:val="auto"/>
              </w:rPr>
            </w:pPr>
            <w:r>
              <w:rPr>
                <w:rFonts w:ascii="Arial" w:cs="Arial" w:eastAsia="Arial" w:hAnsi="Arial"/>
                <w:sz w:val="18"/>
                <w:szCs w:val="18"/>
                <w:b w:val="1"/>
                <w:bCs w:val="1"/>
                <w:color w:val="auto"/>
              </w:rPr>
              <w:t>24</w:t>
            </w:r>
          </w:p>
        </w:tc>
        <w:tc>
          <w:tcPr>
            <w:tcW w:w="0" w:type="dxa"/>
            <w:vAlign w:val="bottom"/>
          </w:tcPr>
          <w:p>
            <w:pPr>
              <w:spacing w:after="0"/>
              <w:rPr>
                <w:sz w:val="1"/>
                <w:szCs w:val="1"/>
                <w:color w:val="auto"/>
              </w:rPr>
            </w:pPr>
          </w:p>
        </w:tc>
      </w:tr>
      <w:tr>
        <w:trPr>
          <w:trHeight w:val="203"/>
        </w:trPr>
        <w:tc>
          <w:tcPr>
            <w:tcW w:w="5000" w:type="dxa"/>
            <w:vAlign w:val="bottom"/>
          </w:tcPr>
          <w:p>
            <w:pPr>
              <w:ind w:left="200"/>
              <w:spacing w:after="0" w:line="202" w:lineRule="exact"/>
              <w:rPr>
                <w:sz w:val="20"/>
                <w:szCs w:val="20"/>
                <w:color w:val="auto"/>
              </w:rPr>
            </w:pPr>
            <w:r>
              <w:rPr>
                <w:rFonts w:ascii="Arial" w:cs="Arial" w:eastAsia="Arial" w:hAnsi="Arial"/>
                <w:sz w:val="18"/>
                <w:szCs w:val="18"/>
                <w:color w:val="auto"/>
              </w:rPr>
              <w:t>Equity in net income (losses) of investees, net</w:t>
            </w:r>
          </w:p>
        </w:tc>
        <w:tc>
          <w:tcPr>
            <w:tcW w:w="13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33</w:t>
            </w: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jc w:val="right"/>
              <w:ind w:right="30"/>
              <w:spacing w:after="0" w:line="202" w:lineRule="exact"/>
              <w:rPr>
                <w:sz w:val="20"/>
                <w:szCs w:val="20"/>
                <w:color w:val="auto"/>
              </w:rPr>
            </w:pPr>
            <w:r>
              <w:rPr>
                <w:rFonts w:ascii="Arial" w:cs="Arial" w:eastAsia="Arial" w:hAnsi="Arial"/>
                <w:sz w:val="18"/>
                <w:szCs w:val="18"/>
                <w:b w:val="1"/>
                <w:bCs w:val="1"/>
                <w:color w:val="auto"/>
              </w:rPr>
              <w:t>1</w:t>
            </w:r>
          </w:p>
        </w:tc>
        <w:tc>
          <w:tcPr>
            <w:tcW w:w="280" w:type="dxa"/>
            <w:vAlign w:val="bottom"/>
          </w:tcPr>
          <w:p>
            <w:pPr>
              <w:spacing w:after="0"/>
              <w:rPr>
                <w:sz w:val="17"/>
                <w:szCs w:val="17"/>
                <w:color w:val="auto"/>
              </w:rPr>
            </w:pPr>
          </w:p>
        </w:tc>
        <w:tc>
          <w:tcPr>
            <w:tcW w:w="13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87</w:t>
            </w: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(202)</w:t>
            </w:r>
          </w:p>
        </w:tc>
        <w:tc>
          <w:tcPr>
            <w:tcW w:w="0" w:type="dxa"/>
            <w:vAlign w:val="bottom"/>
          </w:tcPr>
          <w:p>
            <w:pPr>
              <w:spacing w:after="0"/>
              <w:rPr>
                <w:sz w:val="1"/>
                <w:szCs w:val="1"/>
                <w:color w:val="auto"/>
              </w:rPr>
            </w:pPr>
          </w:p>
        </w:tc>
      </w:tr>
      <w:tr>
        <w:trPr>
          <w:trHeight w:val="227"/>
        </w:trPr>
        <w:tc>
          <w:tcPr>
            <w:tcW w:w="5000" w:type="dxa"/>
            <w:vAlign w:val="bottom"/>
          </w:tcPr>
          <w:p>
            <w:pPr>
              <w:ind w:left="200"/>
              <w:spacing w:after="0"/>
              <w:rPr>
                <w:sz w:val="20"/>
                <w:szCs w:val="20"/>
                <w:color w:val="auto"/>
              </w:rPr>
            </w:pPr>
            <w:r>
              <w:rPr>
                <w:rFonts w:ascii="Arial" w:cs="Arial" w:eastAsia="Arial" w:hAnsi="Arial"/>
                <w:sz w:val="18"/>
                <w:szCs w:val="18"/>
                <w:color w:val="auto"/>
              </w:rPr>
              <w:t>Other income (expense), net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w:t>
            </w:r>
          </w:p>
        </w:tc>
        <w:tc>
          <w:tcPr>
            <w:tcW w:w="30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(53)</w:t>
            </w:r>
          </w:p>
        </w:tc>
        <w:tc>
          <w:tcPr>
            <w:tcW w:w="280" w:type="dxa"/>
            <w:vAlign w:val="bottom"/>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w:t>
            </w:r>
          </w:p>
        </w:tc>
        <w:tc>
          <w:tcPr>
            <w:tcW w:w="28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364</w:t>
            </w:r>
          </w:p>
        </w:tc>
        <w:tc>
          <w:tcPr>
            <w:tcW w:w="0" w:type="dxa"/>
            <w:vAlign w:val="bottom"/>
          </w:tcPr>
          <w:p>
            <w:pPr>
              <w:spacing w:after="0"/>
              <w:rPr>
                <w:sz w:val="1"/>
                <w:szCs w:val="1"/>
                <w:color w:val="auto"/>
              </w:rPr>
            </w:pPr>
          </w:p>
        </w:tc>
      </w:tr>
      <w:tr>
        <w:trPr>
          <w:trHeight w:val="196"/>
        </w:trPr>
        <w:tc>
          <w:tcPr>
            <w:tcW w:w="5000" w:type="dxa"/>
            <w:vAlign w:val="bottom"/>
          </w:tcPr>
          <w:p>
            <w:pPr>
              <w:spacing w:after="0"/>
              <w:rPr>
                <w:sz w:val="17"/>
                <w:szCs w:val="17"/>
                <w:color w:val="auto"/>
              </w:rPr>
            </w:pPr>
          </w:p>
        </w:tc>
        <w:tc>
          <w:tcPr>
            <w:tcW w:w="13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(705)</w:t>
            </w:r>
          </w:p>
        </w:tc>
        <w:tc>
          <w:tcPr>
            <w:tcW w:w="30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(737)</w:t>
            </w:r>
          </w:p>
        </w:tc>
        <w:tc>
          <w:tcPr>
            <w:tcW w:w="280" w:type="dxa"/>
            <w:vAlign w:val="bottom"/>
          </w:tcPr>
          <w:p>
            <w:pPr>
              <w:spacing w:after="0"/>
              <w:rPr>
                <w:sz w:val="17"/>
                <w:szCs w:val="17"/>
                <w:color w:val="auto"/>
              </w:rPr>
            </w:pPr>
          </w:p>
        </w:tc>
        <w:tc>
          <w:tcPr>
            <w:tcW w:w="13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(1,762)</w:t>
            </w:r>
          </w:p>
        </w:tc>
        <w:tc>
          <w:tcPr>
            <w:tcW w:w="28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(1,842)</w:t>
            </w:r>
          </w:p>
        </w:tc>
        <w:tc>
          <w:tcPr>
            <w:tcW w:w="0" w:type="dxa"/>
            <w:vAlign w:val="bottom"/>
          </w:tcPr>
          <w:p>
            <w:pPr>
              <w:spacing w:after="0"/>
              <w:rPr>
                <w:sz w:val="1"/>
                <w:szCs w:val="1"/>
                <w:color w:val="auto"/>
              </w:rPr>
            </w:pPr>
          </w:p>
        </w:tc>
      </w:tr>
      <w:tr>
        <w:trPr>
          <w:trHeight w:val="438"/>
        </w:trPr>
        <w:tc>
          <w:tcPr>
            <w:tcW w:w="500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3,040</w:t>
            </w: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b w:val="1"/>
                <w:bCs w:val="1"/>
                <w:color w:val="auto"/>
              </w:rPr>
              <w:t>3,264</w:t>
            </w:r>
          </w:p>
        </w:tc>
        <w:tc>
          <w:tcPr>
            <w:tcW w:w="280" w:type="dxa"/>
            <w:vAlign w:val="bottom"/>
          </w:tcPr>
          <w:p>
            <w:pPr>
              <w:spacing w:after="0"/>
              <w:rPr>
                <w:sz w:val="24"/>
                <w:szCs w:val="24"/>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9,355</w:t>
            </w: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b w:val="1"/>
                <w:bCs w:val="1"/>
                <w:color w:val="auto"/>
              </w:rPr>
              <w:t>10,154</w:t>
            </w:r>
          </w:p>
        </w:tc>
        <w:tc>
          <w:tcPr>
            <w:tcW w:w="0" w:type="dxa"/>
            <w:vAlign w:val="bottom"/>
          </w:tcPr>
          <w:p>
            <w:pPr>
              <w:spacing w:after="0"/>
              <w:rPr>
                <w:sz w:val="1"/>
                <w:szCs w:val="1"/>
                <w:color w:val="auto"/>
              </w:rPr>
            </w:pPr>
          </w:p>
        </w:tc>
      </w:tr>
      <w:tr>
        <w:trPr>
          <w:trHeight w:val="393"/>
        </w:trPr>
        <w:tc>
          <w:tcPr>
            <w:tcW w:w="5000" w:type="dxa"/>
            <w:vAlign w:val="bottom"/>
          </w:tcPr>
          <w:p>
            <w:pPr>
              <w:spacing w:after="0"/>
              <w:rPr>
                <w:sz w:val="20"/>
                <w:szCs w:val="20"/>
                <w:color w:val="auto"/>
              </w:rPr>
            </w:pPr>
            <w:r>
              <w:rPr>
                <w:rFonts w:ascii="Arial" w:cs="Arial" w:eastAsia="Arial" w:hAnsi="Arial"/>
                <w:sz w:val="18"/>
                <w:szCs w:val="18"/>
                <w:color w:val="auto"/>
              </w:rPr>
              <w:t>Income tax expense</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(407)</w:t>
            </w:r>
          </w:p>
        </w:tc>
        <w:tc>
          <w:tcPr>
            <w:tcW w:w="30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(1,223)</w:t>
            </w:r>
          </w:p>
        </w:tc>
        <w:tc>
          <w:tcPr>
            <w:tcW w:w="280" w:type="dxa"/>
            <w:vAlign w:val="bottom"/>
          </w:tcPr>
          <w:p>
            <w:pPr>
              <w:spacing w:after="0"/>
              <w:rPr>
                <w:sz w:val="24"/>
                <w:szCs w:val="2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(2,759)</w:t>
            </w:r>
          </w:p>
        </w:tc>
        <w:tc>
          <w:tcPr>
            <w:tcW w:w="28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(3,797)</w:t>
            </w:r>
          </w:p>
        </w:tc>
        <w:tc>
          <w:tcPr>
            <w:tcW w:w="0" w:type="dxa"/>
            <w:vAlign w:val="bottom"/>
          </w:tcPr>
          <w:p>
            <w:pPr>
              <w:spacing w:after="0"/>
              <w:rPr>
                <w:sz w:val="1"/>
                <w:szCs w:val="1"/>
                <w:color w:val="auto"/>
              </w:rPr>
            </w:pPr>
          </w:p>
        </w:tc>
      </w:tr>
      <w:tr>
        <w:trPr>
          <w:trHeight w:val="438"/>
        </w:trPr>
        <w:tc>
          <w:tcPr>
            <w:tcW w:w="5000" w:type="dxa"/>
            <w:vAlign w:val="bottom"/>
          </w:tcPr>
          <w:p>
            <w:pPr>
              <w:spacing w:after="0"/>
              <w:rPr>
                <w:sz w:val="20"/>
                <w:szCs w:val="20"/>
                <w:color w:val="auto"/>
              </w:rPr>
            </w:pPr>
            <w:r>
              <w:rPr>
                <w:rFonts w:ascii="Arial" w:cs="Arial" w:eastAsia="Arial" w:hAnsi="Arial"/>
                <w:sz w:val="18"/>
                <w:szCs w:val="18"/>
                <w:b w:val="1"/>
                <w:bCs w:val="1"/>
                <w:color w:val="auto"/>
              </w:rPr>
              <w:t>Net income</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2,633</w:t>
            </w: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b w:val="1"/>
                <w:bCs w:val="1"/>
                <w:color w:val="auto"/>
              </w:rPr>
              <w:t>2,041</w:t>
            </w:r>
          </w:p>
        </w:tc>
        <w:tc>
          <w:tcPr>
            <w:tcW w:w="280" w:type="dxa"/>
            <w:vAlign w:val="bottom"/>
          </w:tcPr>
          <w:p>
            <w:pPr>
              <w:spacing w:after="0"/>
              <w:rPr>
                <w:sz w:val="24"/>
                <w:szCs w:val="24"/>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6,596</w:t>
            </w: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b w:val="1"/>
                <w:bCs w:val="1"/>
                <w:color w:val="auto"/>
              </w:rPr>
              <w:t>6,357</w:t>
            </w: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0" w:gutter="0" w:footer="0" w:header="0"/>
        </w:sectPr>
      </w:pPr>
    </w:p>
    <w:bookmarkStart w:id="7" w:name="page8"/>
    <w:bookmarkEnd w:id="7"/>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00" w:type="dxa"/>
            <w:vAlign w:val="bottom"/>
          </w:tcPr>
          <w:p>
            <w:pPr>
              <w:ind w:left="180"/>
              <w:spacing w:after="0"/>
              <w:rPr>
                <w:sz w:val="20"/>
                <w:szCs w:val="20"/>
                <w:color w:val="auto"/>
              </w:rPr>
            </w:pPr>
            <w:r>
              <w:rPr>
                <w:rFonts w:ascii="Arial" w:cs="Arial" w:eastAsia="Arial" w:hAnsi="Arial"/>
                <w:sz w:val="18"/>
                <w:szCs w:val="18"/>
                <w:color w:val="auto"/>
              </w:rPr>
              <w:t>Net (income) loss attributable to noncontrolling interests</w:t>
            </w:r>
          </w:p>
        </w:tc>
        <w:tc>
          <w:tcPr>
            <w:tcW w:w="1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(45)</w:t>
            </w:r>
          </w:p>
        </w:tc>
        <w:tc>
          <w:tcPr>
            <w:tcW w:w="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(165)</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5000" w:type="dxa"/>
            <w:vAlign w:val="bottom"/>
          </w:tcPr>
          <w:p>
            <w:pPr>
              <w:ind w:left="360"/>
              <w:spacing w:after="0"/>
              <w:rPr>
                <w:sz w:val="20"/>
                <w:szCs w:val="20"/>
                <w:color w:val="auto"/>
              </w:rPr>
            </w:pPr>
            <w:r>
              <w:rPr>
                <w:rFonts w:ascii="Arial" w:cs="Arial" w:eastAsia="Arial" w:hAnsi="Arial"/>
                <w:sz w:val="18"/>
                <w:szCs w:val="18"/>
                <w:color w:val="auto"/>
              </w:rPr>
              <w:t>and redeemable subsidiary preferred stock</w:t>
            </w:r>
          </w:p>
        </w:tc>
        <w:tc>
          <w:tcPr>
            <w:tcW w:w="1360" w:type="dxa"/>
            <w:vAlign w:val="bottom"/>
          </w:tcPr>
          <w:p>
            <w:pPr>
              <w:jc w:val="right"/>
              <w:spacing w:after="0"/>
              <w:rPr>
                <w:sz w:val="20"/>
                <w:szCs w:val="20"/>
                <w:color w:val="auto"/>
              </w:rPr>
            </w:pPr>
            <w:r>
              <w:rPr>
                <w:rFonts w:ascii="Arial" w:cs="Arial" w:eastAsia="Arial" w:hAnsi="Arial"/>
                <w:sz w:val="18"/>
                <w:szCs w:val="18"/>
                <w:color w:val="auto"/>
              </w:rPr>
              <w:t>(41)</w:t>
            </w:r>
          </w:p>
        </w:tc>
        <w:tc>
          <w:tcPr>
            <w:tcW w:w="300" w:type="dxa"/>
            <w:vAlign w:val="bottom"/>
          </w:tcPr>
          <w:p>
            <w:pPr>
              <w:spacing w:after="0"/>
              <w:rPr>
                <w:sz w:val="21"/>
                <w:szCs w:val="21"/>
                <w:color w:val="auto"/>
              </w:rPr>
            </w:pPr>
          </w:p>
        </w:tc>
        <w:tc>
          <w:tcPr>
            <w:tcW w:w="1360" w:type="dxa"/>
            <w:vAlign w:val="bottom"/>
            <w:vMerge w:val="continue"/>
          </w:tcPr>
          <w:p>
            <w:pPr>
              <w:spacing w:after="0"/>
              <w:rPr>
                <w:sz w:val="21"/>
                <w:szCs w:val="21"/>
                <w:color w:val="auto"/>
              </w:rPr>
            </w:pPr>
          </w:p>
        </w:tc>
        <w:tc>
          <w:tcPr>
            <w:tcW w:w="2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(141)</w:t>
            </w:r>
          </w:p>
        </w:tc>
        <w:tc>
          <w:tcPr>
            <w:tcW w:w="280" w:type="dxa"/>
            <w:vAlign w:val="bottom"/>
          </w:tcPr>
          <w:p>
            <w:pPr>
              <w:spacing w:after="0"/>
              <w:rPr>
                <w:sz w:val="21"/>
                <w:szCs w:val="21"/>
                <w:color w:val="auto"/>
              </w:rPr>
            </w:pPr>
          </w:p>
        </w:tc>
        <w:tc>
          <w:tcPr>
            <w:tcW w:w="1380" w:type="dxa"/>
            <w:vAlign w:val="bottom"/>
            <w:vMerge w:val="continue"/>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1"/>
        </w:trPr>
        <w:tc>
          <w:tcPr>
            <w:tcW w:w="5000" w:type="dxa"/>
            <w:vAlign w:val="bottom"/>
            <w:vMerge w:val="restart"/>
          </w:tcPr>
          <w:p>
            <w:pPr>
              <w:spacing w:after="0"/>
              <w:rPr>
                <w:sz w:val="20"/>
                <w:szCs w:val="20"/>
                <w:color w:val="auto"/>
              </w:rPr>
            </w:pPr>
            <w:r>
              <w:rPr>
                <w:rFonts w:ascii="Arial" w:cs="Arial" w:eastAsia="Arial" w:hAnsi="Arial"/>
                <w:sz w:val="18"/>
                <w:szCs w:val="18"/>
                <w:b w:val="1"/>
                <w:bCs w:val="1"/>
                <w:color w:val="auto"/>
              </w:rPr>
              <w:t>Net income attributable to Comcast Corporation</w:t>
            </w:r>
          </w:p>
        </w:tc>
        <w:tc>
          <w:tcPr>
            <w:tcW w:w="136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000" w:type="dxa"/>
            <w:vAlign w:val="bottom"/>
            <w:vMerge w:val="continue"/>
          </w:tcPr>
          <w:p>
            <w:pPr>
              <w:spacing w:after="0"/>
              <w:rPr>
                <w:sz w:val="17"/>
                <w:szCs w:val="17"/>
                <w:color w:val="auto"/>
              </w:rPr>
            </w:pPr>
          </w:p>
        </w:tc>
        <w:tc>
          <w:tcPr>
            <w:tcW w:w="1360" w:type="dxa"/>
            <w:vAlign w:val="bottom"/>
            <w:tcBorders>
              <w:bottom w:val="single" w:sz="8" w:color="auto"/>
            </w:tcBorders>
          </w:tcPr>
          <w:p>
            <w:pPr>
              <w:jc w:val="right"/>
              <w:ind w:right="13"/>
              <w:spacing w:after="0" w:line="196" w:lineRule="exact"/>
              <w:rPr>
                <w:sz w:val="20"/>
                <w:szCs w:val="20"/>
                <w:color w:val="auto"/>
              </w:rPr>
            </w:pPr>
            <w:r>
              <w:rPr>
                <w:rFonts w:ascii="Arial" w:cs="Arial" w:eastAsia="Arial" w:hAnsi="Arial"/>
                <w:sz w:val="18"/>
                <w:szCs w:val="18"/>
                <w:color w:val="auto"/>
              </w:rPr>
              <w:t>$2,592</w:t>
            </w:r>
          </w:p>
        </w:tc>
        <w:tc>
          <w:tcPr>
            <w:tcW w:w="300" w:type="dxa"/>
            <w:vAlign w:val="bottom"/>
          </w:tcPr>
          <w:p>
            <w:pPr>
              <w:spacing w:after="0"/>
              <w:rPr>
                <w:sz w:val="17"/>
                <w:szCs w:val="17"/>
                <w:color w:val="auto"/>
              </w:rPr>
            </w:pPr>
          </w:p>
        </w:tc>
        <w:tc>
          <w:tcPr>
            <w:tcW w:w="136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b w:val="1"/>
                <w:bCs w:val="1"/>
                <w:color w:val="auto"/>
              </w:rPr>
              <w:t>$1,996</w:t>
            </w:r>
          </w:p>
        </w:tc>
        <w:tc>
          <w:tcPr>
            <w:tcW w:w="280" w:type="dxa"/>
            <w:vAlign w:val="bottom"/>
          </w:tcPr>
          <w:p>
            <w:pPr>
              <w:spacing w:after="0"/>
              <w:rPr>
                <w:sz w:val="17"/>
                <w:szCs w:val="17"/>
                <w:color w:val="auto"/>
              </w:rPr>
            </w:pPr>
          </w:p>
        </w:tc>
        <w:tc>
          <w:tcPr>
            <w:tcW w:w="136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$6,455</w:t>
            </w:r>
          </w:p>
        </w:tc>
        <w:tc>
          <w:tcPr>
            <w:tcW w:w="280" w:type="dxa"/>
            <w:vAlign w:val="bottom"/>
          </w:tcPr>
          <w:p>
            <w:pPr>
              <w:spacing w:after="0"/>
              <w:rPr>
                <w:sz w:val="17"/>
                <w:szCs w:val="17"/>
                <w:color w:val="auto"/>
              </w:rPr>
            </w:pPr>
          </w:p>
        </w:tc>
        <w:tc>
          <w:tcPr>
            <w:tcW w:w="138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b w:val="1"/>
                <w:bCs w:val="1"/>
                <w:color w:val="auto"/>
              </w:rPr>
              <w:t>$6,192</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0" w:type="dxa"/>
            <w:vAlign w:val="bottom"/>
            <w:vMerge w:val="restart"/>
          </w:tcPr>
          <w:p>
            <w:pPr>
              <w:spacing w:after="0"/>
              <w:rPr>
                <w:sz w:val="20"/>
                <w:szCs w:val="20"/>
                <w:color w:val="auto"/>
              </w:rPr>
            </w:pPr>
            <w:r>
              <w:rPr>
                <w:rFonts w:ascii="Arial" w:cs="Arial" w:eastAsia="Arial" w:hAnsi="Arial"/>
                <w:sz w:val="18"/>
                <w:szCs w:val="18"/>
                <w:b w:val="1"/>
                <w:bCs w:val="1"/>
                <w:color w:val="auto"/>
              </w:rPr>
              <w:t>Diluted earnings per common share attributable to</w:t>
            </w:r>
          </w:p>
        </w:tc>
        <w:tc>
          <w:tcPr>
            <w:tcW w:w="13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4"/>
        </w:trPr>
        <w:tc>
          <w:tcPr>
            <w:tcW w:w="5000" w:type="dxa"/>
            <w:vAlign w:val="bottom"/>
            <w:vMerge w:val="continue"/>
          </w:tcPr>
          <w:p>
            <w:pPr>
              <w:spacing w:after="0"/>
              <w:rPr>
                <w:sz w:val="24"/>
                <w:szCs w:val="24"/>
                <w:color w:val="auto"/>
              </w:rPr>
            </w:pPr>
          </w:p>
        </w:tc>
        <w:tc>
          <w:tcPr>
            <w:tcW w:w="1360" w:type="dxa"/>
            <w:vAlign w:val="bottom"/>
            <w:vMerge w:val="restart"/>
          </w:tcPr>
          <w:p>
            <w:pPr>
              <w:jc w:val="right"/>
              <w:ind w:right="13"/>
              <w:spacing w:after="0"/>
              <w:rPr>
                <w:sz w:val="20"/>
                <w:szCs w:val="20"/>
                <w:color w:val="auto"/>
              </w:rPr>
            </w:pPr>
            <w:r>
              <w:rPr>
                <w:rFonts w:ascii="Arial" w:cs="Arial" w:eastAsia="Arial" w:hAnsi="Arial"/>
                <w:sz w:val="18"/>
                <w:szCs w:val="18"/>
                <w:color w:val="auto"/>
              </w:rPr>
              <w:t>$0.99</w:t>
            </w:r>
          </w:p>
        </w:tc>
        <w:tc>
          <w:tcPr>
            <w:tcW w:w="300" w:type="dxa"/>
            <w:vAlign w:val="bottom"/>
          </w:tcPr>
          <w:p>
            <w:pPr>
              <w:spacing w:after="0"/>
              <w:rPr>
                <w:sz w:val="24"/>
                <w:szCs w:val="24"/>
                <w:color w:val="auto"/>
              </w:rPr>
            </w:pPr>
          </w:p>
        </w:tc>
        <w:tc>
          <w:tcPr>
            <w:tcW w:w="136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rPr>
              <w:t>$0.80</w:t>
            </w:r>
          </w:p>
        </w:tc>
        <w:tc>
          <w:tcPr>
            <w:tcW w:w="280" w:type="dxa"/>
            <w:vAlign w:val="bottom"/>
          </w:tcPr>
          <w:p>
            <w:pPr>
              <w:spacing w:after="0"/>
              <w:rPr>
                <w:sz w:val="24"/>
                <w:szCs w:val="24"/>
                <w:color w:val="auto"/>
              </w:rPr>
            </w:pPr>
          </w:p>
        </w:tc>
        <w:tc>
          <w:tcPr>
            <w:tcW w:w="1360" w:type="dxa"/>
            <w:vAlign w:val="bottom"/>
            <w:vMerge w:val="restart"/>
          </w:tcPr>
          <w:p>
            <w:pPr>
              <w:jc w:val="right"/>
              <w:ind w:right="30"/>
              <w:spacing w:after="0"/>
              <w:rPr>
                <w:sz w:val="20"/>
                <w:szCs w:val="20"/>
                <w:color w:val="auto"/>
              </w:rPr>
            </w:pPr>
            <w:r>
              <w:rPr>
                <w:rFonts w:ascii="Arial" w:cs="Arial" w:eastAsia="Arial" w:hAnsi="Arial"/>
                <w:sz w:val="18"/>
                <w:szCs w:val="18"/>
                <w:color w:val="auto"/>
              </w:rPr>
              <w:t>$2.46</w:t>
            </w:r>
          </w:p>
        </w:tc>
        <w:tc>
          <w:tcPr>
            <w:tcW w:w="280" w:type="dxa"/>
            <w:vAlign w:val="bottom"/>
          </w:tcPr>
          <w:p>
            <w:pPr>
              <w:spacing w:after="0"/>
              <w:rPr>
                <w:sz w:val="24"/>
                <w:szCs w:val="24"/>
                <w:color w:val="auto"/>
              </w:rPr>
            </w:pPr>
          </w:p>
        </w:tc>
        <w:tc>
          <w:tcPr>
            <w:tcW w:w="138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rPr>
              <w:t>$2.45</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5000" w:type="dxa"/>
            <w:vAlign w:val="bottom"/>
          </w:tcPr>
          <w:p>
            <w:pPr>
              <w:ind w:left="180"/>
              <w:spacing w:after="0"/>
              <w:rPr>
                <w:sz w:val="20"/>
                <w:szCs w:val="20"/>
                <w:color w:val="auto"/>
              </w:rPr>
            </w:pPr>
            <w:r>
              <w:rPr>
                <w:rFonts w:ascii="Arial" w:cs="Arial" w:eastAsia="Arial" w:hAnsi="Arial"/>
                <w:sz w:val="18"/>
                <w:szCs w:val="18"/>
                <w:b w:val="1"/>
                <w:bCs w:val="1"/>
                <w:color w:val="auto"/>
              </w:rPr>
              <w:t>Comcast Corporation shareholders</w:t>
            </w:r>
          </w:p>
        </w:tc>
        <w:tc>
          <w:tcPr>
            <w:tcW w:w="1360" w:type="dxa"/>
            <w:vAlign w:val="bottom"/>
            <w:tcBorders>
              <w:bottom w:val="single" w:sz="8" w:color="auto"/>
            </w:tcBorders>
            <w:vMerge w:val="continue"/>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Borders>
              <w:bottom w:val="single" w:sz="8" w:color="auto"/>
            </w:tcBorders>
            <w:vMerge w:val="continue"/>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Borders>
              <w:bottom w:val="single" w:sz="8" w:color="auto"/>
            </w:tcBorders>
            <w:vMerge w:val="continue"/>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Borders>
              <w:bottom w:val="single" w:sz="8" w:color="auto"/>
            </w:tcBorders>
            <w:vMerge w:val="continue"/>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00" w:type="dxa"/>
            <w:vAlign w:val="bottom"/>
            <w:vMerge w:val="restart"/>
          </w:tcPr>
          <w:p>
            <w:pPr>
              <w:spacing w:after="0"/>
              <w:rPr>
                <w:sz w:val="20"/>
                <w:szCs w:val="20"/>
                <w:color w:val="auto"/>
              </w:rPr>
            </w:pPr>
            <w:r>
              <w:rPr>
                <w:rFonts w:ascii="Arial" w:cs="Arial" w:eastAsia="Arial" w:hAnsi="Arial"/>
                <w:sz w:val="18"/>
                <w:szCs w:val="18"/>
                <w:b w:val="1"/>
                <w:bCs w:val="1"/>
                <w:color w:val="auto"/>
              </w:rPr>
              <w:t>Dividends declared per common share attributable to</w:t>
            </w:r>
          </w:p>
        </w:tc>
        <w:tc>
          <w:tcPr>
            <w:tcW w:w="13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4"/>
        </w:trPr>
        <w:tc>
          <w:tcPr>
            <w:tcW w:w="5000" w:type="dxa"/>
            <w:vAlign w:val="bottom"/>
            <w:vMerge w:val="continue"/>
          </w:tcPr>
          <w:p>
            <w:pPr>
              <w:spacing w:after="0"/>
              <w:rPr>
                <w:sz w:val="24"/>
                <w:szCs w:val="24"/>
                <w:color w:val="auto"/>
              </w:rPr>
            </w:pPr>
          </w:p>
        </w:tc>
        <w:tc>
          <w:tcPr>
            <w:tcW w:w="1360" w:type="dxa"/>
            <w:vAlign w:val="bottom"/>
            <w:vMerge w:val="restart"/>
          </w:tcPr>
          <w:p>
            <w:pPr>
              <w:jc w:val="right"/>
              <w:ind w:right="13"/>
              <w:spacing w:after="0"/>
              <w:rPr>
                <w:sz w:val="20"/>
                <w:szCs w:val="20"/>
                <w:color w:val="auto"/>
              </w:rPr>
            </w:pPr>
            <w:r>
              <w:rPr>
                <w:rFonts w:ascii="Arial" w:cs="Arial" w:eastAsia="Arial" w:hAnsi="Arial"/>
                <w:sz w:val="18"/>
                <w:szCs w:val="18"/>
                <w:color w:val="auto"/>
              </w:rPr>
              <w:t>$0.225</w:t>
            </w:r>
          </w:p>
        </w:tc>
        <w:tc>
          <w:tcPr>
            <w:tcW w:w="300" w:type="dxa"/>
            <w:vAlign w:val="bottom"/>
          </w:tcPr>
          <w:p>
            <w:pPr>
              <w:spacing w:after="0"/>
              <w:rPr>
                <w:sz w:val="24"/>
                <w:szCs w:val="24"/>
                <w:color w:val="auto"/>
              </w:rPr>
            </w:pPr>
          </w:p>
        </w:tc>
        <w:tc>
          <w:tcPr>
            <w:tcW w:w="136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rPr>
              <w:t>$0.25</w:t>
            </w:r>
          </w:p>
        </w:tc>
        <w:tc>
          <w:tcPr>
            <w:tcW w:w="280" w:type="dxa"/>
            <w:vAlign w:val="bottom"/>
          </w:tcPr>
          <w:p>
            <w:pPr>
              <w:spacing w:after="0"/>
              <w:rPr>
                <w:sz w:val="24"/>
                <w:szCs w:val="24"/>
                <w:color w:val="auto"/>
              </w:rPr>
            </w:pPr>
          </w:p>
        </w:tc>
        <w:tc>
          <w:tcPr>
            <w:tcW w:w="1360" w:type="dxa"/>
            <w:vAlign w:val="bottom"/>
            <w:vMerge w:val="restart"/>
          </w:tcPr>
          <w:p>
            <w:pPr>
              <w:jc w:val="right"/>
              <w:ind w:right="30"/>
              <w:spacing w:after="0"/>
              <w:rPr>
                <w:sz w:val="20"/>
                <w:szCs w:val="20"/>
                <w:color w:val="auto"/>
              </w:rPr>
            </w:pPr>
            <w:r>
              <w:rPr>
                <w:rFonts w:ascii="Arial" w:cs="Arial" w:eastAsia="Arial" w:hAnsi="Arial"/>
                <w:sz w:val="18"/>
                <w:szCs w:val="18"/>
                <w:color w:val="auto"/>
              </w:rPr>
              <w:t>$0.675</w:t>
            </w:r>
          </w:p>
        </w:tc>
        <w:tc>
          <w:tcPr>
            <w:tcW w:w="280" w:type="dxa"/>
            <w:vAlign w:val="bottom"/>
          </w:tcPr>
          <w:p>
            <w:pPr>
              <w:spacing w:after="0"/>
              <w:rPr>
                <w:sz w:val="24"/>
                <w:szCs w:val="24"/>
                <w:color w:val="auto"/>
              </w:rPr>
            </w:pPr>
          </w:p>
        </w:tc>
        <w:tc>
          <w:tcPr>
            <w:tcW w:w="138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rPr>
              <w:t>$0.75</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5000" w:type="dxa"/>
            <w:vAlign w:val="bottom"/>
          </w:tcPr>
          <w:p>
            <w:pPr>
              <w:ind w:left="180"/>
              <w:spacing w:after="0"/>
              <w:rPr>
                <w:sz w:val="20"/>
                <w:szCs w:val="20"/>
                <w:color w:val="auto"/>
              </w:rPr>
            </w:pPr>
            <w:r>
              <w:rPr>
                <w:rFonts w:ascii="Arial" w:cs="Arial" w:eastAsia="Arial" w:hAnsi="Arial"/>
                <w:sz w:val="18"/>
                <w:szCs w:val="18"/>
                <w:b w:val="1"/>
                <w:bCs w:val="1"/>
                <w:color w:val="auto"/>
              </w:rPr>
              <w:t>Comcast Corporation shareholders</w:t>
            </w:r>
          </w:p>
        </w:tc>
        <w:tc>
          <w:tcPr>
            <w:tcW w:w="1360" w:type="dxa"/>
            <w:vAlign w:val="bottom"/>
            <w:tcBorders>
              <w:bottom w:val="single" w:sz="8" w:color="auto"/>
            </w:tcBorders>
            <w:vMerge w:val="continue"/>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Borders>
              <w:bottom w:val="single" w:sz="8" w:color="auto"/>
            </w:tcBorders>
            <w:vMerge w:val="continue"/>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Borders>
              <w:bottom w:val="single" w:sz="8" w:color="auto"/>
            </w:tcBorders>
            <w:vMerge w:val="continue"/>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Borders>
              <w:bottom w:val="single" w:sz="8" w:color="auto"/>
            </w:tcBorders>
            <w:vMerge w:val="continue"/>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5000" w:type="dxa"/>
            <w:vAlign w:val="bottom"/>
          </w:tcPr>
          <w:p>
            <w:pPr>
              <w:spacing w:after="0"/>
              <w:rPr>
                <w:sz w:val="20"/>
                <w:szCs w:val="20"/>
                <w:color w:val="auto"/>
              </w:rPr>
            </w:pPr>
            <w:r>
              <w:rPr>
                <w:rFonts w:ascii="Arial" w:cs="Arial" w:eastAsia="Arial" w:hAnsi="Arial"/>
                <w:sz w:val="18"/>
                <w:szCs w:val="18"/>
                <w:color w:val="auto"/>
              </w:rPr>
              <w:t>Diluted weighted-average number of common shares</w:t>
            </w:r>
          </w:p>
        </w:tc>
        <w:tc>
          <w:tcPr>
            <w:tcW w:w="13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2,616</w:t>
            </w:r>
          </w:p>
        </w:tc>
        <w:tc>
          <w:tcPr>
            <w:tcW w:w="300" w:type="dxa"/>
            <w:vAlign w:val="bottom"/>
          </w:tcPr>
          <w:p>
            <w:pPr>
              <w:spacing w:after="0"/>
              <w:rPr>
                <w:sz w:val="24"/>
                <w:szCs w:val="24"/>
                <w:color w:val="auto"/>
              </w:rPr>
            </w:pPr>
          </w:p>
        </w:tc>
        <w:tc>
          <w:tcPr>
            <w:tcW w:w="13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2,502</w:t>
            </w:r>
          </w:p>
        </w:tc>
        <w:tc>
          <w:tcPr>
            <w:tcW w:w="280" w:type="dxa"/>
            <w:vAlign w:val="bottom"/>
          </w:tcPr>
          <w:p>
            <w:pPr>
              <w:spacing w:after="0"/>
              <w:rPr>
                <w:sz w:val="24"/>
                <w:szCs w:val="24"/>
                <w:color w:val="auto"/>
              </w:rPr>
            </w:pPr>
          </w:p>
        </w:tc>
        <w:tc>
          <w:tcPr>
            <w:tcW w:w="13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2,629</w:t>
            </w:r>
          </w:p>
        </w:tc>
        <w:tc>
          <w:tcPr>
            <w:tcW w:w="280" w:type="dxa"/>
            <w:vAlign w:val="bottom"/>
          </w:tcPr>
          <w:p>
            <w:pPr>
              <w:spacing w:after="0"/>
              <w:rPr>
                <w:sz w:val="24"/>
                <w:szCs w:val="24"/>
                <w:color w:val="auto"/>
              </w:rPr>
            </w:pPr>
          </w:p>
        </w:tc>
        <w:tc>
          <w:tcPr>
            <w:tcW w:w="13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2,530</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4"/>
        </w:trPr>
        <w:tc>
          <w:tcPr>
            <w:tcW w:w="5000" w:type="dxa"/>
            <w:vAlign w:val="bottom"/>
          </w:tcPr>
          <w:p>
            <w:pPr>
              <w:spacing w:after="0"/>
              <w:rPr>
                <w:sz w:val="24"/>
                <w:szCs w:val="24"/>
                <w:color w:val="auto"/>
              </w:rPr>
            </w:pPr>
          </w:p>
        </w:tc>
        <w:tc>
          <w:tcPr>
            <w:tcW w:w="1360" w:type="dxa"/>
            <w:vAlign w:val="bottom"/>
          </w:tcPr>
          <w:p>
            <w:pPr>
              <w:jc w:val="right"/>
              <w:ind w:right="513"/>
              <w:spacing w:after="0"/>
              <w:rPr>
                <w:sz w:val="20"/>
                <w:szCs w:val="20"/>
                <w:color w:val="auto"/>
              </w:rPr>
            </w:pPr>
            <w:r>
              <w:rPr>
                <w:rFonts w:ascii="Arial" w:cs="Arial" w:eastAsia="Arial" w:hAnsi="Arial"/>
                <w:sz w:val="14"/>
                <w:szCs w:val="14"/>
                <w:color w:val="auto"/>
              </w:rPr>
              <w:t>8</w:t>
            </w:r>
          </w:p>
        </w:tc>
        <w:tc>
          <w:tcPr>
            <w:tcW w:w="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5000" w:type="dxa"/>
            <w:vAlign w:val="bottom"/>
            <w:tcBorders>
              <w:bottom w:val="single" w:sz="8" w:color="808080"/>
            </w:tcBorders>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5081905</wp:posOffset>
            </wp:positionH>
            <wp:positionV relativeFrom="paragraph">
              <wp:posOffset>349250</wp:posOffset>
            </wp:positionV>
            <wp:extent cx="2169795" cy="4375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169795" cy="437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5"/>
          <w:szCs w:val="25"/>
          <w:b w:val="1"/>
          <w:bCs w:val="1"/>
          <w:color w:val="C9C9C9"/>
        </w:rPr>
        <w:t>TABLE 2</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b w:val="1"/>
          <w:bCs w:val="1"/>
          <w:color w:val="C9C9C9"/>
        </w:rPr>
        <w:t>Condensed Consolidated Balance Sheet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507682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07682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40" w:type="dxa"/>
            <w:vAlign w:val="bottom"/>
          </w:tcPr>
          <w:p>
            <w:pPr>
              <w:spacing w:after="0"/>
              <w:rPr>
                <w:sz w:val="20"/>
                <w:szCs w:val="20"/>
                <w:color w:val="auto"/>
              </w:rPr>
            </w:pPr>
            <w:r>
              <w:rPr>
                <w:rFonts w:ascii="Arial" w:cs="Arial" w:eastAsia="Arial" w:hAnsi="Arial"/>
                <w:sz w:val="18"/>
                <w:szCs w:val="18"/>
                <w:color w:val="auto"/>
              </w:rPr>
              <w:t>(in millions)</w:t>
            </w:r>
          </w:p>
        </w:tc>
        <w:tc>
          <w:tcPr>
            <w:tcW w:w="1740" w:type="dxa"/>
            <w:vAlign w:val="bottom"/>
            <w:gridSpan w:val="2"/>
          </w:tcPr>
          <w:p>
            <w:pPr>
              <w:ind w:left="160"/>
              <w:spacing w:after="0"/>
              <w:rPr>
                <w:sz w:val="20"/>
                <w:szCs w:val="20"/>
                <w:color w:val="auto"/>
              </w:rPr>
            </w:pPr>
            <w:r>
              <w:rPr>
                <w:rFonts w:ascii="Arial" w:cs="Arial" w:eastAsia="Arial" w:hAnsi="Arial"/>
                <w:sz w:val="18"/>
                <w:szCs w:val="18"/>
                <w:color w:val="auto"/>
              </w:rPr>
              <w:t>December 31,</w:t>
            </w:r>
          </w:p>
        </w:tc>
        <w:tc>
          <w:tcPr>
            <w:tcW w:w="1480" w:type="dxa"/>
            <w:vAlign w:val="bottom"/>
          </w:tcPr>
          <w:p>
            <w:pPr>
              <w:jc w:val="right"/>
              <w:ind w:right="3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27"/>
        </w:trPr>
        <w:tc>
          <w:tcPr>
            <w:tcW w:w="8040" w:type="dxa"/>
            <w:vAlign w:val="bottom"/>
            <w:vMerge w:val="restart"/>
          </w:tcPr>
          <w:p>
            <w:pPr>
              <w:spacing w:after="0"/>
              <w:rPr>
                <w:sz w:val="20"/>
                <w:szCs w:val="20"/>
                <w:color w:val="auto"/>
              </w:rPr>
            </w:pPr>
            <w:r>
              <w:rPr>
                <w:rFonts w:ascii="Arial" w:cs="Arial" w:eastAsia="Arial" w:hAnsi="Arial"/>
                <w:sz w:val="18"/>
                <w:szCs w:val="18"/>
                <w:b w:val="1"/>
                <w:bCs w:val="1"/>
                <w:color w:val="auto"/>
              </w:rPr>
              <w:t>ASSETS</w:t>
            </w:r>
          </w:p>
        </w:tc>
        <w:tc>
          <w:tcPr>
            <w:tcW w:w="14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2014</w:t>
            </w:r>
          </w:p>
        </w:tc>
        <w:tc>
          <w:tcPr>
            <w:tcW w:w="280" w:type="dxa"/>
            <w:vAlign w:val="bottom"/>
          </w:tcPr>
          <w:p>
            <w:pPr>
              <w:spacing w:after="0"/>
              <w:rPr>
                <w:sz w:val="19"/>
                <w:szCs w:val="19"/>
                <w:color w:val="auto"/>
              </w:rPr>
            </w:pPr>
          </w:p>
        </w:tc>
        <w:tc>
          <w:tcPr>
            <w:tcW w:w="14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2015</w:t>
            </w:r>
          </w:p>
        </w:tc>
        <w:tc>
          <w:tcPr>
            <w:tcW w:w="0" w:type="dxa"/>
            <w:vAlign w:val="bottom"/>
          </w:tcPr>
          <w:p>
            <w:pPr>
              <w:spacing w:after="0"/>
              <w:rPr>
                <w:sz w:val="1"/>
                <w:szCs w:val="1"/>
                <w:color w:val="auto"/>
              </w:rPr>
            </w:pPr>
          </w:p>
        </w:tc>
      </w:tr>
      <w:tr>
        <w:trPr>
          <w:trHeight w:val="208"/>
        </w:trPr>
        <w:tc>
          <w:tcPr>
            <w:tcW w:w="8040" w:type="dxa"/>
            <w:vAlign w:val="bottom"/>
            <w:vMerge w:val="continue"/>
          </w:tcPr>
          <w:p>
            <w:pPr>
              <w:spacing w:after="0"/>
              <w:rPr>
                <w:sz w:val="18"/>
                <w:szCs w:val="18"/>
                <w:color w:val="auto"/>
              </w:rPr>
            </w:pPr>
          </w:p>
        </w:tc>
        <w:tc>
          <w:tcPr>
            <w:tcW w:w="1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0"/>
        </w:trPr>
        <w:tc>
          <w:tcPr>
            <w:tcW w:w="8040" w:type="dxa"/>
            <w:vAlign w:val="bottom"/>
          </w:tcPr>
          <w:p>
            <w:pPr>
              <w:ind w:left="160"/>
              <w:spacing w:after="0"/>
              <w:rPr>
                <w:sz w:val="20"/>
                <w:szCs w:val="20"/>
                <w:color w:val="auto"/>
              </w:rPr>
            </w:pPr>
            <w:r>
              <w:rPr>
                <w:rFonts w:ascii="Arial" w:cs="Arial" w:eastAsia="Arial" w:hAnsi="Arial"/>
                <w:sz w:val="18"/>
                <w:szCs w:val="18"/>
                <w:color w:val="auto"/>
              </w:rPr>
              <w:t>Current Assets</w:t>
            </w:r>
          </w:p>
        </w:tc>
        <w:tc>
          <w:tcPr>
            <w:tcW w:w="1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8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$1,893</w:t>
            </w:r>
          </w:p>
        </w:tc>
        <w:tc>
          <w:tcPr>
            <w:tcW w:w="0" w:type="dxa"/>
            <w:vAlign w:val="bottom"/>
          </w:tcPr>
          <w:p>
            <w:pPr>
              <w:spacing w:after="0"/>
              <w:rPr>
                <w:sz w:val="1"/>
                <w:szCs w:val="1"/>
                <w:color w:val="auto"/>
              </w:rPr>
            </w:pPr>
          </w:p>
        </w:tc>
      </w:tr>
      <w:tr>
        <w:trPr>
          <w:trHeight w:val="201"/>
        </w:trPr>
        <w:tc>
          <w:tcPr>
            <w:tcW w:w="8040" w:type="dxa"/>
            <w:vAlign w:val="bottom"/>
          </w:tcPr>
          <w:p>
            <w:pPr>
              <w:ind w:left="300"/>
              <w:spacing w:after="0" w:line="201" w:lineRule="exact"/>
              <w:rPr>
                <w:sz w:val="20"/>
                <w:szCs w:val="20"/>
                <w:color w:val="auto"/>
              </w:rPr>
            </w:pPr>
            <w:r>
              <w:rPr>
                <w:rFonts w:ascii="Arial" w:cs="Arial" w:eastAsia="Arial" w:hAnsi="Arial"/>
                <w:sz w:val="18"/>
                <w:szCs w:val="18"/>
                <w:color w:val="auto"/>
              </w:rPr>
              <w:t>Cash and cash equivalents</w:t>
            </w:r>
          </w:p>
        </w:tc>
        <w:tc>
          <w:tcPr>
            <w:tcW w:w="1460" w:type="dxa"/>
            <w:vAlign w:val="bottom"/>
          </w:tcPr>
          <w:p>
            <w:pPr>
              <w:jc w:val="right"/>
              <w:ind w:right="10"/>
              <w:spacing w:after="0" w:line="201" w:lineRule="exact"/>
              <w:rPr>
                <w:sz w:val="20"/>
                <w:szCs w:val="20"/>
                <w:color w:val="auto"/>
              </w:rPr>
            </w:pPr>
            <w:r>
              <w:rPr>
                <w:rFonts w:ascii="Arial" w:cs="Arial" w:eastAsia="Arial" w:hAnsi="Arial"/>
                <w:sz w:val="18"/>
                <w:szCs w:val="18"/>
                <w:color w:val="auto"/>
              </w:rPr>
              <w:t>$3,910</w:t>
            </w:r>
          </w:p>
        </w:tc>
        <w:tc>
          <w:tcPr>
            <w:tcW w:w="280" w:type="dxa"/>
            <w:vAlign w:val="bottom"/>
          </w:tcPr>
          <w:p>
            <w:pPr>
              <w:spacing w:after="0"/>
              <w:rPr>
                <w:sz w:val="17"/>
                <w:szCs w:val="17"/>
                <w:color w:val="auto"/>
              </w:rPr>
            </w:pPr>
          </w:p>
        </w:tc>
        <w:tc>
          <w:tcPr>
            <w:tcW w:w="14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40" w:type="dxa"/>
            <w:vAlign w:val="bottom"/>
          </w:tcPr>
          <w:p>
            <w:pPr>
              <w:ind w:left="300"/>
              <w:spacing w:after="0" w:line="202" w:lineRule="exact"/>
              <w:rPr>
                <w:sz w:val="20"/>
                <w:szCs w:val="20"/>
                <w:color w:val="auto"/>
              </w:rPr>
            </w:pPr>
            <w:r>
              <w:rPr>
                <w:rFonts w:ascii="Arial" w:cs="Arial" w:eastAsia="Arial" w:hAnsi="Arial"/>
                <w:sz w:val="18"/>
                <w:szCs w:val="18"/>
                <w:color w:val="auto"/>
              </w:rPr>
              <w:t>Investments</w:t>
            </w:r>
          </w:p>
        </w:tc>
        <w:tc>
          <w:tcPr>
            <w:tcW w:w="14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602</w:t>
            </w:r>
          </w:p>
        </w:tc>
        <w:tc>
          <w:tcPr>
            <w:tcW w:w="280" w:type="dxa"/>
            <w:vAlign w:val="bottom"/>
          </w:tcPr>
          <w:p>
            <w:pPr>
              <w:spacing w:after="0"/>
              <w:rPr>
                <w:sz w:val="17"/>
                <w:szCs w:val="17"/>
                <w:color w:val="auto"/>
              </w:rPr>
            </w:pPr>
          </w:p>
        </w:tc>
        <w:tc>
          <w:tcPr>
            <w:tcW w:w="148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137</w:t>
            </w:r>
          </w:p>
        </w:tc>
        <w:tc>
          <w:tcPr>
            <w:tcW w:w="0" w:type="dxa"/>
            <w:vAlign w:val="bottom"/>
          </w:tcPr>
          <w:p>
            <w:pPr>
              <w:spacing w:after="0"/>
              <w:rPr>
                <w:sz w:val="1"/>
                <w:szCs w:val="1"/>
                <w:color w:val="auto"/>
              </w:rPr>
            </w:pPr>
          </w:p>
        </w:tc>
      </w:tr>
      <w:tr>
        <w:trPr>
          <w:trHeight w:val="203"/>
        </w:trPr>
        <w:tc>
          <w:tcPr>
            <w:tcW w:w="8040" w:type="dxa"/>
            <w:vAlign w:val="bottom"/>
          </w:tcPr>
          <w:p>
            <w:pPr>
              <w:ind w:left="300"/>
              <w:spacing w:after="0" w:line="202" w:lineRule="exact"/>
              <w:rPr>
                <w:sz w:val="20"/>
                <w:szCs w:val="20"/>
                <w:color w:val="auto"/>
              </w:rPr>
            </w:pPr>
            <w:r>
              <w:rPr>
                <w:rFonts w:ascii="Arial" w:cs="Arial" w:eastAsia="Arial" w:hAnsi="Arial"/>
                <w:sz w:val="18"/>
                <w:szCs w:val="18"/>
                <w:color w:val="auto"/>
              </w:rPr>
              <w:t>Receivables, net</w:t>
            </w:r>
          </w:p>
        </w:tc>
        <w:tc>
          <w:tcPr>
            <w:tcW w:w="14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6,321</w:t>
            </w:r>
          </w:p>
        </w:tc>
        <w:tc>
          <w:tcPr>
            <w:tcW w:w="280" w:type="dxa"/>
            <w:vAlign w:val="bottom"/>
          </w:tcPr>
          <w:p>
            <w:pPr>
              <w:spacing w:after="0"/>
              <w:rPr>
                <w:sz w:val="17"/>
                <w:szCs w:val="17"/>
                <w:color w:val="auto"/>
              </w:rPr>
            </w:pPr>
          </w:p>
        </w:tc>
        <w:tc>
          <w:tcPr>
            <w:tcW w:w="148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6,527</w:t>
            </w:r>
          </w:p>
        </w:tc>
        <w:tc>
          <w:tcPr>
            <w:tcW w:w="0" w:type="dxa"/>
            <w:vAlign w:val="bottom"/>
          </w:tcPr>
          <w:p>
            <w:pPr>
              <w:spacing w:after="0"/>
              <w:rPr>
                <w:sz w:val="1"/>
                <w:szCs w:val="1"/>
                <w:color w:val="auto"/>
              </w:rPr>
            </w:pPr>
          </w:p>
        </w:tc>
      </w:tr>
      <w:tr>
        <w:trPr>
          <w:trHeight w:val="203"/>
        </w:trPr>
        <w:tc>
          <w:tcPr>
            <w:tcW w:w="8040" w:type="dxa"/>
            <w:vAlign w:val="bottom"/>
          </w:tcPr>
          <w:p>
            <w:pPr>
              <w:ind w:left="300"/>
              <w:spacing w:after="0" w:line="202" w:lineRule="exact"/>
              <w:rPr>
                <w:sz w:val="20"/>
                <w:szCs w:val="20"/>
                <w:color w:val="auto"/>
              </w:rPr>
            </w:pPr>
            <w:r>
              <w:rPr>
                <w:rFonts w:ascii="Arial" w:cs="Arial" w:eastAsia="Arial" w:hAnsi="Arial"/>
                <w:sz w:val="18"/>
                <w:szCs w:val="18"/>
                <w:color w:val="auto"/>
              </w:rPr>
              <w:t>Programming rights</w:t>
            </w:r>
          </w:p>
        </w:tc>
        <w:tc>
          <w:tcPr>
            <w:tcW w:w="14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839</w:t>
            </w:r>
          </w:p>
        </w:tc>
        <w:tc>
          <w:tcPr>
            <w:tcW w:w="280" w:type="dxa"/>
            <w:vAlign w:val="bottom"/>
          </w:tcPr>
          <w:p>
            <w:pPr>
              <w:spacing w:after="0"/>
              <w:rPr>
                <w:sz w:val="17"/>
                <w:szCs w:val="17"/>
                <w:color w:val="auto"/>
              </w:rPr>
            </w:pPr>
          </w:p>
        </w:tc>
        <w:tc>
          <w:tcPr>
            <w:tcW w:w="148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1,130</w:t>
            </w:r>
          </w:p>
        </w:tc>
        <w:tc>
          <w:tcPr>
            <w:tcW w:w="0" w:type="dxa"/>
            <w:vAlign w:val="bottom"/>
          </w:tcPr>
          <w:p>
            <w:pPr>
              <w:spacing w:after="0"/>
              <w:rPr>
                <w:sz w:val="1"/>
                <w:szCs w:val="1"/>
                <w:color w:val="auto"/>
              </w:rPr>
            </w:pPr>
          </w:p>
        </w:tc>
      </w:tr>
      <w:tr>
        <w:trPr>
          <w:trHeight w:val="205"/>
        </w:trPr>
        <w:tc>
          <w:tcPr>
            <w:tcW w:w="8040" w:type="dxa"/>
            <w:vAlign w:val="bottom"/>
          </w:tcPr>
          <w:p>
            <w:pPr>
              <w:ind w:left="300"/>
              <w:spacing w:after="0" w:line="205" w:lineRule="exact"/>
              <w:rPr>
                <w:sz w:val="20"/>
                <w:szCs w:val="20"/>
                <w:color w:val="auto"/>
              </w:rPr>
            </w:pPr>
            <w:r>
              <w:rPr>
                <w:rFonts w:ascii="Arial" w:cs="Arial" w:eastAsia="Arial" w:hAnsi="Arial"/>
                <w:sz w:val="18"/>
                <w:szCs w:val="18"/>
                <w:color w:val="auto"/>
              </w:rPr>
              <w:t>Other current assets</w:t>
            </w:r>
          </w:p>
        </w:tc>
        <w:tc>
          <w:tcPr>
            <w:tcW w:w="1460" w:type="dxa"/>
            <w:vAlign w:val="bottom"/>
          </w:tcPr>
          <w:p>
            <w:pPr>
              <w:jc w:val="right"/>
              <w:ind w:right="10"/>
              <w:spacing w:after="0" w:line="205" w:lineRule="exact"/>
              <w:rPr>
                <w:sz w:val="20"/>
                <w:szCs w:val="20"/>
                <w:color w:val="auto"/>
              </w:rPr>
            </w:pPr>
            <w:r>
              <w:rPr>
                <w:rFonts w:ascii="Arial" w:cs="Arial" w:eastAsia="Arial" w:hAnsi="Arial"/>
                <w:sz w:val="18"/>
                <w:szCs w:val="18"/>
                <w:color w:val="auto"/>
              </w:rPr>
              <w:t>1,859</w:t>
            </w:r>
          </w:p>
        </w:tc>
        <w:tc>
          <w:tcPr>
            <w:tcW w:w="280" w:type="dxa"/>
            <w:vAlign w:val="bottom"/>
          </w:tcPr>
          <w:p>
            <w:pPr>
              <w:spacing w:after="0"/>
              <w:rPr>
                <w:sz w:val="17"/>
                <w:szCs w:val="17"/>
                <w:color w:val="auto"/>
              </w:rPr>
            </w:pPr>
          </w:p>
        </w:tc>
        <w:tc>
          <w:tcPr>
            <w:tcW w:w="1480" w:type="dxa"/>
            <w:vAlign w:val="bottom"/>
          </w:tcPr>
          <w:p>
            <w:pPr>
              <w:jc w:val="right"/>
              <w:ind w:right="10"/>
              <w:spacing w:after="0" w:line="205" w:lineRule="exact"/>
              <w:rPr>
                <w:sz w:val="20"/>
                <w:szCs w:val="20"/>
                <w:color w:val="auto"/>
              </w:rPr>
            </w:pPr>
            <w:r>
              <w:rPr>
                <w:rFonts w:ascii="Arial" w:cs="Arial" w:eastAsia="Arial" w:hAnsi="Arial"/>
                <w:sz w:val="18"/>
                <w:szCs w:val="18"/>
                <w:b w:val="1"/>
                <w:bCs w:val="1"/>
                <w:color w:val="auto"/>
              </w:rPr>
              <w:t>1,814</w:t>
            </w:r>
          </w:p>
        </w:tc>
        <w:tc>
          <w:tcPr>
            <w:tcW w:w="0" w:type="dxa"/>
            <w:vAlign w:val="bottom"/>
          </w:tcPr>
          <w:p>
            <w:pPr>
              <w:spacing w:after="0"/>
              <w:rPr>
                <w:sz w:val="1"/>
                <w:szCs w:val="1"/>
                <w:color w:val="auto"/>
              </w:rPr>
            </w:pPr>
          </w:p>
        </w:tc>
      </w:tr>
      <w:tr>
        <w:trPr>
          <w:trHeight w:val="23"/>
        </w:trPr>
        <w:tc>
          <w:tcPr>
            <w:tcW w:w="8040" w:type="dxa"/>
            <w:vAlign w:val="bottom"/>
            <w:vMerge w:val="restart"/>
          </w:tcPr>
          <w:p>
            <w:pPr>
              <w:ind w:left="440"/>
              <w:spacing w:after="0"/>
              <w:rPr>
                <w:sz w:val="20"/>
                <w:szCs w:val="20"/>
                <w:color w:val="auto"/>
              </w:rPr>
            </w:pPr>
            <w:r>
              <w:rPr>
                <w:rFonts w:ascii="Arial" w:cs="Arial" w:eastAsia="Arial" w:hAnsi="Arial"/>
                <w:sz w:val="18"/>
                <w:szCs w:val="18"/>
                <w:color w:val="auto"/>
              </w:rPr>
              <w:t>Total current assets</w:t>
            </w:r>
          </w:p>
        </w:tc>
        <w:tc>
          <w:tcPr>
            <w:tcW w:w="1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8040" w:type="dxa"/>
            <w:vAlign w:val="bottom"/>
            <w:vMerge w:val="continue"/>
          </w:tcPr>
          <w:p>
            <w:pPr>
              <w:spacing w:after="0"/>
              <w:rPr>
                <w:sz w:val="17"/>
                <w:szCs w:val="17"/>
                <w:color w:val="auto"/>
              </w:rPr>
            </w:pPr>
          </w:p>
        </w:tc>
        <w:tc>
          <w:tcPr>
            <w:tcW w:w="146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13,531</w:t>
            </w:r>
          </w:p>
        </w:tc>
        <w:tc>
          <w:tcPr>
            <w:tcW w:w="280" w:type="dxa"/>
            <w:vAlign w:val="bottom"/>
          </w:tcPr>
          <w:p>
            <w:pPr>
              <w:spacing w:after="0"/>
              <w:rPr>
                <w:sz w:val="17"/>
                <w:szCs w:val="17"/>
                <w:color w:val="auto"/>
              </w:rPr>
            </w:pPr>
          </w:p>
        </w:tc>
        <w:tc>
          <w:tcPr>
            <w:tcW w:w="148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b w:val="1"/>
                <w:bCs w:val="1"/>
                <w:color w:val="auto"/>
              </w:rPr>
              <w:t>11,501</w:t>
            </w:r>
          </w:p>
        </w:tc>
        <w:tc>
          <w:tcPr>
            <w:tcW w:w="0" w:type="dxa"/>
            <w:vAlign w:val="bottom"/>
          </w:tcPr>
          <w:p>
            <w:pPr>
              <w:spacing w:after="0"/>
              <w:rPr>
                <w:sz w:val="1"/>
                <w:szCs w:val="1"/>
                <w:color w:val="auto"/>
              </w:rPr>
            </w:pPr>
          </w:p>
        </w:tc>
      </w:tr>
      <w:tr>
        <w:trPr>
          <w:trHeight w:val="438"/>
        </w:trPr>
        <w:tc>
          <w:tcPr>
            <w:tcW w:w="8040" w:type="dxa"/>
            <w:vAlign w:val="bottom"/>
          </w:tcPr>
          <w:p>
            <w:pPr>
              <w:ind w:left="160"/>
              <w:spacing w:after="0"/>
              <w:rPr>
                <w:sz w:val="20"/>
                <w:szCs w:val="20"/>
                <w:color w:val="auto"/>
              </w:rPr>
            </w:pPr>
            <w:r>
              <w:rPr>
                <w:rFonts w:ascii="Arial" w:cs="Arial" w:eastAsia="Arial" w:hAnsi="Arial"/>
                <w:sz w:val="18"/>
                <w:szCs w:val="18"/>
                <w:color w:val="auto"/>
              </w:rPr>
              <w:t>Film and television costs</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5,727</w:t>
            </w:r>
          </w:p>
        </w:tc>
        <w:tc>
          <w:tcPr>
            <w:tcW w:w="280" w:type="dxa"/>
            <w:vAlign w:val="bottom"/>
          </w:tcPr>
          <w:p>
            <w:pPr>
              <w:spacing w:after="0"/>
              <w:rPr>
                <w:sz w:val="24"/>
                <w:szCs w:val="24"/>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b w:val="1"/>
                <w:bCs w:val="1"/>
                <w:color w:val="auto"/>
              </w:rPr>
              <w:t>5,712</w:t>
            </w:r>
          </w:p>
        </w:tc>
        <w:tc>
          <w:tcPr>
            <w:tcW w:w="0" w:type="dxa"/>
            <w:vAlign w:val="bottom"/>
          </w:tcPr>
          <w:p>
            <w:pPr>
              <w:spacing w:after="0"/>
              <w:rPr>
                <w:sz w:val="1"/>
                <w:szCs w:val="1"/>
                <w:color w:val="auto"/>
              </w:rPr>
            </w:pPr>
          </w:p>
        </w:tc>
      </w:tr>
      <w:tr>
        <w:trPr>
          <w:trHeight w:val="419"/>
        </w:trPr>
        <w:tc>
          <w:tcPr>
            <w:tcW w:w="8040" w:type="dxa"/>
            <w:vAlign w:val="bottom"/>
          </w:tcPr>
          <w:p>
            <w:pPr>
              <w:ind w:left="160"/>
              <w:spacing w:after="0"/>
              <w:rPr>
                <w:sz w:val="20"/>
                <w:szCs w:val="20"/>
                <w:color w:val="auto"/>
              </w:rPr>
            </w:pPr>
            <w:r>
              <w:rPr>
                <w:rFonts w:ascii="Arial" w:cs="Arial" w:eastAsia="Arial" w:hAnsi="Arial"/>
                <w:sz w:val="18"/>
                <w:szCs w:val="18"/>
                <w:color w:val="auto"/>
              </w:rPr>
              <w:t>Investments</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3,135</w:t>
            </w:r>
          </w:p>
        </w:tc>
        <w:tc>
          <w:tcPr>
            <w:tcW w:w="280" w:type="dxa"/>
            <w:vAlign w:val="bottom"/>
          </w:tcPr>
          <w:p>
            <w:pPr>
              <w:spacing w:after="0"/>
              <w:rPr>
                <w:sz w:val="24"/>
                <w:szCs w:val="24"/>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b w:val="1"/>
                <w:bCs w:val="1"/>
                <w:color w:val="auto"/>
              </w:rPr>
              <w:t>3,323</w:t>
            </w:r>
          </w:p>
        </w:tc>
        <w:tc>
          <w:tcPr>
            <w:tcW w:w="0" w:type="dxa"/>
            <w:vAlign w:val="bottom"/>
          </w:tcPr>
          <w:p>
            <w:pPr>
              <w:spacing w:after="0"/>
              <w:rPr>
                <w:sz w:val="1"/>
                <w:szCs w:val="1"/>
                <w:color w:val="auto"/>
              </w:rPr>
            </w:pPr>
          </w:p>
        </w:tc>
      </w:tr>
      <w:tr>
        <w:trPr>
          <w:trHeight w:val="419"/>
        </w:trPr>
        <w:tc>
          <w:tcPr>
            <w:tcW w:w="8040" w:type="dxa"/>
            <w:vAlign w:val="bottom"/>
          </w:tcPr>
          <w:p>
            <w:pPr>
              <w:ind w:left="160"/>
              <w:spacing w:after="0"/>
              <w:rPr>
                <w:sz w:val="20"/>
                <w:szCs w:val="20"/>
                <w:color w:val="auto"/>
              </w:rPr>
            </w:pPr>
            <w:r>
              <w:rPr>
                <w:rFonts w:ascii="Arial" w:cs="Arial" w:eastAsia="Arial" w:hAnsi="Arial"/>
                <w:sz w:val="18"/>
                <w:szCs w:val="18"/>
                <w:color w:val="auto"/>
              </w:rPr>
              <w:t>Property and equipment, net</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30,953</w:t>
            </w:r>
          </w:p>
        </w:tc>
        <w:tc>
          <w:tcPr>
            <w:tcW w:w="280" w:type="dxa"/>
            <w:vAlign w:val="bottom"/>
          </w:tcPr>
          <w:p>
            <w:pPr>
              <w:spacing w:after="0"/>
              <w:rPr>
                <w:sz w:val="24"/>
                <w:szCs w:val="24"/>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b w:val="1"/>
                <w:bCs w:val="1"/>
                <w:color w:val="auto"/>
              </w:rPr>
              <w:t>32,170</w:t>
            </w:r>
          </w:p>
        </w:tc>
        <w:tc>
          <w:tcPr>
            <w:tcW w:w="0" w:type="dxa"/>
            <w:vAlign w:val="bottom"/>
          </w:tcPr>
          <w:p>
            <w:pPr>
              <w:spacing w:after="0"/>
              <w:rPr>
                <w:sz w:val="1"/>
                <w:szCs w:val="1"/>
                <w:color w:val="auto"/>
              </w:rPr>
            </w:pPr>
          </w:p>
        </w:tc>
      </w:tr>
      <w:tr>
        <w:trPr>
          <w:trHeight w:val="419"/>
        </w:trPr>
        <w:tc>
          <w:tcPr>
            <w:tcW w:w="8040" w:type="dxa"/>
            <w:vAlign w:val="bottom"/>
          </w:tcPr>
          <w:p>
            <w:pPr>
              <w:ind w:left="160"/>
              <w:spacing w:after="0"/>
              <w:rPr>
                <w:sz w:val="20"/>
                <w:szCs w:val="20"/>
                <w:color w:val="auto"/>
              </w:rPr>
            </w:pPr>
            <w:r>
              <w:rPr>
                <w:rFonts w:ascii="Arial" w:cs="Arial" w:eastAsia="Arial" w:hAnsi="Arial"/>
                <w:sz w:val="18"/>
                <w:szCs w:val="18"/>
                <w:color w:val="auto"/>
              </w:rPr>
              <w:t>Franchise rights</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59,364</w:t>
            </w:r>
          </w:p>
        </w:tc>
        <w:tc>
          <w:tcPr>
            <w:tcW w:w="280" w:type="dxa"/>
            <w:vAlign w:val="bottom"/>
          </w:tcPr>
          <w:p>
            <w:pPr>
              <w:spacing w:after="0"/>
              <w:rPr>
                <w:sz w:val="24"/>
                <w:szCs w:val="24"/>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b w:val="1"/>
                <w:bCs w:val="1"/>
                <w:color w:val="auto"/>
              </w:rPr>
              <w:t>59,364</w:t>
            </w:r>
          </w:p>
        </w:tc>
        <w:tc>
          <w:tcPr>
            <w:tcW w:w="0" w:type="dxa"/>
            <w:vAlign w:val="bottom"/>
          </w:tcPr>
          <w:p>
            <w:pPr>
              <w:spacing w:after="0"/>
              <w:rPr>
                <w:sz w:val="1"/>
                <w:szCs w:val="1"/>
                <w:color w:val="auto"/>
              </w:rPr>
            </w:pPr>
          </w:p>
        </w:tc>
      </w:tr>
      <w:tr>
        <w:trPr>
          <w:trHeight w:val="419"/>
        </w:trPr>
        <w:tc>
          <w:tcPr>
            <w:tcW w:w="8040" w:type="dxa"/>
            <w:vAlign w:val="bottom"/>
          </w:tcPr>
          <w:p>
            <w:pPr>
              <w:ind w:left="160"/>
              <w:spacing w:after="0"/>
              <w:rPr>
                <w:sz w:val="20"/>
                <w:szCs w:val="20"/>
                <w:color w:val="auto"/>
              </w:rPr>
            </w:pPr>
            <w:r>
              <w:rPr>
                <w:rFonts w:ascii="Arial" w:cs="Arial" w:eastAsia="Arial" w:hAnsi="Arial"/>
                <w:sz w:val="18"/>
                <w:szCs w:val="18"/>
                <w:color w:val="auto"/>
              </w:rPr>
              <w:t>Goodwill</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27,316</w:t>
            </w:r>
          </w:p>
        </w:tc>
        <w:tc>
          <w:tcPr>
            <w:tcW w:w="280" w:type="dxa"/>
            <w:vAlign w:val="bottom"/>
          </w:tcPr>
          <w:p>
            <w:pPr>
              <w:spacing w:after="0"/>
              <w:rPr>
                <w:sz w:val="24"/>
                <w:szCs w:val="24"/>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b w:val="1"/>
                <w:bCs w:val="1"/>
                <w:color w:val="auto"/>
              </w:rPr>
              <w:t>27,492</w:t>
            </w:r>
          </w:p>
        </w:tc>
        <w:tc>
          <w:tcPr>
            <w:tcW w:w="0" w:type="dxa"/>
            <w:vAlign w:val="bottom"/>
          </w:tcPr>
          <w:p>
            <w:pPr>
              <w:spacing w:after="0"/>
              <w:rPr>
                <w:sz w:val="1"/>
                <w:szCs w:val="1"/>
                <w:color w:val="auto"/>
              </w:rPr>
            </w:pPr>
          </w:p>
        </w:tc>
      </w:tr>
      <w:tr>
        <w:trPr>
          <w:trHeight w:val="419"/>
        </w:trPr>
        <w:tc>
          <w:tcPr>
            <w:tcW w:w="8040" w:type="dxa"/>
            <w:vAlign w:val="bottom"/>
          </w:tcPr>
          <w:p>
            <w:pPr>
              <w:ind w:left="160"/>
              <w:spacing w:after="0"/>
              <w:rPr>
                <w:sz w:val="20"/>
                <w:szCs w:val="20"/>
                <w:color w:val="auto"/>
              </w:rPr>
            </w:pPr>
            <w:r>
              <w:rPr>
                <w:rFonts w:ascii="Arial" w:cs="Arial" w:eastAsia="Arial" w:hAnsi="Arial"/>
                <w:sz w:val="18"/>
                <w:szCs w:val="18"/>
                <w:color w:val="auto"/>
              </w:rPr>
              <w:t>Other intangible assets, net</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16,980</w:t>
            </w:r>
          </w:p>
        </w:tc>
        <w:tc>
          <w:tcPr>
            <w:tcW w:w="280" w:type="dxa"/>
            <w:vAlign w:val="bottom"/>
          </w:tcPr>
          <w:p>
            <w:pPr>
              <w:spacing w:after="0"/>
              <w:rPr>
                <w:sz w:val="24"/>
                <w:szCs w:val="24"/>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b w:val="1"/>
                <w:bCs w:val="1"/>
                <w:color w:val="auto"/>
              </w:rPr>
              <w:t>16,896</w:t>
            </w:r>
          </w:p>
        </w:tc>
        <w:tc>
          <w:tcPr>
            <w:tcW w:w="0" w:type="dxa"/>
            <w:vAlign w:val="bottom"/>
          </w:tcPr>
          <w:p>
            <w:pPr>
              <w:spacing w:after="0"/>
              <w:rPr>
                <w:sz w:val="1"/>
                <w:szCs w:val="1"/>
                <w:color w:val="auto"/>
              </w:rPr>
            </w:pPr>
          </w:p>
        </w:tc>
      </w:tr>
      <w:tr>
        <w:trPr>
          <w:trHeight w:val="393"/>
        </w:trPr>
        <w:tc>
          <w:tcPr>
            <w:tcW w:w="8040" w:type="dxa"/>
            <w:vAlign w:val="bottom"/>
          </w:tcPr>
          <w:p>
            <w:pPr>
              <w:ind w:left="160"/>
              <w:spacing w:after="0"/>
              <w:rPr>
                <w:sz w:val="20"/>
                <w:szCs w:val="20"/>
                <w:color w:val="auto"/>
              </w:rPr>
            </w:pPr>
            <w:r>
              <w:rPr>
                <w:rFonts w:ascii="Arial" w:cs="Arial" w:eastAsia="Arial" w:hAnsi="Arial"/>
                <w:sz w:val="18"/>
                <w:szCs w:val="18"/>
                <w:color w:val="auto"/>
              </w:rPr>
              <w:t>Other noncurrent assets, net</w:t>
            </w:r>
          </w:p>
        </w:tc>
        <w:tc>
          <w:tcPr>
            <w:tcW w:w="14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2,333</w:t>
            </w:r>
          </w:p>
        </w:tc>
        <w:tc>
          <w:tcPr>
            <w:tcW w:w="280" w:type="dxa"/>
            <w:vAlign w:val="bottom"/>
          </w:tcPr>
          <w:p>
            <w:pPr>
              <w:spacing w:after="0"/>
              <w:rPr>
                <w:sz w:val="24"/>
                <w:szCs w:val="24"/>
                <w:color w:val="auto"/>
              </w:rPr>
            </w:pPr>
          </w:p>
        </w:tc>
        <w:tc>
          <w:tcPr>
            <w:tcW w:w="14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2,500</w:t>
            </w:r>
          </w:p>
        </w:tc>
        <w:tc>
          <w:tcPr>
            <w:tcW w:w="0" w:type="dxa"/>
            <w:vAlign w:val="bottom"/>
          </w:tcPr>
          <w:p>
            <w:pPr>
              <w:spacing w:after="0"/>
              <w:rPr>
                <w:sz w:val="1"/>
                <w:szCs w:val="1"/>
                <w:color w:val="auto"/>
              </w:rPr>
            </w:pPr>
          </w:p>
        </w:tc>
      </w:tr>
      <w:tr>
        <w:trPr>
          <w:trHeight w:val="412"/>
        </w:trPr>
        <w:tc>
          <w:tcPr>
            <w:tcW w:w="8040" w:type="dxa"/>
            <w:vAlign w:val="bottom"/>
          </w:tcPr>
          <w:p>
            <w:pPr>
              <w:spacing w:after="0"/>
              <w:rPr>
                <w:sz w:val="24"/>
                <w:szCs w:val="24"/>
                <w:color w:val="auto"/>
              </w:rPr>
            </w:pPr>
          </w:p>
        </w:tc>
        <w:tc>
          <w:tcPr>
            <w:tcW w:w="14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$159,339</w:t>
            </w:r>
          </w:p>
        </w:tc>
        <w:tc>
          <w:tcPr>
            <w:tcW w:w="280" w:type="dxa"/>
            <w:vAlign w:val="bottom"/>
          </w:tcPr>
          <w:p>
            <w:pPr>
              <w:spacing w:after="0"/>
              <w:rPr>
                <w:sz w:val="24"/>
                <w:szCs w:val="24"/>
                <w:color w:val="auto"/>
              </w:rPr>
            </w:pPr>
          </w:p>
        </w:tc>
        <w:tc>
          <w:tcPr>
            <w:tcW w:w="14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$158,958</w:t>
            </w:r>
          </w:p>
        </w:tc>
        <w:tc>
          <w:tcPr>
            <w:tcW w:w="0" w:type="dxa"/>
            <w:vAlign w:val="bottom"/>
          </w:tcPr>
          <w:p>
            <w:pPr>
              <w:spacing w:after="0"/>
              <w:rPr>
                <w:sz w:val="1"/>
                <w:szCs w:val="1"/>
                <w:color w:val="auto"/>
              </w:rPr>
            </w:pPr>
          </w:p>
        </w:tc>
      </w:tr>
      <w:tr>
        <w:trPr>
          <w:trHeight w:val="20"/>
        </w:trPr>
        <w:tc>
          <w:tcPr>
            <w:tcW w:w="804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EQUITY</w:t>
            </w:r>
          </w:p>
        </w:tc>
        <w:tc>
          <w:tcPr>
            <w:tcW w:w="1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8040" w:type="dxa"/>
            <w:vAlign w:val="bottom"/>
            <w:vMerge w:val="continue"/>
          </w:tcPr>
          <w:p>
            <w:pPr>
              <w:spacing w:after="0"/>
              <w:rPr>
                <w:sz w:val="24"/>
                <w:szCs w:val="24"/>
                <w:color w:val="auto"/>
              </w:rPr>
            </w:pPr>
          </w:p>
        </w:tc>
        <w:tc>
          <w:tcPr>
            <w:tcW w:w="1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8040" w:type="dxa"/>
            <w:vAlign w:val="bottom"/>
          </w:tcPr>
          <w:p>
            <w:pPr>
              <w:ind w:left="160"/>
              <w:spacing w:after="0"/>
              <w:rPr>
                <w:sz w:val="20"/>
                <w:szCs w:val="20"/>
                <w:color w:val="auto"/>
              </w:rPr>
            </w:pPr>
            <w:r>
              <w:rPr>
                <w:rFonts w:ascii="Arial" w:cs="Arial" w:eastAsia="Arial" w:hAnsi="Arial"/>
                <w:sz w:val="18"/>
                <w:szCs w:val="18"/>
                <w:color w:val="auto"/>
              </w:rPr>
              <w:t>Current Liabilities</w:t>
            </w:r>
          </w:p>
        </w:tc>
        <w:tc>
          <w:tcPr>
            <w:tcW w:w="1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8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$5,996</w:t>
            </w:r>
          </w:p>
        </w:tc>
        <w:tc>
          <w:tcPr>
            <w:tcW w:w="0" w:type="dxa"/>
            <w:vAlign w:val="bottom"/>
          </w:tcPr>
          <w:p>
            <w:pPr>
              <w:spacing w:after="0"/>
              <w:rPr>
                <w:sz w:val="1"/>
                <w:szCs w:val="1"/>
                <w:color w:val="auto"/>
              </w:rPr>
            </w:pPr>
          </w:p>
        </w:tc>
      </w:tr>
      <w:tr>
        <w:trPr>
          <w:trHeight w:val="201"/>
        </w:trPr>
        <w:tc>
          <w:tcPr>
            <w:tcW w:w="8040" w:type="dxa"/>
            <w:vAlign w:val="bottom"/>
          </w:tcPr>
          <w:p>
            <w:pPr>
              <w:ind w:left="300"/>
              <w:spacing w:after="0" w:line="201" w:lineRule="exact"/>
              <w:rPr>
                <w:sz w:val="20"/>
                <w:szCs w:val="20"/>
                <w:color w:val="auto"/>
              </w:rPr>
            </w:pPr>
            <w:r>
              <w:rPr>
                <w:rFonts w:ascii="Arial" w:cs="Arial" w:eastAsia="Arial" w:hAnsi="Arial"/>
                <w:sz w:val="18"/>
                <w:szCs w:val="18"/>
                <w:color w:val="auto"/>
              </w:rPr>
              <w:t>Accounts payable and accrued expenses related to trade creditors</w:t>
            </w:r>
          </w:p>
        </w:tc>
        <w:tc>
          <w:tcPr>
            <w:tcW w:w="1460" w:type="dxa"/>
            <w:vAlign w:val="bottom"/>
          </w:tcPr>
          <w:p>
            <w:pPr>
              <w:jc w:val="right"/>
              <w:ind w:right="10"/>
              <w:spacing w:after="0" w:line="201" w:lineRule="exact"/>
              <w:rPr>
                <w:sz w:val="20"/>
                <w:szCs w:val="20"/>
                <w:color w:val="auto"/>
              </w:rPr>
            </w:pPr>
            <w:r>
              <w:rPr>
                <w:rFonts w:ascii="Arial" w:cs="Arial" w:eastAsia="Arial" w:hAnsi="Arial"/>
                <w:sz w:val="18"/>
                <w:szCs w:val="18"/>
                <w:color w:val="auto"/>
              </w:rPr>
              <w:t>$5,638</w:t>
            </w:r>
          </w:p>
        </w:tc>
        <w:tc>
          <w:tcPr>
            <w:tcW w:w="280" w:type="dxa"/>
            <w:vAlign w:val="bottom"/>
          </w:tcPr>
          <w:p>
            <w:pPr>
              <w:spacing w:after="0"/>
              <w:rPr>
                <w:sz w:val="17"/>
                <w:szCs w:val="17"/>
                <w:color w:val="auto"/>
              </w:rPr>
            </w:pPr>
          </w:p>
        </w:tc>
        <w:tc>
          <w:tcPr>
            <w:tcW w:w="14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40" w:type="dxa"/>
            <w:vAlign w:val="bottom"/>
          </w:tcPr>
          <w:p>
            <w:pPr>
              <w:ind w:left="300"/>
              <w:spacing w:after="0" w:line="202" w:lineRule="exact"/>
              <w:rPr>
                <w:sz w:val="20"/>
                <w:szCs w:val="20"/>
                <w:color w:val="auto"/>
              </w:rPr>
            </w:pPr>
            <w:r>
              <w:rPr>
                <w:rFonts w:ascii="Arial" w:cs="Arial" w:eastAsia="Arial" w:hAnsi="Arial"/>
                <w:sz w:val="18"/>
                <w:szCs w:val="18"/>
                <w:color w:val="auto"/>
              </w:rPr>
              <w:t>Accrued participations and residuals</w:t>
            </w:r>
          </w:p>
        </w:tc>
        <w:tc>
          <w:tcPr>
            <w:tcW w:w="14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1,347</w:t>
            </w:r>
          </w:p>
        </w:tc>
        <w:tc>
          <w:tcPr>
            <w:tcW w:w="280" w:type="dxa"/>
            <w:vAlign w:val="bottom"/>
          </w:tcPr>
          <w:p>
            <w:pPr>
              <w:spacing w:after="0"/>
              <w:rPr>
                <w:sz w:val="17"/>
                <w:szCs w:val="17"/>
                <w:color w:val="auto"/>
              </w:rPr>
            </w:pPr>
          </w:p>
        </w:tc>
        <w:tc>
          <w:tcPr>
            <w:tcW w:w="148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1,491</w:t>
            </w:r>
          </w:p>
        </w:tc>
        <w:tc>
          <w:tcPr>
            <w:tcW w:w="0" w:type="dxa"/>
            <w:vAlign w:val="bottom"/>
          </w:tcPr>
          <w:p>
            <w:pPr>
              <w:spacing w:after="0"/>
              <w:rPr>
                <w:sz w:val="1"/>
                <w:szCs w:val="1"/>
                <w:color w:val="auto"/>
              </w:rPr>
            </w:pPr>
          </w:p>
        </w:tc>
      </w:tr>
      <w:tr>
        <w:trPr>
          <w:trHeight w:val="203"/>
        </w:trPr>
        <w:tc>
          <w:tcPr>
            <w:tcW w:w="8040" w:type="dxa"/>
            <w:vAlign w:val="bottom"/>
          </w:tcPr>
          <w:p>
            <w:pPr>
              <w:ind w:left="300"/>
              <w:spacing w:after="0" w:line="202" w:lineRule="exact"/>
              <w:rPr>
                <w:sz w:val="20"/>
                <w:szCs w:val="20"/>
                <w:color w:val="auto"/>
              </w:rPr>
            </w:pPr>
            <w:r>
              <w:rPr>
                <w:rFonts w:ascii="Arial" w:cs="Arial" w:eastAsia="Arial" w:hAnsi="Arial"/>
                <w:sz w:val="18"/>
                <w:szCs w:val="18"/>
                <w:color w:val="auto"/>
              </w:rPr>
              <w:t>Deferred revenue</w:t>
            </w:r>
          </w:p>
        </w:tc>
        <w:tc>
          <w:tcPr>
            <w:tcW w:w="14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915</w:t>
            </w:r>
          </w:p>
        </w:tc>
        <w:tc>
          <w:tcPr>
            <w:tcW w:w="280" w:type="dxa"/>
            <w:vAlign w:val="bottom"/>
          </w:tcPr>
          <w:p>
            <w:pPr>
              <w:spacing w:after="0"/>
              <w:rPr>
                <w:sz w:val="17"/>
                <w:szCs w:val="17"/>
                <w:color w:val="auto"/>
              </w:rPr>
            </w:pPr>
          </w:p>
        </w:tc>
        <w:tc>
          <w:tcPr>
            <w:tcW w:w="148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1,265</w:t>
            </w:r>
          </w:p>
        </w:tc>
        <w:tc>
          <w:tcPr>
            <w:tcW w:w="0" w:type="dxa"/>
            <w:vAlign w:val="bottom"/>
          </w:tcPr>
          <w:p>
            <w:pPr>
              <w:spacing w:after="0"/>
              <w:rPr>
                <w:sz w:val="1"/>
                <w:szCs w:val="1"/>
                <w:color w:val="auto"/>
              </w:rPr>
            </w:pPr>
          </w:p>
        </w:tc>
      </w:tr>
      <w:tr>
        <w:trPr>
          <w:trHeight w:val="203"/>
        </w:trPr>
        <w:tc>
          <w:tcPr>
            <w:tcW w:w="8040" w:type="dxa"/>
            <w:vAlign w:val="bottom"/>
          </w:tcPr>
          <w:p>
            <w:pPr>
              <w:ind w:left="300"/>
              <w:spacing w:after="0" w:line="202" w:lineRule="exact"/>
              <w:rPr>
                <w:sz w:val="20"/>
                <w:szCs w:val="20"/>
                <w:color w:val="auto"/>
              </w:rPr>
            </w:pPr>
            <w:r>
              <w:rPr>
                <w:rFonts w:ascii="Arial" w:cs="Arial" w:eastAsia="Arial" w:hAnsi="Arial"/>
                <w:sz w:val="18"/>
                <w:szCs w:val="18"/>
                <w:color w:val="auto"/>
              </w:rPr>
              <w:t>Accrued expenses and other current liabilities</w:t>
            </w:r>
          </w:p>
        </w:tc>
        <w:tc>
          <w:tcPr>
            <w:tcW w:w="14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5,293</w:t>
            </w:r>
          </w:p>
        </w:tc>
        <w:tc>
          <w:tcPr>
            <w:tcW w:w="280" w:type="dxa"/>
            <w:vAlign w:val="bottom"/>
          </w:tcPr>
          <w:p>
            <w:pPr>
              <w:spacing w:after="0"/>
              <w:rPr>
                <w:sz w:val="17"/>
                <w:szCs w:val="17"/>
                <w:color w:val="auto"/>
              </w:rPr>
            </w:pPr>
          </w:p>
        </w:tc>
        <w:tc>
          <w:tcPr>
            <w:tcW w:w="148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5,455</w:t>
            </w:r>
          </w:p>
        </w:tc>
        <w:tc>
          <w:tcPr>
            <w:tcW w:w="0" w:type="dxa"/>
            <w:vAlign w:val="bottom"/>
          </w:tcPr>
          <w:p>
            <w:pPr>
              <w:spacing w:after="0"/>
              <w:rPr>
                <w:sz w:val="1"/>
                <w:szCs w:val="1"/>
                <w:color w:val="auto"/>
              </w:rPr>
            </w:pPr>
          </w:p>
        </w:tc>
      </w:tr>
      <w:tr>
        <w:trPr>
          <w:trHeight w:val="205"/>
        </w:trPr>
        <w:tc>
          <w:tcPr>
            <w:tcW w:w="8040" w:type="dxa"/>
            <w:vAlign w:val="bottom"/>
          </w:tcPr>
          <w:p>
            <w:pPr>
              <w:ind w:left="300"/>
              <w:spacing w:after="0" w:line="205" w:lineRule="exact"/>
              <w:rPr>
                <w:sz w:val="20"/>
                <w:szCs w:val="20"/>
                <w:color w:val="auto"/>
              </w:rPr>
            </w:pPr>
            <w:r>
              <w:rPr>
                <w:rFonts w:ascii="Arial" w:cs="Arial" w:eastAsia="Arial" w:hAnsi="Arial"/>
                <w:sz w:val="18"/>
                <w:szCs w:val="18"/>
                <w:color w:val="auto"/>
              </w:rPr>
              <w:t>Current portion of long-term debt</w:t>
            </w:r>
          </w:p>
        </w:tc>
        <w:tc>
          <w:tcPr>
            <w:tcW w:w="1460" w:type="dxa"/>
            <w:vAlign w:val="bottom"/>
          </w:tcPr>
          <w:p>
            <w:pPr>
              <w:jc w:val="right"/>
              <w:ind w:right="10"/>
              <w:spacing w:after="0" w:line="205" w:lineRule="exact"/>
              <w:rPr>
                <w:sz w:val="20"/>
                <w:szCs w:val="20"/>
                <w:color w:val="auto"/>
              </w:rPr>
            </w:pPr>
            <w:r>
              <w:rPr>
                <w:rFonts w:ascii="Arial" w:cs="Arial" w:eastAsia="Arial" w:hAnsi="Arial"/>
                <w:sz w:val="18"/>
                <w:szCs w:val="18"/>
                <w:color w:val="auto"/>
              </w:rPr>
              <w:t>4,217</w:t>
            </w:r>
          </w:p>
        </w:tc>
        <w:tc>
          <w:tcPr>
            <w:tcW w:w="280" w:type="dxa"/>
            <w:vAlign w:val="bottom"/>
          </w:tcPr>
          <w:p>
            <w:pPr>
              <w:spacing w:after="0"/>
              <w:rPr>
                <w:sz w:val="17"/>
                <w:szCs w:val="17"/>
                <w:color w:val="auto"/>
              </w:rPr>
            </w:pPr>
          </w:p>
        </w:tc>
        <w:tc>
          <w:tcPr>
            <w:tcW w:w="1480" w:type="dxa"/>
            <w:vAlign w:val="bottom"/>
          </w:tcPr>
          <w:p>
            <w:pPr>
              <w:jc w:val="right"/>
              <w:ind w:right="10"/>
              <w:spacing w:after="0" w:line="205" w:lineRule="exact"/>
              <w:rPr>
                <w:sz w:val="20"/>
                <w:szCs w:val="20"/>
                <w:color w:val="auto"/>
              </w:rPr>
            </w:pPr>
            <w:r>
              <w:rPr>
                <w:rFonts w:ascii="Arial" w:cs="Arial" w:eastAsia="Arial" w:hAnsi="Arial"/>
                <w:sz w:val="18"/>
                <w:szCs w:val="18"/>
                <w:b w:val="1"/>
                <w:bCs w:val="1"/>
                <w:color w:val="auto"/>
              </w:rPr>
              <w:t>3,152</w:t>
            </w:r>
          </w:p>
        </w:tc>
        <w:tc>
          <w:tcPr>
            <w:tcW w:w="0" w:type="dxa"/>
            <w:vAlign w:val="bottom"/>
          </w:tcPr>
          <w:p>
            <w:pPr>
              <w:spacing w:after="0"/>
              <w:rPr>
                <w:sz w:val="1"/>
                <w:szCs w:val="1"/>
                <w:color w:val="auto"/>
              </w:rPr>
            </w:pPr>
          </w:p>
        </w:tc>
      </w:tr>
      <w:tr>
        <w:trPr>
          <w:trHeight w:val="23"/>
        </w:trPr>
        <w:tc>
          <w:tcPr>
            <w:tcW w:w="8040" w:type="dxa"/>
            <w:vAlign w:val="bottom"/>
            <w:vMerge w:val="restart"/>
          </w:tcPr>
          <w:p>
            <w:pPr>
              <w:ind w:left="440"/>
              <w:spacing w:after="0"/>
              <w:rPr>
                <w:sz w:val="20"/>
                <w:szCs w:val="20"/>
                <w:color w:val="auto"/>
              </w:rPr>
            </w:pPr>
            <w:r>
              <w:rPr>
                <w:rFonts w:ascii="Arial" w:cs="Arial" w:eastAsia="Arial" w:hAnsi="Arial"/>
                <w:sz w:val="18"/>
                <w:szCs w:val="18"/>
                <w:color w:val="auto"/>
              </w:rPr>
              <w:t>Total current liabilities</w:t>
            </w:r>
          </w:p>
        </w:tc>
        <w:tc>
          <w:tcPr>
            <w:tcW w:w="1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8040" w:type="dxa"/>
            <w:vAlign w:val="bottom"/>
            <w:vMerge w:val="continue"/>
          </w:tcPr>
          <w:p>
            <w:pPr>
              <w:spacing w:after="0"/>
              <w:rPr>
                <w:sz w:val="17"/>
                <w:szCs w:val="17"/>
                <w:color w:val="auto"/>
              </w:rPr>
            </w:pPr>
          </w:p>
        </w:tc>
        <w:tc>
          <w:tcPr>
            <w:tcW w:w="146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17,410</w:t>
            </w:r>
          </w:p>
        </w:tc>
        <w:tc>
          <w:tcPr>
            <w:tcW w:w="280" w:type="dxa"/>
            <w:vAlign w:val="bottom"/>
          </w:tcPr>
          <w:p>
            <w:pPr>
              <w:spacing w:after="0"/>
              <w:rPr>
                <w:sz w:val="17"/>
                <w:szCs w:val="17"/>
                <w:color w:val="auto"/>
              </w:rPr>
            </w:pPr>
          </w:p>
        </w:tc>
        <w:tc>
          <w:tcPr>
            <w:tcW w:w="148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b w:val="1"/>
                <w:bCs w:val="1"/>
                <w:color w:val="auto"/>
              </w:rPr>
              <w:t>17,359</w:t>
            </w:r>
          </w:p>
        </w:tc>
        <w:tc>
          <w:tcPr>
            <w:tcW w:w="0" w:type="dxa"/>
            <w:vAlign w:val="bottom"/>
          </w:tcPr>
          <w:p>
            <w:pPr>
              <w:spacing w:after="0"/>
              <w:rPr>
                <w:sz w:val="1"/>
                <w:szCs w:val="1"/>
                <w:color w:val="auto"/>
              </w:rPr>
            </w:pPr>
          </w:p>
        </w:tc>
      </w:tr>
      <w:tr>
        <w:trPr>
          <w:trHeight w:val="438"/>
        </w:trPr>
        <w:tc>
          <w:tcPr>
            <w:tcW w:w="8040" w:type="dxa"/>
            <w:vAlign w:val="bottom"/>
          </w:tcPr>
          <w:p>
            <w:pPr>
              <w:ind w:left="160"/>
              <w:spacing w:after="0"/>
              <w:rPr>
                <w:sz w:val="20"/>
                <w:szCs w:val="20"/>
                <w:color w:val="auto"/>
              </w:rPr>
            </w:pPr>
            <w:r>
              <w:rPr>
                <w:rFonts w:ascii="Arial" w:cs="Arial" w:eastAsia="Arial" w:hAnsi="Arial"/>
                <w:sz w:val="18"/>
                <w:szCs w:val="18"/>
                <w:color w:val="auto"/>
              </w:rPr>
              <w:t>Long-term debt, less current portion</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44,017</w:t>
            </w:r>
          </w:p>
        </w:tc>
        <w:tc>
          <w:tcPr>
            <w:tcW w:w="280" w:type="dxa"/>
            <w:vAlign w:val="bottom"/>
          </w:tcPr>
          <w:p>
            <w:pPr>
              <w:spacing w:after="0"/>
              <w:rPr>
                <w:sz w:val="24"/>
                <w:szCs w:val="24"/>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b w:val="1"/>
                <w:bCs w:val="1"/>
                <w:color w:val="auto"/>
              </w:rPr>
              <w:t>44,605</w:t>
            </w:r>
          </w:p>
        </w:tc>
        <w:tc>
          <w:tcPr>
            <w:tcW w:w="0" w:type="dxa"/>
            <w:vAlign w:val="bottom"/>
          </w:tcPr>
          <w:p>
            <w:pPr>
              <w:spacing w:after="0"/>
              <w:rPr>
                <w:sz w:val="1"/>
                <w:szCs w:val="1"/>
                <w:color w:val="auto"/>
              </w:rPr>
            </w:pPr>
          </w:p>
        </w:tc>
      </w:tr>
      <w:tr>
        <w:trPr>
          <w:trHeight w:val="419"/>
        </w:trPr>
        <w:tc>
          <w:tcPr>
            <w:tcW w:w="8040" w:type="dxa"/>
            <w:vAlign w:val="bottom"/>
          </w:tcPr>
          <w:p>
            <w:pPr>
              <w:ind w:left="160"/>
              <w:spacing w:after="0"/>
              <w:rPr>
                <w:sz w:val="20"/>
                <w:szCs w:val="20"/>
                <w:color w:val="auto"/>
              </w:rPr>
            </w:pPr>
            <w:r>
              <w:rPr>
                <w:rFonts w:ascii="Arial" w:cs="Arial" w:eastAsia="Arial" w:hAnsi="Arial"/>
                <w:sz w:val="18"/>
                <w:szCs w:val="18"/>
                <w:color w:val="auto"/>
              </w:rPr>
              <w:t>Deferred income taxes</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32,959</w:t>
            </w:r>
          </w:p>
        </w:tc>
        <w:tc>
          <w:tcPr>
            <w:tcW w:w="280" w:type="dxa"/>
            <w:vAlign w:val="bottom"/>
          </w:tcPr>
          <w:p>
            <w:pPr>
              <w:spacing w:after="0"/>
              <w:rPr>
                <w:sz w:val="24"/>
                <w:szCs w:val="24"/>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b w:val="1"/>
                <w:bCs w:val="1"/>
                <w:color w:val="auto"/>
              </w:rPr>
              <w:t>33,131</w:t>
            </w:r>
          </w:p>
        </w:tc>
        <w:tc>
          <w:tcPr>
            <w:tcW w:w="0" w:type="dxa"/>
            <w:vAlign w:val="bottom"/>
          </w:tcPr>
          <w:p>
            <w:pPr>
              <w:spacing w:after="0"/>
              <w:rPr>
                <w:sz w:val="1"/>
                <w:szCs w:val="1"/>
                <w:color w:val="auto"/>
              </w:rPr>
            </w:pPr>
          </w:p>
        </w:tc>
      </w:tr>
      <w:tr>
        <w:trPr>
          <w:trHeight w:val="419"/>
        </w:trPr>
        <w:tc>
          <w:tcPr>
            <w:tcW w:w="8040" w:type="dxa"/>
            <w:vAlign w:val="bottom"/>
          </w:tcPr>
          <w:p>
            <w:pPr>
              <w:ind w:left="160"/>
              <w:spacing w:after="0"/>
              <w:rPr>
                <w:sz w:val="20"/>
                <w:szCs w:val="20"/>
                <w:color w:val="auto"/>
              </w:rPr>
            </w:pPr>
            <w:r>
              <w:rPr>
                <w:rFonts w:ascii="Arial" w:cs="Arial" w:eastAsia="Arial" w:hAnsi="Arial"/>
                <w:sz w:val="18"/>
                <w:szCs w:val="18"/>
                <w:color w:val="auto"/>
              </w:rPr>
              <w:t>Other noncurrent liabilities</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10,819</w:t>
            </w:r>
          </w:p>
        </w:tc>
        <w:tc>
          <w:tcPr>
            <w:tcW w:w="280" w:type="dxa"/>
            <w:vAlign w:val="bottom"/>
          </w:tcPr>
          <w:p>
            <w:pPr>
              <w:spacing w:after="0"/>
              <w:rPr>
                <w:sz w:val="24"/>
                <w:szCs w:val="24"/>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b w:val="1"/>
                <w:bCs w:val="1"/>
                <w:color w:val="auto"/>
              </w:rPr>
              <w:t>10,694</w:t>
            </w:r>
          </w:p>
        </w:tc>
        <w:tc>
          <w:tcPr>
            <w:tcW w:w="0" w:type="dxa"/>
            <w:vAlign w:val="bottom"/>
          </w:tcPr>
          <w:p>
            <w:pPr>
              <w:spacing w:after="0"/>
              <w:rPr>
                <w:sz w:val="1"/>
                <w:szCs w:val="1"/>
                <w:color w:val="auto"/>
              </w:rPr>
            </w:pPr>
          </w:p>
        </w:tc>
      </w:tr>
      <w:tr>
        <w:trPr>
          <w:trHeight w:val="419"/>
        </w:trPr>
        <w:tc>
          <w:tcPr>
            <w:tcW w:w="8040" w:type="dxa"/>
            <w:vAlign w:val="bottom"/>
          </w:tcPr>
          <w:p>
            <w:pPr>
              <w:ind w:left="160"/>
              <w:spacing w:after="0"/>
              <w:rPr>
                <w:sz w:val="20"/>
                <w:szCs w:val="20"/>
                <w:color w:val="auto"/>
              </w:rPr>
            </w:pPr>
            <w:r>
              <w:rPr>
                <w:rFonts w:ascii="Arial" w:cs="Arial" w:eastAsia="Arial" w:hAnsi="Arial"/>
                <w:sz w:val="18"/>
                <w:szCs w:val="18"/>
                <w:color w:val="auto"/>
              </w:rPr>
              <w:t>Redeemable noncontrolling interests and redeemable subsidiary preferred stock</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1,066</w:t>
            </w:r>
          </w:p>
        </w:tc>
        <w:tc>
          <w:tcPr>
            <w:tcW w:w="280" w:type="dxa"/>
            <w:vAlign w:val="bottom"/>
          </w:tcPr>
          <w:p>
            <w:pPr>
              <w:spacing w:after="0"/>
              <w:rPr>
                <w:sz w:val="24"/>
                <w:szCs w:val="24"/>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b w:val="1"/>
                <w:bCs w:val="1"/>
                <w:color w:val="auto"/>
              </w:rPr>
              <w:t>1,204</w:t>
            </w:r>
          </w:p>
        </w:tc>
        <w:tc>
          <w:tcPr>
            <w:tcW w:w="0" w:type="dxa"/>
            <w:vAlign w:val="bottom"/>
          </w:tcPr>
          <w:p>
            <w:pPr>
              <w:spacing w:after="0"/>
              <w:rPr>
                <w:sz w:val="1"/>
                <w:szCs w:val="1"/>
                <w:color w:val="auto"/>
              </w:rPr>
            </w:pPr>
          </w:p>
        </w:tc>
      </w:tr>
      <w:tr>
        <w:trPr>
          <w:trHeight w:val="370"/>
        </w:trPr>
        <w:tc>
          <w:tcPr>
            <w:tcW w:w="8040" w:type="dxa"/>
            <w:vAlign w:val="bottom"/>
          </w:tcPr>
          <w:p>
            <w:pPr>
              <w:ind w:left="160"/>
              <w:spacing w:after="0"/>
              <w:rPr>
                <w:sz w:val="20"/>
                <w:szCs w:val="20"/>
                <w:color w:val="auto"/>
              </w:rPr>
            </w:pPr>
            <w:r>
              <w:rPr>
                <w:rFonts w:ascii="Arial" w:cs="Arial" w:eastAsia="Arial" w:hAnsi="Arial"/>
                <w:sz w:val="18"/>
                <w:szCs w:val="18"/>
                <w:color w:val="auto"/>
              </w:rPr>
              <w:t>Equity</w:t>
            </w:r>
          </w:p>
        </w:tc>
        <w:tc>
          <w:tcPr>
            <w:tcW w:w="1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8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51,716</w:t>
            </w:r>
          </w:p>
        </w:tc>
        <w:tc>
          <w:tcPr>
            <w:tcW w:w="0" w:type="dxa"/>
            <w:vAlign w:val="bottom"/>
          </w:tcPr>
          <w:p>
            <w:pPr>
              <w:spacing w:after="0"/>
              <w:rPr>
                <w:sz w:val="1"/>
                <w:szCs w:val="1"/>
                <w:color w:val="auto"/>
              </w:rPr>
            </w:pPr>
          </w:p>
        </w:tc>
      </w:tr>
      <w:tr>
        <w:trPr>
          <w:trHeight w:val="201"/>
        </w:trPr>
        <w:tc>
          <w:tcPr>
            <w:tcW w:w="8040" w:type="dxa"/>
            <w:vAlign w:val="bottom"/>
          </w:tcPr>
          <w:p>
            <w:pPr>
              <w:ind w:left="260"/>
              <w:spacing w:after="0" w:line="201" w:lineRule="exact"/>
              <w:rPr>
                <w:sz w:val="20"/>
                <w:szCs w:val="20"/>
                <w:color w:val="auto"/>
              </w:rPr>
            </w:pPr>
            <w:r>
              <w:rPr>
                <w:rFonts w:ascii="Arial" w:cs="Arial" w:eastAsia="Arial" w:hAnsi="Arial"/>
                <w:sz w:val="18"/>
                <w:szCs w:val="18"/>
                <w:color w:val="auto"/>
              </w:rPr>
              <w:t>Comcast Corporation shareholders’ equity</w:t>
            </w:r>
          </w:p>
        </w:tc>
        <w:tc>
          <w:tcPr>
            <w:tcW w:w="1460" w:type="dxa"/>
            <w:vAlign w:val="bottom"/>
          </w:tcPr>
          <w:p>
            <w:pPr>
              <w:jc w:val="right"/>
              <w:ind w:right="10"/>
              <w:spacing w:after="0" w:line="201" w:lineRule="exact"/>
              <w:rPr>
                <w:sz w:val="20"/>
                <w:szCs w:val="20"/>
                <w:color w:val="auto"/>
              </w:rPr>
            </w:pPr>
            <w:r>
              <w:rPr>
                <w:rFonts w:ascii="Arial" w:cs="Arial" w:eastAsia="Arial" w:hAnsi="Arial"/>
                <w:sz w:val="18"/>
                <w:szCs w:val="18"/>
                <w:color w:val="auto"/>
              </w:rPr>
              <w:t>52,711</w:t>
            </w:r>
          </w:p>
        </w:tc>
        <w:tc>
          <w:tcPr>
            <w:tcW w:w="280" w:type="dxa"/>
            <w:vAlign w:val="bottom"/>
          </w:tcPr>
          <w:p>
            <w:pPr>
              <w:spacing w:after="0"/>
              <w:rPr>
                <w:sz w:val="17"/>
                <w:szCs w:val="17"/>
                <w:color w:val="auto"/>
              </w:rPr>
            </w:pPr>
          </w:p>
        </w:tc>
        <w:tc>
          <w:tcPr>
            <w:tcW w:w="14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8040" w:type="dxa"/>
            <w:vAlign w:val="bottom"/>
          </w:tcPr>
          <w:p>
            <w:pPr>
              <w:ind w:left="260"/>
              <w:spacing w:after="0" w:line="205" w:lineRule="exact"/>
              <w:rPr>
                <w:sz w:val="20"/>
                <w:szCs w:val="20"/>
                <w:color w:val="auto"/>
              </w:rPr>
            </w:pPr>
            <w:r>
              <w:rPr>
                <w:rFonts w:ascii="Arial" w:cs="Arial" w:eastAsia="Arial" w:hAnsi="Arial"/>
                <w:sz w:val="18"/>
                <w:szCs w:val="18"/>
                <w:color w:val="auto"/>
              </w:rPr>
              <w:t>Noncontrolling interests</w:t>
            </w:r>
          </w:p>
        </w:tc>
        <w:tc>
          <w:tcPr>
            <w:tcW w:w="1460" w:type="dxa"/>
            <w:vAlign w:val="bottom"/>
          </w:tcPr>
          <w:p>
            <w:pPr>
              <w:jc w:val="right"/>
              <w:ind w:right="10"/>
              <w:spacing w:after="0" w:line="205" w:lineRule="exact"/>
              <w:rPr>
                <w:sz w:val="20"/>
                <w:szCs w:val="20"/>
                <w:color w:val="auto"/>
              </w:rPr>
            </w:pPr>
            <w:r>
              <w:rPr>
                <w:rFonts w:ascii="Arial" w:cs="Arial" w:eastAsia="Arial" w:hAnsi="Arial"/>
                <w:sz w:val="18"/>
                <w:szCs w:val="18"/>
                <w:color w:val="auto"/>
              </w:rPr>
              <w:t>357</w:t>
            </w:r>
          </w:p>
        </w:tc>
        <w:tc>
          <w:tcPr>
            <w:tcW w:w="280" w:type="dxa"/>
            <w:vAlign w:val="bottom"/>
          </w:tcPr>
          <w:p>
            <w:pPr>
              <w:spacing w:after="0"/>
              <w:rPr>
                <w:sz w:val="17"/>
                <w:szCs w:val="17"/>
                <w:color w:val="auto"/>
              </w:rPr>
            </w:pPr>
          </w:p>
        </w:tc>
        <w:tc>
          <w:tcPr>
            <w:tcW w:w="1480" w:type="dxa"/>
            <w:vAlign w:val="bottom"/>
          </w:tcPr>
          <w:p>
            <w:pPr>
              <w:jc w:val="right"/>
              <w:ind w:right="10"/>
              <w:spacing w:after="0" w:line="205" w:lineRule="exact"/>
              <w:rPr>
                <w:sz w:val="20"/>
                <w:szCs w:val="20"/>
                <w:color w:val="auto"/>
              </w:rPr>
            </w:pPr>
            <w:r>
              <w:rPr>
                <w:rFonts w:ascii="Arial" w:cs="Arial" w:eastAsia="Arial" w:hAnsi="Arial"/>
                <w:sz w:val="18"/>
                <w:szCs w:val="18"/>
                <w:b w:val="1"/>
                <w:bCs w:val="1"/>
                <w:color w:val="auto"/>
              </w:rPr>
              <w:t>249</w:t>
            </w:r>
          </w:p>
        </w:tc>
        <w:tc>
          <w:tcPr>
            <w:tcW w:w="0" w:type="dxa"/>
            <w:vAlign w:val="bottom"/>
          </w:tcPr>
          <w:p>
            <w:pPr>
              <w:spacing w:after="0"/>
              <w:rPr>
                <w:sz w:val="1"/>
                <w:szCs w:val="1"/>
                <w:color w:val="auto"/>
              </w:rPr>
            </w:pPr>
          </w:p>
        </w:tc>
      </w:tr>
      <w:tr>
        <w:trPr>
          <w:trHeight w:val="23"/>
        </w:trPr>
        <w:tc>
          <w:tcPr>
            <w:tcW w:w="8040" w:type="dxa"/>
            <w:vAlign w:val="bottom"/>
            <w:vMerge w:val="restart"/>
          </w:tcPr>
          <w:p>
            <w:pPr>
              <w:ind w:left="400"/>
              <w:spacing w:after="0"/>
              <w:rPr>
                <w:sz w:val="20"/>
                <w:szCs w:val="20"/>
                <w:color w:val="auto"/>
              </w:rPr>
            </w:pPr>
            <w:r>
              <w:rPr>
                <w:rFonts w:ascii="Arial" w:cs="Arial" w:eastAsia="Arial" w:hAnsi="Arial"/>
                <w:sz w:val="18"/>
                <w:szCs w:val="18"/>
                <w:color w:val="auto"/>
              </w:rPr>
              <w:t>Total equity</w:t>
            </w:r>
          </w:p>
        </w:tc>
        <w:tc>
          <w:tcPr>
            <w:tcW w:w="1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8040" w:type="dxa"/>
            <w:vAlign w:val="bottom"/>
            <w:vMerge w:val="continue"/>
          </w:tcPr>
          <w:p>
            <w:pPr>
              <w:spacing w:after="0"/>
              <w:rPr>
                <w:sz w:val="17"/>
                <w:szCs w:val="17"/>
                <w:color w:val="auto"/>
              </w:rPr>
            </w:pPr>
          </w:p>
        </w:tc>
        <w:tc>
          <w:tcPr>
            <w:tcW w:w="146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53,068</w:t>
            </w:r>
          </w:p>
        </w:tc>
        <w:tc>
          <w:tcPr>
            <w:tcW w:w="280" w:type="dxa"/>
            <w:vAlign w:val="bottom"/>
          </w:tcPr>
          <w:p>
            <w:pPr>
              <w:spacing w:after="0"/>
              <w:rPr>
                <w:sz w:val="17"/>
                <w:szCs w:val="17"/>
                <w:color w:val="auto"/>
              </w:rPr>
            </w:pPr>
          </w:p>
        </w:tc>
        <w:tc>
          <w:tcPr>
            <w:tcW w:w="148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b w:val="1"/>
                <w:bCs w:val="1"/>
                <w:color w:val="auto"/>
              </w:rPr>
              <w:t>51,965</w:t>
            </w:r>
          </w:p>
        </w:tc>
        <w:tc>
          <w:tcPr>
            <w:tcW w:w="0" w:type="dxa"/>
            <w:vAlign w:val="bottom"/>
          </w:tcPr>
          <w:p>
            <w:pPr>
              <w:spacing w:after="0"/>
              <w:rPr>
                <w:sz w:val="1"/>
                <w:szCs w:val="1"/>
                <w:color w:val="auto"/>
              </w:rPr>
            </w:pPr>
          </w:p>
        </w:tc>
      </w:tr>
      <w:tr>
        <w:trPr>
          <w:trHeight w:val="412"/>
        </w:trPr>
        <w:tc>
          <w:tcPr>
            <w:tcW w:w="8040" w:type="dxa"/>
            <w:vAlign w:val="bottom"/>
          </w:tcPr>
          <w:p>
            <w:pPr>
              <w:spacing w:after="0"/>
              <w:rPr>
                <w:sz w:val="24"/>
                <w:szCs w:val="24"/>
                <w:color w:val="auto"/>
              </w:rPr>
            </w:pPr>
          </w:p>
        </w:tc>
        <w:tc>
          <w:tcPr>
            <w:tcW w:w="14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$159,339</w:t>
            </w:r>
          </w:p>
        </w:tc>
        <w:tc>
          <w:tcPr>
            <w:tcW w:w="280" w:type="dxa"/>
            <w:vAlign w:val="bottom"/>
          </w:tcPr>
          <w:p>
            <w:pPr>
              <w:spacing w:after="0"/>
              <w:rPr>
                <w:sz w:val="24"/>
                <w:szCs w:val="24"/>
                <w:color w:val="auto"/>
              </w:rPr>
            </w:pPr>
          </w:p>
        </w:tc>
        <w:tc>
          <w:tcPr>
            <w:tcW w:w="14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$158,958</w:t>
            </w:r>
          </w:p>
        </w:tc>
        <w:tc>
          <w:tcPr>
            <w:tcW w:w="0" w:type="dxa"/>
            <w:vAlign w:val="bottom"/>
          </w:tcPr>
          <w:p>
            <w:pPr>
              <w:spacing w:after="0"/>
              <w:rPr>
                <w:sz w:val="1"/>
                <w:szCs w:val="1"/>
                <w:color w:val="auto"/>
              </w:rPr>
            </w:pPr>
          </w:p>
        </w:tc>
      </w:tr>
      <w:tr>
        <w:trPr>
          <w:trHeight w:val="20"/>
        </w:trPr>
        <w:tc>
          <w:tcPr>
            <w:tcW w:w="8040" w:type="dxa"/>
            <w:vAlign w:val="bottom"/>
            <w:vMerge w:val="restart"/>
          </w:tcPr>
          <w:p>
            <w:pPr>
              <w:ind w:left="5680"/>
              <w:spacing w:after="0"/>
              <w:rPr>
                <w:sz w:val="20"/>
                <w:szCs w:val="20"/>
                <w:color w:val="auto"/>
              </w:rPr>
            </w:pPr>
            <w:r>
              <w:rPr>
                <w:rFonts w:ascii="Arial" w:cs="Arial" w:eastAsia="Arial" w:hAnsi="Arial"/>
                <w:sz w:val="14"/>
                <w:szCs w:val="14"/>
                <w:color w:val="auto"/>
              </w:rPr>
              <w:t>9</w:t>
            </w:r>
          </w:p>
        </w:tc>
        <w:tc>
          <w:tcPr>
            <w:tcW w:w="1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8"/>
        </w:trPr>
        <w:tc>
          <w:tcPr>
            <w:tcW w:w="8040" w:type="dxa"/>
            <w:vAlign w:val="bottom"/>
            <w:vMerge w:val="continue"/>
          </w:tcPr>
          <w:p>
            <w:pPr>
              <w:spacing w:after="0"/>
              <w:rPr>
                <w:sz w:val="24"/>
                <w:szCs w:val="24"/>
                <w:color w:val="auto"/>
              </w:rPr>
            </w:pPr>
          </w:p>
        </w:tc>
        <w:tc>
          <w:tcPr>
            <w:tcW w:w="1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930" w:orient="portrait"/>
          <w:cols w:equalWidth="0" w:num="1">
            <w:col w:w="11460"/>
          </w:cols>
          <w:pgMar w:left="240" w:top="328" w:right="199" w:bottom="0" w:gutter="0" w:footer="0" w:header="0"/>
        </w:sectPr>
      </w:pPr>
    </w:p>
    <w:bookmarkStart w:id="8" w:name="page9"/>
    <w:bookmarkEnd w:id="8"/>
    <w:p>
      <w:pPr>
        <w:spacing w:after="0" w:line="6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page">
              <wp:posOffset>5234305</wp:posOffset>
            </wp:positionH>
            <wp:positionV relativeFrom="page">
              <wp:posOffset>474980</wp:posOffset>
            </wp:positionV>
            <wp:extent cx="2169795" cy="4375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169795" cy="437515"/>
                    </a:xfrm>
                    <a:prstGeom prst="rect">
                      <a:avLst/>
                    </a:prstGeom>
                    <a:noFill/>
                  </pic:spPr>
                </pic:pic>
              </a:graphicData>
            </a:graphic>
          </wp:anchor>
        </w:drawing>
      </w:r>
    </w:p>
    <w:p>
      <w:pPr>
        <w:spacing w:after="0"/>
        <w:rPr>
          <w:sz w:val="20"/>
          <w:szCs w:val="20"/>
          <w:color w:val="auto"/>
        </w:rPr>
      </w:pPr>
      <w:r>
        <w:rPr>
          <w:rFonts w:ascii="Arial" w:cs="Arial" w:eastAsia="Arial" w:hAnsi="Arial"/>
          <w:sz w:val="25"/>
          <w:szCs w:val="25"/>
          <w:b w:val="1"/>
          <w:bCs w:val="1"/>
          <w:color w:val="C9C9C9"/>
        </w:rPr>
        <w:t>TABLE 3</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b w:val="1"/>
          <w:bCs w:val="1"/>
          <w:color w:val="C9C9C9"/>
        </w:rPr>
        <w:t>Consolidated Statement of Cash Flows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507682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07682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40" w:type="dxa"/>
            <w:vAlign w:val="bottom"/>
          </w:tcPr>
          <w:p>
            <w:pPr>
              <w:spacing w:after="0"/>
              <w:rPr>
                <w:sz w:val="20"/>
                <w:szCs w:val="20"/>
                <w:color w:val="auto"/>
              </w:rPr>
            </w:pPr>
            <w:r>
              <w:rPr>
                <w:rFonts w:ascii="Arial" w:cs="Arial" w:eastAsia="Arial" w:hAnsi="Arial"/>
                <w:sz w:val="18"/>
                <w:szCs w:val="18"/>
                <w:color w:val="auto"/>
              </w:rPr>
              <w:t>(in millions)</w:t>
            </w:r>
          </w:p>
        </w:tc>
        <w:tc>
          <w:tcPr>
            <w:tcW w:w="3220" w:type="dxa"/>
            <w:vAlign w:val="bottom"/>
            <w:gridSpan w:val="4"/>
          </w:tcPr>
          <w:p>
            <w:pPr>
              <w:jc w:val="center"/>
              <w:spacing w:after="0"/>
              <w:rPr>
                <w:sz w:val="20"/>
                <w:szCs w:val="20"/>
                <w:color w:val="auto"/>
              </w:rPr>
            </w:pPr>
            <w:r>
              <w:rPr>
                <w:rFonts w:ascii="Arial" w:cs="Arial" w:eastAsia="Arial" w:hAnsi="Arial"/>
                <w:sz w:val="18"/>
                <w:szCs w:val="18"/>
                <w:b w:val="1"/>
                <w:bCs w:val="1"/>
                <w:color w:val="auto"/>
                <w:w w:val="99"/>
              </w:rPr>
              <w:t>Nine Months Ended</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8040" w:type="dxa"/>
            <w:vAlign w:val="bottom"/>
          </w:tcPr>
          <w:p>
            <w:pPr>
              <w:spacing w:after="0"/>
              <w:rPr>
                <w:sz w:val="17"/>
                <w:szCs w:val="17"/>
                <w:color w:val="auto"/>
              </w:rPr>
            </w:pPr>
          </w:p>
        </w:tc>
        <w:tc>
          <w:tcPr>
            <w:tcW w:w="2260" w:type="dxa"/>
            <w:vAlign w:val="bottom"/>
            <w:gridSpan w:val="3"/>
          </w:tcPr>
          <w:p>
            <w:pPr>
              <w:jc w:val="center"/>
              <w:ind w:left="850"/>
              <w:spacing w:after="0" w:line="205" w:lineRule="exact"/>
              <w:rPr>
                <w:sz w:val="20"/>
                <w:szCs w:val="20"/>
                <w:color w:val="auto"/>
              </w:rPr>
            </w:pPr>
            <w:r>
              <w:rPr>
                <w:rFonts w:ascii="Arial" w:cs="Arial" w:eastAsia="Arial" w:hAnsi="Arial"/>
                <w:sz w:val="18"/>
                <w:szCs w:val="18"/>
                <w:b w:val="1"/>
                <w:bCs w:val="1"/>
                <w:color w:val="auto"/>
              </w:rPr>
              <w:t>September 30,</w:t>
            </w:r>
          </w:p>
        </w:tc>
        <w:tc>
          <w:tcPr>
            <w:tcW w:w="960" w:type="dxa"/>
            <w:vAlign w:val="bottom"/>
            <w:vMerge w:val="restart"/>
          </w:tcPr>
          <w:p>
            <w:pPr>
              <w:jc w:val="right"/>
              <w:ind w:right="450"/>
              <w:spacing w:after="0"/>
              <w:rPr>
                <w:sz w:val="20"/>
                <w:szCs w:val="20"/>
                <w:color w:val="auto"/>
              </w:rPr>
            </w:pPr>
            <w:r>
              <w:rPr>
                <w:rFonts w:ascii="Arial" w:cs="Arial" w:eastAsia="Arial" w:hAnsi="Arial"/>
                <w:sz w:val="18"/>
                <w:szCs w:val="18"/>
                <w:b w:val="1"/>
                <w:bCs w:val="1"/>
                <w:color w:val="auto"/>
                <w:w w:val="99"/>
              </w:rPr>
              <w:t>2015</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8040" w:type="dxa"/>
            <w:vAlign w:val="bottom"/>
          </w:tcPr>
          <w:p>
            <w:pPr>
              <w:spacing w:after="0"/>
              <w:rPr>
                <w:sz w:val="19"/>
                <w:szCs w:val="19"/>
                <w:color w:val="auto"/>
              </w:rPr>
            </w:pPr>
          </w:p>
        </w:tc>
        <w:tc>
          <w:tcPr>
            <w:tcW w:w="14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2014</w:t>
            </w:r>
          </w:p>
        </w:tc>
        <w:tc>
          <w:tcPr>
            <w:tcW w:w="28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9"/>
        </w:trPr>
        <w:tc>
          <w:tcPr>
            <w:tcW w:w="8040" w:type="dxa"/>
            <w:vAlign w:val="bottom"/>
          </w:tcPr>
          <w:p>
            <w:pPr>
              <w:spacing w:after="0"/>
              <w:rPr>
                <w:sz w:val="20"/>
                <w:szCs w:val="20"/>
                <w:color w:val="auto"/>
              </w:rPr>
            </w:pPr>
            <w:r>
              <w:rPr>
                <w:rFonts w:ascii="Arial" w:cs="Arial" w:eastAsia="Arial" w:hAnsi="Arial"/>
                <w:sz w:val="18"/>
                <w:szCs w:val="18"/>
                <w:b w:val="1"/>
                <w:bCs w:val="1"/>
                <w:color w:val="auto"/>
              </w:rPr>
              <w:t>OPERATING ACTIVITIES</w:t>
            </w:r>
          </w:p>
        </w:tc>
        <w:tc>
          <w:tcPr>
            <w:tcW w:w="1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$6,357</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8040" w:type="dxa"/>
            <w:vAlign w:val="bottom"/>
          </w:tcPr>
          <w:p>
            <w:pPr>
              <w:ind w:left="140"/>
              <w:spacing w:after="0" w:line="202" w:lineRule="exact"/>
              <w:rPr>
                <w:sz w:val="20"/>
                <w:szCs w:val="20"/>
                <w:color w:val="auto"/>
              </w:rPr>
            </w:pPr>
            <w:r>
              <w:rPr>
                <w:rFonts w:ascii="Arial" w:cs="Arial" w:eastAsia="Arial" w:hAnsi="Arial"/>
                <w:sz w:val="18"/>
                <w:szCs w:val="18"/>
                <w:color w:val="auto"/>
              </w:rPr>
              <w:t>Net income</w:t>
            </w:r>
          </w:p>
        </w:tc>
        <w:tc>
          <w:tcPr>
            <w:tcW w:w="14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$6,596</w:t>
            </w: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40" w:type="dxa"/>
            <w:vAlign w:val="bottom"/>
          </w:tcPr>
          <w:p>
            <w:pPr>
              <w:ind w:left="140"/>
              <w:spacing w:after="0" w:line="202" w:lineRule="exact"/>
              <w:rPr>
                <w:sz w:val="20"/>
                <w:szCs w:val="20"/>
                <w:color w:val="auto"/>
              </w:rPr>
            </w:pPr>
            <w:r>
              <w:rPr>
                <w:rFonts w:ascii="Arial" w:cs="Arial" w:eastAsia="Arial" w:hAnsi="Arial"/>
                <w:sz w:val="18"/>
                <w:szCs w:val="18"/>
                <w:color w:val="auto"/>
              </w:rPr>
              <w:t>Adjustments to reconcile net income to net cash provided by operating activities:</w:t>
            </w:r>
          </w:p>
        </w:tc>
        <w:tc>
          <w:tcPr>
            <w:tcW w:w="1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6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6,410</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8040" w:type="dxa"/>
            <w:vAlign w:val="bottom"/>
          </w:tcPr>
          <w:p>
            <w:pPr>
              <w:ind w:left="260"/>
              <w:spacing w:after="0" w:line="201" w:lineRule="exact"/>
              <w:rPr>
                <w:sz w:val="20"/>
                <w:szCs w:val="20"/>
                <w:color w:val="auto"/>
              </w:rPr>
            </w:pPr>
            <w:r>
              <w:rPr>
                <w:rFonts w:ascii="Arial" w:cs="Arial" w:eastAsia="Arial" w:hAnsi="Arial"/>
                <w:sz w:val="18"/>
                <w:szCs w:val="18"/>
                <w:color w:val="auto"/>
              </w:rPr>
              <w:t>Depreciation and amortization</w:t>
            </w:r>
          </w:p>
        </w:tc>
        <w:tc>
          <w:tcPr>
            <w:tcW w:w="1460" w:type="dxa"/>
            <w:vAlign w:val="bottom"/>
          </w:tcPr>
          <w:p>
            <w:pPr>
              <w:jc w:val="right"/>
              <w:ind w:right="10"/>
              <w:spacing w:after="0" w:line="201" w:lineRule="exact"/>
              <w:rPr>
                <w:sz w:val="20"/>
                <w:szCs w:val="20"/>
                <w:color w:val="auto"/>
              </w:rPr>
            </w:pPr>
            <w:r>
              <w:rPr>
                <w:rFonts w:ascii="Arial" w:cs="Arial" w:eastAsia="Arial" w:hAnsi="Arial"/>
                <w:sz w:val="18"/>
                <w:szCs w:val="18"/>
                <w:color w:val="auto"/>
              </w:rPr>
              <w:t>5,929</w:t>
            </w: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40" w:type="dxa"/>
            <w:vAlign w:val="bottom"/>
          </w:tcPr>
          <w:p>
            <w:pPr>
              <w:ind w:left="260"/>
              <w:spacing w:after="0" w:line="202" w:lineRule="exact"/>
              <w:rPr>
                <w:sz w:val="20"/>
                <w:szCs w:val="20"/>
                <w:color w:val="auto"/>
              </w:rPr>
            </w:pPr>
            <w:r>
              <w:rPr>
                <w:rFonts w:ascii="Arial" w:cs="Arial" w:eastAsia="Arial" w:hAnsi="Arial"/>
                <w:sz w:val="18"/>
                <w:szCs w:val="18"/>
                <w:color w:val="auto"/>
              </w:rPr>
              <w:t>Share-based compensation</w:t>
            </w:r>
          </w:p>
        </w:tc>
        <w:tc>
          <w:tcPr>
            <w:tcW w:w="14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386</w:t>
            </w: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6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430</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40" w:type="dxa"/>
            <w:vAlign w:val="bottom"/>
          </w:tcPr>
          <w:p>
            <w:pPr>
              <w:ind w:left="260"/>
              <w:spacing w:after="0" w:line="202" w:lineRule="exact"/>
              <w:rPr>
                <w:sz w:val="20"/>
                <w:szCs w:val="20"/>
                <w:color w:val="auto"/>
              </w:rPr>
            </w:pPr>
            <w:r>
              <w:rPr>
                <w:rFonts w:ascii="Arial" w:cs="Arial" w:eastAsia="Arial" w:hAnsi="Arial"/>
                <w:sz w:val="18"/>
                <w:szCs w:val="18"/>
                <w:color w:val="auto"/>
              </w:rPr>
              <w:t>Noncash interest expense (income), net</w:t>
            </w:r>
          </w:p>
        </w:tc>
        <w:tc>
          <w:tcPr>
            <w:tcW w:w="14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132</w:t>
            </w: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6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147</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40" w:type="dxa"/>
            <w:vAlign w:val="bottom"/>
          </w:tcPr>
          <w:p>
            <w:pPr>
              <w:ind w:left="260"/>
              <w:spacing w:after="0" w:line="202" w:lineRule="exact"/>
              <w:rPr>
                <w:sz w:val="20"/>
                <w:szCs w:val="20"/>
                <w:color w:val="auto"/>
              </w:rPr>
            </w:pPr>
            <w:r>
              <w:rPr>
                <w:rFonts w:ascii="Arial" w:cs="Arial" w:eastAsia="Arial" w:hAnsi="Arial"/>
                <w:sz w:val="18"/>
                <w:szCs w:val="18"/>
                <w:color w:val="auto"/>
              </w:rPr>
              <w:t>Equity in net (income) losses of investees, net</w:t>
            </w:r>
          </w:p>
        </w:tc>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(87)</w:t>
            </w: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6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202</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40" w:type="dxa"/>
            <w:vAlign w:val="bottom"/>
          </w:tcPr>
          <w:p>
            <w:pPr>
              <w:ind w:left="260"/>
              <w:spacing w:after="0" w:line="202" w:lineRule="exact"/>
              <w:rPr>
                <w:sz w:val="20"/>
                <w:szCs w:val="20"/>
                <w:color w:val="auto"/>
              </w:rPr>
            </w:pPr>
            <w:r>
              <w:rPr>
                <w:rFonts w:ascii="Arial" w:cs="Arial" w:eastAsia="Arial" w:hAnsi="Arial"/>
                <w:sz w:val="18"/>
                <w:szCs w:val="18"/>
                <w:color w:val="auto"/>
              </w:rPr>
              <w:t>Cash received from investees</w:t>
            </w:r>
          </w:p>
        </w:tc>
        <w:tc>
          <w:tcPr>
            <w:tcW w:w="14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71</w:t>
            </w: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6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139</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40" w:type="dxa"/>
            <w:vAlign w:val="bottom"/>
          </w:tcPr>
          <w:p>
            <w:pPr>
              <w:ind w:left="260"/>
              <w:spacing w:after="0" w:line="202" w:lineRule="exact"/>
              <w:rPr>
                <w:sz w:val="20"/>
                <w:szCs w:val="20"/>
                <w:color w:val="auto"/>
              </w:rPr>
            </w:pPr>
            <w:r>
              <w:rPr>
                <w:rFonts w:ascii="Arial" w:cs="Arial" w:eastAsia="Arial" w:hAnsi="Arial"/>
                <w:sz w:val="18"/>
                <w:szCs w:val="18"/>
                <w:color w:val="auto"/>
              </w:rPr>
              <w:t>Net (gain) loss on investment activity and other</w:t>
            </w:r>
          </w:p>
        </w:tc>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(24)</w:t>
            </w: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(344)</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8040" w:type="dxa"/>
            <w:vAlign w:val="bottom"/>
          </w:tcPr>
          <w:p>
            <w:pPr>
              <w:ind w:left="260"/>
              <w:spacing w:after="0" w:line="205" w:lineRule="exact"/>
              <w:rPr>
                <w:sz w:val="20"/>
                <w:szCs w:val="20"/>
                <w:color w:val="auto"/>
              </w:rPr>
            </w:pPr>
            <w:r>
              <w:rPr>
                <w:rFonts w:ascii="Arial" w:cs="Arial" w:eastAsia="Arial" w:hAnsi="Arial"/>
                <w:sz w:val="18"/>
                <w:szCs w:val="18"/>
                <w:color w:val="auto"/>
              </w:rPr>
              <w:t>Deferred income taxes</w:t>
            </w:r>
          </w:p>
        </w:tc>
        <w:tc>
          <w:tcPr>
            <w:tcW w:w="1460" w:type="dxa"/>
            <w:vAlign w:val="bottom"/>
          </w:tcPr>
          <w:p>
            <w:pPr>
              <w:jc w:val="right"/>
              <w:ind w:right="10"/>
              <w:spacing w:after="0" w:line="205" w:lineRule="exact"/>
              <w:rPr>
                <w:sz w:val="20"/>
                <w:szCs w:val="20"/>
                <w:color w:val="auto"/>
              </w:rPr>
            </w:pPr>
            <w:r>
              <w:rPr>
                <w:rFonts w:ascii="Arial" w:cs="Arial" w:eastAsia="Arial" w:hAnsi="Arial"/>
                <w:sz w:val="18"/>
                <w:szCs w:val="18"/>
                <w:color w:val="auto"/>
              </w:rPr>
              <w:t>358</w:t>
            </w: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60" w:type="dxa"/>
            <w:vAlign w:val="bottom"/>
          </w:tcPr>
          <w:p>
            <w:pPr>
              <w:jc w:val="right"/>
              <w:ind w:right="10"/>
              <w:spacing w:after="0" w:line="205" w:lineRule="exact"/>
              <w:rPr>
                <w:sz w:val="20"/>
                <w:szCs w:val="20"/>
                <w:color w:val="auto"/>
              </w:rPr>
            </w:pPr>
            <w:r>
              <w:rPr>
                <w:rFonts w:ascii="Arial" w:cs="Arial" w:eastAsia="Arial" w:hAnsi="Arial"/>
                <w:sz w:val="18"/>
                <w:szCs w:val="18"/>
                <w:b w:val="1"/>
                <w:bCs w:val="1"/>
                <w:color w:val="auto"/>
              </w:rPr>
              <w:t>67</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40" w:type="dxa"/>
            <w:vAlign w:val="bottom"/>
          </w:tcPr>
          <w:p>
            <w:pPr>
              <w:ind w:left="140"/>
              <w:spacing w:after="0" w:line="202" w:lineRule="exact"/>
              <w:rPr>
                <w:sz w:val="20"/>
                <w:szCs w:val="20"/>
                <w:color w:val="auto"/>
              </w:rPr>
            </w:pPr>
            <w:r>
              <w:rPr>
                <w:rFonts w:ascii="Arial" w:cs="Arial" w:eastAsia="Arial" w:hAnsi="Arial"/>
                <w:sz w:val="18"/>
                <w:szCs w:val="18"/>
                <w:color w:val="auto"/>
              </w:rPr>
              <w:t>Changes in operating assets and liabilities, net of effects of acquisitions and divestitures:</w:t>
            </w:r>
          </w:p>
        </w:tc>
        <w:tc>
          <w:tcPr>
            <w:tcW w:w="1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(322)</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8040" w:type="dxa"/>
            <w:vAlign w:val="bottom"/>
          </w:tcPr>
          <w:p>
            <w:pPr>
              <w:ind w:left="260"/>
              <w:spacing w:after="0" w:line="201" w:lineRule="exact"/>
              <w:rPr>
                <w:sz w:val="20"/>
                <w:szCs w:val="20"/>
                <w:color w:val="auto"/>
              </w:rPr>
            </w:pPr>
            <w:r>
              <w:rPr>
                <w:rFonts w:ascii="Arial" w:cs="Arial" w:eastAsia="Arial" w:hAnsi="Arial"/>
                <w:sz w:val="18"/>
                <w:szCs w:val="18"/>
                <w:color w:val="auto"/>
              </w:rPr>
              <w:t>Current and noncurrent receivables, net</w:t>
            </w:r>
          </w:p>
        </w:tc>
        <w:tc>
          <w:tcPr>
            <w:tcW w:w="1460" w:type="dxa"/>
            <w:vAlign w:val="bottom"/>
          </w:tcPr>
          <w:p>
            <w:pPr>
              <w:jc w:val="right"/>
              <w:ind w:right="10"/>
              <w:spacing w:after="0" w:line="201" w:lineRule="exact"/>
              <w:rPr>
                <w:sz w:val="20"/>
                <w:szCs w:val="20"/>
                <w:color w:val="auto"/>
              </w:rPr>
            </w:pPr>
            <w:r>
              <w:rPr>
                <w:rFonts w:ascii="Arial" w:cs="Arial" w:eastAsia="Arial" w:hAnsi="Arial"/>
                <w:sz w:val="18"/>
                <w:szCs w:val="18"/>
                <w:color w:val="auto"/>
              </w:rPr>
              <w:t>89</w:t>
            </w: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40" w:type="dxa"/>
            <w:vAlign w:val="bottom"/>
          </w:tcPr>
          <w:p>
            <w:pPr>
              <w:ind w:left="260"/>
              <w:spacing w:after="0" w:line="202" w:lineRule="exact"/>
              <w:rPr>
                <w:sz w:val="20"/>
                <w:szCs w:val="20"/>
                <w:color w:val="auto"/>
              </w:rPr>
            </w:pPr>
            <w:r>
              <w:rPr>
                <w:rFonts w:ascii="Arial" w:cs="Arial" w:eastAsia="Arial" w:hAnsi="Arial"/>
                <w:sz w:val="18"/>
                <w:szCs w:val="18"/>
                <w:color w:val="auto"/>
              </w:rPr>
              <w:t>Film and television costs, net</w:t>
            </w:r>
          </w:p>
        </w:tc>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(471)</w:t>
            </w: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(65)</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40" w:type="dxa"/>
            <w:vAlign w:val="bottom"/>
          </w:tcPr>
          <w:p>
            <w:pPr>
              <w:ind w:left="260"/>
              <w:spacing w:after="0" w:line="202" w:lineRule="exact"/>
              <w:rPr>
                <w:sz w:val="20"/>
                <w:szCs w:val="20"/>
                <w:color w:val="auto"/>
              </w:rPr>
            </w:pPr>
            <w:r>
              <w:rPr>
                <w:rFonts w:ascii="Arial" w:cs="Arial" w:eastAsia="Arial" w:hAnsi="Arial"/>
                <w:sz w:val="18"/>
                <w:szCs w:val="18"/>
                <w:color w:val="auto"/>
              </w:rPr>
              <w:t>Accounts payable and accrued expenses related to trade creditors</w:t>
            </w:r>
          </w:p>
        </w:tc>
        <w:tc>
          <w:tcPr>
            <w:tcW w:w="14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119</w:t>
            </w: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6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169</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8040" w:type="dxa"/>
            <w:vAlign w:val="bottom"/>
          </w:tcPr>
          <w:p>
            <w:pPr>
              <w:ind w:left="260"/>
              <w:spacing w:after="0"/>
              <w:rPr>
                <w:sz w:val="20"/>
                <w:szCs w:val="20"/>
                <w:color w:val="auto"/>
              </w:rPr>
            </w:pPr>
            <w:r>
              <w:rPr>
                <w:rFonts w:ascii="Arial" w:cs="Arial" w:eastAsia="Arial" w:hAnsi="Arial"/>
                <w:sz w:val="18"/>
                <w:szCs w:val="18"/>
                <w:color w:val="auto"/>
              </w:rPr>
              <w:t>Other operating assets and liabilities</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(796)</w:t>
            </w:r>
          </w:p>
        </w:tc>
        <w:tc>
          <w:tcPr>
            <w:tcW w:w="28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623</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2"/>
        </w:trPr>
        <w:tc>
          <w:tcPr>
            <w:tcW w:w="8040" w:type="dxa"/>
            <w:vAlign w:val="bottom"/>
          </w:tcPr>
          <w:p>
            <w:pPr>
              <w:ind w:left="560"/>
              <w:spacing w:after="0"/>
              <w:rPr>
                <w:sz w:val="20"/>
                <w:szCs w:val="20"/>
                <w:color w:val="auto"/>
              </w:rPr>
            </w:pPr>
            <w:r>
              <w:rPr>
                <w:rFonts w:ascii="Arial" w:cs="Arial" w:eastAsia="Arial" w:hAnsi="Arial"/>
                <w:sz w:val="18"/>
                <w:szCs w:val="18"/>
                <w:color w:val="auto"/>
              </w:rPr>
              <w:t>Net cash provided by operating activities</w:t>
            </w:r>
          </w:p>
        </w:tc>
        <w:tc>
          <w:tcPr>
            <w:tcW w:w="14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12,302</w:t>
            </w:r>
          </w:p>
        </w:tc>
        <w:tc>
          <w:tcPr>
            <w:tcW w:w="28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13,813</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9"/>
        </w:trPr>
        <w:tc>
          <w:tcPr>
            <w:tcW w:w="804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1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(5,862)</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8040" w:type="dxa"/>
            <w:vAlign w:val="bottom"/>
          </w:tcPr>
          <w:p>
            <w:pPr>
              <w:ind w:left="140"/>
              <w:spacing w:after="0" w:line="201" w:lineRule="exact"/>
              <w:rPr>
                <w:sz w:val="20"/>
                <w:szCs w:val="20"/>
                <w:color w:val="auto"/>
              </w:rPr>
            </w:pPr>
            <w:r>
              <w:rPr>
                <w:rFonts w:ascii="Arial" w:cs="Arial" w:eastAsia="Arial" w:hAnsi="Arial"/>
                <w:sz w:val="18"/>
                <w:szCs w:val="18"/>
                <w:color w:val="auto"/>
              </w:rPr>
              <w:t>Capital expenditures</w:t>
            </w:r>
          </w:p>
        </w:tc>
        <w:tc>
          <w:tcPr>
            <w:tcW w:w="1460" w:type="dxa"/>
            <w:vAlign w:val="bottom"/>
          </w:tcPr>
          <w:p>
            <w:pPr>
              <w:jc w:val="right"/>
              <w:spacing w:after="0" w:line="201" w:lineRule="exact"/>
              <w:rPr>
                <w:sz w:val="20"/>
                <w:szCs w:val="20"/>
                <w:color w:val="auto"/>
              </w:rPr>
            </w:pPr>
            <w:r>
              <w:rPr>
                <w:rFonts w:ascii="Arial" w:cs="Arial" w:eastAsia="Arial" w:hAnsi="Arial"/>
                <w:sz w:val="18"/>
                <w:szCs w:val="18"/>
                <w:color w:val="auto"/>
              </w:rPr>
              <w:t>(5,196)</w:t>
            </w: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40" w:type="dxa"/>
            <w:vAlign w:val="bottom"/>
          </w:tcPr>
          <w:p>
            <w:pPr>
              <w:ind w:left="140"/>
              <w:spacing w:after="0" w:line="202" w:lineRule="exact"/>
              <w:rPr>
                <w:sz w:val="20"/>
                <w:szCs w:val="20"/>
                <w:color w:val="auto"/>
              </w:rPr>
            </w:pPr>
            <w:r>
              <w:rPr>
                <w:rFonts w:ascii="Arial" w:cs="Arial" w:eastAsia="Arial" w:hAnsi="Arial"/>
                <w:sz w:val="18"/>
                <w:szCs w:val="18"/>
                <w:color w:val="auto"/>
              </w:rPr>
              <w:t>Cash paid for intangible assets</w:t>
            </w:r>
          </w:p>
        </w:tc>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(735)</w:t>
            </w: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(916)</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40" w:type="dxa"/>
            <w:vAlign w:val="bottom"/>
          </w:tcPr>
          <w:p>
            <w:pPr>
              <w:ind w:left="140"/>
              <w:spacing w:after="0" w:line="202" w:lineRule="exact"/>
              <w:rPr>
                <w:sz w:val="20"/>
                <w:szCs w:val="20"/>
                <w:color w:val="auto"/>
              </w:rPr>
            </w:pPr>
            <w:r>
              <w:rPr>
                <w:rFonts w:ascii="Arial" w:cs="Arial" w:eastAsia="Arial" w:hAnsi="Arial"/>
                <w:sz w:val="18"/>
                <w:szCs w:val="18"/>
                <w:color w:val="auto"/>
              </w:rPr>
              <w:t>Acquisitions and construction of real estate properties</w:t>
            </w:r>
          </w:p>
        </w:tc>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(28)</w:t>
            </w: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(116)</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40" w:type="dxa"/>
            <w:vAlign w:val="bottom"/>
          </w:tcPr>
          <w:p>
            <w:pPr>
              <w:ind w:left="140"/>
              <w:spacing w:after="0" w:line="202" w:lineRule="exact"/>
              <w:rPr>
                <w:sz w:val="20"/>
                <w:szCs w:val="20"/>
                <w:color w:val="auto"/>
              </w:rPr>
            </w:pPr>
            <w:r>
              <w:rPr>
                <w:rFonts w:ascii="Arial" w:cs="Arial" w:eastAsia="Arial" w:hAnsi="Arial"/>
                <w:sz w:val="18"/>
                <w:szCs w:val="18"/>
                <w:color w:val="auto"/>
              </w:rPr>
              <w:t>Acquisitions, net of cash acquired</w:t>
            </w:r>
          </w:p>
        </w:tc>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(477)</w:t>
            </w: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(286)</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40" w:type="dxa"/>
            <w:vAlign w:val="bottom"/>
          </w:tcPr>
          <w:p>
            <w:pPr>
              <w:ind w:left="140"/>
              <w:spacing w:after="0" w:line="202" w:lineRule="exact"/>
              <w:rPr>
                <w:sz w:val="20"/>
                <w:szCs w:val="20"/>
                <w:color w:val="auto"/>
              </w:rPr>
            </w:pPr>
            <w:r>
              <w:rPr>
                <w:rFonts w:ascii="Arial" w:cs="Arial" w:eastAsia="Arial" w:hAnsi="Arial"/>
                <w:sz w:val="18"/>
                <w:szCs w:val="18"/>
                <w:color w:val="auto"/>
              </w:rPr>
              <w:t>Proceeds from sales of businesses and investments</w:t>
            </w:r>
          </w:p>
        </w:tc>
        <w:tc>
          <w:tcPr>
            <w:tcW w:w="14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622</w:t>
            </w: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6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420</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40" w:type="dxa"/>
            <w:vAlign w:val="bottom"/>
          </w:tcPr>
          <w:p>
            <w:pPr>
              <w:ind w:left="140"/>
              <w:spacing w:after="0" w:line="202" w:lineRule="exact"/>
              <w:rPr>
                <w:sz w:val="20"/>
                <w:szCs w:val="20"/>
                <w:color w:val="auto"/>
              </w:rPr>
            </w:pPr>
            <w:r>
              <w:rPr>
                <w:rFonts w:ascii="Arial" w:cs="Arial" w:eastAsia="Arial" w:hAnsi="Arial"/>
                <w:sz w:val="18"/>
                <w:szCs w:val="18"/>
                <w:color w:val="auto"/>
              </w:rPr>
              <w:t>Purchases of investments</w:t>
            </w:r>
          </w:p>
        </w:tc>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(145)</w:t>
            </w: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(712)</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8040" w:type="dxa"/>
            <w:vAlign w:val="bottom"/>
          </w:tcPr>
          <w:p>
            <w:pPr>
              <w:ind w:left="140"/>
              <w:spacing w:after="0"/>
              <w:rPr>
                <w:sz w:val="20"/>
                <w:szCs w:val="20"/>
                <w:color w:val="auto"/>
              </w:rPr>
            </w:pPr>
            <w:r>
              <w:rPr>
                <w:rFonts w:ascii="Arial" w:cs="Arial" w:eastAsia="Arial" w:hAnsi="Arial"/>
                <w:sz w:val="18"/>
                <w:szCs w:val="18"/>
                <w:color w:val="auto"/>
              </w:rPr>
              <w:t>Other</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w:t>
            </w:r>
          </w:p>
        </w:tc>
        <w:tc>
          <w:tcPr>
            <w:tcW w:w="28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268</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2"/>
        </w:trPr>
        <w:tc>
          <w:tcPr>
            <w:tcW w:w="8040" w:type="dxa"/>
            <w:vAlign w:val="bottom"/>
          </w:tcPr>
          <w:p>
            <w:pPr>
              <w:ind w:left="560"/>
              <w:spacing w:after="0"/>
              <w:rPr>
                <w:sz w:val="20"/>
                <w:szCs w:val="20"/>
                <w:color w:val="auto"/>
              </w:rPr>
            </w:pPr>
            <w:r>
              <w:rPr>
                <w:rFonts w:ascii="Arial" w:cs="Arial" w:eastAsia="Arial" w:hAnsi="Arial"/>
                <w:sz w:val="18"/>
                <w:szCs w:val="18"/>
                <w:color w:val="auto"/>
              </w:rPr>
              <w:t>Net cash provided by (used in) investing activities</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(6,080)</w:t>
            </w:r>
          </w:p>
        </w:tc>
        <w:tc>
          <w:tcPr>
            <w:tcW w:w="28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(7,204)</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9"/>
        </w:trPr>
        <w:tc>
          <w:tcPr>
            <w:tcW w:w="804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1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(220)</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8040" w:type="dxa"/>
            <w:vAlign w:val="bottom"/>
          </w:tcPr>
          <w:p>
            <w:pPr>
              <w:ind w:left="140"/>
              <w:spacing w:after="0" w:line="201" w:lineRule="exact"/>
              <w:rPr>
                <w:sz w:val="20"/>
                <w:szCs w:val="20"/>
                <w:color w:val="auto"/>
              </w:rPr>
            </w:pPr>
            <w:r>
              <w:rPr>
                <w:rFonts w:ascii="Arial" w:cs="Arial" w:eastAsia="Arial" w:hAnsi="Arial"/>
                <w:sz w:val="18"/>
                <w:szCs w:val="18"/>
                <w:color w:val="auto"/>
              </w:rPr>
              <w:t>Proceeds from (repayments of) short-term borrowings, net</w:t>
            </w:r>
          </w:p>
        </w:tc>
        <w:tc>
          <w:tcPr>
            <w:tcW w:w="1460" w:type="dxa"/>
            <w:vAlign w:val="bottom"/>
          </w:tcPr>
          <w:p>
            <w:pPr>
              <w:jc w:val="right"/>
              <w:spacing w:after="0" w:line="201" w:lineRule="exact"/>
              <w:rPr>
                <w:sz w:val="20"/>
                <w:szCs w:val="20"/>
                <w:color w:val="auto"/>
              </w:rPr>
            </w:pPr>
            <w:r>
              <w:rPr>
                <w:rFonts w:ascii="Arial" w:cs="Arial" w:eastAsia="Arial" w:hAnsi="Arial"/>
                <w:sz w:val="18"/>
                <w:szCs w:val="18"/>
                <w:color w:val="auto"/>
              </w:rPr>
              <w:t>(437)</w:t>
            </w: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40" w:type="dxa"/>
            <w:vAlign w:val="bottom"/>
          </w:tcPr>
          <w:p>
            <w:pPr>
              <w:ind w:left="140"/>
              <w:spacing w:after="0" w:line="202" w:lineRule="exact"/>
              <w:rPr>
                <w:sz w:val="20"/>
                <w:szCs w:val="20"/>
                <w:color w:val="auto"/>
              </w:rPr>
            </w:pPr>
            <w:r>
              <w:rPr>
                <w:rFonts w:ascii="Arial" w:cs="Arial" w:eastAsia="Arial" w:hAnsi="Arial"/>
                <w:sz w:val="18"/>
                <w:szCs w:val="18"/>
                <w:color w:val="auto"/>
              </w:rPr>
              <w:t>Proceeds from borrowings</w:t>
            </w:r>
          </w:p>
        </w:tc>
        <w:tc>
          <w:tcPr>
            <w:tcW w:w="14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4,182</w:t>
            </w: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6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3,996</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40" w:type="dxa"/>
            <w:vAlign w:val="bottom"/>
          </w:tcPr>
          <w:p>
            <w:pPr>
              <w:ind w:left="140"/>
              <w:spacing w:after="0" w:line="202" w:lineRule="exact"/>
              <w:rPr>
                <w:sz w:val="20"/>
                <w:szCs w:val="20"/>
                <w:color w:val="auto"/>
              </w:rPr>
            </w:pPr>
            <w:r>
              <w:rPr>
                <w:rFonts w:ascii="Arial" w:cs="Arial" w:eastAsia="Arial" w:hAnsi="Arial"/>
                <w:sz w:val="18"/>
                <w:szCs w:val="18"/>
                <w:color w:val="auto"/>
              </w:rPr>
              <w:t>Repurchases and repayments of debt</w:t>
            </w:r>
          </w:p>
        </w:tc>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(3,172)</w:t>
            </w: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(4,353)</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40" w:type="dxa"/>
            <w:vAlign w:val="bottom"/>
          </w:tcPr>
          <w:p>
            <w:pPr>
              <w:ind w:left="140"/>
              <w:spacing w:after="0" w:line="202" w:lineRule="exact"/>
              <w:rPr>
                <w:sz w:val="20"/>
                <w:szCs w:val="20"/>
                <w:color w:val="auto"/>
              </w:rPr>
            </w:pPr>
            <w:r>
              <w:rPr>
                <w:rFonts w:ascii="Arial" w:cs="Arial" w:eastAsia="Arial" w:hAnsi="Arial"/>
                <w:sz w:val="18"/>
                <w:szCs w:val="18"/>
                <w:color w:val="auto"/>
              </w:rPr>
              <w:t>Repurchases and retirements of common stock</w:t>
            </w:r>
          </w:p>
        </w:tc>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(2,250)</w:t>
            </w: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(5,770)</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40" w:type="dxa"/>
            <w:vAlign w:val="bottom"/>
          </w:tcPr>
          <w:p>
            <w:pPr>
              <w:ind w:left="140"/>
              <w:spacing w:after="0" w:line="202" w:lineRule="exact"/>
              <w:rPr>
                <w:sz w:val="20"/>
                <w:szCs w:val="20"/>
                <w:color w:val="auto"/>
              </w:rPr>
            </w:pPr>
            <w:r>
              <w:rPr>
                <w:rFonts w:ascii="Arial" w:cs="Arial" w:eastAsia="Arial" w:hAnsi="Arial"/>
                <w:sz w:val="18"/>
                <w:szCs w:val="18"/>
                <w:color w:val="auto"/>
              </w:rPr>
              <w:t>Dividends paid</w:t>
            </w:r>
          </w:p>
        </w:tc>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(1,676)</w:t>
            </w: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(1,823)</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8040" w:type="dxa"/>
            <w:vAlign w:val="bottom"/>
          </w:tcPr>
          <w:p>
            <w:pPr>
              <w:ind w:left="140"/>
              <w:spacing w:after="0" w:line="205" w:lineRule="exact"/>
              <w:rPr>
                <w:sz w:val="20"/>
                <w:szCs w:val="20"/>
                <w:color w:val="auto"/>
              </w:rPr>
            </w:pPr>
            <w:r>
              <w:rPr>
                <w:rFonts w:ascii="Arial" w:cs="Arial" w:eastAsia="Arial" w:hAnsi="Arial"/>
                <w:sz w:val="18"/>
                <w:szCs w:val="18"/>
                <w:color w:val="auto"/>
              </w:rPr>
              <w:t>Issuances of common stock</w:t>
            </w:r>
          </w:p>
        </w:tc>
        <w:tc>
          <w:tcPr>
            <w:tcW w:w="1460" w:type="dxa"/>
            <w:vAlign w:val="bottom"/>
          </w:tcPr>
          <w:p>
            <w:pPr>
              <w:jc w:val="right"/>
              <w:ind w:right="10"/>
              <w:spacing w:after="0" w:line="205" w:lineRule="exact"/>
              <w:rPr>
                <w:sz w:val="20"/>
                <w:szCs w:val="20"/>
                <w:color w:val="auto"/>
              </w:rPr>
            </w:pPr>
            <w:r>
              <w:rPr>
                <w:rFonts w:ascii="Arial" w:cs="Arial" w:eastAsia="Arial" w:hAnsi="Arial"/>
                <w:sz w:val="18"/>
                <w:szCs w:val="18"/>
                <w:color w:val="auto"/>
              </w:rPr>
              <w:t>33</w:t>
            </w: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60" w:type="dxa"/>
            <w:vAlign w:val="bottom"/>
          </w:tcPr>
          <w:p>
            <w:pPr>
              <w:jc w:val="right"/>
              <w:ind w:right="10"/>
              <w:spacing w:after="0" w:line="205" w:lineRule="exact"/>
              <w:rPr>
                <w:sz w:val="20"/>
                <w:szCs w:val="20"/>
                <w:color w:val="auto"/>
              </w:rPr>
            </w:pPr>
            <w:r>
              <w:rPr>
                <w:rFonts w:ascii="Arial" w:cs="Arial" w:eastAsia="Arial" w:hAnsi="Arial"/>
                <w:sz w:val="18"/>
                <w:szCs w:val="18"/>
                <w:b w:val="1"/>
                <w:bCs w:val="1"/>
                <w:color w:val="auto"/>
              </w:rPr>
              <w:t>35</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40" w:type="dxa"/>
            <w:vAlign w:val="bottom"/>
          </w:tcPr>
          <w:p>
            <w:pPr>
              <w:ind w:left="140"/>
              <w:spacing w:after="0" w:line="202" w:lineRule="exact"/>
              <w:rPr>
                <w:sz w:val="20"/>
                <w:szCs w:val="20"/>
                <w:color w:val="auto"/>
              </w:rPr>
            </w:pPr>
            <w:r>
              <w:rPr>
                <w:rFonts w:ascii="Arial" w:cs="Arial" w:eastAsia="Arial" w:hAnsi="Arial"/>
                <w:sz w:val="18"/>
                <w:szCs w:val="18"/>
                <w:color w:val="auto"/>
              </w:rPr>
              <w:t>Distributions to noncontrolling interests and dividends for redeemable subsidiary preferred</w:t>
            </w:r>
          </w:p>
        </w:tc>
        <w:tc>
          <w:tcPr>
            <w:tcW w:w="1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(178)</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8040" w:type="dxa"/>
            <w:vAlign w:val="bottom"/>
          </w:tcPr>
          <w:p>
            <w:pPr>
              <w:ind w:left="320"/>
              <w:spacing w:after="0" w:line="201" w:lineRule="exact"/>
              <w:rPr>
                <w:sz w:val="20"/>
                <w:szCs w:val="20"/>
                <w:color w:val="auto"/>
              </w:rPr>
            </w:pPr>
            <w:r>
              <w:rPr>
                <w:rFonts w:ascii="Arial" w:cs="Arial" w:eastAsia="Arial" w:hAnsi="Arial"/>
                <w:sz w:val="18"/>
                <w:szCs w:val="18"/>
                <w:color w:val="auto"/>
              </w:rPr>
              <w:t>stock</w:t>
            </w:r>
          </w:p>
        </w:tc>
        <w:tc>
          <w:tcPr>
            <w:tcW w:w="1460" w:type="dxa"/>
            <w:vAlign w:val="bottom"/>
          </w:tcPr>
          <w:p>
            <w:pPr>
              <w:jc w:val="right"/>
              <w:spacing w:after="0" w:line="201" w:lineRule="exact"/>
              <w:rPr>
                <w:sz w:val="20"/>
                <w:szCs w:val="20"/>
                <w:color w:val="auto"/>
              </w:rPr>
            </w:pPr>
            <w:r>
              <w:rPr>
                <w:rFonts w:ascii="Arial" w:cs="Arial" w:eastAsia="Arial" w:hAnsi="Arial"/>
                <w:sz w:val="18"/>
                <w:szCs w:val="18"/>
                <w:color w:val="auto"/>
              </w:rPr>
              <w:t>(170)</w:t>
            </w: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8040" w:type="dxa"/>
            <w:vAlign w:val="bottom"/>
          </w:tcPr>
          <w:p>
            <w:pPr>
              <w:ind w:left="140"/>
              <w:spacing w:after="0"/>
              <w:rPr>
                <w:sz w:val="20"/>
                <w:szCs w:val="20"/>
                <w:color w:val="auto"/>
              </w:rPr>
            </w:pPr>
            <w:r>
              <w:rPr>
                <w:rFonts w:ascii="Arial" w:cs="Arial" w:eastAsia="Arial" w:hAnsi="Arial"/>
                <w:sz w:val="18"/>
                <w:szCs w:val="18"/>
                <w:color w:val="auto"/>
              </w:rPr>
              <w:t>Other</w:t>
            </w:r>
          </w:p>
        </w:tc>
        <w:tc>
          <w:tcPr>
            <w:tcW w:w="14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97</w:t>
            </w:r>
          </w:p>
        </w:tc>
        <w:tc>
          <w:tcPr>
            <w:tcW w:w="28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(313)</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2"/>
        </w:trPr>
        <w:tc>
          <w:tcPr>
            <w:tcW w:w="8040" w:type="dxa"/>
            <w:vAlign w:val="bottom"/>
          </w:tcPr>
          <w:p>
            <w:pPr>
              <w:ind w:left="560"/>
              <w:spacing w:after="0"/>
              <w:rPr>
                <w:sz w:val="20"/>
                <w:szCs w:val="20"/>
                <w:color w:val="auto"/>
              </w:rPr>
            </w:pPr>
            <w:r>
              <w:rPr>
                <w:rFonts w:ascii="Arial" w:cs="Arial" w:eastAsia="Arial" w:hAnsi="Arial"/>
                <w:sz w:val="18"/>
                <w:szCs w:val="18"/>
                <w:color w:val="auto"/>
              </w:rPr>
              <w:t>Net cash provided by (used in) financing activities</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(3,393)</w:t>
            </w:r>
          </w:p>
        </w:tc>
        <w:tc>
          <w:tcPr>
            <w:tcW w:w="28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(8,626)</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8"/>
        </w:trPr>
        <w:tc>
          <w:tcPr>
            <w:tcW w:w="8040" w:type="dxa"/>
            <w:vAlign w:val="bottom"/>
          </w:tcPr>
          <w:p>
            <w:pPr>
              <w:ind w:left="140"/>
              <w:spacing w:after="0"/>
              <w:rPr>
                <w:sz w:val="20"/>
                <w:szCs w:val="20"/>
                <w:color w:val="auto"/>
              </w:rPr>
            </w:pPr>
            <w:r>
              <w:rPr>
                <w:rFonts w:ascii="Arial" w:cs="Arial" w:eastAsia="Arial" w:hAnsi="Arial"/>
                <w:sz w:val="18"/>
                <w:szCs w:val="18"/>
                <w:color w:val="auto"/>
              </w:rPr>
              <w:t>Increase (decrease) in cash and cash equivalents</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2,829</w:t>
            </w: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(2,017)</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3"/>
        </w:trPr>
        <w:tc>
          <w:tcPr>
            <w:tcW w:w="8040" w:type="dxa"/>
            <w:vAlign w:val="bottom"/>
          </w:tcPr>
          <w:p>
            <w:pPr>
              <w:ind w:left="140"/>
              <w:spacing w:after="0"/>
              <w:rPr>
                <w:sz w:val="20"/>
                <w:szCs w:val="20"/>
                <w:color w:val="auto"/>
              </w:rPr>
            </w:pPr>
            <w:r>
              <w:rPr>
                <w:rFonts w:ascii="Arial" w:cs="Arial" w:eastAsia="Arial" w:hAnsi="Arial"/>
                <w:sz w:val="18"/>
                <w:szCs w:val="18"/>
                <w:color w:val="auto"/>
              </w:rPr>
              <w:t>Cash and cash equivalents, beginning of period</w:t>
            </w:r>
          </w:p>
        </w:tc>
        <w:tc>
          <w:tcPr>
            <w:tcW w:w="14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1,718</w:t>
            </w:r>
          </w:p>
        </w:tc>
        <w:tc>
          <w:tcPr>
            <w:tcW w:w="28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3,910</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8040" w:type="dxa"/>
            <w:vAlign w:val="bottom"/>
          </w:tcPr>
          <w:p>
            <w:pPr>
              <w:ind w:left="140"/>
              <w:spacing w:after="0"/>
              <w:rPr>
                <w:sz w:val="20"/>
                <w:szCs w:val="20"/>
                <w:color w:val="auto"/>
              </w:rPr>
            </w:pPr>
            <w:r>
              <w:rPr>
                <w:rFonts w:ascii="Arial" w:cs="Arial" w:eastAsia="Arial" w:hAnsi="Arial"/>
                <w:sz w:val="18"/>
                <w:szCs w:val="18"/>
                <w:b w:val="1"/>
                <w:bCs w:val="1"/>
                <w:color w:val="auto"/>
              </w:rPr>
              <w:t>Cash and cash equivalents, end of period</w:t>
            </w:r>
          </w:p>
        </w:tc>
        <w:tc>
          <w:tcPr>
            <w:tcW w:w="14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$4,547</w:t>
            </w:r>
          </w:p>
        </w:tc>
        <w:tc>
          <w:tcPr>
            <w:tcW w:w="28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$1,893</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040" w:type="dxa"/>
            <w:vAlign w:val="bottom"/>
            <w:vMerge w:val="restart"/>
          </w:tcPr>
          <w:p>
            <w:pPr>
              <w:ind w:left="5640"/>
              <w:spacing w:after="0"/>
              <w:rPr>
                <w:sz w:val="20"/>
                <w:szCs w:val="20"/>
                <w:color w:val="auto"/>
              </w:rPr>
            </w:pPr>
            <w:r>
              <w:rPr>
                <w:rFonts w:ascii="Arial" w:cs="Arial" w:eastAsia="Arial" w:hAnsi="Arial"/>
                <w:sz w:val="14"/>
                <w:szCs w:val="14"/>
                <w:color w:val="auto"/>
              </w:rPr>
              <w:t>10</w:t>
            </w:r>
          </w:p>
        </w:tc>
        <w:tc>
          <w:tcPr>
            <w:tcW w:w="1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8"/>
        </w:trPr>
        <w:tc>
          <w:tcPr>
            <w:tcW w:w="8040" w:type="dxa"/>
            <w:vAlign w:val="bottom"/>
            <w:vMerge w:val="continue"/>
          </w:tcPr>
          <w:p>
            <w:pPr>
              <w:spacing w:after="0"/>
              <w:rPr>
                <w:sz w:val="24"/>
                <w:szCs w:val="24"/>
                <w:color w:val="auto"/>
              </w:rPr>
            </w:pPr>
          </w:p>
        </w:tc>
        <w:tc>
          <w:tcPr>
            <w:tcW w:w="1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8040" w:type="dxa"/>
            <w:vAlign w:val="bottom"/>
            <w:tcBorders>
              <w:bottom w:val="single" w:sz="8" w:color="808080"/>
            </w:tcBorders>
          </w:tcPr>
          <w:p>
            <w:pPr>
              <w:spacing w:after="0"/>
              <w:rPr>
                <w:sz w:val="9"/>
                <w:szCs w:val="9"/>
                <w:color w:val="auto"/>
              </w:rPr>
            </w:pPr>
          </w:p>
        </w:tc>
        <w:tc>
          <w:tcPr>
            <w:tcW w:w="146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29"/>
          <w:szCs w:val="29"/>
          <w:b w:val="1"/>
          <w:bCs w:val="1"/>
          <w:color w:val="C9C9C9"/>
        </w:rPr>
        <w:t>TABLE 4</w:t>
      </w:r>
    </w:p>
    <w:p>
      <w:pPr>
        <w:spacing w:after="0" w:line="50" w:lineRule="exact"/>
        <w:rPr>
          <w:sz w:val="20"/>
          <w:szCs w:val="20"/>
          <w:color w:val="auto"/>
        </w:rPr>
      </w:pPr>
    </w:p>
    <w:p>
      <w:pPr>
        <w:spacing w:after="0"/>
        <w:rPr>
          <w:sz w:val="20"/>
          <w:szCs w:val="20"/>
          <w:color w:val="auto"/>
        </w:rPr>
      </w:pPr>
      <w:r>
        <w:rPr>
          <w:rFonts w:ascii="Arial" w:cs="Arial" w:eastAsia="Arial" w:hAnsi="Arial"/>
          <w:sz w:val="25"/>
          <w:szCs w:val="25"/>
          <w:b w:val="1"/>
          <w:bCs w:val="1"/>
          <w:color w:val="C9C9C9"/>
        </w:rPr>
        <w:t>Supplemental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99695</wp:posOffset>
            </wp:positionV>
            <wp:extent cx="7246620" cy="4114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411480"/>
                    </a:xfrm>
                    <a:prstGeom prst="rect">
                      <a:avLst/>
                    </a:prstGeom>
                    <a:noFill/>
                  </pic:spPr>
                </pic:pic>
              </a:graphicData>
            </a:graphic>
          </wp:anchor>
        </w:drawing>
      </w:r>
    </w:p>
    <w:p>
      <w:pPr>
        <w:spacing w:after="0" w:line="235" w:lineRule="exact"/>
        <w:rPr>
          <w:sz w:val="20"/>
          <w:szCs w:val="20"/>
          <w:color w:val="auto"/>
        </w:rPr>
      </w:pPr>
    </w:p>
    <w:p>
      <w:pPr>
        <w:ind w:right="2940"/>
        <w:spacing w:after="0" w:line="280" w:lineRule="auto"/>
        <w:rPr>
          <w:sz w:val="20"/>
          <w:szCs w:val="20"/>
          <w:color w:val="auto"/>
        </w:rPr>
      </w:pPr>
      <w:r>
        <w:rPr>
          <w:rFonts w:ascii="Arial" w:cs="Arial" w:eastAsia="Arial" w:hAnsi="Arial"/>
          <w:sz w:val="22"/>
          <w:szCs w:val="22"/>
          <w:b w:val="1"/>
          <w:bCs w:val="1"/>
          <w:color w:val="C9C9C9"/>
        </w:rPr>
        <w:t>Alternate Presentation of Net Cash Provided by Operating Activities and Free Cash Flow (Unaudited)</w:t>
      </w:r>
    </w:p>
    <w:p>
      <w:pPr>
        <w:spacing w:after="0" w:line="148"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4580" w:type="dxa"/>
            <w:vAlign w:val="bottom"/>
          </w:tcPr>
          <w:p>
            <w:pPr>
              <w:spacing w:after="0"/>
              <w:rPr>
                <w:sz w:val="14"/>
                <w:szCs w:val="14"/>
                <w:color w:val="auto"/>
              </w:rPr>
            </w:pPr>
          </w:p>
        </w:tc>
        <w:tc>
          <w:tcPr>
            <w:tcW w:w="2040" w:type="dxa"/>
            <w:vAlign w:val="bottom"/>
            <w:gridSpan w:val="3"/>
          </w:tcPr>
          <w:p>
            <w:pPr>
              <w:jc w:val="center"/>
              <w:ind w:left="528"/>
              <w:spacing w:after="0"/>
              <w:rPr>
                <w:sz w:val="20"/>
                <w:szCs w:val="20"/>
                <w:color w:val="auto"/>
              </w:rPr>
            </w:pPr>
            <w:r>
              <w:rPr>
                <w:rFonts w:ascii="Arial" w:cs="Arial" w:eastAsia="Arial" w:hAnsi="Arial"/>
                <w:sz w:val="14"/>
                <w:szCs w:val="14"/>
                <w:b w:val="1"/>
                <w:bCs w:val="1"/>
                <w:color w:val="auto"/>
              </w:rPr>
              <w:t>Three Months Ended</w:t>
            </w:r>
          </w:p>
        </w:tc>
        <w:tc>
          <w:tcPr>
            <w:tcW w:w="620" w:type="dxa"/>
            <w:vAlign w:val="bottom"/>
          </w:tcPr>
          <w:p>
            <w:pPr>
              <w:spacing w:after="0"/>
              <w:rPr>
                <w:sz w:val="14"/>
                <w:szCs w:val="14"/>
                <w:color w:val="auto"/>
              </w:rPr>
            </w:pPr>
          </w:p>
        </w:tc>
        <w:tc>
          <w:tcPr>
            <w:tcW w:w="18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gridSpan w:val="3"/>
          </w:tcPr>
          <w:p>
            <w:pPr>
              <w:jc w:val="center"/>
              <w:ind w:left="548"/>
              <w:spacing w:after="0"/>
              <w:rPr>
                <w:sz w:val="20"/>
                <w:szCs w:val="20"/>
                <w:color w:val="auto"/>
              </w:rPr>
            </w:pPr>
            <w:r>
              <w:rPr>
                <w:rFonts w:ascii="Arial" w:cs="Arial" w:eastAsia="Arial" w:hAnsi="Arial"/>
                <w:sz w:val="14"/>
                <w:szCs w:val="14"/>
                <w:b w:val="1"/>
                <w:bCs w:val="1"/>
                <w:color w:val="auto"/>
              </w:rPr>
              <w:t>Nine Months Ended</w:t>
            </w: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4580" w:type="dxa"/>
            <w:vAlign w:val="bottom"/>
          </w:tcPr>
          <w:p>
            <w:pPr>
              <w:spacing w:after="0"/>
              <w:rPr>
                <w:sz w:val="14"/>
                <w:szCs w:val="14"/>
                <w:color w:val="auto"/>
              </w:rPr>
            </w:pPr>
          </w:p>
        </w:tc>
        <w:tc>
          <w:tcPr>
            <w:tcW w:w="2040" w:type="dxa"/>
            <w:vAlign w:val="bottom"/>
            <w:gridSpan w:val="3"/>
          </w:tcPr>
          <w:p>
            <w:pPr>
              <w:jc w:val="center"/>
              <w:ind w:left="528"/>
              <w:spacing w:after="0"/>
              <w:rPr>
                <w:sz w:val="20"/>
                <w:szCs w:val="20"/>
                <w:color w:val="auto"/>
              </w:rPr>
            </w:pPr>
            <w:r>
              <w:rPr>
                <w:rFonts w:ascii="Arial" w:cs="Arial" w:eastAsia="Arial" w:hAnsi="Arial"/>
                <w:sz w:val="14"/>
                <w:szCs w:val="14"/>
                <w:b w:val="1"/>
                <w:bCs w:val="1"/>
                <w:color w:val="auto"/>
              </w:rPr>
              <w:t>September 30,</w:t>
            </w:r>
          </w:p>
        </w:tc>
        <w:tc>
          <w:tcPr>
            <w:tcW w:w="62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w w:val="96"/>
              </w:rPr>
              <w:t>2015</w:t>
            </w:r>
          </w:p>
        </w:tc>
        <w:tc>
          <w:tcPr>
            <w:tcW w:w="18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gridSpan w:val="3"/>
          </w:tcPr>
          <w:p>
            <w:pPr>
              <w:jc w:val="center"/>
              <w:ind w:left="568"/>
              <w:spacing w:after="0"/>
              <w:rPr>
                <w:sz w:val="20"/>
                <w:szCs w:val="20"/>
                <w:color w:val="auto"/>
              </w:rPr>
            </w:pPr>
            <w:r>
              <w:rPr>
                <w:rFonts w:ascii="Arial" w:cs="Arial" w:eastAsia="Arial" w:hAnsi="Arial"/>
                <w:sz w:val="14"/>
                <w:szCs w:val="14"/>
                <w:b w:val="1"/>
                <w:bCs w:val="1"/>
                <w:color w:val="auto"/>
              </w:rPr>
              <w:t>September 30,</w:t>
            </w:r>
          </w:p>
        </w:tc>
        <w:tc>
          <w:tcPr>
            <w:tcW w:w="62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175"/>
        </w:trPr>
        <w:tc>
          <w:tcPr>
            <w:tcW w:w="4580" w:type="dxa"/>
            <w:vAlign w:val="bottom"/>
          </w:tcPr>
          <w:p>
            <w:pPr>
              <w:spacing w:after="0"/>
              <w:rPr>
                <w:sz w:val="20"/>
                <w:szCs w:val="20"/>
                <w:color w:val="auto"/>
              </w:rPr>
            </w:pPr>
            <w:r>
              <w:rPr>
                <w:rFonts w:ascii="Arial" w:cs="Arial" w:eastAsia="Arial" w:hAnsi="Arial"/>
                <w:sz w:val="14"/>
                <w:szCs w:val="14"/>
                <w:color w:val="auto"/>
              </w:rPr>
              <w:t>(in millions)</w:t>
            </w:r>
          </w:p>
        </w:tc>
        <w:tc>
          <w:tcPr>
            <w:tcW w:w="9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2014</w:t>
            </w:r>
          </w:p>
        </w:tc>
        <w:tc>
          <w:tcPr>
            <w:tcW w:w="8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18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2014</w:t>
            </w:r>
          </w:p>
        </w:tc>
        <w:tc>
          <w:tcPr>
            <w:tcW w:w="8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4580" w:type="dxa"/>
            <w:vAlign w:val="bottom"/>
          </w:tcPr>
          <w:p>
            <w:pPr>
              <w:spacing w:after="0" w:line="141" w:lineRule="exact"/>
              <w:rPr>
                <w:sz w:val="20"/>
                <w:szCs w:val="20"/>
                <w:color w:val="auto"/>
              </w:rPr>
            </w:pPr>
            <w:r>
              <w:rPr>
                <w:rFonts w:ascii="Arial" w:cs="Arial" w:eastAsia="Arial" w:hAnsi="Arial"/>
                <w:sz w:val="14"/>
                <w:szCs w:val="14"/>
                <w:color w:val="auto"/>
              </w:rPr>
              <w:t>Operating income</w:t>
            </w:r>
          </w:p>
        </w:tc>
        <w:tc>
          <w:tcPr>
            <w:tcW w:w="900" w:type="dxa"/>
            <w:vAlign w:val="bottom"/>
          </w:tcPr>
          <w:p>
            <w:pPr>
              <w:jc w:val="right"/>
              <w:ind w:right="8"/>
              <w:spacing w:after="0" w:line="141" w:lineRule="exact"/>
              <w:rPr>
                <w:sz w:val="20"/>
                <w:szCs w:val="20"/>
                <w:color w:val="auto"/>
              </w:rPr>
            </w:pPr>
            <w:r>
              <w:rPr>
                <w:rFonts w:ascii="Arial" w:cs="Arial" w:eastAsia="Arial" w:hAnsi="Arial"/>
                <w:sz w:val="14"/>
                <w:szCs w:val="14"/>
                <w:color w:val="auto"/>
              </w:rPr>
              <w:t>$3,745</w:t>
            </w: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jc w:val="right"/>
              <w:ind w:right="28"/>
              <w:spacing w:after="0" w:line="141" w:lineRule="exact"/>
              <w:rPr>
                <w:sz w:val="20"/>
                <w:szCs w:val="20"/>
                <w:color w:val="auto"/>
              </w:rPr>
            </w:pPr>
            <w:r>
              <w:rPr>
                <w:rFonts w:ascii="Arial" w:cs="Arial" w:eastAsia="Arial" w:hAnsi="Arial"/>
                <w:sz w:val="14"/>
                <w:szCs w:val="14"/>
                <w:b w:val="1"/>
                <w:bCs w:val="1"/>
                <w:color w:val="auto"/>
              </w:rPr>
              <w:t>$4,001</w:t>
            </w:r>
          </w:p>
        </w:tc>
        <w:tc>
          <w:tcPr>
            <w:tcW w:w="18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right"/>
              <w:ind w:right="28"/>
              <w:spacing w:after="0" w:line="141" w:lineRule="exact"/>
              <w:rPr>
                <w:sz w:val="20"/>
                <w:szCs w:val="20"/>
                <w:color w:val="auto"/>
              </w:rPr>
            </w:pPr>
            <w:r>
              <w:rPr>
                <w:rFonts w:ascii="Arial" w:cs="Arial" w:eastAsia="Arial" w:hAnsi="Arial"/>
                <w:sz w:val="14"/>
                <w:szCs w:val="14"/>
                <w:color w:val="auto"/>
              </w:rPr>
              <w:t>$11,117</w:t>
            </w: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jc w:val="right"/>
              <w:ind w:right="8"/>
              <w:spacing w:after="0" w:line="141" w:lineRule="exact"/>
              <w:rPr>
                <w:sz w:val="20"/>
                <w:szCs w:val="20"/>
                <w:color w:val="auto"/>
              </w:rPr>
            </w:pPr>
            <w:r>
              <w:rPr>
                <w:rFonts w:ascii="Arial" w:cs="Arial" w:eastAsia="Arial" w:hAnsi="Arial"/>
                <w:sz w:val="14"/>
                <w:szCs w:val="14"/>
                <w:b w:val="1"/>
                <w:bCs w:val="1"/>
                <w:color w:val="auto"/>
              </w:rPr>
              <w:t>$11,996</w:t>
            </w:r>
          </w:p>
        </w:tc>
        <w:tc>
          <w:tcPr>
            <w:tcW w:w="0" w:type="dxa"/>
            <w:vAlign w:val="bottom"/>
          </w:tcPr>
          <w:p>
            <w:pPr>
              <w:spacing w:after="0"/>
              <w:rPr>
                <w:sz w:val="1"/>
                <w:szCs w:val="1"/>
                <w:color w:val="auto"/>
              </w:rPr>
            </w:pPr>
          </w:p>
        </w:tc>
      </w:tr>
      <w:tr>
        <w:trPr>
          <w:trHeight w:val="177"/>
        </w:trPr>
        <w:tc>
          <w:tcPr>
            <w:tcW w:w="4580" w:type="dxa"/>
            <w:vAlign w:val="bottom"/>
          </w:tcPr>
          <w:p>
            <w:pPr>
              <w:spacing w:after="0"/>
              <w:rPr>
                <w:sz w:val="20"/>
                <w:szCs w:val="20"/>
                <w:color w:val="auto"/>
              </w:rPr>
            </w:pPr>
            <w:r>
              <w:rPr>
                <w:rFonts w:ascii="Arial" w:cs="Arial" w:eastAsia="Arial" w:hAnsi="Arial"/>
                <w:sz w:val="14"/>
                <w:szCs w:val="14"/>
                <w:color w:val="auto"/>
              </w:rPr>
              <w:t>Depreciation and amortization</w:t>
            </w: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1,959</w:t>
            </w:r>
          </w:p>
        </w:tc>
        <w:tc>
          <w:tcPr>
            <w:tcW w:w="8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2,183</w:t>
            </w:r>
          </w:p>
        </w:tc>
        <w:tc>
          <w:tcPr>
            <w:tcW w:w="18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5,929</w:t>
            </w:r>
          </w:p>
        </w:tc>
        <w:tc>
          <w:tcPr>
            <w:tcW w:w="8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6,410</w:t>
            </w:r>
          </w:p>
        </w:tc>
        <w:tc>
          <w:tcPr>
            <w:tcW w:w="0" w:type="dxa"/>
            <w:vAlign w:val="bottom"/>
          </w:tcPr>
          <w:p>
            <w:pPr>
              <w:spacing w:after="0"/>
              <w:rPr>
                <w:sz w:val="1"/>
                <w:szCs w:val="1"/>
                <w:color w:val="auto"/>
              </w:rPr>
            </w:pPr>
          </w:p>
        </w:tc>
      </w:tr>
      <w:tr>
        <w:trPr>
          <w:trHeight w:val="140"/>
        </w:trPr>
        <w:tc>
          <w:tcPr>
            <w:tcW w:w="4580" w:type="dxa"/>
            <w:vAlign w:val="bottom"/>
          </w:tcPr>
          <w:p>
            <w:pPr>
              <w:spacing w:after="0" w:line="141" w:lineRule="exact"/>
              <w:rPr>
                <w:sz w:val="20"/>
                <w:szCs w:val="20"/>
                <w:color w:val="auto"/>
              </w:rPr>
            </w:pPr>
            <w:r>
              <w:rPr>
                <w:rFonts w:ascii="Arial" w:cs="Arial" w:eastAsia="Arial" w:hAnsi="Arial"/>
                <w:sz w:val="14"/>
                <w:szCs w:val="14"/>
                <w:color w:val="auto"/>
              </w:rPr>
              <w:t>Operating income before depreciation and amortization</w:t>
            </w:r>
          </w:p>
        </w:tc>
        <w:tc>
          <w:tcPr>
            <w:tcW w:w="900" w:type="dxa"/>
            <w:vAlign w:val="bottom"/>
          </w:tcPr>
          <w:p>
            <w:pPr>
              <w:jc w:val="right"/>
              <w:ind w:right="8"/>
              <w:spacing w:after="0" w:line="141" w:lineRule="exact"/>
              <w:rPr>
                <w:sz w:val="20"/>
                <w:szCs w:val="20"/>
                <w:color w:val="auto"/>
              </w:rPr>
            </w:pPr>
            <w:r>
              <w:rPr>
                <w:rFonts w:ascii="Arial" w:cs="Arial" w:eastAsia="Arial" w:hAnsi="Arial"/>
                <w:sz w:val="14"/>
                <w:szCs w:val="14"/>
                <w:color w:val="auto"/>
              </w:rPr>
              <w:t>5,704</w:t>
            </w: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jc w:val="right"/>
              <w:ind w:right="28"/>
              <w:spacing w:after="0" w:line="141" w:lineRule="exact"/>
              <w:rPr>
                <w:sz w:val="20"/>
                <w:szCs w:val="20"/>
                <w:color w:val="auto"/>
              </w:rPr>
            </w:pPr>
            <w:r>
              <w:rPr>
                <w:rFonts w:ascii="Arial" w:cs="Arial" w:eastAsia="Arial" w:hAnsi="Arial"/>
                <w:sz w:val="14"/>
                <w:szCs w:val="14"/>
                <w:b w:val="1"/>
                <w:bCs w:val="1"/>
                <w:color w:val="auto"/>
              </w:rPr>
              <w:t>6,184</w:t>
            </w:r>
          </w:p>
        </w:tc>
        <w:tc>
          <w:tcPr>
            <w:tcW w:w="18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right"/>
              <w:ind w:right="28"/>
              <w:spacing w:after="0" w:line="141" w:lineRule="exact"/>
              <w:rPr>
                <w:sz w:val="20"/>
                <w:szCs w:val="20"/>
                <w:color w:val="auto"/>
              </w:rPr>
            </w:pPr>
            <w:r>
              <w:rPr>
                <w:rFonts w:ascii="Arial" w:cs="Arial" w:eastAsia="Arial" w:hAnsi="Arial"/>
                <w:sz w:val="14"/>
                <w:szCs w:val="14"/>
                <w:color w:val="auto"/>
              </w:rPr>
              <w:t>17,046</w:t>
            </w: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jc w:val="right"/>
              <w:ind w:right="8"/>
              <w:spacing w:after="0" w:line="141" w:lineRule="exact"/>
              <w:rPr>
                <w:sz w:val="20"/>
                <w:szCs w:val="20"/>
                <w:color w:val="auto"/>
              </w:rPr>
            </w:pPr>
            <w:r>
              <w:rPr>
                <w:rFonts w:ascii="Arial" w:cs="Arial" w:eastAsia="Arial" w:hAnsi="Arial"/>
                <w:sz w:val="14"/>
                <w:szCs w:val="14"/>
                <w:b w:val="1"/>
                <w:bCs w:val="1"/>
                <w:color w:val="auto"/>
              </w:rPr>
              <w:t>18,406</w:t>
            </w:r>
          </w:p>
        </w:tc>
        <w:tc>
          <w:tcPr>
            <w:tcW w:w="0" w:type="dxa"/>
            <w:vAlign w:val="bottom"/>
          </w:tcPr>
          <w:p>
            <w:pPr>
              <w:spacing w:after="0"/>
              <w:rPr>
                <w:sz w:val="1"/>
                <w:szCs w:val="1"/>
                <w:color w:val="auto"/>
              </w:rPr>
            </w:pPr>
          </w:p>
        </w:tc>
      </w:tr>
      <w:tr>
        <w:trPr>
          <w:trHeight w:val="202"/>
        </w:trPr>
        <w:tc>
          <w:tcPr>
            <w:tcW w:w="4580" w:type="dxa"/>
            <w:vAlign w:val="bottom"/>
          </w:tcPr>
          <w:p>
            <w:pPr>
              <w:spacing w:after="0"/>
              <w:rPr>
                <w:sz w:val="20"/>
                <w:szCs w:val="20"/>
                <w:color w:val="auto"/>
              </w:rPr>
            </w:pPr>
            <w:r>
              <w:rPr>
                <w:rFonts w:ascii="Arial" w:cs="Arial" w:eastAsia="Arial" w:hAnsi="Arial"/>
                <w:sz w:val="14"/>
                <w:szCs w:val="14"/>
                <w:color w:val="auto"/>
              </w:rPr>
              <w:t>Noncash share-based compensation expense</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120</w:t>
            </w: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b w:val="1"/>
                <w:bCs w:val="1"/>
                <w:color w:val="auto"/>
              </w:rPr>
              <w:t>136</w:t>
            </w:r>
          </w:p>
        </w:tc>
        <w:tc>
          <w:tcPr>
            <w:tcW w:w="18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386</w:t>
            </w: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b w:val="1"/>
                <w:bCs w:val="1"/>
                <w:color w:val="auto"/>
              </w:rPr>
              <w:t>430</w:t>
            </w:r>
          </w:p>
        </w:tc>
        <w:tc>
          <w:tcPr>
            <w:tcW w:w="0" w:type="dxa"/>
            <w:vAlign w:val="bottom"/>
          </w:tcPr>
          <w:p>
            <w:pPr>
              <w:spacing w:after="0"/>
              <w:rPr>
                <w:sz w:val="1"/>
                <w:szCs w:val="1"/>
                <w:color w:val="auto"/>
              </w:rPr>
            </w:pPr>
          </w:p>
        </w:tc>
      </w:tr>
      <w:tr>
        <w:trPr>
          <w:trHeight w:val="113"/>
        </w:trPr>
        <w:tc>
          <w:tcPr>
            <w:tcW w:w="4580" w:type="dxa"/>
            <w:vAlign w:val="bottom"/>
          </w:tcPr>
          <w:p>
            <w:pPr>
              <w:spacing w:after="0"/>
              <w:rPr>
                <w:sz w:val="9"/>
                <w:szCs w:val="9"/>
                <w:color w:val="auto"/>
              </w:rPr>
            </w:pPr>
          </w:p>
        </w:tc>
        <w:tc>
          <w:tcPr>
            <w:tcW w:w="900" w:type="dxa"/>
            <w:vAlign w:val="bottom"/>
          </w:tcPr>
          <w:p>
            <w:pPr>
              <w:spacing w:after="0"/>
              <w:rPr>
                <w:sz w:val="9"/>
                <w:szCs w:val="9"/>
                <w:color w:val="auto"/>
              </w:rPr>
            </w:pPr>
          </w:p>
        </w:tc>
        <w:tc>
          <w:tcPr>
            <w:tcW w:w="8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20" w:type="dxa"/>
            <w:vAlign w:val="bottom"/>
          </w:tcPr>
          <w:p>
            <w:pPr>
              <w:spacing w:after="0"/>
              <w:rPr>
                <w:sz w:val="9"/>
                <w:szCs w:val="9"/>
                <w:color w:val="auto"/>
              </w:rPr>
            </w:pPr>
          </w:p>
        </w:tc>
        <w:tc>
          <w:tcPr>
            <w:tcW w:w="0" w:type="dxa"/>
            <w:vAlign w:val="bottom"/>
          </w:tcPr>
          <w:p>
            <w:pPr>
              <w:spacing w:after="0"/>
              <w:rPr>
                <w:sz w:val="1"/>
                <w:szCs w:val="1"/>
                <w:color w:val="auto"/>
              </w:rPr>
            </w:pPr>
          </w:p>
        </w:tc>
      </w:tr>
    </w:tbl>
    <w:p>
      <w:pPr>
        <w:sectPr>
          <w:pgSz w:w="11900" w:h="16900" w:orient="portrait"/>
          <w:cols w:equalWidth="0" w:num="1">
            <w:col w:w="11460"/>
          </w:cols>
          <w:pgMar w:left="240" w:top="834" w:right="199" w:bottom="0" w:gutter="0" w:footer="0" w:header="0"/>
        </w:sectPr>
      </w:pPr>
    </w:p>
    <w:bookmarkStart w:id="9" w:name="page10"/>
    <w:bookmarkEnd w:id="9"/>
    <w:p>
      <w:pPr>
        <w:spacing w:after="0" w:line="62" w:lineRule="exact"/>
        <w:rPr>
          <w:sz w:val="20"/>
          <w:szCs w:val="20"/>
          <w:color w:val="auto"/>
        </w:rPr>
      </w:pPr>
    </w:p>
    <w:tbl>
      <w:tblPr>
        <w:tblLayout w:type="fixed"/>
        <w:tblInd w:w="340" w:type="dxa"/>
        <w:tblCellMar>
          <w:top w:w="0" w:type="dxa"/>
          <w:left w:w="0" w:type="dxa"/>
          <w:bottom w:w="0" w:type="dxa"/>
          <w:right w:w="0" w:type="dxa"/>
        </w:tblCellMar>
      </w:tblPr>
      <w:tr>
        <w:trPr>
          <w:trHeight w:val="162"/>
        </w:trPr>
        <w:tc>
          <w:tcPr>
            <w:tcW w:w="4580" w:type="dxa"/>
            <w:vAlign w:val="bottom"/>
          </w:tcPr>
          <w:p>
            <w:pPr>
              <w:spacing w:after="0"/>
              <w:rPr>
                <w:sz w:val="20"/>
                <w:szCs w:val="20"/>
                <w:color w:val="auto"/>
              </w:rPr>
            </w:pPr>
            <w:r>
              <w:rPr>
                <w:rFonts w:ascii="Arial" w:cs="Arial" w:eastAsia="Arial" w:hAnsi="Arial"/>
                <w:sz w:val="14"/>
                <w:szCs w:val="14"/>
                <w:color w:val="auto"/>
              </w:rPr>
              <w:t>Changes in operating assets and liabilities</w:t>
            </w: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562</w:t>
            </w:r>
          </w:p>
        </w:tc>
        <w:tc>
          <w:tcPr>
            <w:tcW w:w="840" w:type="dxa"/>
            <w:vAlign w:val="bottom"/>
          </w:tcPr>
          <w:p>
            <w:pPr>
              <w:spacing w:after="0"/>
              <w:rPr>
                <w:sz w:val="14"/>
                <w:szCs w:val="14"/>
                <w:color w:val="auto"/>
              </w:rPr>
            </w:pP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412</w:t>
            </w:r>
          </w:p>
        </w:tc>
        <w:tc>
          <w:tcPr>
            <w:tcW w:w="18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(343)</w:t>
            </w:r>
          </w:p>
        </w:tc>
        <w:tc>
          <w:tcPr>
            <w:tcW w:w="800" w:type="dxa"/>
            <w:vAlign w:val="bottom"/>
          </w:tcPr>
          <w:p>
            <w:pPr>
              <w:spacing w:after="0"/>
              <w:rPr>
                <w:sz w:val="14"/>
                <w:szCs w:val="14"/>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108</w:t>
            </w:r>
          </w:p>
        </w:tc>
        <w:tc>
          <w:tcPr>
            <w:tcW w:w="0" w:type="dxa"/>
            <w:vAlign w:val="bottom"/>
          </w:tcPr>
          <w:p>
            <w:pPr>
              <w:spacing w:after="0"/>
              <w:rPr>
                <w:sz w:val="1"/>
                <w:szCs w:val="1"/>
                <w:color w:val="auto"/>
              </w:rPr>
            </w:pPr>
          </w:p>
        </w:tc>
      </w:tr>
      <w:tr>
        <w:trPr>
          <w:trHeight w:val="140"/>
        </w:trPr>
        <w:tc>
          <w:tcPr>
            <w:tcW w:w="4580" w:type="dxa"/>
            <w:vAlign w:val="bottom"/>
          </w:tcPr>
          <w:p>
            <w:pPr>
              <w:spacing w:after="0" w:line="141" w:lineRule="exact"/>
              <w:rPr>
                <w:sz w:val="20"/>
                <w:szCs w:val="20"/>
                <w:color w:val="auto"/>
              </w:rPr>
            </w:pPr>
            <w:r>
              <w:rPr>
                <w:rFonts w:ascii="Arial" w:cs="Arial" w:eastAsia="Arial" w:hAnsi="Arial"/>
                <w:sz w:val="14"/>
                <w:szCs w:val="14"/>
                <w:color w:val="auto"/>
              </w:rPr>
              <w:t>Cash basis operating income</w:t>
            </w:r>
          </w:p>
        </w:tc>
        <w:tc>
          <w:tcPr>
            <w:tcW w:w="900" w:type="dxa"/>
            <w:vAlign w:val="bottom"/>
          </w:tcPr>
          <w:p>
            <w:pPr>
              <w:jc w:val="right"/>
              <w:ind w:right="8"/>
              <w:spacing w:after="0" w:line="141" w:lineRule="exact"/>
              <w:rPr>
                <w:sz w:val="20"/>
                <w:szCs w:val="20"/>
                <w:color w:val="auto"/>
              </w:rPr>
            </w:pPr>
            <w:r>
              <w:rPr>
                <w:rFonts w:ascii="Arial" w:cs="Arial" w:eastAsia="Arial" w:hAnsi="Arial"/>
                <w:sz w:val="14"/>
                <w:szCs w:val="14"/>
                <w:color w:val="auto"/>
              </w:rPr>
              <w:t>6,386</w:t>
            </w:r>
          </w:p>
        </w:tc>
        <w:tc>
          <w:tcPr>
            <w:tcW w:w="840" w:type="dxa"/>
            <w:vAlign w:val="bottom"/>
          </w:tcPr>
          <w:p>
            <w:pPr>
              <w:spacing w:after="0"/>
              <w:rPr>
                <w:sz w:val="12"/>
                <w:szCs w:val="12"/>
                <w:color w:val="auto"/>
              </w:rPr>
            </w:pPr>
          </w:p>
        </w:tc>
        <w:tc>
          <w:tcPr>
            <w:tcW w:w="920" w:type="dxa"/>
            <w:vAlign w:val="bottom"/>
          </w:tcPr>
          <w:p>
            <w:pPr>
              <w:jc w:val="right"/>
              <w:ind w:right="28"/>
              <w:spacing w:after="0" w:line="141" w:lineRule="exact"/>
              <w:rPr>
                <w:sz w:val="20"/>
                <w:szCs w:val="20"/>
                <w:color w:val="auto"/>
              </w:rPr>
            </w:pPr>
            <w:r>
              <w:rPr>
                <w:rFonts w:ascii="Arial" w:cs="Arial" w:eastAsia="Arial" w:hAnsi="Arial"/>
                <w:sz w:val="14"/>
                <w:szCs w:val="14"/>
                <w:b w:val="1"/>
                <w:bCs w:val="1"/>
                <w:color w:val="auto"/>
              </w:rPr>
              <w:t>6,732</w:t>
            </w:r>
          </w:p>
        </w:tc>
        <w:tc>
          <w:tcPr>
            <w:tcW w:w="18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right"/>
              <w:ind w:right="28"/>
              <w:spacing w:after="0" w:line="141" w:lineRule="exact"/>
              <w:rPr>
                <w:sz w:val="20"/>
                <w:szCs w:val="20"/>
                <w:color w:val="auto"/>
              </w:rPr>
            </w:pPr>
            <w:r>
              <w:rPr>
                <w:rFonts w:ascii="Arial" w:cs="Arial" w:eastAsia="Arial" w:hAnsi="Arial"/>
                <w:sz w:val="14"/>
                <w:szCs w:val="14"/>
                <w:color w:val="auto"/>
              </w:rPr>
              <w:t>17,089</w:t>
            </w:r>
          </w:p>
        </w:tc>
        <w:tc>
          <w:tcPr>
            <w:tcW w:w="800" w:type="dxa"/>
            <w:vAlign w:val="bottom"/>
          </w:tcPr>
          <w:p>
            <w:pPr>
              <w:spacing w:after="0"/>
              <w:rPr>
                <w:sz w:val="12"/>
                <w:szCs w:val="12"/>
                <w:color w:val="auto"/>
              </w:rPr>
            </w:pPr>
          </w:p>
        </w:tc>
        <w:tc>
          <w:tcPr>
            <w:tcW w:w="900" w:type="dxa"/>
            <w:vAlign w:val="bottom"/>
          </w:tcPr>
          <w:p>
            <w:pPr>
              <w:jc w:val="right"/>
              <w:ind w:right="8"/>
              <w:spacing w:after="0" w:line="141" w:lineRule="exact"/>
              <w:rPr>
                <w:sz w:val="20"/>
                <w:szCs w:val="20"/>
                <w:color w:val="auto"/>
              </w:rPr>
            </w:pPr>
            <w:r>
              <w:rPr>
                <w:rFonts w:ascii="Arial" w:cs="Arial" w:eastAsia="Arial" w:hAnsi="Arial"/>
                <w:sz w:val="14"/>
                <w:szCs w:val="14"/>
                <w:b w:val="1"/>
                <w:bCs w:val="1"/>
                <w:color w:val="auto"/>
              </w:rPr>
              <w:t>18,944</w:t>
            </w:r>
          </w:p>
        </w:tc>
        <w:tc>
          <w:tcPr>
            <w:tcW w:w="0" w:type="dxa"/>
            <w:vAlign w:val="bottom"/>
          </w:tcPr>
          <w:p>
            <w:pPr>
              <w:spacing w:after="0"/>
              <w:rPr>
                <w:sz w:val="1"/>
                <w:szCs w:val="1"/>
                <w:color w:val="auto"/>
              </w:rPr>
            </w:pPr>
          </w:p>
        </w:tc>
      </w:tr>
      <w:tr>
        <w:trPr>
          <w:trHeight w:val="162"/>
        </w:trPr>
        <w:tc>
          <w:tcPr>
            <w:tcW w:w="4580" w:type="dxa"/>
            <w:vAlign w:val="bottom"/>
          </w:tcPr>
          <w:p>
            <w:pPr>
              <w:spacing w:after="0"/>
              <w:rPr>
                <w:sz w:val="20"/>
                <w:szCs w:val="20"/>
                <w:color w:val="auto"/>
              </w:rPr>
            </w:pPr>
            <w:r>
              <w:rPr>
                <w:rFonts w:ascii="Arial" w:cs="Arial" w:eastAsia="Arial" w:hAnsi="Arial"/>
                <w:sz w:val="14"/>
                <w:szCs w:val="14"/>
                <w:color w:val="auto"/>
              </w:rPr>
              <w:t>Payments of interest</w:t>
            </w:r>
          </w:p>
        </w:tc>
        <w:tc>
          <w:tcPr>
            <w:tcW w:w="900" w:type="dxa"/>
            <w:vAlign w:val="bottom"/>
          </w:tcPr>
          <w:p>
            <w:pPr>
              <w:jc w:val="right"/>
              <w:spacing w:after="0"/>
              <w:rPr>
                <w:sz w:val="20"/>
                <w:szCs w:val="20"/>
                <w:color w:val="auto"/>
              </w:rPr>
            </w:pPr>
            <w:r>
              <w:rPr>
                <w:rFonts w:ascii="Arial" w:cs="Arial" w:eastAsia="Arial" w:hAnsi="Arial"/>
                <w:sz w:val="14"/>
                <w:szCs w:val="14"/>
                <w:color w:val="auto"/>
              </w:rPr>
              <w:t>(656)</w:t>
            </w:r>
          </w:p>
        </w:tc>
        <w:tc>
          <w:tcPr>
            <w:tcW w:w="8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(673)</w:t>
            </w:r>
          </w:p>
        </w:tc>
        <w:tc>
          <w:tcPr>
            <w:tcW w:w="18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(1,820)</w:t>
            </w:r>
          </w:p>
        </w:tc>
        <w:tc>
          <w:tcPr>
            <w:tcW w:w="8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(1,914)</w:t>
            </w:r>
          </w:p>
        </w:tc>
        <w:tc>
          <w:tcPr>
            <w:tcW w:w="0" w:type="dxa"/>
            <w:vAlign w:val="bottom"/>
          </w:tcPr>
          <w:p>
            <w:pPr>
              <w:spacing w:after="0"/>
              <w:rPr>
                <w:sz w:val="1"/>
                <w:szCs w:val="1"/>
                <w:color w:val="auto"/>
              </w:rPr>
            </w:pPr>
          </w:p>
        </w:tc>
      </w:tr>
      <w:tr>
        <w:trPr>
          <w:trHeight w:val="162"/>
        </w:trPr>
        <w:tc>
          <w:tcPr>
            <w:tcW w:w="4580" w:type="dxa"/>
            <w:vAlign w:val="bottom"/>
          </w:tcPr>
          <w:p>
            <w:pPr>
              <w:spacing w:after="0"/>
              <w:rPr>
                <w:sz w:val="20"/>
                <w:szCs w:val="20"/>
                <w:color w:val="auto"/>
              </w:rPr>
            </w:pPr>
            <w:r>
              <w:rPr>
                <w:rFonts w:ascii="Arial" w:cs="Arial" w:eastAsia="Arial" w:hAnsi="Arial"/>
                <w:sz w:val="14"/>
                <w:szCs w:val="14"/>
                <w:color w:val="auto"/>
              </w:rPr>
              <w:t>Payments of income taxes</w:t>
            </w:r>
          </w:p>
        </w:tc>
        <w:tc>
          <w:tcPr>
            <w:tcW w:w="900" w:type="dxa"/>
            <w:vAlign w:val="bottom"/>
          </w:tcPr>
          <w:p>
            <w:pPr>
              <w:jc w:val="right"/>
              <w:spacing w:after="0"/>
              <w:rPr>
                <w:sz w:val="20"/>
                <w:szCs w:val="20"/>
                <w:color w:val="auto"/>
              </w:rPr>
            </w:pPr>
            <w:r>
              <w:rPr>
                <w:rFonts w:ascii="Arial" w:cs="Arial" w:eastAsia="Arial" w:hAnsi="Arial"/>
                <w:sz w:val="14"/>
                <w:szCs w:val="14"/>
                <w:color w:val="auto"/>
              </w:rPr>
              <w:t>(974)</w:t>
            </w:r>
          </w:p>
        </w:tc>
        <w:tc>
          <w:tcPr>
            <w:tcW w:w="8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(1,146)</w:t>
            </w:r>
          </w:p>
        </w:tc>
        <w:tc>
          <w:tcPr>
            <w:tcW w:w="18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(2,878)</w:t>
            </w:r>
          </w:p>
        </w:tc>
        <w:tc>
          <w:tcPr>
            <w:tcW w:w="8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(3,145)</w:t>
            </w:r>
          </w:p>
        </w:tc>
        <w:tc>
          <w:tcPr>
            <w:tcW w:w="0" w:type="dxa"/>
            <w:vAlign w:val="bottom"/>
          </w:tcPr>
          <w:p>
            <w:pPr>
              <w:spacing w:after="0"/>
              <w:rPr>
                <w:sz w:val="1"/>
                <w:szCs w:val="1"/>
                <w:color w:val="auto"/>
              </w:rPr>
            </w:pPr>
          </w:p>
        </w:tc>
      </w:tr>
      <w:tr>
        <w:trPr>
          <w:trHeight w:val="162"/>
        </w:trPr>
        <w:tc>
          <w:tcPr>
            <w:tcW w:w="4580" w:type="dxa"/>
            <w:vAlign w:val="bottom"/>
          </w:tcPr>
          <w:p>
            <w:pPr>
              <w:spacing w:after="0"/>
              <w:rPr>
                <w:sz w:val="20"/>
                <w:szCs w:val="20"/>
                <w:color w:val="auto"/>
              </w:rPr>
            </w:pPr>
            <w:r>
              <w:rPr>
                <w:rFonts w:ascii="Arial" w:cs="Arial" w:eastAsia="Arial" w:hAnsi="Arial"/>
                <w:sz w:val="14"/>
                <w:szCs w:val="14"/>
                <w:color w:val="auto"/>
              </w:rPr>
              <w:t>Excess tax benefits under share-based compensation</w:t>
            </w:r>
          </w:p>
        </w:tc>
        <w:tc>
          <w:tcPr>
            <w:tcW w:w="900" w:type="dxa"/>
            <w:vAlign w:val="bottom"/>
          </w:tcPr>
          <w:p>
            <w:pPr>
              <w:jc w:val="right"/>
              <w:spacing w:after="0"/>
              <w:rPr>
                <w:sz w:val="20"/>
                <w:szCs w:val="20"/>
                <w:color w:val="auto"/>
              </w:rPr>
            </w:pPr>
            <w:r>
              <w:rPr>
                <w:rFonts w:ascii="Arial" w:cs="Arial" w:eastAsia="Arial" w:hAnsi="Arial"/>
                <w:sz w:val="14"/>
                <w:szCs w:val="14"/>
                <w:color w:val="auto"/>
              </w:rPr>
              <w:t>(34)</w:t>
            </w:r>
          </w:p>
        </w:tc>
        <w:tc>
          <w:tcPr>
            <w:tcW w:w="8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(35)</w:t>
            </w:r>
          </w:p>
        </w:tc>
        <w:tc>
          <w:tcPr>
            <w:tcW w:w="18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(240)</w:t>
            </w:r>
          </w:p>
        </w:tc>
        <w:tc>
          <w:tcPr>
            <w:tcW w:w="8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(255)</w:t>
            </w:r>
          </w:p>
        </w:tc>
        <w:tc>
          <w:tcPr>
            <w:tcW w:w="0" w:type="dxa"/>
            <w:vAlign w:val="bottom"/>
          </w:tcPr>
          <w:p>
            <w:pPr>
              <w:spacing w:after="0"/>
              <w:rPr>
                <w:sz w:val="1"/>
                <w:szCs w:val="1"/>
                <w:color w:val="auto"/>
              </w:rPr>
            </w:pPr>
          </w:p>
        </w:tc>
      </w:tr>
      <w:tr>
        <w:trPr>
          <w:trHeight w:val="177"/>
        </w:trPr>
        <w:tc>
          <w:tcPr>
            <w:tcW w:w="4580" w:type="dxa"/>
            <w:vAlign w:val="bottom"/>
          </w:tcPr>
          <w:p>
            <w:pPr>
              <w:spacing w:after="0"/>
              <w:rPr>
                <w:sz w:val="20"/>
                <w:szCs w:val="20"/>
                <w:color w:val="auto"/>
              </w:rPr>
            </w:pPr>
            <w:r>
              <w:rPr>
                <w:rFonts w:ascii="Arial" w:cs="Arial" w:eastAsia="Arial" w:hAnsi="Arial"/>
                <w:sz w:val="14"/>
                <w:szCs w:val="14"/>
                <w:color w:val="auto"/>
              </w:rPr>
              <w:t>Other</w:t>
            </w: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33</w:t>
            </w:r>
          </w:p>
        </w:tc>
        <w:tc>
          <w:tcPr>
            <w:tcW w:w="840" w:type="dxa"/>
            <w:vAlign w:val="bottom"/>
          </w:tcPr>
          <w:p>
            <w:pPr>
              <w:spacing w:after="0"/>
              <w:rPr>
                <w:sz w:val="15"/>
                <w:szCs w:val="15"/>
                <w:color w:val="auto"/>
              </w:rPr>
            </w:pP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101</w:t>
            </w:r>
          </w:p>
        </w:tc>
        <w:tc>
          <w:tcPr>
            <w:tcW w:w="18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151</w:t>
            </w:r>
          </w:p>
        </w:tc>
        <w:tc>
          <w:tcPr>
            <w:tcW w:w="800" w:type="dxa"/>
            <w:vAlign w:val="bottom"/>
          </w:tcPr>
          <w:p>
            <w:pPr>
              <w:spacing w:after="0"/>
              <w:rPr>
                <w:sz w:val="15"/>
                <w:szCs w:val="15"/>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183</w:t>
            </w:r>
          </w:p>
        </w:tc>
        <w:tc>
          <w:tcPr>
            <w:tcW w:w="0" w:type="dxa"/>
            <w:vAlign w:val="bottom"/>
          </w:tcPr>
          <w:p>
            <w:pPr>
              <w:spacing w:after="0"/>
              <w:rPr>
                <w:sz w:val="1"/>
                <w:szCs w:val="1"/>
                <w:color w:val="auto"/>
              </w:rPr>
            </w:pPr>
          </w:p>
        </w:tc>
      </w:tr>
      <w:tr>
        <w:trPr>
          <w:trHeight w:val="156"/>
        </w:trPr>
        <w:tc>
          <w:tcPr>
            <w:tcW w:w="4580" w:type="dxa"/>
            <w:vAlign w:val="bottom"/>
          </w:tcPr>
          <w:p>
            <w:pPr>
              <w:spacing w:after="0" w:line="155" w:lineRule="exact"/>
              <w:rPr>
                <w:sz w:val="20"/>
                <w:szCs w:val="20"/>
                <w:color w:val="auto"/>
              </w:rPr>
            </w:pPr>
            <w:r>
              <w:rPr>
                <w:rFonts w:ascii="Arial" w:cs="Arial" w:eastAsia="Arial" w:hAnsi="Arial"/>
                <w:sz w:val="14"/>
                <w:szCs w:val="14"/>
                <w:b w:val="1"/>
                <w:bCs w:val="1"/>
                <w:color w:val="auto"/>
              </w:rPr>
              <w:t>Net Cash Provided by Operating Activities</w:t>
            </w:r>
          </w:p>
        </w:tc>
        <w:tc>
          <w:tcPr>
            <w:tcW w:w="90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$4,755</w:t>
            </w:r>
          </w:p>
        </w:tc>
        <w:tc>
          <w:tcPr>
            <w:tcW w:w="840" w:type="dxa"/>
            <w:vAlign w:val="bottom"/>
          </w:tcPr>
          <w:p>
            <w:pPr>
              <w:spacing w:after="0"/>
              <w:rPr>
                <w:sz w:val="13"/>
                <w:szCs w:val="13"/>
                <w:color w:val="auto"/>
              </w:rPr>
            </w:pPr>
          </w:p>
        </w:tc>
        <w:tc>
          <w:tcPr>
            <w:tcW w:w="92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b w:val="1"/>
                <w:bCs w:val="1"/>
                <w:color w:val="auto"/>
              </w:rPr>
              <w:t>$4,979</w:t>
            </w:r>
          </w:p>
        </w:tc>
        <w:tc>
          <w:tcPr>
            <w:tcW w:w="18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$12,302</w:t>
            </w:r>
          </w:p>
        </w:tc>
        <w:tc>
          <w:tcPr>
            <w:tcW w:w="800" w:type="dxa"/>
            <w:vAlign w:val="bottom"/>
          </w:tcPr>
          <w:p>
            <w:pPr>
              <w:spacing w:after="0"/>
              <w:rPr>
                <w:sz w:val="13"/>
                <w:szCs w:val="13"/>
                <w:color w:val="auto"/>
              </w:rPr>
            </w:pPr>
          </w:p>
        </w:tc>
        <w:tc>
          <w:tcPr>
            <w:tcW w:w="90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b w:val="1"/>
                <w:bCs w:val="1"/>
                <w:color w:val="auto"/>
              </w:rPr>
              <w:t>$13,813</w:t>
            </w:r>
          </w:p>
        </w:tc>
        <w:tc>
          <w:tcPr>
            <w:tcW w:w="0" w:type="dxa"/>
            <w:vAlign w:val="bottom"/>
          </w:tcPr>
          <w:p>
            <w:pPr>
              <w:spacing w:after="0"/>
              <w:rPr>
                <w:sz w:val="1"/>
                <w:szCs w:val="1"/>
                <w:color w:val="auto"/>
              </w:rPr>
            </w:pPr>
          </w:p>
        </w:tc>
      </w:tr>
      <w:tr>
        <w:trPr>
          <w:trHeight w:val="140"/>
        </w:trPr>
        <w:tc>
          <w:tcPr>
            <w:tcW w:w="4580" w:type="dxa"/>
            <w:vAlign w:val="bottom"/>
          </w:tcPr>
          <w:p>
            <w:pPr>
              <w:spacing w:after="0" w:line="141" w:lineRule="exact"/>
              <w:rPr>
                <w:sz w:val="20"/>
                <w:szCs w:val="20"/>
                <w:color w:val="auto"/>
              </w:rPr>
            </w:pPr>
            <w:r>
              <w:rPr>
                <w:rFonts w:ascii="Arial" w:cs="Arial" w:eastAsia="Arial" w:hAnsi="Arial"/>
                <w:sz w:val="14"/>
                <w:szCs w:val="14"/>
                <w:color w:val="auto"/>
              </w:rPr>
              <w:t>Capital expenditures</w:t>
            </w:r>
          </w:p>
        </w:tc>
        <w:tc>
          <w:tcPr>
            <w:tcW w:w="900" w:type="dxa"/>
            <w:vAlign w:val="bottom"/>
          </w:tcPr>
          <w:p>
            <w:pPr>
              <w:jc w:val="right"/>
              <w:spacing w:after="0" w:line="141" w:lineRule="exact"/>
              <w:rPr>
                <w:sz w:val="20"/>
                <w:szCs w:val="20"/>
                <w:color w:val="auto"/>
              </w:rPr>
            </w:pPr>
            <w:r>
              <w:rPr>
                <w:rFonts w:ascii="Arial" w:cs="Arial" w:eastAsia="Arial" w:hAnsi="Arial"/>
                <w:sz w:val="14"/>
                <w:szCs w:val="14"/>
                <w:color w:val="auto"/>
              </w:rPr>
              <w:t>(1,950)</w:t>
            </w:r>
          </w:p>
        </w:tc>
        <w:tc>
          <w:tcPr>
            <w:tcW w:w="840" w:type="dxa"/>
            <w:vAlign w:val="bottom"/>
          </w:tcPr>
          <w:p>
            <w:pPr>
              <w:spacing w:after="0"/>
              <w:rPr>
                <w:sz w:val="12"/>
                <w:szCs w:val="12"/>
                <w:color w:val="auto"/>
              </w:rPr>
            </w:pPr>
          </w:p>
        </w:tc>
        <w:tc>
          <w:tcPr>
            <w:tcW w:w="920" w:type="dxa"/>
            <w:vAlign w:val="bottom"/>
          </w:tcPr>
          <w:p>
            <w:pPr>
              <w:jc w:val="right"/>
              <w:spacing w:after="0" w:line="141" w:lineRule="exact"/>
              <w:rPr>
                <w:sz w:val="20"/>
                <w:szCs w:val="20"/>
                <w:color w:val="auto"/>
              </w:rPr>
            </w:pPr>
            <w:r>
              <w:rPr>
                <w:rFonts w:ascii="Arial" w:cs="Arial" w:eastAsia="Arial" w:hAnsi="Arial"/>
                <w:sz w:val="14"/>
                <w:szCs w:val="14"/>
                <w:b w:val="1"/>
                <w:bCs w:val="1"/>
                <w:color w:val="auto"/>
              </w:rPr>
              <w:t>(2,165)</w:t>
            </w:r>
          </w:p>
        </w:tc>
        <w:tc>
          <w:tcPr>
            <w:tcW w:w="18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right"/>
              <w:spacing w:after="0" w:line="141" w:lineRule="exact"/>
              <w:rPr>
                <w:sz w:val="20"/>
                <w:szCs w:val="20"/>
                <w:color w:val="auto"/>
              </w:rPr>
            </w:pPr>
            <w:r>
              <w:rPr>
                <w:rFonts w:ascii="Arial" w:cs="Arial" w:eastAsia="Arial" w:hAnsi="Arial"/>
                <w:sz w:val="14"/>
                <w:szCs w:val="14"/>
                <w:color w:val="auto"/>
              </w:rPr>
              <w:t>(5,196)</w:t>
            </w:r>
          </w:p>
        </w:tc>
        <w:tc>
          <w:tcPr>
            <w:tcW w:w="800" w:type="dxa"/>
            <w:vAlign w:val="bottom"/>
          </w:tcPr>
          <w:p>
            <w:pPr>
              <w:spacing w:after="0"/>
              <w:rPr>
                <w:sz w:val="12"/>
                <w:szCs w:val="12"/>
                <w:color w:val="auto"/>
              </w:rPr>
            </w:pPr>
          </w:p>
        </w:tc>
        <w:tc>
          <w:tcPr>
            <w:tcW w:w="900" w:type="dxa"/>
            <w:vAlign w:val="bottom"/>
          </w:tcPr>
          <w:p>
            <w:pPr>
              <w:jc w:val="right"/>
              <w:spacing w:after="0" w:line="141" w:lineRule="exact"/>
              <w:rPr>
                <w:sz w:val="20"/>
                <w:szCs w:val="20"/>
                <w:color w:val="auto"/>
              </w:rPr>
            </w:pPr>
            <w:r>
              <w:rPr>
                <w:rFonts w:ascii="Arial" w:cs="Arial" w:eastAsia="Arial" w:hAnsi="Arial"/>
                <w:sz w:val="14"/>
                <w:szCs w:val="14"/>
                <w:b w:val="1"/>
                <w:bCs w:val="1"/>
                <w:color w:val="auto"/>
              </w:rPr>
              <w:t>(5,862)</w:t>
            </w:r>
          </w:p>
        </w:tc>
        <w:tc>
          <w:tcPr>
            <w:tcW w:w="0" w:type="dxa"/>
            <w:vAlign w:val="bottom"/>
          </w:tcPr>
          <w:p>
            <w:pPr>
              <w:spacing w:after="0"/>
              <w:rPr>
                <w:sz w:val="1"/>
                <w:szCs w:val="1"/>
                <w:color w:val="auto"/>
              </w:rPr>
            </w:pPr>
          </w:p>
        </w:tc>
      </w:tr>
      <w:tr>
        <w:trPr>
          <w:trHeight w:val="162"/>
        </w:trPr>
        <w:tc>
          <w:tcPr>
            <w:tcW w:w="4580" w:type="dxa"/>
            <w:vAlign w:val="bottom"/>
          </w:tcPr>
          <w:p>
            <w:pPr>
              <w:spacing w:after="0"/>
              <w:rPr>
                <w:sz w:val="20"/>
                <w:szCs w:val="20"/>
                <w:color w:val="auto"/>
              </w:rPr>
            </w:pPr>
            <w:r>
              <w:rPr>
                <w:rFonts w:ascii="Arial" w:cs="Arial" w:eastAsia="Arial" w:hAnsi="Arial"/>
                <w:sz w:val="14"/>
                <w:szCs w:val="14"/>
                <w:color w:val="auto"/>
              </w:rPr>
              <w:t>Cash paid for capitalized software and other intangible assets</w:t>
            </w:r>
          </w:p>
        </w:tc>
        <w:tc>
          <w:tcPr>
            <w:tcW w:w="900" w:type="dxa"/>
            <w:vAlign w:val="bottom"/>
          </w:tcPr>
          <w:p>
            <w:pPr>
              <w:jc w:val="right"/>
              <w:spacing w:after="0"/>
              <w:rPr>
                <w:sz w:val="20"/>
                <w:szCs w:val="20"/>
                <w:color w:val="auto"/>
              </w:rPr>
            </w:pPr>
            <w:r>
              <w:rPr>
                <w:rFonts w:ascii="Arial" w:cs="Arial" w:eastAsia="Arial" w:hAnsi="Arial"/>
                <w:sz w:val="14"/>
                <w:szCs w:val="14"/>
                <w:color w:val="auto"/>
              </w:rPr>
              <w:t>(258)</w:t>
            </w:r>
          </w:p>
        </w:tc>
        <w:tc>
          <w:tcPr>
            <w:tcW w:w="8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(316)</w:t>
            </w:r>
          </w:p>
        </w:tc>
        <w:tc>
          <w:tcPr>
            <w:tcW w:w="18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(735)</w:t>
            </w:r>
          </w:p>
        </w:tc>
        <w:tc>
          <w:tcPr>
            <w:tcW w:w="8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(916)</w:t>
            </w:r>
          </w:p>
        </w:tc>
        <w:tc>
          <w:tcPr>
            <w:tcW w:w="0" w:type="dxa"/>
            <w:vAlign w:val="bottom"/>
          </w:tcPr>
          <w:p>
            <w:pPr>
              <w:spacing w:after="0"/>
              <w:rPr>
                <w:sz w:val="1"/>
                <w:szCs w:val="1"/>
                <w:color w:val="auto"/>
              </w:rPr>
            </w:pPr>
          </w:p>
        </w:tc>
      </w:tr>
      <w:tr>
        <w:trPr>
          <w:trHeight w:val="164"/>
        </w:trPr>
        <w:tc>
          <w:tcPr>
            <w:tcW w:w="4580" w:type="dxa"/>
            <w:vAlign w:val="bottom"/>
          </w:tcPr>
          <w:p>
            <w:pPr>
              <w:spacing w:after="0"/>
              <w:rPr>
                <w:sz w:val="20"/>
                <w:szCs w:val="20"/>
                <w:color w:val="auto"/>
              </w:rPr>
            </w:pPr>
            <w:r>
              <w:rPr>
                <w:rFonts w:ascii="Arial" w:cs="Arial" w:eastAsia="Arial" w:hAnsi="Arial"/>
                <w:sz w:val="14"/>
                <w:szCs w:val="14"/>
                <w:color w:val="auto"/>
              </w:rPr>
              <w:t>Principal payments on capital leases</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(3)</w:t>
            </w:r>
          </w:p>
        </w:tc>
        <w:tc>
          <w:tcPr>
            <w:tcW w:w="18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(6)</w:t>
            </w:r>
          </w:p>
        </w:tc>
        <w:tc>
          <w:tcPr>
            <w:tcW w:w="0" w:type="dxa"/>
            <w:vAlign w:val="bottom"/>
          </w:tcPr>
          <w:p>
            <w:pPr>
              <w:spacing w:after="0"/>
              <w:rPr>
                <w:sz w:val="1"/>
                <w:szCs w:val="1"/>
                <w:color w:val="auto"/>
              </w:rPr>
            </w:pPr>
          </w:p>
        </w:tc>
      </w:tr>
      <w:tr>
        <w:trPr>
          <w:trHeight w:val="162"/>
        </w:trPr>
        <w:tc>
          <w:tcPr>
            <w:tcW w:w="4580" w:type="dxa"/>
            <w:vAlign w:val="bottom"/>
          </w:tcPr>
          <w:p>
            <w:pPr>
              <w:spacing w:after="0"/>
              <w:rPr>
                <w:sz w:val="20"/>
                <w:szCs w:val="20"/>
                <w:color w:val="auto"/>
              </w:rPr>
            </w:pPr>
            <w:r>
              <w:rPr>
                <w:rFonts w:ascii="Arial" w:cs="Arial" w:eastAsia="Arial" w:hAnsi="Arial"/>
                <w:sz w:val="14"/>
                <w:szCs w:val="14"/>
                <w:color w:val="auto"/>
              </w:rPr>
              <w:t>Distributions to noncontrolling interests and dividends for</w:t>
            </w:r>
          </w:p>
        </w:tc>
        <w:tc>
          <w:tcPr>
            <w:tcW w:w="9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(64)</w:t>
            </w:r>
          </w:p>
        </w:tc>
        <w:tc>
          <w:tcPr>
            <w:tcW w:w="18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(178)</w:t>
            </w:r>
          </w:p>
        </w:tc>
        <w:tc>
          <w:tcPr>
            <w:tcW w:w="0" w:type="dxa"/>
            <w:vAlign w:val="bottom"/>
          </w:tcPr>
          <w:p>
            <w:pPr>
              <w:spacing w:after="0"/>
              <w:rPr>
                <w:sz w:val="1"/>
                <w:szCs w:val="1"/>
                <w:color w:val="auto"/>
              </w:rPr>
            </w:pPr>
          </w:p>
        </w:tc>
      </w:tr>
      <w:tr>
        <w:trPr>
          <w:trHeight w:val="160"/>
        </w:trPr>
        <w:tc>
          <w:tcPr>
            <w:tcW w:w="4580" w:type="dxa"/>
            <w:vAlign w:val="bottom"/>
          </w:tcPr>
          <w:p>
            <w:pPr>
              <w:ind w:left="180"/>
              <w:spacing w:after="0"/>
              <w:rPr>
                <w:sz w:val="20"/>
                <w:szCs w:val="20"/>
                <w:color w:val="auto"/>
              </w:rPr>
            </w:pPr>
            <w:r>
              <w:rPr>
                <w:rFonts w:ascii="Arial" w:cs="Arial" w:eastAsia="Arial" w:hAnsi="Arial"/>
                <w:sz w:val="14"/>
                <w:szCs w:val="14"/>
                <w:color w:val="auto"/>
              </w:rPr>
              <w:t>redeemable subsidiary preferred stock</w:t>
            </w:r>
          </w:p>
        </w:tc>
        <w:tc>
          <w:tcPr>
            <w:tcW w:w="900" w:type="dxa"/>
            <w:vAlign w:val="bottom"/>
          </w:tcPr>
          <w:p>
            <w:pPr>
              <w:jc w:val="right"/>
              <w:spacing w:after="0"/>
              <w:rPr>
                <w:sz w:val="20"/>
                <w:szCs w:val="20"/>
                <w:color w:val="auto"/>
              </w:rPr>
            </w:pPr>
            <w:r>
              <w:rPr>
                <w:rFonts w:ascii="Arial" w:cs="Arial" w:eastAsia="Arial" w:hAnsi="Arial"/>
                <w:sz w:val="14"/>
                <w:szCs w:val="14"/>
                <w:color w:val="auto"/>
              </w:rPr>
              <w:t>(53)</w:t>
            </w:r>
          </w:p>
        </w:tc>
        <w:tc>
          <w:tcPr>
            <w:tcW w:w="840" w:type="dxa"/>
            <w:vAlign w:val="bottom"/>
          </w:tcPr>
          <w:p>
            <w:pPr>
              <w:spacing w:after="0"/>
              <w:rPr>
                <w:sz w:val="13"/>
                <w:szCs w:val="13"/>
                <w:color w:val="auto"/>
              </w:rPr>
            </w:pPr>
          </w:p>
        </w:tc>
        <w:tc>
          <w:tcPr>
            <w:tcW w:w="920" w:type="dxa"/>
            <w:vAlign w:val="bottom"/>
            <w:vMerge w:val="continue"/>
          </w:tcPr>
          <w:p>
            <w:pPr>
              <w:spacing w:after="0"/>
              <w:rPr>
                <w:sz w:val="13"/>
                <w:szCs w:val="13"/>
                <w:color w:val="auto"/>
              </w:rPr>
            </w:pPr>
          </w:p>
        </w:tc>
        <w:tc>
          <w:tcPr>
            <w:tcW w:w="18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(170)</w:t>
            </w:r>
          </w:p>
        </w:tc>
        <w:tc>
          <w:tcPr>
            <w:tcW w:w="80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4580" w:type="dxa"/>
            <w:vAlign w:val="bottom"/>
          </w:tcPr>
          <w:p>
            <w:pPr>
              <w:spacing w:after="0"/>
              <w:rPr>
                <w:sz w:val="20"/>
                <w:szCs w:val="20"/>
                <w:color w:val="auto"/>
              </w:rPr>
            </w:pPr>
            <w:r>
              <w:rPr>
                <w:rFonts w:ascii="Arial" w:cs="Arial" w:eastAsia="Arial" w:hAnsi="Arial"/>
                <w:sz w:val="14"/>
                <w:szCs w:val="14"/>
                <w:color w:val="auto"/>
              </w:rPr>
              <w:t>Nonoperating items</w:t>
            </w:r>
            <w:r>
              <w:rPr>
                <w:rFonts w:ascii="Arial" w:cs="Arial" w:eastAsia="Arial" w:hAnsi="Arial"/>
                <w:sz w:val="14"/>
                <w:szCs w:val="14"/>
                <w:color w:val="auto"/>
                <w:vertAlign w:val="superscript"/>
              </w:rPr>
              <w:t>(1)</w:t>
            </w: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Pr>
          <w:p>
            <w:pPr>
              <w:spacing w:after="0"/>
              <w:rPr>
                <w:sz w:val="15"/>
                <w:szCs w:val="15"/>
                <w:color w:val="auto"/>
              </w:rPr>
            </w:pP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232</w:t>
            </w:r>
          </w:p>
        </w:tc>
        <w:tc>
          <w:tcPr>
            <w:tcW w:w="18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272</w:t>
            </w:r>
          </w:p>
        </w:tc>
        <w:tc>
          <w:tcPr>
            <w:tcW w:w="800" w:type="dxa"/>
            <w:vAlign w:val="bottom"/>
          </w:tcPr>
          <w:p>
            <w:pPr>
              <w:spacing w:after="0"/>
              <w:rPr>
                <w:sz w:val="15"/>
                <w:szCs w:val="15"/>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496</w:t>
            </w:r>
          </w:p>
        </w:tc>
        <w:tc>
          <w:tcPr>
            <w:tcW w:w="0" w:type="dxa"/>
            <w:vAlign w:val="bottom"/>
          </w:tcPr>
          <w:p>
            <w:pPr>
              <w:spacing w:after="0"/>
              <w:rPr>
                <w:sz w:val="1"/>
                <w:szCs w:val="1"/>
                <w:color w:val="auto"/>
              </w:rPr>
            </w:pPr>
          </w:p>
        </w:tc>
      </w:tr>
      <w:tr>
        <w:trPr>
          <w:trHeight w:val="156"/>
        </w:trPr>
        <w:tc>
          <w:tcPr>
            <w:tcW w:w="4580" w:type="dxa"/>
            <w:vAlign w:val="bottom"/>
          </w:tcPr>
          <w:p>
            <w:pPr>
              <w:spacing w:after="0" w:line="155" w:lineRule="exact"/>
              <w:rPr>
                <w:sz w:val="20"/>
                <w:szCs w:val="20"/>
                <w:color w:val="auto"/>
              </w:rPr>
            </w:pPr>
            <w:r>
              <w:rPr>
                <w:rFonts w:ascii="Arial" w:cs="Arial" w:eastAsia="Arial" w:hAnsi="Arial"/>
                <w:sz w:val="14"/>
                <w:szCs w:val="14"/>
                <w:b w:val="1"/>
                <w:bCs w:val="1"/>
                <w:color w:val="auto"/>
              </w:rPr>
              <w:t>Total Free Cash Flow</w:t>
            </w:r>
          </w:p>
        </w:tc>
        <w:tc>
          <w:tcPr>
            <w:tcW w:w="90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$2,494</w:t>
            </w:r>
          </w:p>
        </w:tc>
        <w:tc>
          <w:tcPr>
            <w:tcW w:w="840" w:type="dxa"/>
            <w:vAlign w:val="bottom"/>
          </w:tcPr>
          <w:p>
            <w:pPr>
              <w:spacing w:after="0"/>
              <w:rPr>
                <w:sz w:val="13"/>
                <w:szCs w:val="13"/>
                <w:color w:val="auto"/>
              </w:rPr>
            </w:pPr>
          </w:p>
        </w:tc>
        <w:tc>
          <w:tcPr>
            <w:tcW w:w="92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b w:val="1"/>
                <w:bCs w:val="1"/>
                <w:color w:val="auto"/>
              </w:rPr>
              <w:t>$2,663</w:t>
            </w:r>
          </w:p>
        </w:tc>
        <w:tc>
          <w:tcPr>
            <w:tcW w:w="18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$6,473</w:t>
            </w:r>
          </w:p>
        </w:tc>
        <w:tc>
          <w:tcPr>
            <w:tcW w:w="800" w:type="dxa"/>
            <w:vAlign w:val="bottom"/>
          </w:tcPr>
          <w:p>
            <w:pPr>
              <w:spacing w:after="0"/>
              <w:rPr>
                <w:sz w:val="13"/>
                <w:szCs w:val="13"/>
                <w:color w:val="auto"/>
              </w:rPr>
            </w:pPr>
          </w:p>
        </w:tc>
        <w:tc>
          <w:tcPr>
            <w:tcW w:w="90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b w:val="1"/>
                <w:bCs w:val="1"/>
                <w:color w:val="auto"/>
              </w:rPr>
              <w:t>$7,347</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ind w:right="80"/>
        <w:spacing w:after="0" w:line="280" w:lineRule="auto"/>
        <w:rPr>
          <w:sz w:val="20"/>
          <w:szCs w:val="20"/>
          <w:color w:val="auto"/>
        </w:rPr>
      </w:pPr>
      <w:r>
        <w:rPr>
          <w:rFonts w:ascii="Arial" w:cs="Arial" w:eastAsia="Arial" w:hAnsi="Arial"/>
          <w:sz w:val="22"/>
          <w:szCs w:val="22"/>
          <w:b w:val="1"/>
          <w:bCs w:val="1"/>
          <w:color w:val="C9C9C9"/>
        </w:rPr>
        <w:t>Reconciliation of EPS Excluding Gains on Sales, Acquisition-Related Items, Losses on Early Debt Redemption and Investment, and Favorable Income Tax Adjustments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38"/>
        </w:trPr>
        <w:tc>
          <w:tcPr>
            <w:tcW w:w="4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820" w:type="dxa"/>
            <w:vAlign w:val="bottom"/>
            <w:gridSpan w:val="3"/>
            <w:vMerge w:val="restart"/>
          </w:tcPr>
          <w:p>
            <w:pPr>
              <w:jc w:val="right"/>
              <w:ind w:right="437"/>
              <w:spacing w:after="0"/>
              <w:rPr>
                <w:sz w:val="20"/>
                <w:szCs w:val="20"/>
                <w:color w:val="auto"/>
              </w:rPr>
            </w:pPr>
            <w:r>
              <w:rPr>
                <w:rFonts w:ascii="Arial" w:cs="Arial" w:eastAsia="Arial" w:hAnsi="Arial"/>
                <w:sz w:val="13"/>
                <w:szCs w:val="13"/>
                <w:b w:val="1"/>
                <w:bCs w:val="1"/>
                <w:color w:val="auto"/>
              </w:rPr>
              <w:t>Three Months Ended</w:t>
            </w: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tcPr>
          <w:p>
            <w:pPr>
              <w:spacing w:after="0"/>
              <w:rPr>
                <w:sz w:val="3"/>
                <w:szCs w:val="3"/>
                <w:color w:val="auto"/>
              </w:rPr>
            </w:pPr>
          </w:p>
        </w:tc>
        <w:tc>
          <w:tcPr>
            <w:tcW w:w="1760" w:type="dxa"/>
            <w:vAlign w:val="bottom"/>
            <w:gridSpan w:val="3"/>
            <w:vMerge w:val="restart"/>
          </w:tcPr>
          <w:p>
            <w:pPr>
              <w:jc w:val="right"/>
              <w:ind w:right="417"/>
              <w:spacing w:after="0"/>
              <w:rPr>
                <w:sz w:val="20"/>
                <w:szCs w:val="20"/>
                <w:color w:val="auto"/>
              </w:rPr>
            </w:pPr>
            <w:r>
              <w:rPr>
                <w:rFonts w:ascii="Arial" w:cs="Arial" w:eastAsia="Arial" w:hAnsi="Arial"/>
                <w:sz w:val="13"/>
                <w:szCs w:val="13"/>
                <w:b w:val="1"/>
                <w:bCs w:val="1"/>
                <w:color w:val="auto"/>
              </w:rPr>
              <w:t>Nine Months Ended</w:t>
            </w:r>
          </w:p>
        </w:tc>
        <w:tc>
          <w:tcPr>
            <w:tcW w:w="6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11"/>
        </w:trPr>
        <w:tc>
          <w:tcPr>
            <w:tcW w:w="4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820" w:type="dxa"/>
            <w:vAlign w:val="bottom"/>
            <w:gridSpan w:val="3"/>
            <w:vMerge w:val="continue"/>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Borders>
              <w:right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760" w:type="dxa"/>
            <w:vAlign w:val="bottom"/>
            <w:gridSpan w:val="3"/>
            <w:vMerge w:val="continue"/>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4140" w:type="dxa"/>
            <w:vAlign w:val="bottom"/>
          </w:tcPr>
          <w:p>
            <w:pPr>
              <w:spacing w:after="0"/>
              <w:rPr>
                <w:sz w:val="11"/>
                <w:szCs w:val="11"/>
                <w:color w:val="auto"/>
              </w:rPr>
            </w:pPr>
          </w:p>
        </w:tc>
        <w:tc>
          <w:tcPr>
            <w:tcW w:w="1040" w:type="dxa"/>
            <w:vAlign w:val="bottom"/>
            <w:vMerge w:val="restart"/>
          </w:tcPr>
          <w:p>
            <w:pPr>
              <w:jc w:val="right"/>
              <w:spacing w:after="0"/>
              <w:rPr>
                <w:sz w:val="20"/>
                <w:szCs w:val="20"/>
                <w:color w:val="auto"/>
              </w:rPr>
            </w:pPr>
            <w:r>
              <w:rPr>
                <w:rFonts w:ascii="Arial" w:cs="Arial" w:eastAsia="Arial" w:hAnsi="Arial"/>
                <w:sz w:val="13"/>
                <w:szCs w:val="13"/>
                <w:color w:val="auto"/>
              </w:rPr>
              <w:t>2014</w:t>
            </w:r>
          </w:p>
        </w:tc>
        <w:tc>
          <w:tcPr>
            <w:tcW w:w="1820" w:type="dxa"/>
            <w:vAlign w:val="bottom"/>
            <w:gridSpan w:val="3"/>
          </w:tcPr>
          <w:p>
            <w:pPr>
              <w:jc w:val="right"/>
              <w:ind w:right="637"/>
              <w:spacing w:after="0" w:line="135" w:lineRule="exact"/>
              <w:rPr>
                <w:sz w:val="20"/>
                <w:szCs w:val="20"/>
                <w:color w:val="auto"/>
              </w:rPr>
            </w:pPr>
            <w:r>
              <w:rPr>
                <w:rFonts w:ascii="Arial" w:cs="Arial" w:eastAsia="Arial" w:hAnsi="Arial"/>
                <w:sz w:val="13"/>
                <w:szCs w:val="13"/>
                <w:b w:val="1"/>
                <w:bCs w:val="1"/>
                <w:color w:val="auto"/>
              </w:rPr>
              <w:t>September 30,</w:t>
            </w:r>
          </w:p>
        </w:tc>
        <w:tc>
          <w:tcPr>
            <w:tcW w:w="620" w:type="dxa"/>
            <w:vAlign w:val="bottom"/>
          </w:tcPr>
          <w:p>
            <w:pPr>
              <w:spacing w:after="0"/>
              <w:rPr>
                <w:sz w:val="11"/>
                <w:szCs w:val="11"/>
                <w:color w:val="auto"/>
              </w:rPr>
            </w:pPr>
          </w:p>
        </w:tc>
        <w:tc>
          <w:tcPr>
            <w:tcW w:w="200" w:type="dxa"/>
            <w:vAlign w:val="bottom"/>
            <w:tcBorders>
              <w:right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Arial" w:cs="Arial" w:eastAsia="Arial" w:hAnsi="Arial"/>
                <w:sz w:val="13"/>
                <w:szCs w:val="13"/>
                <w:color w:val="auto"/>
              </w:rPr>
              <w:t>2014</w:t>
            </w:r>
          </w:p>
        </w:tc>
        <w:tc>
          <w:tcPr>
            <w:tcW w:w="1760" w:type="dxa"/>
            <w:vAlign w:val="bottom"/>
            <w:gridSpan w:val="3"/>
          </w:tcPr>
          <w:p>
            <w:pPr>
              <w:jc w:val="right"/>
              <w:ind w:right="577"/>
              <w:spacing w:after="0" w:line="135" w:lineRule="exact"/>
              <w:rPr>
                <w:sz w:val="20"/>
                <w:szCs w:val="20"/>
                <w:color w:val="auto"/>
              </w:rPr>
            </w:pPr>
            <w:r>
              <w:rPr>
                <w:rFonts w:ascii="Arial" w:cs="Arial" w:eastAsia="Arial" w:hAnsi="Arial"/>
                <w:sz w:val="13"/>
                <w:szCs w:val="13"/>
                <w:b w:val="1"/>
                <w:bCs w:val="1"/>
                <w:color w:val="auto"/>
              </w:rPr>
              <w:t>September 30,</w:t>
            </w: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4140" w:type="dxa"/>
            <w:vAlign w:val="bottom"/>
            <w:vMerge w:val="restart"/>
          </w:tcPr>
          <w:p>
            <w:pPr>
              <w:spacing w:after="0"/>
              <w:rPr>
                <w:sz w:val="20"/>
                <w:szCs w:val="20"/>
                <w:color w:val="auto"/>
              </w:rPr>
            </w:pPr>
            <w:r>
              <w:rPr>
                <w:rFonts w:ascii="Arial" w:cs="Arial" w:eastAsia="Arial" w:hAnsi="Arial"/>
                <w:sz w:val="13"/>
                <w:szCs w:val="13"/>
                <w:color w:val="auto"/>
              </w:rPr>
              <w:t>(in millions, except per share data)</w:t>
            </w:r>
          </w:p>
        </w:tc>
        <w:tc>
          <w:tcPr>
            <w:tcW w:w="1040" w:type="dxa"/>
            <w:vAlign w:val="bottom"/>
            <w:tcBorders>
              <w:bottom w:val="single" w:sz="8" w:color="auto"/>
            </w:tcBorders>
            <w:vMerge w:val="continue"/>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2015</w:t>
            </w:r>
          </w:p>
        </w:tc>
        <w:tc>
          <w:tcPr>
            <w:tcW w:w="620" w:type="dxa"/>
            <w:vAlign w:val="bottom"/>
            <w:tcBorders>
              <w:bottom w:val="single" w:sz="8" w:color="auto"/>
            </w:tcBorders>
          </w:tcPr>
          <w:p>
            <w:pPr>
              <w:spacing w:after="0"/>
              <w:rPr>
                <w:sz w:val="13"/>
                <w:szCs w:val="13"/>
                <w:color w:val="auto"/>
              </w:rPr>
            </w:pPr>
          </w:p>
        </w:tc>
        <w:tc>
          <w:tcPr>
            <w:tcW w:w="200" w:type="dxa"/>
            <w:vAlign w:val="bottom"/>
            <w:tcBorders>
              <w:right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Borders>
              <w:bottom w:val="single" w:sz="8" w:color="auto"/>
            </w:tcBorders>
            <w:vMerge w:val="continue"/>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2015</w:t>
            </w:r>
          </w:p>
        </w:tc>
        <w:tc>
          <w:tcPr>
            <w:tcW w:w="6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4140" w:type="dxa"/>
            <w:vAlign w:val="bottom"/>
            <w:vMerge w:val="continue"/>
          </w:tcPr>
          <w:p>
            <w:pPr>
              <w:spacing w:after="0"/>
              <w:rPr>
                <w:sz w:val="11"/>
                <w:szCs w:val="11"/>
                <w:color w:val="auto"/>
              </w:rPr>
            </w:pPr>
          </w:p>
        </w:tc>
        <w:tc>
          <w:tcPr>
            <w:tcW w:w="1040" w:type="dxa"/>
            <w:vAlign w:val="bottom"/>
            <w:vMerge w:val="restart"/>
          </w:tcPr>
          <w:p>
            <w:pPr>
              <w:jc w:val="right"/>
              <w:ind w:right="577"/>
              <w:spacing w:after="0"/>
              <w:rPr>
                <w:sz w:val="20"/>
                <w:szCs w:val="20"/>
                <w:color w:val="auto"/>
              </w:rPr>
            </w:pPr>
            <w:r>
              <w:rPr>
                <w:rFonts w:ascii="Arial" w:cs="Arial" w:eastAsia="Arial" w:hAnsi="Arial"/>
                <w:sz w:val="13"/>
                <w:szCs w:val="13"/>
                <w:color w:val="auto"/>
              </w:rPr>
              <w:t>$</w:t>
            </w:r>
          </w:p>
        </w:tc>
        <w:tc>
          <w:tcPr>
            <w:tcW w:w="800" w:type="dxa"/>
            <w:vAlign w:val="bottom"/>
            <w:gridSpan w:val="2"/>
            <w:vMerge w:val="restart"/>
          </w:tcPr>
          <w:p>
            <w:pPr>
              <w:jc w:val="right"/>
              <w:ind w:right="380"/>
              <w:spacing w:after="0"/>
              <w:rPr>
                <w:sz w:val="20"/>
                <w:szCs w:val="20"/>
                <w:color w:val="auto"/>
              </w:rPr>
            </w:pPr>
            <w:r>
              <w:rPr>
                <w:rFonts w:ascii="Arial" w:cs="Arial" w:eastAsia="Arial" w:hAnsi="Arial"/>
                <w:sz w:val="13"/>
                <w:szCs w:val="13"/>
                <w:color w:val="auto"/>
              </w:rPr>
              <w:t xml:space="preserve">EPS </w:t>
            </w:r>
            <w:r>
              <w:rPr>
                <w:rFonts w:ascii="Arial" w:cs="Arial" w:eastAsia="Arial" w:hAnsi="Arial"/>
                <w:sz w:val="6"/>
                <w:szCs w:val="6"/>
                <w:color w:val="auto"/>
              </w:rPr>
              <w:t>(2)</w:t>
            </w:r>
          </w:p>
        </w:tc>
        <w:tc>
          <w:tcPr>
            <w:tcW w:w="1020" w:type="dxa"/>
            <w:vAlign w:val="bottom"/>
            <w:vMerge w:val="restart"/>
          </w:tcPr>
          <w:p>
            <w:pPr>
              <w:jc w:val="right"/>
              <w:ind w:right="557"/>
              <w:spacing w:after="0"/>
              <w:rPr>
                <w:sz w:val="20"/>
                <w:szCs w:val="20"/>
                <w:color w:val="auto"/>
              </w:rPr>
            </w:pPr>
            <w:r>
              <w:rPr>
                <w:rFonts w:ascii="Arial" w:cs="Arial" w:eastAsia="Arial" w:hAnsi="Arial"/>
                <w:sz w:val="13"/>
                <w:szCs w:val="13"/>
                <w:b w:val="1"/>
                <w:bCs w:val="1"/>
                <w:color w:val="auto"/>
              </w:rPr>
              <w:t>$</w:t>
            </w:r>
          </w:p>
        </w:tc>
        <w:tc>
          <w:tcPr>
            <w:tcW w:w="820" w:type="dxa"/>
            <w:vAlign w:val="bottom"/>
            <w:tcBorders>
              <w:right w:val="single" w:sz="8" w:color="auto"/>
            </w:tcBorders>
            <w:gridSpan w:val="2"/>
            <w:vMerge w:val="restart"/>
          </w:tcPr>
          <w:p>
            <w:pPr>
              <w:ind w:left="80"/>
              <w:spacing w:after="0"/>
              <w:rPr>
                <w:sz w:val="20"/>
                <w:szCs w:val="20"/>
                <w:color w:val="auto"/>
              </w:rPr>
            </w:pPr>
            <w:r>
              <w:rPr>
                <w:rFonts w:ascii="Arial" w:cs="Arial" w:eastAsia="Arial" w:hAnsi="Arial"/>
                <w:sz w:val="13"/>
                <w:szCs w:val="13"/>
                <w:b w:val="1"/>
                <w:bCs w:val="1"/>
                <w:color w:val="auto"/>
              </w:rPr>
              <w:t xml:space="preserve">EPS </w:t>
            </w:r>
            <w:r>
              <w:rPr>
                <w:rFonts w:ascii="Arial" w:cs="Arial" w:eastAsia="Arial" w:hAnsi="Arial"/>
                <w:sz w:val="6"/>
                <w:szCs w:val="6"/>
                <w:b w:val="1"/>
                <w:bCs w:val="1"/>
                <w:color w:val="auto"/>
              </w:rPr>
              <w:t>(2)</w:t>
            </w:r>
          </w:p>
        </w:tc>
        <w:tc>
          <w:tcPr>
            <w:tcW w:w="160" w:type="dxa"/>
            <w:vAlign w:val="bottom"/>
          </w:tcPr>
          <w:p>
            <w:pPr>
              <w:spacing w:after="0"/>
              <w:rPr>
                <w:sz w:val="11"/>
                <w:szCs w:val="11"/>
                <w:color w:val="auto"/>
              </w:rPr>
            </w:pPr>
          </w:p>
        </w:tc>
        <w:tc>
          <w:tcPr>
            <w:tcW w:w="980" w:type="dxa"/>
            <w:vAlign w:val="bottom"/>
            <w:vMerge w:val="restart"/>
          </w:tcPr>
          <w:p>
            <w:pPr>
              <w:jc w:val="right"/>
              <w:ind w:right="537"/>
              <w:spacing w:after="0"/>
              <w:rPr>
                <w:sz w:val="20"/>
                <w:szCs w:val="20"/>
                <w:color w:val="auto"/>
              </w:rPr>
            </w:pPr>
            <w:r>
              <w:rPr>
                <w:rFonts w:ascii="Arial" w:cs="Arial" w:eastAsia="Arial" w:hAnsi="Arial"/>
                <w:sz w:val="13"/>
                <w:szCs w:val="13"/>
                <w:color w:val="auto"/>
              </w:rPr>
              <w:t>$</w:t>
            </w:r>
          </w:p>
        </w:tc>
        <w:tc>
          <w:tcPr>
            <w:tcW w:w="760" w:type="dxa"/>
            <w:vAlign w:val="bottom"/>
            <w:gridSpan w:val="2"/>
            <w:vMerge w:val="restart"/>
          </w:tcPr>
          <w:p>
            <w:pPr>
              <w:jc w:val="right"/>
              <w:ind w:right="340"/>
              <w:spacing w:after="0"/>
              <w:rPr>
                <w:sz w:val="20"/>
                <w:szCs w:val="20"/>
                <w:color w:val="auto"/>
              </w:rPr>
            </w:pPr>
            <w:r>
              <w:rPr>
                <w:rFonts w:ascii="Arial" w:cs="Arial" w:eastAsia="Arial" w:hAnsi="Arial"/>
                <w:sz w:val="13"/>
                <w:szCs w:val="13"/>
                <w:color w:val="auto"/>
              </w:rPr>
              <w:t xml:space="preserve">EPS </w:t>
            </w:r>
            <w:r>
              <w:rPr>
                <w:rFonts w:ascii="Arial" w:cs="Arial" w:eastAsia="Arial" w:hAnsi="Arial"/>
                <w:sz w:val="6"/>
                <w:szCs w:val="6"/>
                <w:color w:val="auto"/>
              </w:rPr>
              <w:t>(2)</w:t>
            </w:r>
          </w:p>
        </w:tc>
        <w:tc>
          <w:tcPr>
            <w:tcW w:w="1000" w:type="dxa"/>
            <w:vAlign w:val="bottom"/>
            <w:vMerge w:val="restart"/>
          </w:tcPr>
          <w:p>
            <w:pPr>
              <w:jc w:val="right"/>
              <w:ind w:right="537"/>
              <w:spacing w:after="0"/>
              <w:rPr>
                <w:sz w:val="20"/>
                <w:szCs w:val="20"/>
                <w:color w:val="auto"/>
              </w:rPr>
            </w:pPr>
            <w:r>
              <w:rPr>
                <w:rFonts w:ascii="Arial" w:cs="Arial" w:eastAsia="Arial" w:hAnsi="Arial"/>
                <w:sz w:val="13"/>
                <w:szCs w:val="13"/>
                <w:b w:val="1"/>
                <w:bCs w:val="1"/>
                <w:color w:val="auto"/>
              </w:rPr>
              <w:t>$</w:t>
            </w:r>
          </w:p>
        </w:tc>
        <w:tc>
          <w:tcPr>
            <w:tcW w:w="600" w:type="dxa"/>
            <w:vAlign w:val="bottom"/>
            <w:vMerge w:val="restart"/>
          </w:tcPr>
          <w:p>
            <w:pPr>
              <w:jc w:val="right"/>
              <w:ind w:right="137"/>
              <w:spacing w:after="0"/>
              <w:rPr>
                <w:sz w:val="20"/>
                <w:szCs w:val="20"/>
                <w:color w:val="auto"/>
              </w:rPr>
            </w:pPr>
            <w:r>
              <w:rPr>
                <w:rFonts w:ascii="Arial" w:cs="Arial" w:eastAsia="Arial" w:hAnsi="Arial"/>
                <w:sz w:val="13"/>
                <w:szCs w:val="13"/>
                <w:b w:val="1"/>
                <w:bCs w:val="1"/>
                <w:color w:val="auto"/>
              </w:rPr>
              <w:t xml:space="preserve">EPS </w:t>
            </w:r>
            <w:r>
              <w:rPr>
                <w:rFonts w:ascii="Arial" w:cs="Arial" w:eastAsia="Arial" w:hAnsi="Arial"/>
                <w:sz w:val="6"/>
                <w:szCs w:val="6"/>
                <w:b w:val="1"/>
                <w:bCs w:val="1"/>
                <w:color w:val="auto"/>
              </w:rPr>
              <w:t>(2)</w:t>
            </w:r>
          </w:p>
        </w:tc>
        <w:tc>
          <w:tcPr>
            <w:tcW w:w="0" w:type="dxa"/>
            <w:vAlign w:val="bottom"/>
          </w:tcPr>
          <w:p>
            <w:pPr>
              <w:spacing w:after="0"/>
              <w:rPr>
                <w:sz w:val="1"/>
                <w:szCs w:val="1"/>
                <w:color w:val="auto"/>
              </w:rPr>
            </w:pPr>
          </w:p>
        </w:tc>
      </w:tr>
      <w:tr>
        <w:trPr>
          <w:trHeight w:val="122"/>
        </w:trPr>
        <w:tc>
          <w:tcPr>
            <w:tcW w:w="4140" w:type="dxa"/>
            <w:vAlign w:val="bottom"/>
          </w:tcPr>
          <w:p>
            <w:pPr>
              <w:spacing w:after="0"/>
              <w:rPr>
                <w:sz w:val="10"/>
                <w:szCs w:val="10"/>
                <w:color w:val="auto"/>
              </w:rPr>
            </w:pPr>
          </w:p>
        </w:tc>
        <w:tc>
          <w:tcPr>
            <w:tcW w:w="1040" w:type="dxa"/>
            <w:vAlign w:val="bottom"/>
            <w:vMerge w:val="continue"/>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820" w:type="dxa"/>
            <w:vAlign w:val="bottom"/>
            <w:tcBorders>
              <w:right w:val="single" w:sz="8" w:color="auto"/>
            </w:tcBorders>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vMerge w:val="continue"/>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44"/>
        </w:trPr>
        <w:tc>
          <w:tcPr>
            <w:tcW w:w="4140" w:type="dxa"/>
            <w:vAlign w:val="bottom"/>
          </w:tcPr>
          <w:p>
            <w:pPr>
              <w:spacing w:after="0"/>
              <w:rPr>
                <w:sz w:val="20"/>
                <w:szCs w:val="20"/>
                <w:color w:val="auto"/>
              </w:rPr>
            </w:pPr>
            <w:r>
              <w:rPr>
                <w:rFonts w:ascii="Arial" w:cs="Arial" w:eastAsia="Arial" w:hAnsi="Arial"/>
                <w:sz w:val="13"/>
                <w:szCs w:val="13"/>
                <w:color w:val="auto"/>
              </w:rPr>
              <w:t>Net income attributable to Comcast Corporation</w:t>
            </w:r>
          </w:p>
        </w:tc>
        <w:tc>
          <w:tcPr>
            <w:tcW w:w="1040" w:type="dxa"/>
            <w:vAlign w:val="bottom"/>
            <w:tcBorders>
              <w:top w:val="single" w:sz="8" w:color="auto"/>
            </w:tcBorders>
          </w:tcPr>
          <w:p>
            <w:pPr>
              <w:jc w:val="right"/>
              <w:ind w:right="237"/>
              <w:spacing w:after="0"/>
              <w:rPr>
                <w:sz w:val="20"/>
                <w:szCs w:val="20"/>
                <w:color w:val="auto"/>
              </w:rPr>
            </w:pPr>
            <w:r>
              <w:rPr>
                <w:rFonts w:ascii="Arial" w:cs="Arial" w:eastAsia="Arial" w:hAnsi="Arial"/>
                <w:sz w:val="13"/>
                <w:szCs w:val="13"/>
                <w:color w:val="auto"/>
              </w:rPr>
              <w:t>$2,592</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$0.99</w:t>
            </w:r>
          </w:p>
        </w:tc>
        <w:tc>
          <w:tcPr>
            <w:tcW w:w="180" w:type="dxa"/>
            <w:vAlign w:val="bottom"/>
          </w:tcPr>
          <w:p>
            <w:pPr>
              <w:spacing w:after="0"/>
              <w:rPr>
                <w:sz w:val="21"/>
                <w:szCs w:val="21"/>
                <w:color w:val="auto"/>
              </w:rPr>
            </w:pPr>
          </w:p>
        </w:tc>
        <w:tc>
          <w:tcPr>
            <w:tcW w:w="1020" w:type="dxa"/>
            <w:vAlign w:val="bottom"/>
            <w:tcBorders>
              <w:top w:val="single" w:sz="8" w:color="auto"/>
            </w:tcBorders>
          </w:tcPr>
          <w:p>
            <w:pPr>
              <w:ind w:left="260"/>
              <w:spacing w:after="0"/>
              <w:rPr>
                <w:sz w:val="20"/>
                <w:szCs w:val="20"/>
                <w:color w:val="auto"/>
              </w:rPr>
            </w:pPr>
            <w:r>
              <w:rPr>
                <w:rFonts w:ascii="Arial" w:cs="Arial" w:eastAsia="Arial" w:hAnsi="Arial"/>
                <w:sz w:val="13"/>
                <w:szCs w:val="13"/>
                <w:b w:val="1"/>
                <w:bCs w:val="1"/>
                <w:color w:val="auto"/>
              </w:rPr>
              <w:t>$1,996</w:t>
            </w:r>
          </w:p>
        </w:tc>
        <w:tc>
          <w:tcPr>
            <w:tcW w:w="62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$0.80</w:t>
            </w:r>
          </w:p>
        </w:tc>
        <w:tc>
          <w:tcPr>
            <w:tcW w:w="200" w:type="dxa"/>
            <w:vAlign w:val="bottom"/>
            <w:tcBorders>
              <w:right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Borders>
              <w:top w:val="single" w:sz="8" w:color="auto"/>
            </w:tcBorders>
          </w:tcPr>
          <w:p>
            <w:pPr>
              <w:jc w:val="right"/>
              <w:ind w:right="217"/>
              <w:spacing w:after="0"/>
              <w:rPr>
                <w:sz w:val="20"/>
                <w:szCs w:val="20"/>
                <w:color w:val="auto"/>
              </w:rPr>
            </w:pPr>
            <w:r>
              <w:rPr>
                <w:rFonts w:ascii="Arial" w:cs="Arial" w:eastAsia="Arial" w:hAnsi="Arial"/>
                <w:sz w:val="13"/>
                <w:szCs w:val="13"/>
                <w:color w:val="auto"/>
              </w:rPr>
              <w:t>$6,455</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$2.46</w:t>
            </w:r>
          </w:p>
        </w:tc>
        <w:tc>
          <w:tcPr>
            <w:tcW w:w="160" w:type="dxa"/>
            <w:vAlign w:val="bottom"/>
          </w:tcPr>
          <w:p>
            <w:pPr>
              <w:spacing w:after="0"/>
              <w:rPr>
                <w:sz w:val="21"/>
                <w:szCs w:val="21"/>
                <w:color w:val="auto"/>
              </w:rPr>
            </w:pPr>
          </w:p>
        </w:tc>
        <w:tc>
          <w:tcPr>
            <w:tcW w:w="1000" w:type="dxa"/>
            <w:vAlign w:val="bottom"/>
            <w:tcBorders>
              <w:top w:val="single" w:sz="8" w:color="auto"/>
            </w:tcBorders>
          </w:tcPr>
          <w:p>
            <w:pPr>
              <w:jc w:val="right"/>
              <w:ind w:right="217"/>
              <w:spacing w:after="0"/>
              <w:rPr>
                <w:sz w:val="20"/>
                <w:szCs w:val="20"/>
                <w:color w:val="auto"/>
              </w:rPr>
            </w:pPr>
            <w:r>
              <w:rPr>
                <w:rFonts w:ascii="Arial" w:cs="Arial" w:eastAsia="Arial" w:hAnsi="Arial"/>
                <w:sz w:val="13"/>
                <w:szCs w:val="13"/>
                <w:b w:val="1"/>
                <w:bCs w:val="1"/>
                <w:color w:val="auto"/>
              </w:rPr>
              <w:t>$6,192</w:t>
            </w:r>
          </w:p>
        </w:tc>
        <w:tc>
          <w:tcPr>
            <w:tcW w:w="60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$2.45</w:t>
            </w:r>
          </w:p>
        </w:tc>
        <w:tc>
          <w:tcPr>
            <w:tcW w:w="0" w:type="dxa"/>
            <w:vAlign w:val="bottom"/>
          </w:tcPr>
          <w:p>
            <w:pPr>
              <w:spacing w:after="0"/>
              <w:rPr>
                <w:sz w:val="1"/>
                <w:szCs w:val="1"/>
                <w:color w:val="auto"/>
              </w:rPr>
            </w:pPr>
          </w:p>
        </w:tc>
      </w:tr>
      <w:tr>
        <w:trPr>
          <w:trHeight w:val="168"/>
        </w:trPr>
        <w:tc>
          <w:tcPr>
            <w:tcW w:w="4140" w:type="dxa"/>
            <w:vAlign w:val="bottom"/>
          </w:tcPr>
          <w:p>
            <w:pPr>
              <w:spacing w:after="0"/>
              <w:rPr>
                <w:sz w:val="20"/>
                <w:szCs w:val="20"/>
                <w:color w:val="auto"/>
              </w:rPr>
            </w:pPr>
            <w:r>
              <w:rPr>
                <w:rFonts w:ascii="Arial" w:cs="Arial" w:eastAsia="Arial" w:hAnsi="Arial"/>
                <w:sz w:val="13"/>
                <w:szCs w:val="13"/>
                <w:i w:val="1"/>
                <w:iCs w:val="1"/>
                <w:color w:val="auto"/>
              </w:rPr>
              <w:t>Growth %</w:t>
            </w:r>
          </w:p>
        </w:tc>
        <w:tc>
          <w:tcPr>
            <w:tcW w:w="10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ind w:left="260"/>
              <w:spacing w:after="0"/>
              <w:rPr>
                <w:sz w:val="20"/>
                <w:szCs w:val="20"/>
                <w:color w:val="auto"/>
              </w:rPr>
            </w:pPr>
            <w:r>
              <w:rPr>
                <w:rFonts w:ascii="Arial" w:cs="Arial" w:eastAsia="Arial" w:hAnsi="Arial"/>
                <w:sz w:val="13"/>
                <w:szCs w:val="13"/>
                <w:i w:val="1"/>
                <w:iCs w:val="1"/>
                <w:color w:val="auto"/>
              </w:rPr>
              <w:t>(23.0%)</w:t>
            </w:r>
          </w:p>
        </w:tc>
        <w:tc>
          <w:tcPr>
            <w:tcW w:w="82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3"/>
                <w:szCs w:val="13"/>
                <w:i w:val="1"/>
                <w:iCs w:val="1"/>
                <w:color w:val="auto"/>
              </w:rPr>
              <w:t>(19.2%)</w:t>
            </w: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right"/>
              <w:ind w:right="177"/>
              <w:spacing w:after="0"/>
              <w:rPr>
                <w:sz w:val="20"/>
                <w:szCs w:val="20"/>
                <w:color w:val="auto"/>
              </w:rPr>
            </w:pPr>
            <w:r>
              <w:rPr>
                <w:rFonts w:ascii="Arial" w:cs="Arial" w:eastAsia="Arial" w:hAnsi="Arial"/>
                <w:sz w:val="13"/>
                <w:szCs w:val="13"/>
                <w:i w:val="1"/>
                <w:iCs w:val="1"/>
                <w:color w:val="auto"/>
              </w:rPr>
              <w:t>(4.1%)</w:t>
            </w:r>
          </w:p>
        </w:tc>
        <w:tc>
          <w:tcPr>
            <w:tcW w:w="600" w:type="dxa"/>
            <w:vAlign w:val="bottom"/>
          </w:tcPr>
          <w:p>
            <w:pPr>
              <w:jc w:val="right"/>
              <w:spacing w:after="0"/>
              <w:rPr>
                <w:sz w:val="20"/>
                <w:szCs w:val="20"/>
                <w:color w:val="auto"/>
              </w:rPr>
            </w:pPr>
            <w:r>
              <w:rPr>
                <w:rFonts w:ascii="Arial" w:cs="Arial" w:eastAsia="Arial" w:hAnsi="Arial"/>
                <w:sz w:val="13"/>
                <w:szCs w:val="13"/>
                <w:i w:val="1"/>
                <w:iCs w:val="1"/>
                <w:color w:val="auto"/>
              </w:rPr>
              <w:t>(0.4%)</w:t>
            </w:r>
          </w:p>
        </w:tc>
        <w:tc>
          <w:tcPr>
            <w:tcW w:w="0" w:type="dxa"/>
            <w:vAlign w:val="bottom"/>
          </w:tcPr>
          <w:p>
            <w:pPr>
              <w:spacing w:after="0"/>
              <w:rPr>
                <w:sz w:val="1"/>
                <w:szCs w:val="1"/>
                <w:color w:val="auto"/>
              </w:rPr>
            </w:pPr>
          </w:p>
        </w:tc>
      </w:tr>
      <w:tr>
        <w:trPr>
          <w:trHeight w:val="233"/>
        </w:trPr>
        <w:tc>
          <w:tcPr>
            <w:tcW w:w="4140" w:type="dxa"/>
            <w:vAlign w:val="bottom"/>
          </w:tcPr>
          <w:p>
            <w:pPr>
              <w:ind w:left="180"/>
              <w:spacing w:after="0"/>
              <w:rPr>
                <w:sz w:val="20"/>
                <w:szCs w:val="20"/>
                <w:color w:val="auto"/>
              </w:rPr>
            </w:pPr>
            <w:r>
              <w:rPr>
                <w:rFonts w:ascii="Arial" w:cs="Arial" w:eastAsia="Arial" w:hAnsi="Arial"/>
                <w:sz w:val="13"/>
                <w:szCs w:val="13"/>
                <w:color w:val="auto"/>
              </w:rPr>
              <w:t>Gains on sales of businesses and investments</w:t>
            </w:r>
            <w:r>
              <w:rPr>
                <w:rFonts w:ascii="Arial" w:cs="Arial" w:eastAsia="Arial" w:hAnsi="Arial"/>
                <w:sz w:val="6"/>
                <w:szCs w:val="6"/>
                <w:color w:val="auto"/>
              </w:rPr>
              <w:t>(3)</w:t>
            </w:r>
          </w:p>
        </w:tc>
        <w:tc>
          <w:tcPr>
            <w:tcW w:w="1040" w:type="dxa"/>
            <w:vAlign w:val="bottom"/>
          </w:tcPr>
          <w:p>
            <w:pPr>
              <w:jc w:val="right"/>
              <w:ind w:right="377"/>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0"/>
                <w:szCs w:val="20"/>
                <w:color w:val="auto"/>
              </w:rPr>
            </w:pPr>
          </w:p>
        </w:tc>
        <w:tc>
          <w:tcPr>
            <w:tcW w:w="1020" w:type="dxa"/>
            <w:vAlign w:val="bottom"/>
          </w:tcPr>
          <w:p>
            <w:pPr>
              <w:jc w:val="right"/>
              <w:ind w:right="437"/>
              <w:spacing w:after="0"/>
              <w:rPr>
                <w:sz w:val="20"/>
                <w:szCs w:val="20"/>
                <w:color w:val="auto"/>
              </w:rPr>
            </w:pPr>
            <w:r>
              <w:rPr>
                <w:rFonts w:ascii="Arial" w:cs="Arial" w:eastAsia="Arial" w:hAnsi="Arial"/>
                <w:sz w:val="13"/>
                <w:szCs w:val="13"/>
                <w:b w:val="1"/>
                <w:bCs w:val="1"/>
                <w:color w:val="auto"/>
              </w:rPr>
              <w:t>-</w:t>
            </w:r>
          </w:p>
        </w:tc>
        <w:tc>
          <w:tcPr>
            <w:tcW w:w="620" w:type="dxa"/>
            <w:vAlign w:val="bottom"/>
          </w:tcPr>
          <w:p>
            <w:pPr>
              <w:jc w:val="center"/>
              <w:ind w:left="157"/>
              <w:spacing w:after="0"/>
              <w:rPr>
                <w:sz w:val="20"/>
                <w:szCs w:val="20"/>
                <w:color w:val="auto"/>
              </w:rPr>
            </w:pPr>
            <w:r>
              <w:rPr>
                <w:rFonts w:ascii="Arial" w:cs="Arial" w:eastAsia="Arial" w:hAnsi="Arial"/>
                <w:sz w:val="13"/>
                <w:szCs w:val="13"/>
                <w:b w:val="1"/>
                <w:bCs w:val="1"/>
                <w:color w:val="auto"/>
                <w:w w:val="91"/>
              </w:rPr>
              <w:t>-</w:t>
            </w:r>
          </w:p>
        </w:tc>
        <w:tc>
          <w:tcPr>
            <w:tcW w:w="20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177"/>
              <w:spacing w:after="0"/>
              <w:rPr>
                <w:sz w:val="20"/>
                <w:szCs w:val="20"/>
                <w:color w:val="auto"/>
              </w:rPr>
            </w:pPr>
            <w:r>
              <w:rPr>
                <w:rFonts w:ascii="Arial" w:cs="Arial" w:eastAsia="Arial" w:hAnsi="Arial"/>
                <w:sz w:val="13"/>
                <w:szCs w:val="13"/>
                <w:color w:val="auto"/>
              </w:rPr>
              <w:t>(97)</w:t>
            </w: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(0.04)</w:t>
            </w:r>
          </w:p>
        </w:tc>
        <w:tc>
          <w:tcPr>
            <w:tcW w:w="1000" w:type="dxa"/>
            <w:vAlign w:val="bottom"/>
          </w:tcPr>
          <w:p>
            <w:pPr>
              <w:jc w:val="right"/>
              <w:ind w:right="177"/>
              <w:spacing w:after="0"/>
              <w:rPr>
                <w:sz w:val="20"/>
                <w:szCs w:val="20"/>
                <w:color w:val="auto"/>
              </w:rPr>
            </w:pPr>
            <w:r>
              <w:rPr>
                <w:rFonts w:ascii="Arial" w:cs="Arial" w:eastAsia="Arial" w:hAnsi="Arial"/>
                <w:sz w:val="13"/>
                <w:szCs w:val="13"/>
                <w:b w:val="1"/>
                <w:bCs w:val="1"/>
                <w:color w:val="auto"/>
              </w:rPr>
              <w:t>(202)</w:t>
            </w:r>
          </w:p>
        </w:tc>
        <w:tc>
          <w:tcPr>
            <w:tcW w:w="600" w:type="dxa"/>
            <w:vAlign w:val="bottom"/>
          </w:tcPr>
          <w:p>
            <w:pPr>
              <w:jc w:val="right"/>
              <w:spacing w:after="0"/>
              <w:rPr>
                <w:sz w:val="20"/>
                <w:szCs w:val="20"/>
                <w:color w:val="auto"/>
              </w:rPr>
            </w:pPr>
            <w:r>
              <w:rPr>
                <w:rFonts w:ascii="Arial" w:cs="Arial" w:eastAsia="Arial" w:hAnsi="Arial"/>
                <w:sz w:val="13"/>
                <w:szCs w:val="13"/>
                <w:b w:val="1"/>
                <w:bCs w:val="1"/>
                <w:color w:val="auto"/>
              </w:rPr>
              <w:t>(0.08)</w:t>
            </w:r>
          </w:p>
        </w:tc>
        <w:tc>
          <w:tcPr>
            <w:tcW w:w="0" w:type="dxa"/>
            <w:vAlign w:val="bottom"/>
          </w:tcPr>
          <w:p>
            <w:pPr>
              <w:spacing w:after="0"/>
              <w:rPr>
                <w:sz w:val="1"/>
                <w:szCs w:val="1"/>
                <w:color w:val="auto"/>
              </w:rPr>
            </w:pPr>
          </w:p>
        </w:tc>
      </w:tr>
      <w:tr>
        <w:trPr>
          <w:trHeight w:val="135"/>
        </w:trPr>
        <w:tc>
          <w:tcPr>
            <w:tcW w:w="4140" w:type="dxa"/>
            <w:vAlign w:val="bottom"/>
          </w:tcPr>
          <w:p>
            <w:pPr>
              <w:ind w:left="180"/>
              <w:spacing w:after="0" w:line="135" w:lineRule="exact"/>
              <w:rPr>
                <w:sz w:val="20"/>
                <w:szCs w:val="20"/>
                <w:color w:val="auto"/>
              </w:rPr>
            </w:pPr>
            <w:r>
              <w:rPr>
                <w:rFonts w:ascii="Arial" w:cs="Arial" w:eastAsia="Arial" w:hAnsi="Arial"/>
                <w:sz w:val="13"/>
                <w:szCs w:val="13"/>
                <w:color w:val="auto"/>
              </w:rPr>
              <w:t>Gain on settlement of contingent consideration liability</w:t>
            </w:r>
            <w:r>
              <w:rPr>
                <w:rFonts w:ascii="Arial" w:cs="Arial" w:eastAsia="Arial" w:hAnsi="Arial"/>
                <w:sz w:val="6"/>
                <w:szCs w:val="6"/>
                <w:color w:val="auto"/>
              </w:rPr>
              <w:t>(4)</w:t>
            </w:r>
          </w:p>
        </w:tc>
        <w:tc>
          <w:tcPr>
            <w:tcW w:w="1040" w:type="dxa"/>
            <w:vAlign w:val="bottom"/>
          </w:tcPr>
          <w:p>
            <w:pPr>
              <w:jc w:val="right"/>
              <w:ind w:right="377"/>
              <w:spacing w:after="0" w:line="135" w:lineRule="exact"/>
              <w:rPr>
                <w:sz w:val="20"/>
                <w:szCs w:val="20"/>
                <w:color w:val="auto"/>
              </w:rPr>
            </w:pPr>
            <w:r>
              <w:rPr>
                <w:rFonts w:ascii="Arial" w:cs="Arial" w:eastAsia="Arial" w:hAnsi="Arial"/>
                <w:sz w:val="13"/>
                <w:szCs w:val="13"/>
                <w:color w:val="auto"/>
              </w:rPr>
              <w:t>-</w:t>
            </w:r>
          </w:p>
        </w:tc>
        <w:tc>
          <w:tcPr>
            <w:tcW w:w="62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1020" w:type="dxa"/>
            <w:vAlign w:val="bottom"/>
          </w:tcPr>
          <w:p>
            <w:pPr>
              <w:jc w:val="right"/>
              <w:ind w:right="437"/>
              <w:spacing w:after="0" w:line="135" w:lineRule="exact"/>
              <w:rPr>
                <w:sz w:val="20"/>
                <w:szCs w:val="20"/>
                <w:color w:val="auto"/>
              </w:rPr>
            </w:pPr>
            <w:r>
              <w:rPr>
                <w:rFonts w:ascii="Arial" w:cs="Arial" w:eastAsia="Arial" w:hAnsi="Arial"/>
                <w:sz w:val="13"/>
                <w:szCs w:val="13"/>
                <w:b w:val="1"/>
                <w:bCs w:val="1"/>
                <w:color w:val="auto"/>
              </w:rPr>
              <w:t>-</w:t>
            </w:r>
          </w:p>
        </w:tc>
        <w:tc>
          <w:tcPr>
            <w:tcW w:w="620" w:type="dxa"/>
            <w:vAlign w:val="bottom"/>
          </w:tcPr>
          <w:p>
            <w:pPr>
              <w:jc w:val="center"/>
              <w:ind w:left="157"/>
              <w:spacing w:after="0" w:line="135" w:lineRule="exact"/>
              <w:rPr>
                <w:sz w:val="20"/>
                <w:szCs w:val="20"/>
                <w:color w:val="auto"/>
              </w:rPr>
            </w:pPr>
            <w:r>
              <w:rPr>
                <w:rFonts w:ascii="Arial" w:cs="Arial" w:eastAsia="Arial" w:hAnsi="Arial"/>
                <w:sz w:val="13"/>
                <w:szCs w:val="13"/>
                <w:b w:val="1"/>
                <w:bCs w:val="1"/>
                <w:color w:val="auto"/>
                <w:w w:val="91"/>
              </w:rPr>
              <w:t>-</w:t>
            </w:r>
          </w:p>
        </w:tc>
        <w:tc>
          <w:tcPr>
            <w:tcW w:w="200" w:type="dxa"/>
            <w:vAlign w:val="bottom"/>
            <w:tcBorders>
              <w:right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jc w:val="right"/>
              <w:ind w:right="357"/>
              <w:spacing w:after="0" w:line="135" w:lineRule="exact"/>
              <w:rPr>
                <w:sz w:val="20"/>
                <w:szCs w:val="20"/>
                <w:color w:val="auto"/>
              </w:rPr>
            </w:pPr>
            <w:r>
              <w:rPr>
                <w:rFonts w:ascii="Arial" w:cs="Arial" w:eastAsia="Arial" w:hAnsi="Arial"/>
                <w:sz w:val="13"/>
                <w:szCs w:val="13"/>
                <w:color w:val="auto"/>
              </w:rPr>
              <w:t>-</w:t>
            </w:r>
          </w:p>
        </w:tc>
        <w:tc>
          <w:tcPr>
            <w:tcW w:w="60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1000" w:type="dxa"/>
            <w:vAlign w:val="bottom"/>
          </w:tcPr>
          <w:p>
            <w:pPr>
              <w:jc w:val="right"/>
              <w:ind w:right="177"/>
              <w:spacing w:after="0" w:line="135" w:lineRule="exact"/>
              <w:rPr>
                <w:sz w:val="20"/>
                <w:szCs w:val="20"/>
                <w:color w:val="auto"/>
              </w:rPr>
            </w:pPr>
            <w:r>
              <w:rPr>
                <w:rFonts w:ascii="Arial" w:cs="Arial" w:eastAsia="Arial" w:hAnsi="Arial"/>
                <w:sz w:val="13"/>
                <w:szCs w:val="13"/>
                <w:b w:val="1"/>
                <w:bCs w:val="1"/>
                <w:color w:val="auto"/>
              </w:rPr>
              <w:t>(150)</w:t>
            </w:r>
          </w:p>
        </w:tc>
        <w:tc>
          <w:tcPr>
            <w:tcW w:w="60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(0.06)</w:t>
            </w:r>
          </w:p>
        </w:tc>
        <w:tc>
          <w:tcPr>
            <w:tcW w:w="0" w:type="dxa"/>
            <w:vAlign w:val="bottom"/>
          </w:tcPr>
          <w:p>
            <w:pPr>
              <w:spacing w:after="0"/>
              <w:rPr>
                <w:sz w:val="1"/>
                <w:szCs w:val="1"/>
                <w:color w:val="auto"/>
              </w:rPr>
            </w:pPr>
          </w:p>
        </w:tc>
      </w:tr>
      <w:tr>
        <w:trPr>
          <w:trHeight w:val="135"/>
        </w:trPr>
        <w:tc>
          <w:tcPr>
            <w:tcW w:w="4140" w:type="dxa"/>
            <w:vAlign w:val="bottom"/>
          </w:tcPr>
          <w:p>
            <w:pPr>
              <w:ind w:left="180"/>
              <w:spacing w:after="0" w:line="135" w:lineRule="exact"/>
              <w:rPr>
                <w:sz w:val="20"/>
                <w:szCs w:val="20"/>
                <w:color w:val="auto"/>
              </w:rPr>
            </w:pPr>
            <w:r>
              <w:rPr>
                <w:rFonts w:ascii="Arial" w:cs="Arial" w:eastAsia="Arial" w:hAnsi="Arial"/>
                <w:sz w:val="13"/>
                <w:szCs w:val="13"/>
                <w:color w:val="auto"/>
              </w:rPr>
              <w:t>Loss on early redemption of debt</w:t>
            </w:r>
            <w:r>
              <w:rPr>
                <w:rFonts w:ascii="Arial" w:cs="Arial" w:eastAsia="Arial" w:hAnsi="Arial"/>
                <w:sz w:val="6"/>
                <w:szCs w:val="6"/>
                <w:color w:val="auto"/>
              </w:rPr>
              <w:t>(5)</w:t>
            </w:r>
          </w:p>
        </w:tc>
        <w:tc>
          <w:tcPr>
            <w:tcW w:w="1040" w:type="dxa"/>
            <w:vAlign w:val="bottom"/>
          </w:tcPr>
          <w:p>
            <w:pPr>
              <w:jc w:val="right"/>
              <w:ind w:right="377"/>
              <w:spacing w:after="0" w:line="135" w:lineRule="exact"/>
              <w:rPr>
                <w:sz w:val="20"/>
                <w:szCs w:val="20"/>
                <w:color w:val="auto"/>
              </w:rPr>
            </w:pPr>
            <w:r>
              <w:rPr>
                <w:rFonts w:ascii="Arial" w:cs="Arial" w:eastAsia="Arial" w:hAnsi="Arial"/>
                <w:sz w:val="13"/>
                <w:szCs w:val="13"/>
                <w:color w:val="auto"/>
              </w:rPr>
              <w:t>-</w:t>
            </w:r>
          </w:p>
        </w:tc>
        <w:tc>
          <w:tcPr>
            <w:tcW w:w="62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1020" w:type="dxa"/>
            <w:vAlign w:val="bottom"/>
          </w:tcPr>
          <w:p>
            <w:pPr>
              <w:jc w:val="right"/>
              <w:ind w:right="437"/>
              <w:spacing w:after="0" w:line="135" w:lineRule="exact"/>
              <w:rPr>
                <w:sz w:val="20"/>
                <w:szCs w:val="20"/>
                <w:color w:val="auto"/>
              </w:rPr>
            </w:pPr>
            <w:r>
              <w:rPr>
                <w:rFonts w:ascii="Arial" w:cs="Arial" w:eastAsia="Arial" w:hAnsi="Arial"/>
                <w:sz w:val="13"/>
                <w:szCs w:val="13"/>
                <w:b w:val="1"/>
                <w:bCs w:val="1"/>
                <w:color w:val="auto"/>
              </w:rPr>
              <w:t>-</w:t>
            </w:r>
          </w:p>
        </w:tc>
        <w:tc>
          <w:tcPr>
            <w:tcW w:w="620" w:type="dxa"/>
            <w:vAlign w:val="bottom"/>
          </w:tcPr>
          <w:p>
            <w:pPr>
              <w:jc w:val="center"/>
              <w:ind w:left="157"/>
              <w:spacing w:after="0" w:line="135" w:lineRule="exact"/>
              <w:rPr>
                <w:sz w:val="20"/>
                <w:szCs w:val="20"/>
                <w:color w:val="auto"/>
              </w:rPr>
            </w:pPr>
            <w:r>
              <w:rPr>
                <w:rFonts w:ascii="Arial" w:cs="Arial" w:eastAsia="Arial" w:hAnsi="Arial"/>
                <w:sz w:val="13"/>
                <w:szCs w:val="13"/>
                <w:b w:val="1"/>
                <w:bCs w:val="1"/>
                <w:color w:val="auto"/>
                <w:w w:val="91"/>
              </w:rPr>
              <w:t>-</w:t>
            </w:r>
          </w:p>
        </w:tc>
        <w:tc>
          <w:tcPr>
            <w:tcW w:w="200" w:type="dxa"/>
            <w:vAlign w:val="bottom"/>
            <w:tcBorders>
              <w:right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jc w:val="right"/>
              <w:ind w:right="357"/>
              <w:spacing w:after="0" w:line="135" w:lineRule="exact"/>
              <w:rPr>
                <w:sz w:val="20"/>
                <w:szCs w:val="20"/>
                <w:color w:val="auto"/>
              </w:rPr>
            </w:pPr>
            <w:r>
              <w:rPr>
                <w:rFonts w:ascii="Arial" w:cs="Arial" w:eastAsia="Arial" w:hAnsi="Arial"/>
                <w:sz w:val="13"/>
                <w:szCs w:val="13"/>
                <w:color w:val="auto"/>
              </w:rPr>
              <w:t>-</w:t>
            </w:r>
          </w:p>
        </w:tc>
        <w:tc>
          <w:tcPr>
            <w:tcW w:w="60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1000" w:type="dxa"/>
            <w:vAlign w:val="bottom"/>
          </w:tcPr>
          <w:p>
            <w:pPr>
              <w:jc w:val="right"/>
              <w:ind w:right="217"/>
              <w:spacing w:after="0" w:line="135" w:lineRule="exact"/>
              <w:rPr>
                <w:sz w:val="20"/>
                <w:szCs w:val="20"/>
                <w:color w:val="auto"/>
              </w:rPr>
            </w:pPr>
            <w:r>
              <w:rPr>
                <w:rFonts w:ascii="Arial" w:cs="Arial" w:eastAsia="Arial" w:hAnsi="Arial"/>
                <w:sz w:val="13"/>
                <w:szCs w:val="13"/>
                <w:b w:val="1"/>
                <w:bCs w:val="1"/>
                <w:color w:val="auto"/>
              </w:rPr>
              <w:t>29</w:t>
            </w:r>
          </w:p>
        </w:tc>
        <w:tc>
          <w:tcPr>
            <w:tcW w:w="600" w:type="dxa"/>
            <w:vAlign w:val="bottom"/>
          </w:tcPr>
          <w:p>
            <w:pPr>
              <w:jc w:val="right"/>
              <w:ind w:right="37"/>
              <w:spacing w:after="0" w:line="135" w:lineRule="exact"/>
              <w:rPr>
                <w:sz w:val="20"/>
                <w:szCs w:val="20"/>
                <w:color w:val="auto"/>
              </w:rPr>
            </w:pPr>
            <w:r>
              <w:rPr>
                <w:rFonts w:ascii="Arial" w:cs="Arial" w:eastAsia="Arial" w:hAnsi="Arial"/>
                <w:sz w:val="13"/>
                <w:szCs w:val="13"/>
                <w:b w:val="1"/>
                <w:bCs w:val="1"/>
                <w:color w:val="auto"/>
              </w:rPr>
              <w:t>0.01</w:t>
            </w:r>
          </w:p>
        </w:tc>
        <w:tc>
          <w:tcPr>
            <w:tcW w:w="0" w:type="dxa"/>
            <w:vAlign w:val="bottom"/>
          </w:tcPr>
          <w:p>
            <w:pPr>
              <w:spacing w:after="0"/>
              <w:rPr>
                <w:sz w:val="1"/>
                <w:szCs w:val="1"/>
                <w:color w:val="auto"/>
              </w:rPr>
            </w:pPr>
          </w:p>
        </w:tc>
      </w:tr>
      <w:tr>
        <w:trPr>
          <w:trHeight w:val="135"/>
        </w:trPr>
        <w:tc>
          <w:tcPr>
            <w:tcW w:w="4140" w:type="dxa"/>
            <w:vAlign w:val="bottom"/>
          </w:tcPr>
          <w:p>
            <w:pPr>
              <w:ind w:left="180"/>
              <w:spacing w:after="0" w:line="135" w:lineRule="exact"/>
              <w:rPr>
                <w:sz w:val="20"/>
                <w:szCs w:val="20"/>
                <w:color w:val="auto"/>
              </w:rPr>
            </w:pPr>
            <w:r>
              <w:rPr>
                <w:rFonts w:ascii="Arial" w:cs="Arial" w:eastAsia="Arial" w:hAnsi="Arial"/>
                <w:sz w:val="13"/>
                <w:szCs w:val="13"/>
                <w:color w:val="auto"/>
              </w:rPr>
              <w:t>Costs related to Time Warner Cable and Charter transactions</w:t>
            </w:r>
            <w:r>
              <w:rPr>
                <w:rFonts w:ascii="Arial" w:cs="Arial" w:eastAsia="Arial" w:hAnsi="Arial"/>
                <w:sz w:val="6"/>
                <w:szCs w:val="6"/>
                <w:color w:val="auto"/>
              </w:rPr>
              <w:t>(6)</w:t>
            </w:r>
          </w:p>
        </w:tc>
        <w:tc>
          <w:tcPr>
            <w:tcW w:w="1040" w:type="dxa"/>
            <w:vAlign w:val="bottom"/>
          </w:tcPr>
          <w:p>
            <w:pPr>
              <w:jc w:val="right"/>
              <w:ind w:right="237"/>
              <w:spacing w:after="0" w:line="135" w:lineRule="exact"/>
              <w:rPr>
                <w:sz w:val="20"/>
                <w:szCs w:val="20"/>
                <w:color w:val="auto"/>
              </w:rPr>
            </w:pPr>
            <w:r>
              <w:rPr>
                <w:rFonts w:ascii="Arial" w:cs="Arial" w:eastAsia="Arial" w:hAnsi="Arial"/>
                <w:sz w:val="13"/>
                <w:szCs w:val="13"/>
                <w:color w:val="auto"/>
              </w:rPr>
              <w:t>49</w:t>
            </w: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0.02</w:t>
            </w:r>
          </w:p>
        </w:tc>
        <w:tc>
          <w:tcPr>
            <w:tcW w:w="180" w:type="dxa"/>
            <w:vAlign w:val="bottom"/>
          </w:tcPr>
          <w:p>
            <w:pPr>
              <w:spacing w:after="0"/>
              <w:rPr>
                <w:sz w:val="11"/>
                <w:szCs w:val="11"/>
                <w:color w:val="auto"/>
              </w:rPr>
            </w:pPr>
          </w:p>
        </w:tc>
        <w:tc>
          <w:tcPr>
            <w:tcW w:w="1020" w:type="dxa"/>
            <w:vAlign w:val="bottom"/>
          </w:tcPr>
          <w:p>
            <w:pPr>
              <w:jc w:val="right"/>
              <w:ind w:right="437"/>
              <w:spacing w:after="0" w:line="135" w:lineRule="exact"/>
              <w:rPr>
                <w:sz w:val="20"/>
                <w:szCs w:val="20"/>
                <w:color w:val="auto"/>
              </w:rPr>
            </w:pPr>
            <w:r>
              <w:rPr>
                <w:rFonts w:ascii="Arial" w:cs="Arial" w:eastAsia="Arial" w:hAnsi="Arial"/>
                <w:sz w:val="13"/>
                <w:szCs w:val="13"/>
                <w:b w:val="1"/>
                <w:bCs w:val="1"/>
                <w:color w:val="auto"/>
              </w:rPr>
              <w:t>-</w:t>
            </w:r>
          </w:p>
        </w:tc>
        <w:tc>
          <w:tcPr>
            <w:tcW w:w="620" w:type="dxa"/>
            <w:vAlign w:val="bottom"/>
          </w:tcPr>
          <w:p>
            <w:pPr>
              <w:jc w:val="center"/>
              <w:ind w:left="157"/>
              <w:spacing w:after="0" w:line="135" w:lineRule="exact"/>
              <w:rPr>
                <w:sz w:val="20"/>
                <w:szCs w:val="20"/>
                <w:color w:val="auto"/>
              </w:rPr>
            </w:pPr>
            <w:r>
              <w:rPr>
                <w:rFonts w:ascii="Arial" w:cs="Arial" w:eastAsia="Arial" w:hAnsi="Arial"/>
                <w:sz w:val="13"/>
                <w:szCs w:val="13"/>
                <w:b w:val="1"/>
                <w:bCs w:val="1"/>
                <w:color w:val="auto"/>
                <w:w w:val="91"/>
              </w:rPr>
              <w:t>-</w:t>
            </w:r>
          </w:p>
        </w:tc>
        <w:tc>
          <w:tcPr>
            <w:tcW w:w="200" w:type="dxa"/>
            <w:vAlign w:val="bottom"/>
            <w:tcBorders>
              <w:right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jc w:val="right"/>
              <w:ind w:right="217"/>
              <w:spacing w:after="0" w:line="135" w:lineRule="exact"/>
              <w:rPr>
                <w:sz w:val="20"/>
                <w:szCs w:val="20"/>
                <w:color w:val="auto"/>
              </w:rPr>
            </w:pPr>
            <w:r>
              <w:rPr>
                <w:rFonts w:ascii="Arial" w:cs="Arial" w:eastAsia="Arial" w:hAnsi="Arial"/>
                <w:sz w:val="13"/>
                <w:szCs w:val="13"/>
                <w:color w:val="auto"/>
              </w:rPr>
              <w:t>87</w:t>
            </w: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0.04</w:t>
            </w:r>
          </w:p>
        </w:tc>
        <w:tc>
          <w:tcPr>
            <w:tcW w:w="160" w:type="dxa"/>
            <w:vAlign w:val="bottom"/>
          </w:tcPr>
          <w:p>
            <w:pPr>
              <w:spacing w:after="0"/>
              <w:rPr>
                <w:sz w:val="11"/>
                <w:szCs w:val="11"/>
                <w:color w:val="auto"/>
              </w:rPr>
            </w:pPr>
          </w:p>
        </w:tc>
        <w:tc>
          <w:tcPr>
            <w:tcW w:w="1000" w:type="dxa"/>
            <w:vAlign w:val="bottom"/>
          </w:tcPr>
          <w:p>
            <w:pPr>
              <w:jc w:val="right"/>
              <w:ind w:right="217"/>
              <w:spacing w:after="0" w:line="135" w:lineRule="exact"/>
              <w:rPr>
                <w:sz w:val="20"/>
                <w:szCs w:val="20"/>
                <w:color w:val="auto"/>
              </w:rPr>
            </w:pPr>
            <w:r>
              <w:rPr>
                <w:rFonts w:ascii="Arial" w:cs="Arial" w:eastAsia="Arial" w:hAnsi="Arial"/>
                <w:sz w:val="13"/>
                <w:szCs w:val="13"/>
                <w:b w:val="1"/>
                <w:bCs w:val="1"/>
                <w:color w:val="auto"/>
              </w:rPr>
              <w:t>123</w:t>
            </w:r>
          </w:p>
        </w:tc>
        <w:tc>
          <w:tcPr>
            <w:tcW w:w="600" w:type="dxa"/>
            <w:vAlign w:val="bottom"/>
          </w:tcPr>
          <w:p>
            <w:pPr>
              <w:jc w:val="right"/>
              <w:ind w:right="17"/>
              <w:spacing w:after="0" w:line="135" w:lineRule="exact"/>
              <w:rPr>
                <w:sz w:val="20"/>
                <w:szCs w:val="20"/>
                <w:color w:val="auto"/>
              </w:rPr>
            </w:pPr>
            <w:r>
              <w:rPr>
                <w:rFonts w:ascii="Arial" w:cs="Arial" w:eastAsia="Arial" w:hAnsi="Arial"/>
                <w:sz w:val="13"/>
                <w:szCs w:val="13"/>
                <w:b w:val="1"/>
                <w:bCs w:val="1"/>
                <w:color w:val="auto"/>
              </w:rPr>
              <w:t>0.05</w:t>
            </w:r>
          </w:p>
        </w:tc>
        <w:tc>
          <w:tcPr>
            <w:tcW w:w="0" w:type="dxa"/>
            <w:vAlign w:val="bottom"/>
          </w:tcPr>
          <w:p>
            <w:pPr>
              <w:spacing w:after="0"/>
              <w:rPr>
                <w:sz w:val="1"/>
                <w:szCs w:val="1"/>
                <w:color w:val="auto"/>
              </w:rPr>
            </w:pPr>
          </w:p>
        </w:tc>
      </w:tr>
      <w:tr>
        <w:trPr>
          <w:trHeight w:val="135"/>
        </w:trPr>
        <w:tc>
          <w:tcPr>
            <w:tcW w:w="4140" w:type="dxa"/>
            <w:vAlign w:val="bottom"/>
          </w:tcPr>
          <w:p>
            <w:pPr>
              <w:ind w:left="180"/>
              <w:spacing w:after="0" w:line="135" w:lineRule="exact"/>
              <w:rPr>
                <w:sz w:val="20"/>
                <w:szCs w:val="20"/>
                <w:color w:val="auto"/>
              </w:rPr>
            </w:pPr>
            <w:r>
              <w:rPr>
                <w:rFonts w:ascii="Arial" w:cs="Arial" w:eastAsia="Arial" w:hAnsi="Arial"/>
                <w:sz w:val="13"/>
                <w:szCs w:val="13"/>
                <w:color w:val="auto"/>
              </w:rPr>
              <w:t>Loss on investment</w:t>
            </w:r>
            <w:r>
              <w:rPr>
                <w:rFonts w:ascii="Arial" w:cs="Arial" w:eastAsia="Arial" w:hAnsi="Arial"/>
                <w:sz w:val="6"/>
                <w:szCs w:val="6"/>
                <w:color w:val="auto"/>
              </w:rPr>
              <w:t>(7)</w:t>
            </w:r>
          </w:p>
        </w:tc>
        <w:tc>
          <w:tcPr>
            <w:tcW w:w="1040" w:type="dxa"/>
            <w:vAlign w:val="bottom"/>
          </w:tcPr>
          <w:p>
            <w:pPr>
              <w:jc w:val="right"/>
              <w:ind w:right="377"/>
              <w:spacing w:after="0" w:line="135" w:lineRule="exact"/>
              <w:rPr>
                <w:sz w:val="20"/>
                <w:szCs w:val="20"/>
                <w:color w:val="auto"/>
              </w:rPr>
            </w:pPr>
            <w:r>
              <w:rPr>
                <w:rFonts w:ascii="Arial" w:cs="Arial" w:eastAsia="Arial" w:hAnsi="Arial"/>
                <w:sz w:val="13"/>
                <w:szCs w:val="13"/>
                <w:color w:val="auto"/>
              </w:rPr>
              <w:t>-</w:t>
            </w:r>
          </w:p>
        </w:tc>
        <w:tc>
          <w:tcPr>
            <w:tcW w:w="62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1020" w:type="dxa"/>
            <w:vAlign w:val="bottom"/>
          </w:tcPr>
          <w:p>
            <w:pPr>
              <w:jc w:val="right"/>
              <w:ind w:right="437"/>
              <w:spacing w:after="0" w:line="135" w:lineRule="exact"/>
              <w:rPr>
                <w:sz w:val="20"/>
                <w:szCs w:val="20"/>
                <w:color w:val="auto"/>
              </w:rPr>
            </w:pPr>
            <w:r>
              <w:rPr>
                <w:rFonts w:ascii="Arial" w:cs="Arial" w:eastAsia="Arial" w:hAnsi="Arial"/>
                <w:sz w:val="13"/>
                <w:szCs w:val="13"/>
                <w:b w:val="1"/>
                <w:bCs w:val="1"/>
                <w:color w:val="auto"/>
              </w:rPr>
              <w:t>-</w:t>
            </w:r>
          </w:p>
        </w:tc>
        <w:tc>
          <w:tcPr>
            <w:tcW w:w="620" w:type="dxa"/>
            <w:vAlign w:val="bottom"/>
          </w:tcPr>
          <w:p>
            <w:pPr>
              <w:jc w:val="center"/>
              <w:ind w:left="157"/>
              <w:spacing w:after="0" w:line="135" w:lineRule="exact"/>
              <w:rPr>
                <w:sz w:val="20"/>
                <w:szCs w:val="20"/>
                <w:color w:val="auto"/>
              </w:rPr>
            </w:pPr>
            <w:r>
              <w:rPr>
                <w:rFonts w:ascii="Arial" w:cs="Arial" w:eastAsia="Arial" w:hAnsi="Arial"/>
                <w:sz w:val="13"/>
                <w:szCs w:val="13"/>
                <w:b w:val="1"/>
                <w:bCs w:val="1"/>
                <w:color w:val="auto"/>
                <w:w w:val="91"/>
              </w:rPr>
              <w:t>-</w:t>
            </w:r>
          </w:p>
        </w:tc>
        <w:tc>
          <w:tcPr>
            <w:tcW w:w="200" w:type="dxa"/>
            <w:vAlign w:val="bottom"/>
            <w:tcBorders>
              <w:right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jc w:val="right"/>
              <w:ind w:right="357"/>
              <w:spacing w:after="0" w:line="135" w:lineRule="exact"/>
              <w:rPr>
                <w:sz w:val="20"/>
                <w:szCs w:val="20"/>
                <w:color w:val="auto"/>
              </w:rPr>
            </w:pPr>
            <w:r>
              <w:rPr>
                <w:rFonts w:ascii="Arial" w:cs="Arial" w:eastAsia="Arial" w:hAnsi="Arial"/>
                <w:sz w:val="13"/>
                <w:szCs w:val="13"/>
                <w:color w:val="auto"/>
              </w:rPr>
              <w:t>-</w:t>
            </w:r>
          </w:p>
        </w:tc>
        <w:tc>
          <w:tcPr>
            <w:tcW w:w="60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1000" w:type="dxa"/>
            <w:vAlign w:val="bottom"/>
          </w:tcPr>
          <w:p>
            <w:pPr>
              <w:jc w:val="right"/>
              <w:ind w:right="217"/>
              <w:spacing w:after="0" w:line="135" w:lineRule="exact"/>
              <w:rPr>
                <w:sz w:val="20"/>
                <w:szCs w:val="20"/>
                <w:color w:val="auto"/>
              </w:rPr>
            </w:pPr>
            <w:r>
              <w:rPr>
                <w:rFonts w:ascii="Arial" w:cs="Arial" w:eastAsia="Arial" w:hAnsi="Arial"/>
                <w:sz w:val="13"/>
                <w:szCs w:val="13"/>
                <w:b w:val="1"/>
                <w:bCs w:val="1"/>
                <w:color w:val="auto"/>
              </w:rPr>
              <w:t>158</w:t>
            </w:r>
          </w:p>
        </w:tc>
        <w:tc>
          <w:tcPr>
            <w:tcW w:w="600" w:type="dxa"/>
            <w:vAlign w:val="bottom"/>
          </w:tcPr>
          <w:p>
            <w:pPr>
              <w:jc w:val="right"/>
              <w:ind w:right="17"/>
              <w:spacing w:after="0" w:line="135" w:lineRule="exact"/>
              <w:rPr>
                <w:sz w:val="20"/>
                <w:szCs w:val="20"/>
                <w:color w:val="auto"/>
              </w:rPr>
            </w:pPr>
            <w:r>
              <w:rPr>
                <w:rFonts w:ascii="Arial" w:cs="Arial" w:eastAsia="Arial" w:hAnsi="Arial"/>
                <w:sz w:val="13"/>
                <w:szCs w:val="13"/>
                <w:b w:val="1"/>
                <w:bCs w:val="1"/>
                <w:color w:val="auto"/>
              </w:rPr>
              <w:t>0.06</w:t>
            </w:r>
          </w:p>
        </w:tc>
        <w:tc>
          <w:tcPr>
            <w:tcW w:w="0" w:type="dxa"/>
            <w:vAlign w:val="bottom"/>
          </w:tcPr>
          <w:p>
            <w:pPr>
              <w:spacing w:after="0"/>
              <w:rPr>
                <w:sz w:val="1"/>
                <w:szCs w:val="1"/>
                <w:color w:val="auto"/>
              </w:rPr>
            </w:pPr>
          </w:p>
        </w:tc>
      </w:tr>
      <w:tr>
        <w:trPr>
          <w:trHeight w:val="135"/>
        </w:trPr>
        <w:tc>
          <w:tcPr>
            <w:tcW w:w="4140" w:type="dxa"/>
            <w:vAlign w:val="bottom"/>
          </w:tcPr>
          <w:p>
            <w:pPr>
              <w:ind w:left="180"/>
              <w:spacing w:after="0" w:line="135" w:lineRule="exact"/>
              <w:rPr>
                <w:sz w:val="20"/>
                <w:szCs w:val="20"/>
                <w:color w:val="auto"/>
              </w:rPr>
            </w:pPr>
            <w:r>
              <w:rPr>
                <w:rFonts w:ascii="Arial" w:cs="Arial" w:eastAsia="Arial" w:hAnsi="Arial"/>
                <w:sz w:val="13"/>
                <w:szCs w:val="13"/>
                <w:color w:val="auto"/>
              </w:rPr>
              <w:t>Favorable income tax adjustments</w:t>
            </w:r>
            <w:r>
              <w:rPr>
                <w:rFonts w:ascii="Arial" w:cs="Arial" w:eastAsia="Arial" w:hAnsi="Arial"/>
                <w:sz w:val="6"/>
                <w:szCs w:val="6"/>
                <w:color w:val="auto"/>
              </w:rPr>
              <w:t>(8)</w:t>
            </w:r>
          </w:p>
        </w:tc>
        <w:tc>
          <w:tcPr>
            <w:tcW w:w="104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(724)</w:t>
            </w:r>
          </w:p>
        </w:tc>
        <w:tc>
          <w:tcPr>
            <w:tcW w:w="8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(0.28)</w:t>
            </w:r>
          </w:p>
        </w:tc>
        <w:tc>
          <w:tcPr>
            <w:tcW w:w="1020" w:type="dxa"/>
            <w:vAlign w:val="bottom"/>
          </w:tcPr>
          <w:p>
            <w:pPr>
              <w:jc w:val="right"/>
              <w:ind w:right="437"/>
              <w:spacing w:after="0" w:line="135" w:lineRule="exact"/>
              <w:rPr>
                <w:sz w:val="20"/>
                <w:szCs w:val="20"/>
                <w:color w:val="auto"/>
              </w:rPr>
            </w:pPr>
            <w:r>
              <w:rPr>
                <w:rFonts w:ascii="Arial" w:cs="Arial" w:eastAsia="Arial" w:hAnsi="Arial"/>
                <w:sz w:val="13"/>
                <w:szCs w:val="13"/>
                <w:b w:val="1"/>
                <w:bCs w:val="1"/>
                <w:color w:val="auto"/>
              </w:rPr>
              <w:t>-</w:t>
            </w:r>
          </w:p>
        </w:tc>
        <w:tc>
          <w:tcPr>
            <w:tcW w:w="620" w:type="dxa"/>
            <w:vAlign w:val="bottom"/>
          </w:tcPr>
          <w:p>
            <w:pPr>
              <w:jc w:val="center"/>
              <w:ind w:left="157"/>
              <w:spacing w:after="0" w:line="135" w:lineRule="exact"/>
              <w:rPr>
                <w:sz w:val="20"/>
                <w:szCs w:val="20"/>
                <w:color w:val="auto"/>
              </w:rPr>
            </w:pPr>
            <w:r>
              <w:rPr>
                <w:rFonts w:ascii="Arial" w:cs="Arial" w:eastAsia="Arial" w:hAnsi="Arial"/>
                <w:sz w:val="13"/>
                <w:szCs w:val="13"/>
                <w:b w:val="1"/>
                <w:bCs w:val="1"/>
                <w:color w:val="auto"/>
                <w:w w:val="91"/>
              </w:rPr>
              <w:t>-</w:t>
            </w:r>
          </w:p>
        </w:tc>
        <w:tc>
          <w:tcPr>
            <w:tcW w:w="200" w:type="dxa"/>
            <w:vAlign w:val="bottom"/>
            <w:tcBorders>
              <w:right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jc w:val="right"/>
              <w:ind w:right="177"/>
              <w:spacing w:after="0" w:line="135" w:lineRule="exact"/>
              <w:rPr>
                <w:sz w:val="20"/>
                <w:szCs w:val="20"/>
                <w:color w:val="auto"/>
              </w:rPr>
            </w:pPr>
            <w:r>
              <w:rPr>
                <w:rFonts w:ascii="Arial" w:cs="Arial" w:eastAsia="Arial" w:hAnsi="Arial"/>
                <w:sz w:val="13"/>
                <w:szCs w:val="13"/>
                <w:color w:val="auto"/>
              </w:rPr>
              <w:t>(724)</w:t>
            </w:r>
          </w:p>
        </w:tc>
        <w:tc>
          <w:tcPr>
            <w:tcW w:w="76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(0.28)</w:t>
            </w:r>
          </w:p>
        </w:tc>
        <w:tc>
          <w:tcPr>
            <w:tcW w:w="1000" w:type="dxa"/>
            <w:vAlign w:val="bottom"/>
          </w:tcPr>
          <w:p>
            <w:pPr>
              <w:jc w:val="right"/>
              <w:ind w:right="357"/>
              <w:spacing w:after="0" w:line="135" w:lineRule="exact"/>
              <w:rPr>
                <w:sz w:val="20"/>
                <w:szCs w:val="20"/>
                <w:color w:val="auto"/>
              </w:rPr>
            </w:pPr>
            <w:r>
              <w:rPr>
                <w:rFonts w:ascii="Arial" w:cs="Arial" w:eastAsia="Arial" w:hAnsi="Arial"/>
                <w:sz w:val="13"/>
                <w:szCs w:val="13"/>
                <w:b w:val="1"/>
                <w:bCs w:val="1"/>
                <w:color w:val="auto"/>
              </w:rPr>
              <w:t>-</w:t>
            </w:r>
          </w:p>
        </w:tc>
        <w:tc>
          <w:tcPr>
            <w:tcW w:w="600" w:type="dxa"/>
            <w:vAlign w:val="bottom"/>
          </w:tcPr>
          <w:p>
            <w:pPr>
              <w:jc w:val="right"/>
              <w:ind w:right="157"/>
              <w:spacing w:after="0" w:line="135" w:lineRule="exact"/>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137"/>
        </w:trPr>
        <w:tc>
          <w:tcPr>
            <w:tcW w:w="4140" w:type="dxa"/>
            <w:vAlign w:val="bottom"/>
          </w:tcPr>
          <w:p>
            <w:pPr>
              <w:ind w:left="180"/>
              <w:spacing w:after="0" w:line="138" w:lineRule="exact"/>
              <w:rPr>
                <w:sz w:val="20"/>
                <w:szCs w:val="20"/>
                <w:color w:val="auto"/>
              </w:rPr>
            </w:pPr>
            <w:r>
              <w:rPr>
                <w:rFonts w:ascii="Arial" w:cs="Arial" w:eastAsia="Arial" w:hAnsi="Arial"/>
                <w:sz w:val="13"/>
                <w:szCs w:val="13"/>
                <w:color w:val="auto"/>
              </w:rPr>
              <w:t>Favorable resolution of a contingency of an acquired company</w:t>
            </w:r>
            <w:r>
              <w:rPr>
                <w:rFonts w:ascii="Arial" w:cs="Arial" w:eastAsia="Arial" w:hAnsi="Arial"/>
                <w:sz w:val="6"/>
                <w:szCs w:val="6"/>
                <w:color w:val="auto"/>
              </w:rPr>
              <w:t>(9)</w:t>
            </w:r>
          </w:p>
        </w:tc>
        <w:tc>
          <w:tcPr>
            <w:tcW w:w="1040" w:type="dxa"/>
            <w:vAlign w:val="bottom"/>
          </w:tcPr>
          <w:p>
            <w:pPr>
              <w:jc w:val="right"/>
              <w:ind w:right="377"/>
              <w:spacing w:after="0" w:line="138" w:lineRule="exact"/>
              <w:rPr>
                <w:sz w:val="20"/>
                <w:szCs w:val="20"/>
                <w:color w:val="auto"/>
              </w:rPr>
            </w:pPr>
            <w:r>
              <w:rPr>
                <w:rFonts w:ascii="Arial" w:cs="Arial" w:eastAsia="Arial" w:hAnsi="Arial"/>
                <w:sz w:val="13"/>
                <w:szCs w:val="13"/>
                <w:color w:val="auto"/>
              </w:rPr>
              <w:t>-</w:t>
            </w:r>
          </w:p>
        </w:tc>
        <w:tc>
          <w:tcPr>
            <w:tcW w:w="620" w:type="dxa"/>
            <w:vAlign w:val="bottom"/>
          </w:tcPr>
          <w:p>
            <w:pPr>
              <w:jc w:val="right"/>
              <w:ind w:right="117"/>
              <w:spacing w:after="0" w:line="138"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1020" w:type="dxa"/>
            <w:vAlign w:val="bottom"/>
          </w:tcPr>
          <w:p>
            <w:pPr>
              <w:jc w:val="right"/>
              <w:ind w:right="437"/>
              <w:spacing w:after="0" w:line="138" w:lineRule="exact"/>
              <w:rPr>
                <w:sz w:val="20"/>
                <w:szCs w:val="20"/>
                <w:color w:val="auto"/>
              </w:rPr>
            </w:pPr>
            <w:r>
              <w:rPr>
                <w:rFonts w:ascii="Arial" w:cs="Arial" w:eastAsia="Arial" w:hAnsi="Arial"/>
                <w:sz w:val="13"/>
                <w:szCs w:val="13"/>
                <w:b w:val="1"/>
                <w:bCs w:val="1"/>
                <w:color w:val="auto"/>
              </w:rPr>
              <w:t>-</w:t>
            </w:r>
          </w:p>
        </w:tc>
        <w:tc>
          <w:tcPr>
            <w:tcW w:w="620" w:type="dxa"/>
            <w:vAlign w:val="bottom"/>
          </w:tcPr>
          <w:p>
            <w:pPr>
              <w:jc w:val="center"/>
              <w:ind w:left="157"/>
              <w:spacing w:after="0" w:line="138" w:lineRule="exact"/>
              <w:rPr>
                <w:sz w:val="20"/>
                <w:szCs w:val="20"/>
                <w:color w:val="auto"/>
              </w:rPr>
            </w:pPr>
            <w:r>
              <w:rPr>
                <w:rFonts w:ascii="Arial" w:cs="Arial" w:eastAsia="Arial" w:hAnsi="Arial"/>
                <w:sz w:val="13"/>
                <w:szCs w:val="13"/>
                <w:b w:val="1"/>
                <w:bCs w:val="1"/>
                <w:color w:val="auto"/>
                <w:w w:val="91"/>
              </w:rPr>
              <w:t>-</w:t>
            </w:r>
          </w:p>
        </w:tc>
        <w:tc>
          <w:tcPr>
            <w:tcW w:w="200" w:type="dxa"/>
            <w:vAlign w:val="bottom"/>
            <w:tcBorders>
              <w:right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jc w:val="right"/>
              <w:ind w:right="177"/>
              <w:spacing w:after="0" w:line="138" w:lineRule="exact"/>
              <w:rPr>
                <w:sz w:val="20"/>
                <w:szCs w:val="20"/>
                <w:color w:val="auto"/>
              </w:rPr>
            </w:pPr>
            <w:r>
              <w:rPr>
                <w:rFonts w:ascii="Arial" w:cs="Arial" w:eastAsia="Arial" w:hAnsi="Arial"/>
                <w:sz w:val="13"/>
                <w:szCs w:val="13"/>
                <w:color w:val="auto"/>
              </w:rPr>
              <w:t>(27)</w:t>
            </w:r>
          </w:p>
        </w:tc>
        <w:tc>
          <w:tcPr>
            <w:tcW w:w="760" w:type="dxa"/>
            <w:vAlign w:val="bottom"/>
            <w:gridSpan w:val="2"/>
          </w:tcPr>
          <w:p>
            <w:pPr>
              <w:jc w:val="right"/>
              <w:ind w:right="160"/>
              <w:spacing w:after="0" w:line="138" w:lineRule="exact"/>
              <w:rPr>
                <w:sz w:val="20"/>
                <w:szCs w:val="20"/>
                <w:color w:val="auto"/>
              </w:rPr>
            </w:pPr>
            <w:r>
              <w:rPr>
                <w:rFonts w:ascii="Arial" w:cs="Arial" w:eastAsia="Arial" w:hAnsi="Arial"/>
                <w:sz w:val="13"/>
                <w:szCs w:val="13"/>
                <w:color w:val="auto"/>
              </w:rPr>
              <w:t>(0.01)</w:t>
            </w:r>
          </w:p>
        </w:tc>
        <w:tc>
          <w:tcPr>
            <w:tcW w:w="1000" w:type="dxa"/>
            <w:vAlign w:val="bottom"/>
          </w:tcPr>
          <w:p>
            <w:pPr>
              <w:jc w:val="right"/>
              <w:ind w:right="357"/>
              <w:spacing w:after="0" w:line="138" w:lineRule="exact"/>
              <w:rPr>
                <w:sz w:val="20"/>
                <w:szCs w:val="20"/>
                <w:color w:val="auto"/>
              </w:rPr>
            </w:pPr>
            <w:r>
              <w:rPr>
                <w:rFonts w:ascii="Arial" w:cs="Arial" w:eastAsia="Arial" w:hAnsi="Arial"/>
                <w:sz w:val="13"/>
                <w:szCs w:val="13"/>
                <w:b w:val="1"/>
                <w:bCs w:val="1"/>
                <w:color w:val="auto"/>
              </w:rPr>
              <w:t>-</w:t>
            </w:r>
          </w:p>
        </w:tc>
        <w:tc>
          <w:tcPr>
            <w:tcW w:w="600" w:type="dxa"/>
            <w:vAlign w:val="bottom"/>
          </w:tcPr>
          <w:p>
            <w:pPr>
              <w:jc w:val="right"/>
              <w:ind w:right="157"/>
              <w:spacing w:after="0" w:line="138" w:lineRule="exact"/>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135"/>
        </w:trPr>
        <w:tc>
          <w:tcPr>
            <w:tcW w:w="4140" w:type="dxa"/>
            <w:vAlign w:val="bottom"/>
          </w:tcPr>
          <w:p>
            <w:pPr>
              <w:spacing w:after="0" w:line="135" w:lineRule="exact"/>
              <w:rPr>
                <w:sz w:val="20"/>
                <w:szCs w:val="20"/>
                <w:color w:val="auto"/>
              </w:rPr>
            </w:pPr>
            <w:r>
              <w:rPr>
                <w:rFonts w:ascii="Arial" w:cs="Arial" w:eastAsia="Arial" w:hAnsi="Arial"/>
                <w:sz w:val="13"/>
                <w:szCs w:val="13"/>
                <w:color w:val="auto"/>
              </w:rPr>
              <w:t>Net income attributable to Comcast Corporation</w:t>
            </w:r>
          </w:p>
        </w:tc>
        <w:tc>
          <w:tcPr>
            <w:tcW w:w="10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Borders>
              <w:right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4140" w:type="dxa"/>
            <w:vAlign w:val="bottom"/>
            <w:vMerge w:val="restart"/>
          </w:tcPr>
          <w:p>
            <w:pPr>
              <w:ind w:left="180"/>
              <w:spacing w:after="0" w:line="135" w:lineRule="exact"/>
              <w:rPr>
                <w:sz w:val="20"/>
                <w:szCs w:val="20"/>
                <w:color w:val="auto"/>
              </w:rPr>
            </w:pPr>
            <w:r>
              <w:rPr>
                <w:rFonts w:ascii="Arial" w:cs="Arial" w:eastAsia="Arial" w:hAnsi="Arial"/>
                <w:sz w:val="13"/>
                <w:szCs w:val="13"/>
                <w:color w:val="auto"/>
              </w:rPr>
              <w:t>(excluding gains on sales, acquisition-related items, losses on early</w:t>
            </w:r>
          </w:p>
        </w:tc>
        <w:tc>
          <w:tcPr>
            <w:tcW w:w="10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3"/>
        </w:trPr>
        <w:tc>
          <w:tcPr>
            <w:tcW w:w="4140" w:type="dxa"/>
            <w:vAlign w:val="bottom"/>
            <w:vMerge w:val="continue"/>
          </w:tcPr>
          <w:p>
            <w:pPr>
              <w:spacing w:after="0"/>
              <w:rPr>
                <w:sz w:val="8"/>
                <w:szCs w:val="8"/>
                <w:color w:val="auto"/>
              </w:rPr>
            </w:pPr>
          </w:p>
        </w:tc>
        <w:tc>
          <w:tcPr>
            <w:tcW w:w="10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Borders>
              <w:right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9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4140" w:type="dxa"/>
            <w:vAlign w:val="bottom"/>
          </w:tcPr>
          <w:p>
            <w:pPr>
              <w:ind w:left="180"/>
              <w:spacing w:after="0" w:line="135" w:lineRule="exact"/>
              <w:rPr>
                <w:sz w:val="20"/>
                <w:szCs w:val="20"/>
                <w:color w:val="auto"/>
              </w:rPr>
            </w:pPr>
            <w:r>
              <w:rPr>
                <w:rFonts w:ascii="Arial" w:cs="Arial" w:eastAsia="Arial" w:hAnsi="Arial"/>
                <w:sz w:val="13"/>
                <w:szCs w:val="13"/>
                <w:color w:val="auto"/>
              </w:rPr>
              <w:t>debt redemption and investment, and favorable income tax</w:t>
            </w:r>
          </w:p>
        </w:tc>
        <w:tc>
          <w:tcPr>
            <w:tcW w:w="1040" w:type="dxa"/>
            <w:vAlign w:val="bottom"/>
            <w:vMerge w:val="restart"/>
          </w:tcPr>
          <w:p>
            <w:pPr>
              <w:jc w:val="right"/>
              <w:ind w:right="237"/>
              <w:spacing w:after="0"/>
              <w:rPr>
                <w:sz w:val="20"/>
                <w:szCs w:val="20"/>
                <w:color w:val="auto"/>
              </w:rPr>
            </w:pPr>
            <w:r>
              <w:rPr>
                <w:rFonts w:ascii="Arial" w:cs="Arial" w:eastAsia="Arial" w:hAnsi="Arial"/>
                <w:sz w:val="13"/>
                <w:szCs w:val="13"/>
                <w:color w:val="auto"/>
              </w:rPr>
              <w:t>$1,917</w:t>
            </w: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rPr>
              <w:t>$0.73</w:t>
            </w:r>
          </w:p>
        </w:tc>
        <w:tc>
          <w:tcPr>
            <w:tcW w:w="180" w:type="dxa"/>
            <w:vAlign w:val="bottom"/>
          </w:tcPr>
          <w:p>
            <w:pPr>
              <w:spacing w:after="0"/>
              <w:rPr>
                <w:sz w:val="11"/>
                <w:szCs w:val="11"/>
                <w:color w:val="auto"/>
              </w:rPr>
            </w:pPr>
          </w:p>
        </w:tc>
        <w:tc>
          <w:tcPr>
            <w:tcW w:w="1020" w:type="dxa"/>
            <w:vAlign w:val="bottom"/>
            <w:vMerge w:val="restart"/>
          </w:tcPr>
          <w:p>
            <w:pPr>
              <w:jc w:val="right"/>
              <w:ind w:right="297"/>
              <w:spacing w:after="0"/>
              <w:rPr>
                <w:sz w:val="20"/>
                <w:szCs w:val="20"/>
                <w:color w:val="auto"/>
              </w:rPr>
            </w:pPr>
            <w:r>
              <w:rPr>
                <w:rFonts w:ascii="Arial" w:cs="Arial" w:eastAsia="Arial" w:hAnsi="Arial"/>
                <w:sz w:val="13"/>
                <w:szCs w:val="13"/>
                <w:b w:val="1"/>
                <w:bCs w:val="1"/>
                <w:color w:val="auto"/>
              </w:rPr>
              <w:t>$1,996</w:t>
            </w:r>
          </w:p>
        </w:tc>
        <w:tc>
          <w:tcPr>
            <w:tcW w:w="620" w:type="dxa"/>
            <w:vAlign w:val="bottom"/>
            <w:vMerge w:val="restart"/>
          </w:tcPr>
          <w:p>
            <w:pPr>
              <w:jc w:val="center"/>
              <w:ind w:left="157"/>
              <w:spacing w:after="0"/>
              <w:rPr>
                <w:sz w:val="20"/>
                <w:szCs w:val="20"/>
                <w:color w:val="auto"/>
              </w:rPr>
            </w:pPr>
            <w:r>
              <w:rPr>
                <w:rFonts w:ascii="Arial" w:cs="Arial" w:eastAsia="Arial" w:hAnsi="Arial"/>
                <w:sz w:val="13"/>
                <w:szCs w:val="13"/>
                <w:b w:val="1"/>
                <w:bCs w:val="1"/>
                <w:color w:val="auto"/>
                <w:w w:val="98"/>
              </w:rPr>
              <w:t>$0.80</w:t>
            </w:r>
          </w:p>
        </w:tc>
        <w:tc>
          <w:tcPr>
            <w:tcW w:w="200" w:type="dxa"/>
            <w:vAlign w:val="bottom"/>
            <w:tcBorders>
              <w:right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vMerge w:val="restart"/>
          </w:tcPr>
          <w:p>
            <w:pPr>
              <w:jc w:val="right"/>
              <w:ind w:right="217"/>
              <w:spacing w:after="0"/>
              <w:rPr>
                <w:sz w:val="20"/>
                <w:szCs w:val="20"/>
                <w:color w:val="auto"/>
              </w:rPr>
            </w:pPr>
            <w:r>
              <w:rPr>
                <w:rFonts w:ascii="Arial" w:cs="Arial" w:eastAsia="Arial" w:hAnsi="Arial"/>
                <w:sz w:val="13"/>
                <w:szCs w:val="13"/>
                <w:color w:val="auto"/>
              </w:rPr>
              <w:t>$5,694</w:t>
            </w: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rPr>
              <w:t>$2.17</w:t>
            </w:r>
          </w:p>
        </w:tc>
        <w:tc>
          <w:tcPr>
            <w:tcW w:w="160" w:type="dxa"/>
            <w:vAlign w:val="bottom"/>
          </w:tcPr>
          <w:p>
            <w:pPr>
              <w:spacing w:after="0"/>
              <w:rPr>
                <w:sz w:val="11"/>
                <w:szCs w:val="11"/>
                <w:color w:val="auto"/>
              </w:rPr>
            </w:pPr>
          </w:p>
        </w:tc>
        <w:tc>
          <w:tcPr>
            <w:tcW w:w="1000" w:type="dxa"/>
            <w:vAlign w:val="bottom"/>
            <w:vMerge w:val="restart"/>
          </w:tcPr>
          <w:p>
            <w:pPr>
              <w:jc w:val="right"/>
              <w:ind w:right="217"/>
              <w:spacing w:after="0"/>
              <w:rPr>
                <w:sz w:val="20"/>
                <w:szCs w:val="20"/>
                <w:color w:val="auto"/>
              </w:rPr>
            </w:pPr>
            <w:r>
              <w:rPr>
                <w:rFonts w:ascii="Arial" w:cs="Arial" w:eastAsia="Arial" w:hAnsi="Arial"/>
                <w:sz w:val="13"/>
                <w:szCs w:val="13"/>
                <w:b w:val="1"/>
                <w:bCs w:val="1"/>
                <w:color w:val="auto"/>
              </w:rPr>
              <w:t>$6,150</w:t>
            </w:r>
          </w:p>
        </w:tc>
        <w:tc>
          <w:tcPr>
            <w:tcW w:w="600" w:type="dxa"/>
            <w:vAlign w:val="bottom"/>
            <w:vMerge w:val="restart"/>
          </w:tcPr>
          <w:p>
            <w:pPr>
              <w:jc w:val="right"/>
              <w:ind w:right="17"/>
              <w:spacing w:after="0"/>
              <w:rPr>
                <w:sz w:val="20"/>
                <w:szCs w:val="20"/>
                <w:color w:val="auto"/>
              </w:rPr>
            </w:pPr>
            <w:r>
              <w:rPr>
                <w:rFonts w:ascii="Arial" w:cs="Arial" w:eastAsia="Arial" w:hAnsi="Arial"/>
                <w:sz w:val="13"/>
                <w:szCs w:val="13"/>
                <w:b w:val="1"/>
                <w:bCs w:val="1"/>
                <w:color w:val="auto"/>
              </w:rPr>
              <w:t>$2.43</w:t>
            </w:r>
          </w:p>
        </w:tc>
        <w:tc>
          <w:tcPr>
            <w:tcW w:w="0" w:type="dxa"/>
            <w:vAlign w:val="bottom"/>
          </w:tcPr>
          <w:p>
            <w:pPr>
              <w:spacing w:after="0"/>
              <w:rPr>
                <w:sz w:val="1"/>
                <w:szCs w:val="1"/>
                <w:color w:val="auto"/>
              </w:rPr>
            </w:pPr>
          </w:p>
        </w:tc>
      </w:tr>
      <w:tr>
        <w:trPr>
          <w:trHeight w:val="149"/>
        </w:trPr>
        <w:tc>
          <w:tcPr>
            <w:tcW w:w="4140" w:type="dxa"/>
            <w:vAlign w:val="bottom"/>
          </w:tcPr>
          <w:p>
            <w:pPr>
              <w:ind w:left="180"/>
              <w:spacing w:after="0" w:line="144" w:lineRule="exact"/>
              <w:rPr>
                <w:sz w:val="20"/>
                <w:szCs w:val="20"/>
                <w:color w:val="auto"/>
              </w:rPr>
            </w:pPr>
            <w:r>
              <w:rPr>
                <w:rFonts w:ascii="Arial" w:cs="Arial" w:eastAsia="Arial" w:hAnsi="Arial"/>
                <w:sz w:val="13"/>
                <w:szCs w:val="13"/>
                <w:color w:val="auto"/>
              </w:rPr>
              <w:t>adjustments)</w:t>
            </w:r>
          </w:p>
        </w:tc>
        <w:tc>
          <w:tcPr>
            <w:tcW w:w="1040" w:type="dxa"/>
            <w:vAlign w:val="bottom"/>
            <w:tcBorders>
              <w:bottom w:val="single" w:sz="8" w:color="auto"/>
            </w:tcBorders>
            <w:vMerge w:val="continue"/>
          </w:tcPr>
          <w:p>
            <w:pPr>
              <w:spacing w:after="0"/>
              <w:rPr>
                <w:sz w:val="12"/>
                <w:szCs w:val="12"/>
                <w:color w:val="auto"/>
              </w:rPr>
            </w:pPr>
          </w:p>
        </w:tc>
        <w:tc>
          <w:tcPr>
            <w:tcW w:w="620" w:type="dxa"/>
            <w:vAlign w:val="bottom"/>
            <w:tcBorders>
              <w:bottom w:val="single" w:sz="8" w:color="auto"/>
            </w:tcBorders>
            <w:vMerge w:val="continue"/>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Borders>
              <w:bottom w:val="single" w:sz="8" w:color="auto"/>
            </w:tcBorders>
            <w:vMerge w:val="continue"/>
          </w:tcPr>
          <w:p>
            <w:pPr>
              <w:spacing w:after="0"/>
              <w:rPr>
                <w:sz w:val="12"/>
                <w:szCs w:val="12"/>
                <w:color w:val="auto"/>
              </w:rPr>
            </w:pPr>
          </w:p>
        </w:tc>
        <w:tc>
          <w:tcPr>
            <w:tcW w:w="620" w:type="dxa"/>
            <w:vAlign w:val="bottom"/>
            <w:tcBorders>
              <w:bottom w:val="single" w:sz="8" w:color="auto"/>
            </w:tcBorders>
            <w:vMerge w:val="continue"/>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Borders>
              <w:bottom w:val="single" w:sz="8" w:color="auto"/>
            </w:tcBorders>
            <w:vMerge w:val="continue"/>
          </w:tcPr>
          <w:p>
            <w:pPr>
              <w:spacing w:after="0"/>
              <w:rPr>
                <w:sz w:val="12"/>
                <w:szCs w:val="12"/>
                <w:color w:val="auto"/>
              </w:rPr>
            </w:pPr>
          </w:p>
        </w:tc>
        <w:tc>
          <w:tcPr>
            <w:tcW w:w="600" w:type="dxa"/>
            <w:vAlign w:val="bottom"/>
            <w:tcBorders>
              <w:bottom w:val="single" w:sz="8" w:color="auto"/>
            </w:tcBorders>
            <w:vMerge w:val="continue"/>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Borders>
              <w:bottom w:val="single" w:sz="8" w:color="auto"/>
            </w:tcBorders>
            <w:vMerge w:val="continue"/>
          </w:tcPr>
          <w:p>
            <w:pPr>
              <w:spacing w:after="0"/>
              <w:rPr>
                <w:sz w:val="12"/>
                <w:szCs w:val="12"/>
                <w:color w:val="auto"/>
              </w:rPr>
            </w:pPr>
          </w:p>
        </w:tc>
        <w:tc>
          <w:tcPr>
            <w:tcW w:w="60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140" w:type="dxa"/>
            <w:vAlign w:val="bottom"/>
            <w:vMerge w:val="restart"/>
          </w:tcPr>
          <w:p>
            <w:pPr>
              <w:spacing w:after="0" w:line="148" w:lineRule="exact"/>
              <w:rPr>
                <w:sz w:val="20"/>
                <w:szCs w:val="20"/>
                <w:color w:val="auto"/>
              </w:rPr>
            </w:pPr>
            <w:r>
              <w:rPr>
                <w:rFonts w:ascii="Arial" w:cs="Arial" w:eastAsia="Arial" w:hAnsi="Arial"/>
                <w:sz w:val="13"/>
                <w:szCs w:val="13"/>
                <w:i w:val="1"/>
                <w:iCs w:val="1"/>
                <w:color w:val="auto"/>
              </w:rPr>
              <w:t>Growth %</w:t>
            </w:r>
          </w:p>
        </w:tc>
        <w:tc>
          <w:tcPr>
            <w:tcW w:w="10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4140" w:type="dxa"/>
            <w:vAlign w:val="bottom"/>
            <w:vMerge w:val="continue"/>
          </w:tcPr>
          <w:p>
            <w:pPr>
              <w:spacing w:after="0"/>
              <w:rPr>
                <w:sz w:val="12"/>
                <w:szCs w:val="12"/>
                <w:color w:val="auto"/>
              </w:rPr>
            </w:pPr>
          </w:p>
        </w:tc>
        <w:tc>
          <w:tcPr>
            <w:tcW w:w="10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jc w:val="right"/>
              <w:ind w:right="217"/>
              <w:spacing w:after="0"/>
              <w:rPr>
                <w:sz w:val="20"/>
                <w:szCs w:val="20"/>
                <w:color w:val="auto"/>
              </w:rPr>
            </w:pPr>
            <w:r>
              <w:rPr>
                <w:rFonts w:ascii="Arial" w:cs="Arial" w:eastAsia="Arial" w:hAnsi="Arial"/>
                <w:sz w:val="13"/>
                <w:szCs w:val="13"/>
                <w:i w:val="1"/>
                <w:iCs w:val="1"/>
                <w:color w:val="auto"/>
              </w:rPr>
              <w:t>4.1%</w:t>
            </w:r>
          </w:p>
        </w:tc>
        <w:tc>
          <w:tcPr>
            <w:tcW w:w="620" w:type="dxa"/>
            <w:vAlign w:val="bottom"/>
          </w:tcPr>
          <w:p>
            <w:pPr>
              <w:jc w:val="right"/>
              <w:spacing w:after="0"/>
              <w:rPr>
                <w:sz w:val="20"/>
                <w:szCs w:val="20"/>
                <w:color w:val="auto"/>
              </w:rPr>
            </w:pPr>
            <w:r>
              <w:rPr>
                <w:rFonts w:ascii="Arial" w:cs="Arial" w:eastAsia="Arial" w:hAnsi="Arial"/>
                <w:sz w:val="13"/>
                <w:szCs w:val="13"/>
                <w:i w:val="1"/>
                <w:iCs w:val="1"/>
                <w:color w:val="auto"/>
              </w:rPr>
              <w:t>9.6%</w:t>
            </w:r>
          </w:p>
        </w:tc>
        <w:tc>
          <w:tcPr>
            <w:tcW w:w="200" w:type="dxa"/>
            <w:vAlign w:val="bottom"/>
            <w:vMerge w:val="continue"/>
          </w:tcPr>
          <w:p>
            <w:pPr>
              <w:spacing w:after="0"/>
              <w:rPr>
                <w:sz w:val="12"/>
                <w:szCs w:val="12"/>
                <w:color w:val="auto"/>
              </w:rPr>
            </w:pPr>
          </w:p>
        </w:tc>
        <w:tc>
          <w:tcPr>
            <w:tcW w:w="160" w:type="dxa"/>
            <w:vAlign w:val="bottom"/>
            <w:vMerge w:val="continue"/>
          </w:tcPr>
          <w:p>
            <w:pPr>
              <w:spacing w:after="0"/>
              <w:rPr>
                <w:sz w:val="12"/>
                <w:szCs w:val="12"/>
                <w:color w:val="auto"/>
              </w:rPr>
            </w:pPr>
          </w:p>
        </w:tc>
        <w:tc>
          <w:tcPr>
            <w:tcW w:w="9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jc w:val="right"/>
              <w:ind w:right="217"/>
              <w:spacing w:after="0"/>
              <w:rPr>
                <w:sz w:val="20"/>
                <w:szCs w:val="20"/>
                <w:color w:val="auto"/>
              </w:rPr>
            </w:pPr>
            <w:r>
              <w:rPr>
                <w:rFonts w:ascii="Arial" w:cs="Arial" w:eastAsia="Arial" w:hAnsi="Arial"/>
                <w:sz w:val="13"/>
                <w:szCs w:val="13"/>
                <w:i w:val="1"/>
                <w:iCs w:val="1"/>
                <w:color w:val="auto"/>
              </w:rPr>
              <w:t>8.0%</w:t>
            </w:r>
          </w:p>
        </w:tc>
        <w:tc>
          <w:tcPr>
            <w:tcW w:w="600" w:type="dxa"/>
            <w:vAlign w:val="bottom"/>
          </w:tcPr>
          <w:p>
            <w:pPr>
              <w:jc w:val="right"/>
              <w:spacing w:after="0"/>
              <w:rPr>
                <w:sz w:val="20"/>
                <w:szCs w:val="20"/>
                <w:color w:val="auto"/>
              </w:rPr>
            </w:pPr>
            <w:r>
              <w:rPr>
                <w:rFonts w:ascii="Arial" w:cs="Arial" w:eastAsia="Arial" w:hAnsi="Arial"/>
                <w:sz w:val="13"/>
                <w:szCs w:val="13"/>
                <w:i w:val="1"/>
                <w:iCs w:val="1"/>
                <w:color w:val="auto"/>
              </w:rPr>
              <w:t>12.0%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80" w:lineRule="exact"/>
        <w:rPr>
          <w:sz w:val="20"/>
          <w:szCs w:val="20"/>
          <w:color w:val="auto"/>
        </w:rPr>
      </w:pPr>
    </w:p>
    <w:p>
      <w:pPr>
        <w:ind w:left="340" w:right="160" w:hanging="332"/>
        <w:spacing w:after="0" w:line="230" w:lineRule="auto"/>
        <w:tabs>
          <w:tab w:leader="none" w:pos="340" w:val="left"/>
        </w:tabs>
        <w:numPr>
          <w:ilvl w:val="0"/>
          <w:numId w:val="7"/>
        </w:numPr>
        <w:rPr>
          <w:rFonts w:ascii="Arial" w:cs="Arial" w:eastAsia="Arial" w:hAnsi="Arial"/>
          <w:sz w:val="13"/>
          <w:szCs w:val="13"/>
          <w:color w:val="auto"/>
        </w:rPr>
      </w:pPr>
      <w:r>
        <w:rPr>
          <w:rFonts w:ascii="Arial" w:cs="Arial" w:eastAsia="Arial" w:hAnsi="Arial"/>
          <w:sz w:val="13"/>
          <w:szCs w:val="13"/>
          <w:color w:val="auto"/>
        </w:rPr>
        <w:t>Nonoperating items include adjustments for cash taxes paid related to certain investing and financing transactions, to reflect cash taxes paid in the year of the related taxable income and to exclude the impacts of Economic Stimulus packages. Net cash provided by operating activities for 2014 includes a $150 million increase in July 2014 resulting from a change in our credit card payment processes that resulted in the acceleration of the recognition of cash receipts in Cable Communications. For free cash flow purposes, we consider the acceleration to be nonrecurring in nature and therefore, we excluded this amount from free cash flow as a nonoperating item.</w:t>
      </w:r>
    </w:p>
    <w:p>
      <w:pPr>
        <w:spacing w:after="0" w:line="2" w:lineRule="exact"/>
        <w:rPr>
          <w:rFonts w:ascii="Arial" w:cs="Arial" w:eastAsia="Arial" w:hAnsi="Arial"/>
          <w:sz w:val="13"/>
          <w:szCs w:val="13"/>
          <w:color w:val="auto"/>
        </w:rPr>
      </w:pPr>
    </w:p>
    <w:p>
      <w:pPr>
        <w:ind w:left="340" w:hanging="332"/>
        <w:spacing w:after="0"/>
        <w:tabs>
          <w:tab w:leader="none" w:pos="340" w:val="left"/>
        </w:tabs>
        <w:numPr>
          <w:ilvl w:val="0"/>
          <w:numId w:val="7"/>
        </w:numPr>
        <w:rPr>
          <w:rFonts w:ascii="Arial" w:cs="Arial" w:eastAsia="Arial" w:hAnsi="Arial"/>
          <w:sz w:val="13"/>
          <w:szCs w:val="13"/>
          <w:color w:val="auto"/>
        </w:rPr>
      </w:pPr>
      <w:r>
        <w:rPr>
          <w:rFonts w:ascii="Arial" w:cs="Arial" w:eastAsia="Arial" w:hAnsi="Arial"/>
          <w:sz w:val="13"/>
          <w:szCs w:val="13"/>
          <w:color w:val="auto"/>
        </w:rPr>
        <w:t>Based on diluted weighted-average number of common shares for the respective periods as presented in Table 1.</w:t>
      </w:r>
    </w:p>
    <w:p>
      <w:pPr>
        <w:spacing w:after="0" w:line="12" w:lineRule="exact"/>
        <w:rPr>
          <w:rFonts w:ascii="Arial" w:cs="Arial" w:eastAsia="Arial" w:hAnsi="Arial"/>
          <w:sz w:val="13"/>
          <w:szCs w:val="13"/>
          <w:color w:val="auto"/>
        </w:rPr>
      </w:pPr>
    </w:p>
    <w:p>
      <w:pPr>
        <w:ind w:left="340" w:right="80" w:hanging="332"/>
        <w:spacing w:after="0" w:line="258" w:lineRule="auto"/>
        <w:tabs>
          <w:tab w:leader="none" w:pos="340" w:val="left"/>
        </w:tabs>
        <w:numPr>
          <w:ilvl w:val="0"/>
          <w:numId w:val="7"/>
        </w:numPr>
        <w:rPr>
          <w:rFonts w:ascii="Arial" w:cs="Arial" w:eastAsia="Arial" w:hAnsi="Arial"/>
          <w:sz w:val="12"/>
          <w:szCs w:val="12"/>
          <w:color w:val="auto"/>
        </w:rPr>
      </w:pPr>
      <w:r>
        <w:rPr>
          <w:rFonts w:ascii="Arial" w:cs="Arial" w:eastAsia="Arial" w:hAnsi="Arial"/>
          <w:sz w:val="12"/>
          <w:szCs w:val="12"/>
          <w:color w:val="auto"/>
        </w:rPr>
        <w:t>2015 year to date net income attributable to Comcast Corporation includes $335 million of other income, $202 million net of tax and noncontrolling interests, resulting from sales of an investment and a business. 2014 year to date net income attributable to Comcast Corporation includes $154 million of investment income, $97 million net of tax, resulting from sales of investments.</w:t>
      </w:r>
    </w:p>
    <w:p>
      <w:pPr>
        <w:ind w:left="340" w:right="60" w:hanging="332"/>
        <w:spacing w:after="0" w:line="238" w:lineRule="auto"/>
        <w:tabs>
          <w:tab w:leader="none" w:pos="340" w:val="left"/>
        </w:tabs>
        <w:numPr>
          <w:ilvl w:val="0"/>
          <w:numId w:val="7"/>
        </w:numPr>
        <w:rPr>
          <w:rFonts w:ascii="Arial" w:cs="Arial" w:eastAsia="Arial" w:hAnsi="Arial"/>
          <w:sz w:val="13"/>
          <w:szCs w:val="13"/>
          <w:color w:val="auto"/>
        </w:rPr>
      </w:pPr>
      <w:r>
        <w:rPr>
          <w:rFonts w:ascii="Arial" w:cs="Arial" w:eastAsia="Arial" w:hAnsi="Arial"/>
          <w:sz w:val="13"/>
          <w:szCs w:val="13"/>
          <w:color w:val="auto"/>
        </w:rPr>
        <w:t>2015 year to date net income attributable to Comcast Corporation includes $240 million of other income, $150 million net of tax, resulting from the settlement of a contingent consideration liability with General Electric Company related to the acquisition of NBCUniversal.</w:t>
      </w:r>
    </w:p>
    <w:p>
      <w:pPr>
        <w:ind w:left="340" w:hanging="332"/>
        <w:spacing w:after="0"/>
        <w:tabs>
          <w:tab w:leader="none" w:pos="340" w:val="left"/>
        </w:tabs>
        <w:numPr>
          <w:ilvl w:val="0"/>
          <w:numId w:val="7"/>
        </w:numPr>
        <w:rPr>
          <w:rFonts w:ascii="Arial" w:cs="Arial" w:eastAsia="Arial" w:hAnsi="Arial"/>
          <w:sz w:val="13"/>
          <w:szCs w:val="13"/>
          <w:color w:val="auto"/>
        </w:rPr>
      </w:pPr>
      <w:r>
        <w:rPr>
          <w:rFonts w:ascii="Arial" w:cs="Arial" w:eastAsia="Arial" w:hAnsi="Arial"/>
          <w:sz w:val="13"/>
          <w:szCs w:val="13"/>
          <w:color w:val="auto"/>
        </w:rPr>
        <w:t>2015 year to date net income attributable to Comcast Corporation includes $47 million of interest expense, $29 million net of tax, resulting from the early redemption of debt.</w:t>
      </w:r>
    </w:p>
    <w:p>
      <w:pPr>
        <w:spacing w:after="0" w:line="12" w:lineRule="exact"/>
        <w:rPr>
          <w:rFonts w:ascii="Arial" w:cs="Arial" w:eastAsia="Arial" w:hAnsi="Arial"/>
          <w:sz w:val="13"/>
          <w:szCs w:val="13"/>
          <w:color w:val="auto"/>
        </w:rPr>
      </w:pPr>
    </w:p>
    <w:p>
      <w:pPr>
        <w:ind w:left="340" w:right="140" w:hanging="332"/>
        <w:spacing w:after="0" w:line="227" w:lineRule="auto"/>
        <w:tabs>
          <w:tab w:leader="none" w:pos="340" w:val="left"/>
        </w:tabs>
        <w:numPr>
          <w:ilvl w:val="0"/>
          <w:numId w:val="7"/>
        </w:numPr>
        <w:rPr>
          <w:rFonts w:ascii="Arial" w:cs="Arial" w:eastAsia="Arial" w:hAnsi="Arial"/>
          <w:sz w:val="13"/>
          <w:szCs w:val="13"/>
          <w:color w:val="auto"/>
        </w:rPr>
      </w:pPr>
      <w:r>
        <w:rPr>
          <w:rFonts w:ascii="Arial" w:cs="Arial" w:eastAsia="Arial" w:hAnsi="Arial"/>
          <w:sz w:val="13"/>
          <w:szCs w:val="13"/>
          <w:color w:val="auto"/>
        </w:rPr>
        <w:t>3rd quarter 2014 net income attributable to Comcast Corporation includes $77 million of operating costs and expenses, $49 million net of tax, related to the Time Warner Cable and Charter transactions. 2015 year to date net income attributable to Comcast Corporation includes $198 million of expense ($178 million of operating costs and expenses and $20 million of depreciation and amortization expense), $123 million net of tax, related to the Time Warner Cable and Charter transactions. 2014 year to date net income attributable to Comcast Corporation includes $138 million of operating costs and expenses, $87 million net of tax, related to the Time Warner Cable and Charter transactions.</w:t>
      </w:r>
    </w:p>
    <w:p>
      <w:pPr>
        <w:spacing w:after="0" w:line="1" w:lineRule="exact"/>
        <w:rPr>
          <w:rFonts w:ascii="Arial" w:cs="Arial" w:eastAsia="Arial" w:hAnsi="Arial"/>
          <w:sz w:val="13"/>
          <w:szCs w:val="13"/>
          <w:color w:val="auto"/>
        </w:rPr>
      </w:pPr>
    </w:p>
    <w:p>
      <w:pPr>
        <w:ind w:left="340" w:right="480" w:hanging="332"/>
        <w:spacing w:after="0" w:line="238" w:lineRule="auto"/>
        <w:tabs>
          <w:tab w:leader="none" w:pos="340" w:val="left"/>
        </w:tabs>
        <w:numPr>
          <w:ilvl w:val="0"/>
          <w:numId w:val="7"/>
        </w:numPr>
        <w:rPr>
          <w:rFonts w:ascii="Arial" w:cs="Arial" w:eastAsia="Arial" w:hAnsi="Arial"/>
          <w:sz w:val="13"/>
          <w:szCs w:val="13"/>
          <w:color w:val="auto"/>
        </w:rPr>
      </w:pPr>
      <w:r>
        <w:rPr>
          <w:rFonts w:ascii="Arial" w:cs="Arial" w:eastAsia="Arial" w:hAnsi="Arial"/>
          <w:sz w:val="13"/>
          <w:szCs w:val="13"/>
          <w:color w:val="auto"/>
        </w:rPr>
        <w:t>2015 year to date net income attributable to Comcast Corporation includes $252 million of equity in net losses of investees, $158 million net of tax, resulting from our proportionate share of an impairment loss recorded at The Weather Channel.</w:t>
      </w:r>
    </w:p>
    <w:p>
      <w:pPr>
        <w:ind w:left="340" w:right="520" w:hanging="332"/>
        <w:spacing w:after="0" w:line="238" w:lineRule="auto"/>
        <w:tabs>
          <w:tab w:leader="none" w:pos="340" w:val="left"/>
        </w:tabs>
        <w:numPr>
          <w:ilvl w:val="0"/>
          <w:numId w:val="7"/>
        </w:numPr>
        <w:rPr>
          <w:rFonts w:ascii="Arial" w:cs="Arial" w:eastAsia="Arial" w:hAnsi="Arial"/>
          <w:sz w:val="13"/>
          <w:szCs w:val="13"/>
          <w:color w:val="auto"/>
        </w:rPr>
      </w:pPr>
      <w:r>
        <w:rPr>
          <w:rFonts w:ascii="Arial" w:cs="Arial" w:eastAsia="Arial" w:hAnsi="Arial"/>
          <w:sz w:val="13"/>
          <w:szCs w:val="13"/>
          <w:color w:val="auto"/>
        </w:rPr>
        <w:t>3rd quarter 2014 net income attributable to Comcast Corporation includes $724 million of favorable income tax adjustments resulting from adjustments of uncertain tax positions. This amount excludes the benefits of uncertain tax positions for which we have been indemnified.</w:t>
      </w:r>
    </w:p>
    <w:p>
      <w:pPr>
        <w:ind w:left="340" w:right="500" w:hanging="332"/>
        <w:spacing w:after="0" w:line="238" w:lineRule="auto"/>
        <w:tabs>
          <w:tab w:leader="none" w:pos="340" w:val="left"/>
        </w:tabs>
        <w:numPr>
          <w:ilvl w:val="0"/>
          <w:numId w:val="7"/>
        </w:numPr>
        <w:rPr>
          <w:rFonts w:ascii="Arial" w:cs="Arial" w:eastAsia="Arial" w:hAnsi="Arial"/>
          <w:sz w:val="13"/>
          <w:szCs w:val="13"/>
          <w:color w:val="auto"/>
        </w:rPr>
      </w:pPr>
      <w:r>
        <w:rPr>
          <w:rFonts w:ascii="Arial" w:cs="Arial" w:eastAsia="Arial" w:hAnsi="Arial"/>
          <w:sz w:val="13"/>
          <w:szCs w:val="13"/>
          <w:color w:val="auto"/>
        </w:rPr>
        <w:t>2014 year to date net income attributable to Comcast Corporation includes $27 million of other income, resulting from the favorable resolution of a contingency related to the AT&amp;T Broadband transaction.</w:t>
      </w:r>
    </w:p>
    <w:p>
      <w:pPr>
        <w:spacing w:after="0" w:line="236"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Note:</w:t>
      </w:r>
      <w:r>
        <w:rPr>
          <w:rFonts w:ascii="Arial" w:cs="Arial" w:eastAsia="Arial" w:hAnsi="Arial"/>
          <w:sz w:val="13"/>
          <w:szCs w:val="13"/>
          <w:color w:val="auto"/>
        </w:rPr>
        <w:t xml:space="preserve"> Minor differences may exist due to rounding.</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b w:val="1"/>
          <w:bCs w:val="1"/>
          <w:color w:val="C9C9C9"/>
        </w:rPr>
        <w:t>TABLE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6290945</wp:posOffset>
            </wp:positionH>
            <wp:positionV relativeFrom="paragraph">
              <wp:posOffset>-59690</wp:posOffset>
            </wp:positionV>
            <wp:extent cx="960755" cy="3943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960755" cy="394335"/>
                    </a:xfrm>
                    <a:prstGeom prst="rect">
                      <a:avLst/>
                    </a:prstGeom>
                    <a:noFill/>
                  </pic:spPr>
                </pic:pic>
              </a:graphicData>
            </a:graphic>
          </wp:anchor>
        </w:drawing>
      </w:r>
    </w:p>
    <w:p>
      <w:pPr>
        <w:spacing w:after="0" w:line="76" w:lineRule="exact"/>
        <w:rPr>
          <w:sz w:val="20"/>
          <w:szCs w:val="20"/>
          <w:color w:val="auto"/>
        </w:rPr>
      </w:pPr>
    </w:p>
    <w:p>
      <w:pPr>
        <w:ind w:right="2120"/>
        <w:spacing w:after="0" w:line="288" w:lineRule="auto"/>
        <w:rPr>
          <w:sz w:val="20"/>
          <w:szCs w:val="20"/>
          <w:color w:val="auto"/>
        </w:rPr>
      </w:pPr>
      <w:r>
        <w:rPr>
          <w:rFonts w:ascii="Arial" w:cs="Arial" w:eastAsia="Arial" w:hAnsi="Arial"/>
          <w:sz w:val="18"/>
          <w:szCs w:val="18"/>
          <w:b w:val="1"/>
          <w:bCs w:val="1"/>
          <w:color w:val="C9C9C9"/>
        </w:rPr>
        <w:t>Reconciliation of Consolidated Revenue Excluding 2015 Super Bowl and 2014 Olympics and Operating Cash Flow Excluding Costs Related to Time Warner Cable and Charter Transactions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40" w:type="dxa"/>
            <w:vAlign w:val="bottom"/>
            <w:gridSpan w:val="3"/>
          </w:tcPr>
          <w:p>
            <w:pPr>
              <w:jc w:val="center"/>
              <w:spacing w:after="0"/>
              <w:rPr>
                <w:sz w:val="20"/>
                <w:szCs w:val="20"/>
                <w:color w:val="auto"/>
              </w:rPr>
            </w:pPr>
            <w:r>
              <w:rPr>
                <w:rFonts w:ascii="Arial" w:cs="Arial" w:eastAsia="Arial" w:hAnsi="Arial"/>
                <w:sz w:val="14"/>
                <w:szCs w:val="14"/>
                <w:b w:val="1"/>
                <w:bCs w:val="1"/>
                <w:color w:val="auto"/>
              </w:rPr>
              <w:t>Three Months Ended</w:t>
            </w:r>
          </w:p>
        </w:tc>
        <w:tc>
          <w:tcPr>
            <w:tcW w:w="920" w:type="dxa"/>
            <w:vAlign w:val="bottom"/>
          </w:tcPr>
          <w:p>
            <w:pPr>
              <w:spacing w:after="0"/>
              <w:rPr>
                <w:sz w:val="14"/>
                <w:szCs w:val="14"/>
                <w:color w:val="auto"/>
              </w:rPr>
            </w:pPr>
          </w:p>
        </w:tc>
        <w:tc>
          <w:tcPr>
            <w:tcW w:w="200" w:type="dxa"/>
            <w:vAlign w:val="bottom"/>
            <w:tcBorders>
              <w:right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0" w:type="dxa"/>
            <w:vAlign w:val="bottom"/>
            <w:gridSpan w:val="3"/>
          </w:tcPr>
          <w:p>
            <w:pPr>
              <w:jc w:val="center"/>
              <w:spacing w:after="0"/>
              <w:rPr>
                <w:sz w:val="20"/>
                <w:szCs w:val="20"/>
                <w:color w:val="auto"/>
              </w:rPr>
            </w:pPr>
            <w:r>
              <w:rPr>
                <w:rFonts w:ascii="Arial" w:cs="Arial" w:eastAsia="Arial" w:hAnsi="Arial"/>
                <w:sz w:val="14"/>
                <w:szCs w:val="14"/>
                <w:b w:val="1"/>
                <w:bCs w:val="1"/>
                <w:color w:val="auto"/>
              </w:rPr>
              <w:t>Nine Months Ended</w:t>
            </w: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44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September 30,</w:t>
            </w:r>
          </w:p>
        </w:tc>
        <w:tc>
          <w:tcPr>
            <w:tcW w:w="92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0" w:type="dxa"/>
            <w:vAlign w:val="bottom"/>
            <w:gridSpan w:val="3"/>
          </w:tcPr>
          <w:p>
            <w:pPr>
              <w:jc w:val="center"/>
              <w:spacing w:after="0"/>
              <w:rPr>
                <w:sz w:val="20"/>
                <w:szCs w:val="20"/>
                <w:color w:val="auto"/>
              </w:rPr>
            </w:pPr>
            <w:r>
              <w:rPr>
                <w:rFonts w:ascii="Arial" w:cs="Arial" w:eastAsia="Arial" w:hAnsi="Arial"/>
                <w:sz w:val="14"/>
                <w:szCs w:val="14"/>
                <w:b w:val="1"/>
                <w:bCs w:val="1"/>
                <w:color w:val="auto"/>
              </w:rPr>
              <w:t>September 30,</w:t>
            </w: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9"/>
        </w:trPr>
        <w:tc>
          <w:tcPr>
            <w:tcW w:w="4460" w:type="dxa"/>
            <w:vAlign w:val="bottom"/>
          </w:tcPr>
          <w:p>
            <w:pPr>
              <w:ind w:left="200"/>
              <w:spacing w:after="0"/>
              <w:rPr>
                <w:sz w:val="20"/>
                <w:szCs w:val="20"/>
                <w:color w:val="auto"/>
              </w:rPr>
            </w:pPr>
            <w:r>
              <w:rPr>
                <w:rFonts w:ascii="Arial" w:cs="Arial" w:eastAsia="Arial" w:hAnsi="Arial"/>
                <w:sz w:val="14"/>
                <w:szCs w:val="14"/>
                <w:color w:val="auto"/>
              </w:rPr>
              <w:t>(in millions)</w:t>
            </w:r>
          </w:p>
        </w:tc>
        <w:tc>
          <w:tcPr>
            <w:tcW w:w="9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2014</w:t>
            </w:r>
          </w:p>
        </w:tc>
        <w:tc>
          <w:tcPr>
            <w:tcW w:w="240" w:type="dxa"/>
            <w:vAlign w:val="bottom"/>
          </w:tcPr>
          <w:p>
            <w:pPr>
              <w:spacing w:after="0"/>
              <w:rPr>
                <w:sz w:val="22"/>
                <w:szCs w:val="22"/>
                <w:color w:val="auto"/>
              </w:rPr>
            </w:pPr>
          </w:p>
        </w:tc>
        <w:tc>
          <w:tcPr>
            <w:tcW w:w="9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2015</w:t>
            </w:r>
          </w:p>
        </w:tc>
        <w:tc>
          <w:tcPr>
            <w:tcW w:w="280" w:type="dxa"/>
            <w:vAlign w:val="bottom"/>
          </w:tcPr>
          <w:p>
            <w:pPr>
              <w:spacing w:after="0"/>
              <w:rPr>
                <w:sz w:val="22"/>
                <w:szCs w:val="22"/>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Growth %</w:t>
            </w:r>
          </w:p>
        </w:tc>
        <w:tc>
          <w:tcPr>
            <w:tcW w:w="200" w:type="dxa"/>
            <w:vAlign w:val="bottom"/>
            <w:tcBorders>
              <w:right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2014</w:t>
            </w:r>
          </w:p>
        </w:tc>
        <w:tc>
          <w:tcPr>
            <w:tcW w:w="220" w:type="dxa"/>
            <w:vAlign w:val="bottom"/>
          </w:tcPr>
          <w:p>
            <w:pPr>
              <w:spacing w:after="0"/>
              <w:rPr>
                <w:sz w:val="22"/>
                <w:szCs w:val="22"/>
                <w:color w:val="auto"/>
              </w:rPr>
            </w:pPr>
          </w:p>
        </w:tc>
        <w:tc>
          <w:tcPr>
            <w:tcW w:w="9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2015</w:t>
            </w:r>
          </w:p>
        </w:tc>
        <w:tc>
          <w:tcPr>
            <w:tcW w:w="280" w:type="dxa"/>
            <w:vAlign w:val="bottom"/>
          </w:tcPr>
          <w:p>
            <w:pPr>
              <w:spacing w:after="0"/>
              <w:rPr>
                <w:sz w:val="22"/>
                <w:szCs w:val="22"/>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Growth %</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2"/>
        </w:trPr>
        <w:tc>
          <w:tcPr>
            <w:tcW w:w="4460" w:type="dxa"/>
            <w:vAlign w:val="bottom"/>
          </w:tcPr>
          <w:p>
            <w:pPr>
              <w:ind w:left="200"/>
              <w:spacing w:after="0"/>
              <w:rPr>
                <w:sz w:val="20"/>
                <w:szCs w:val="20"/>
                <w:color w:val="auto"/>
              </w:rPr>
            </w:pPr>
            <w:r>
              <w:rPr>
                <w:rFonts w:ascii="Arial" w:cs="Arial" w:eastAsia="Arial" w:hAnsi="Arial"/>
                <w:sz w:val="14"/>
                <w:szCs w:val="14"/>
                <w:color w:val="auto"/>
              </w:rPr>
              <w:t>Revenue</w:t>
            </w:r>
          </w:p>
        </w:tc>
        <w:tc>
          <w:tcPr>
            <w:tcW w:w="920" w:type="dxa"/>
            <w:vAlign w:val="bottom"/>
          </w:tcPr>
          <w:p>
            <w:pPr>
              <w:jc w:val="right"/>
              <w:spacing w:after="0"/>
              <w:rPr>
                <w:sz w:val="20"/>
                <w:szCs w:val="20"/>
                <w:color w:val="auto"/>
              </w:rPr>
            </w:pPr>
            <w:r>
              <w:rPr>
                <w:rFonts w:ascii="Arial" w:cs="Arial" w:eastAsia="Arial" w:hAnsi="Arial"/>
                <w:sz w:val="14"/>
                <w:szCs w:val="14"/>
                <w:color w:val="auto"/>
              </w:rPr>
              <w:t>$16,791</w:t>
            </w:r>
          </w:p>
        </w:tc>
        <w:tc>
          <w:tcPr>
            <w:tcW w:w="1160" w:type="dxa"/>
            <w:vAlign w:val="bottom"/>
            <w:gridSpan w:val="2"/>
          </w:tcPr>
          <w:p>
            <w:pPr>
              <w:jc w:val="right"/>
              <w:ind w:right="8"/>
              <w:spacing w:after="0"/>
              <w:rPr>
                <w:sz w:val="20"/>
                <w:szCs w:val="20"/>
                <w:color w:val="auto"/>
              </w:rPr>
            </w:pPr>
            <w:r>
              <w:rPr>
                <w:rFonts w:ascii="Arial" w:cs="Arial" w:eastAsia="Arial" w:hAnsi="Arial"/>
                <w:sz w:val="14"/>
                <w:szCs w:val="14"/>
                <w:b w:val="1"/>
                <w:bCs w:val="1"/>
                <w:color w:val="auto"/>
              </w:rPr>
              <w:t>$18,669</w:t>
            </w: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11.2%</w:t>
            </w:r>
          </w:p>
        </w:tc>
        <w:tc>
          <w:tcPr>
            <w:tcW w:w="20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$51,043</w:t>
            </w:r>
          </w:p>
        </w:tc>
        <w:tc>
          <w:tcPr>
            <w:tcW w:w="1120" w:type="dxa"/>
            <w:vAlign w:val="bottom"/>
            <w:gridSpan w:val="2"/>
          </w:tcPr>
          <w:p>
            <w:pPr>
              <w:jc w:val="right"/>
              <w:spacing w:after="0"/>
              <w:rPr>
                <w:sz w:val="20"/>
                <w:szCs w:val="20"/>
                <w:color w:val="auto"/>
              </w:rPr>
            </w:pPr>
            <w:r>
              <w:rPr>
                <w:rFonts w:ascii="Arial" w:cs="Arial" w:eastAsia="Arial" w:hAnsi="Arial"/>
                <w:sz w:val="14"/>
                <w:szCs w:val="14"/>
                <w:b w:val="1"/>
                <w:bCs w:val="1"/>
                <w:color w:val="auto"/>
              </w:rPr>
              <w:t>$55,265</w:t>
            </w: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8.3%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4460" w:type="dxa"/>
            <w:vAlign w:val="bottom"/>
          </w:tcPr>
          <w:p>
            <w:pPr>
              <w:ind w:left="200"/>
              <w:spacing w:after="0"/>
              <w:rPr>
                <w:sz w:val="20"/>
                <w:szCs w:val="20"/>
                <w:color w:val="auto"/>
              </w:rPr>
            </w:pPr>
            <w:r>
              <w:rPr>
                <w:rFonts w:ascii="Arial" w:cs="Arial" w:eastAsia="Arial" w:hAnsi="Arial"/>
                <w:sz w:val="14"/>
                <w:szCs w:val="14"/>
                <w:color w:val="auto"/>
              </w:rPr>
              <w:t>2015 Super Bowl</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48"/>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spacing w:after="0"/>
              <w:rPr>
                <w:sz w:val="20"/>
                <w:szCs w:val="20"/>
                <w:color w:val="auto"/>
              </w:rPr>
            </w:pPr>
            <w:r>
              <w:rPr>
                <w:rFonts w:ascii="Arial" w:cs="Arial" w:eastAsia="Arial" w:hAnsi="Arial"/>
                <w:sz w:val="14"/>
                <w:szCs w:val="14"/>
                <w:b w:val="1"/>
                <w:bCs w:val="1"/>
                <w:color w:val="auto"/>
              </w:rPr>
              <w:t>(376)</w:t>
            </w: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4460" w:type="dxa"/>
            <w:vAlign w:val="bottom"/>
          </w:tcPr>
          <w:p>
            <w:pPr>
              <w:ind w:left="200"/>
              <w:spacing w:after="0"/>
              <w:rPr>
                <w:sz w:val="20"/>
                <w:szCs w:val="20"/>
                <w:color w:val="auto"/>
              </w:rPr>
            </w:pPr>
            <w:r>
              <w:rPr>
                <w:rFonts w:ascii="Arial" w:cs="Arial" w:eastAsia="Arial" w:hAnsi="Arial"/>
                <w:sz w:val="14"/>
                <w:szCs w:val="14"/>
                <w:color w:val="auto"/>
              </w:rPr>
              <w:t>2014 Olympics</w:t>
            </w: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1"/>
                <w:szCs w:val="21"/>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0" w:type="dxa"/>
            <w:vAlign w:val="bottom"/>
            <w:tcBorders>
              <w:right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(1,103)</w:t>
            </w:r>
          </w:p>
        </w:tc>
        <w:tc>
          <w:tcPr>
            <w:tcW w:w="220" w:type="dxa"/>
            <w:vAlign w:val="bottom"/>
          </w:tcPr>
          <w:p>
            <w:pPr>
              <w:spacing w:after="0"/>
              <w:rPr>
                <w:sz w:val="21"/>
                <w:szCs w:val="21"/>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4460" w:type="dxa"/>
            <w:vAlign w:val="bottom"/>
          </w:tcPr>
          <w:p>
            <w:pPr>
              <w:ind w:left="200"/>
              <w:spacing w:after="0"/>
              <w:rPr>
                <w:sz w:val="20"/>
                <w:szCs w:val="20"/>
                <w:color w:val="auto"/>
              </w:rPr>
            </w:pPr>
            <w:r>
              <w:rPr>
                <w:rFonts w:ascii="Arial" w:cs="Arial" w:eastAsia="Arial" w:hAnsi="Arial"/>
                <w:sz w:val="14"/>
                <w:szCs w:val="14"/>
                <w:color w:val="auto"/>
              </w:rPr>
              <w:t>Revenue excluding 2015 Super Bowl and 2014 Olympics</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$16,791</w:t>
            </w:r>
          </w:p>
        </w:tc>
        <w:tc>
          <w:tcPr>
            <w:tcW w:w="240" w:type="dxa"/>
            <w:vAlign w:val="bottom"/>
          </w:tcPr>
          <w:p>
            <w:pPr>
              <w:spacing w:after="0"/>
              <w:rPr>
                <w:sz w:val="24"/>
                <w:szCs w:val="24"/>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$18,669</w:t>
            </w: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11.2%</w:t>
            </w:r>
          </w:p>
        </w:tc>
        <w:tc>
          <w:tcPr>
            <w:tcW w:w="20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$49,940</w:t>
            </w:r>
          </w:p>
        </w:tc>
        <w:tc>
          <w:tcPr>
            <w:tcW w:w="220" w:type="dxa"/>
            <w:vAlign w:val="bottom"/>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$54,889</w:t>
            </w: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9.9%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Borders>
              <w:right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4460" w:type="dxa"/>
            <w:vAlign w:val="bottom"/>
          </w:tcPr>
          <w:p>
            <w:pPr>
              <w:spacing w:after="0"/>
              <w:rPr>
                <w:sz w:val="24"/>
                <w:szCs w:val="24"/>
                <w:color w:val="auto"/>
              </w:rPr>
            </w:pPr>
          </w:p>
        </w:tc>
        <w:tc>
          <w:tcPr>
            <w:tcW w:w="9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2014</w:t>
            </w:r>
          </w:p>
        </w:tc>
        <w:tc>
          <w:tcPr>
            <w:tcW w:w="240" w:type="dxa"/>
            <w:vAlign w:val="bottom"/>
          </w:tcPr>
          <w:p>
            <w:pPr>
              <w:spacing w:after="0"/>
              <w:rPr>
                <w:sz w:val="24"/>
                <w:szCs w:val="24"/>
                <w:color w:val="auto"/>
              </w:rPr>
            </w:pPr>
          </w:p>
        </w:tc>
        <w:tc>
          <w:tcPr>
            <w:tcW w:w="9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2015</w:t>
            </w:r>
          </w:p>
        </w:tc>
        <w:tc>
          <w:tcPr>
            <w:tcW w:w="280" w:type="dxa"/>
            <w:vAlign w:val="bottom"/>
          </w:tcPr>
          <w:p>
            <w:pPr>
              <w:spacing w:after="0"/>
              <w:rPr>
                <w:sz w:val="24"/>
                <w:szCs w:val="24"/>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Growth %</w:t>
            </w:r>
          </w:p>
        </w:tc>
        <w:tc>
          <w:tcPr>
            <w:tcW w:w="20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2014</w:t>
            </w:r>
          </w:p>
        </w:tc>
        <w:tc>
          <w:tcPr>
            <w:tcW w:w="220" w:type="dxa"/>
            <w:vAlign w:val="bottom"/>
          </w:tcPr>
          <w:p>
            <w:pPr>
              <w:spacing w:after="0"/>
              <w:rPr>
                <w:sz w:val="24"/>
                <w:szCs w:val="24"/>
                <w:color w:val="auto"/>
              </w:rPr>
            </w:pPr>
          </w:p>
        </w:tc>
        <w:tc>
          <w:tcPr>
            <w:tcW w:w="9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2015</w:t>
            </w:r>
          </w:p>
        </w:tc>
        <w:tc>
          <w:tcPr>
            <w:tcW w:w="280" w:type="dxa"/>
            <w:vAlign w:val="bottom"/>
          </w:tcPr>
          <w:p>
            <w:pPr>
              <w:spacing w:after="0"/>
              <w:rPr>
                <w:sz w:val="24"/>
                <w:szCs w:val="24"/>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Growth %</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3"/>
        </w:trPr>
        <w:tc>
          <w:tcPr>
            <w:tcW w:w="4460" w:type="dxa"/>
            <w:vAlign w:val="bottom"/>
          </w:tcPr>
          <w:p>
            <w:pPr>
              <w:ind w:left="200"/>
              <w:spacing w:after="0"/>
              <w:rPr>
                <w:sz w:val="20"/>
                <w:szCs w:val="20"/>
                <w:color w:val="auto"/>
              </w:rPr>
            </w:pPr>
            <w:r>
              <w:rPr>
                <w:rFonts w:ascii="Arial" w:cs="Arial" w:eastAsia="Arial" w:hAnsi="Arial"/>
                <w:sz w:val="14"/>
                <w:szCs w:val="14"/>
                <w:color w:val="auto"/>
              </w:rPr>
              <w:t>Operating Cash Flow</w:t>
            </w:r>
          </w:p>
        </w:tc>
        <w:tc>
          <w:tcPr>
            <w:tcW w:w="920" w:type="dxa"/>
            <w:vAlign w:val="bottom"/>
          </w:tcPr>
          <w:p>
            <w:pPr>
              <w:jc w:val="right"/>
              <w:spacing w:after="0"/>
              <w:rPr>
                <w:sz w:val="20"/>
                <w:szCs w:val="20"/>
                <w:color w:val="auto"/>
              </w:rPr>
            </w:pPr>
            <w:r>
              <w:rPr>
                <w:rFonts w:ascii="Arial" w:cs="Arial" w:eastAsia="Arial" w:hAnsi="Arial"/>
                <w:sz w:val="14"/>
                <w:szCs w:val="14"/>
                <w:color w:val="auto"/>
              </w:rPr>
              <w:t>$5,704</w:t>
            </w:r>
          </w:p>
        </w:tc>
        <w:tc>
          <w:tcPr>
            <w:tcW w:w="1160" w:type="dxa"/>
            <w:vAlign w:val="bottom"/>
            <w:gridSpan w:val="2"/>
          </w:tcPr>
          <w:p>
            <w:pPr>
              <w:jc w:val="right"/>
              <w:ind w:right="8"/>
              <w:spacing w:after="0"/>
              <w:rPr>
                <w:sz w:val="20"/>
                <w:szCs w:val="20"/>
                <w:color w:val="auto"/>
              </w:rPr>
            </w:pPr>
            <w:r>
              <w:rPr>
                <w:rFonts w:ascii="Arial" w:cs="Arial" w:eastAsia="Arial" w:hAnsi="Arial"/>
                <w:sz w:val="14"/>
                <w:szCs w:val="14"/>
                <w:b w:val="1"/>
                <w:bCs w:val="1"/>
                <w:color w:val="auto"/>
              </w:rPr>
              <w:t>$6,184</w:t>
            </w: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8.4%</w:t>
            </w:r>
          </w:p>
        </w:tc>
        <w:tc>
          <w:tcPr>
            <w:tcW w:w="20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$17,046</w:t>
            </w:r>
          </w:p>
        </w:tc>
        <w:tc>
          <w:tcPr>
            <w:tcW w:w="1120" w:type="dxa"/>
            <w:vAlign w:val="bottom"/>
            <w:gridSpan w:val="2"/>
          </w:tcPr>
          <w:p>
            <w:pPr>
              <w:jc w:val="right"/>
              <w:spacing w:after="0"/>
              <w:rPr>
                <w:sz w:val="20"/>
                <w:szCs w:val="20"/>
                <w:color w:val="auto"/>
              </w:rPr>
            </w:pPr>
            <w:r>
              <w:rPr>
                <w:rFonts w:ascii="Arial" w:cs="Arial" w:eastAsia="Arial" w:hAnsi="Arial"/>
                <w:sz w:val="14"/>
                <w:szCs w:val="14"/>
                <w:b w:val="1"/>
                <w:bCs w:val="1"/>
                <w:color w:val="auto"/>
              </w:rPr>
              <w:t>$18,406</w:t>
            </w: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8.0%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4460" w:type="dxa"/>
            <w:vAlign w:val="bottom"/>
          </w:tcPr>
          <w:p>
            <w:pPr>
              <w:ind w:left="200"/>
              <w:spacing w:after="0"/>
              <w:rPr>
                <w:sz w:val="20"/>
                <w:szCs w:val="20"/>
                <w:color w:val="auto"/>
              </w:rPr>
            </w:pPr>
            <w:r>
              <w:rPr>
                <w:rFonts w:ascii="Arial" w:cs="Arial" w:eastAsia="Arial" w:hAnsi="Arial"/>
                <w:sz w:val="14"/>
                <w:szCs w:val="14"/>
                <w:color w:val="auto"/>
              </w:rPr>
              <w:t>Costs related to Time Warner Cable and Charter transactions</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77</w:t>
            </w:r>
          </w:p>
        </w:tc>
        <w:tc>
          <w:tcPr>
            <w:tcW w:w="240" w:type="dxa"/>
            <w:vAlign w:val="bottom"/>
          </w:tcPr>
          <w:p>
            <w:pPr>
              <w:spacing w:after="0"/>
              <w:rPr>
                <w:sz w:val="22"/>
                <w:szCs w:val="22"/>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00" w:type="dxa"/>
            <w:vAlign w:val="bottom"/>
            <w:tcBorders>
              <w:right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138</w:t>
            </w:r>
          </w:p>
        </w:tc>
        <w:tc>
          <w:tcPr>
            <w:tcW w:w="220" w:type="dxa"/>
            <w:vAlign w:val="bottom"/>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178</w:t>
            </w:r>
          </w:p>
        </w:tc>
        <w:tc>
          <w:tcPr>
            <w:tcW w:w="2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460" w:type="dxa"/>
            <w:vAlign w:val="bottom"/>
          </w:tcPr>
          <w:p>
            <w:pPr>
              <w:ind w:left="200"/>
              <w:spacing w:after="0"/>
              <w:rPr>
                <w:sz w:val="20"/>
                <w:szCs w:val="20"/>
                <w:color w:val="auto"/>
              </w:rPr>
            </w:pPr>
            <w:r>
              <w:rPr>
                <w:rFonts w:ascii="Arial" w:cs="Arial" w:eastAsia="Arial" w:hAnsi="Arial"/>
                <w:sz w:val="14"/>
                <w:szCs w:val="14"/>
                <w:color w:val="auto"/>
              </w:rPr>
              <w:t>Operating Cash Flow excluding costs related to Time Warner</w:t>
            </w: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$5,781</w:t>
            </w:r>
          </w:p>
        </w:tc>
        <w:tc>
          <w:tcPr>
            <w:tcW w:w="240" w:type="dxa"/>
            <w:vAlign w:val="bottom"/>
            <w:vMerge w:val="restart"/>
          </w:tcPr>
          <w:p>
            <w:pPr>
              <w:spacing w:after="0"/>
              <w:rPr>
                <w:sz w:val="22"/>
                <w:szCs w:val="22"/>
                <w:color w:val="auto"/>
              </w:rPr>
            </w:pPr>
          </w:p>
        </w:tc>
        <w:tc>
          <w:tcPr>
            <w:tcW w:w="92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$6,184</w:t>
            </w:r>
          </w:p>
        </w:tc>
        <w:tc>
          <w:tcPr>
            <w:tcW w:w="2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00" w:type="dxa"/>
            <w:vAlign w:val="bottom"/>
            <w:tcBorders>
              <w:right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$17,184</w:t>
            </w:r>
          </w:p>
        </w:tc>
        <w:tc>
          <w:tcPr>
            <w:tcW w:w="220" w:type="dxa"/>
            <w:vAlign w:val="bottom"/>
            <w:vMerge w:val="restart"/>
          </w:tcPr>
          <w:p>
            <w:pPr>
              <w:spacing w:after="0"/>
              <w:rPr>
                <w:sz w:val="22"/>
                <w:szCs w:val="22"/>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$18,584</w:t>
            </w:r>
          </w:p>
        </w:tc>
        <w:tc>
          <w:tcPr>
            <w:tcW w:w="2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7"/>
        </w:trPr>
        <w:tc>
          <w:tcPr>
            <w:tcW w:w="4460" w:type="dxa"/>
            <w:vAlign w:val="bottom"/>
          </w:tcPr>
          <w:p>
            <w:pPr>
              <w:ind w:left="380"/>
              <w:spacing w:after="0"/>
              <w:rPr>
                <w:sz w:val="20"/>
                <w:szCs w:val="20"/>
                <w:color w:val="auto"/>
              </w:rPr>
            </w:pPr>
            <w:r>
              <w:rPr>
                <w:rFonts w:ascii="Arial" w:cs="Arial" w:eastAsia="Arial" w:hAnsi="Arial"/>
                <w:sz w:val="14"/>
                <w:szCs w:val="14"/>
                <w:color w:val="auto"/>
              </w:rPr>
              <w:t>Cable and Charter transactions</w:t>
            </w:r>
          </w:p>
        </w:tc>
        <w:tc>
          <w:tcPr>
            <w:tcW w:w="920" w:type="dxa"/>
            <w:vAlign w:val="bottom"/>
            <w:tcBorders>
              <w:bottom w:val="single" w:sz="8" w:color="auto"/>
            </w:tcBorders>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7.0%</w:t>
            </w:r>
          </w:p>
        </w:tc>
        <w:tc>
          <w:tcPr>
            <w:tcW w:w="200" w:type="dxa"/>
            <w:vAlign w:val="bottom"/>
            <w:tcBorders>
              <w:right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8.2%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4"/>
        </w:trPr>
        <w:tc>
          <w:tcPr>
            <w:tcW w:w="10400" w:type="dxa"/>
            <w:vAlign w:val="bottom"/>
            <w:tcBorders>
              <w:bottom w:val="single" w:sz="8" w:color="0050B9"/>
            </w:tcBorders>
            <w:gridSpan w:val="12"/>
          </w:tcPr>
          <w:p>
            <w:pPr>
              <w:jc w:val="right"/>
              <w:ind w:right="560"/>
              <w:spacing w:after="0"/>
              <w:rPr>
                <w:sz w:val="20"/>
                <w:szCs w:val="20"/>
                <w:color w:val="auto"/>
              </w:rPr>
            </w:pPr>
            <w:r>
              <w:rPr>
                <w:rFonts w:ascii="Arial" w:cs="Arial" w:eastAsia="Arial" w:hAnsi="Arial"/>
                <w:sz w:val="18"/>
                <w:szCs w:val="18"/>
                <w:b w:val="1"/>
                <w:bCs w:val="1"/>
                <w:color w:val="C9C9C9"/>
                <w:w w:val="99"/>
              </w:rPr>
              <w:t>Reconciliation of Consolidated NBCUniversal Revenue Excluding 2015 Super Bowl and 2014 Olympics (Unaudited)</w:t>
            </w:r>
          </w:p>
        </w:tc>
        <w:tc>
          <w:tcPr>
            <w:tcW w:w="920" w:type="dxa"/>
            <w:vAlign w:val="bottom"/>
            <w:tcBorders>
              <w:bottom w:val="single" w:sz="8" w:color="0050B9"/>
            </w:tcBorders>
          </w:tcPr>
          <w:p>
            <w:pPr>
              <w:spacing w:after="0"/>
              <w:rPr>
                <w:sz w:val="24"/>
                <w:szCs w:val="24"/>
                <w:color w:val="auto"/>
              </w:rPr>
            </w:pPr>
          </w:p>
        </w:tc>
        <w:tc>
          <w:tcPr>
            <w:tcW w:w="100" w:type="dxa"/>
            <w:vAlign w:val="bottom"/>
            <w:tcBorders>
              <w:bottom w:val="single" w:sz="8" w:color="0050B9"/>
            </w:tcBorders>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4460" w:type="dxa"/>
            <w:vAlign w:val="bottom"/>
          </w:tcPr>
          <w:p>
            <w:pPr>
              <w:spacing w:after="0"/>
              <w:rPr>
                <w:sz w:val="8"/>
                <w:szCs w:val="8"/>
                <w:color w:val="auto"/>
              </w:rPr>
            </w:pPr>
          </w:p>
        </w:tc>
        <w:tc>
          <w:tcPr>
            <w:tcW w:w="920" w:type="dxa"/>
            <w:vAlign w:val="bottom"/>
          </w:tcPr>
          <w:p>
            <w:pPr>
              <w:spacing w:after="0"/>
              <w:rPr>
                <w:sz w:val="8"/>
                <w:szCs w:val="8"/>
                <w:color w:val="auto"/>
              </w:rPr>
            </w:pPr>
          </w:p>
        </w:tc>
        <w:tc>
          <w:tcPr>
            <w:tcW w:w="144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rPr>
              <w:t>Three Months Ended</w:t>
            </w:r>
          </w:p>
        </w:tc>
        <w:tc>
          <w:tcPr>
            <w:tcW w:w="9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900" w:type="dxa"/>
            <w:vAlign w:val="bottom"/>
          </w:tcPr>
          <w:p>
            <w:pPr>
              <w:spacing w:after="0"/>
              <w:rPr>
                <w:sz w:val="8"/>
                <w:szCs w:val="8"/>
                <w:color w:val="auto"/>
              </w:rPr>
            </w:pPr>
          </w:p>
        </w:tc>
        <w:tc>
          <w:tcPr>
            <w:tcW w:w="140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rPr>
              <w:t>Nine Months Ended</w:t>
            </w: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7"/>
        </w:trPr>
        <w:tc>
          <w:tcPr>
            <w:tcW w:w="44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40" w:type="dxa"/>
            <w:vAlign w:val="bottom"/>
            <w:gridSpan w:val="3"/>
            <w:vMerge w:val="continue"/>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0" w:type="dxa"/>
            <w:vAlign w:val="bottom"/>
            <w:gridSpan w:val="3"/>
            <w:vMerge w:val="continue"/>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44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September 30,</w:t>
            </w:r>
          </w:p>
        </w:tc>
        <w:tc>
          <w:tcPr>
            <w:tcW w:w="92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0" w:type="dxa"/>
            <w:vAlign w:val="bottom"/>
            <w:gridSpan w:val="3"/>
          </w:tcPr>
          <w:p>
            <w:pPr>
              <w:jc w:val="center"/>
              <w:spacing w:after="0"/>
              <w:rPr>
                <w:sz w:val="20"/>
                <w:szCs w:val="20"/>
                <w:color w:val="auto"/>
              </w:rPr>
            </w:pPr>
            <w:r>
              <w:rPr>
                <w:rFonts w:ascii="Arial" w:cs="Arial" w:eastAsia="Arial" w:hAnsi="Arial"/>
                <w:sz w:val="14"/>
                <w:szCs w:val="14"/>
                <w:b w:val="1"/>
                <w:bCs w:val="1"/>
                <w:color w:val="auto"/>
              </w:rPr>
              <w:t>September 30,</w:t>
            </w: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9"/>
        </w:trPr>
        <w:tc>
          <w:tcPr>
            <w:tcW w:w="4460" w:type="dxa"/>
            <w:vAlign w:val="bottom"/>
          </w:tcPr>
          <w:p>
            <w:pPr>
              <w:spacing w:after="0"/>
              <w:rPr>
                <w:sz w:val="8"/>
                <w:szCs w:val="8"/>
                <w:color w:val="auto"/>
              </w:rPr>
            </w:pPr>
          </w:p>
        </w:tc>
        <w:tc>
          <w:tcPr>
            <w:tcW w:w="920" w:type="dxa"/>
            <w:vAlign w:val="bottom"/>
          </w:tcPr>
          <w:p>
            <w:pPr>
              <w:spacing w:after="0"/>
              <w:rPr>
                <w:sz w:val="8"/>
                <w:szCs w:val="8"/>
                <w:color w:val="auto"/>
              </w:rPr>
            </w:pPr>
          </w:p>
        </w:tc>
        <w:tc>
          <w:tcPr>
            <w:tcW w:w="240" w:type="dxa"/>
            <w:vAlign w:val="bottom"/>
          </w:tcPr>
          <w:p>
            <w:pPr>
              <w:spacing w:after="0"/>
              <w:rPr>
                <w:sz w:val="8"/>
                <w:szCs w:val="8"/>
                <w:color w:val="auto"/>
              </w:rPr>
            </w:pPr>
          </w:p>
        </w:tc>
        <w:tc>
          <w:tcPr>
            <w:tcW w:w="920" w:type="dxa"/>
            <w:vAlign w:val="bottom"/>
          </w:tcPr>
          <w:p>
            <w:pPr>
              <w:spacing w:after="0"/>
              <w:rPr>
                <w:sz w:val="8"/>
                <w:szCs w:val="8"/>
                <w:color w:val="auto"/>
              </w:rPr>
            </w:pPr>
          </w:p>
        </w:tc>
        <w:tc>
          <w:tcPr>
            <w:tcW w:w="28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0" w:type="dxa"/>
            <w:vAlign w:val="bottom"/>
            <w:tcBorders>
              <w:right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8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140" w:right="239" w:bottom="0" w:gutter="0" w:footer="0" w:header="0"/>
        </w:sectPr>
      </w:pPr>
    </w:p>
    <w:bookmarkStart w:id="10" w:name="page11"/>
    <w:bookmarkEnd w:id="10"/>
    <w:p>
      <w:pPr>
        <w:spacing w:after="0" w:line="1"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426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9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2014</w:t>
            </w:r>
          </w:p>
        </w:tc>
        <w:tc>
          <w:tcPr>
            <w:tcW w:w="240" w:type="dxa"/>
            <w:vAlign w:val="bottom"/>
          </w:tcPr>
          <w:p>
            <w:pPr>
              <w:spacing w:after="0"/>
              <w:rPr>
                <w:sz w:val="14"/>
                <w:szCs w:val="14"/>
                <w:color w:val="auto"/>
              </w:rPr>
            </w:pPr>
          </w:p>
        </w:tc>
        <w:tc>
          <w:tcPr>
            <w:tcW w:w="9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2015</w:t>
            </w:r>
          </w:p>
        </w:tc>
        <w:tc>
          <w:tcPr>
            <w:tcW w:w="280" w:type="dxa"/>
            <w:vAlign w:val="bottom"/>
          </w:tcPr>
          <w:p>
            <w:pPr>
              <w:spacing w:after="0"/>
              <w:rPr>
                <w:sz w:val="14"/>
                <w:szCs w:val="14"/>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Growth %</w:t>
            </w:r>
          </w:p>
        </w:tc>
        <w:tc>
          <w:tcPr>
            <w:tcW w:w="200" w:type="dxa"/>
            <w:vAlign w:val="bottom"/>
            <w:tcBorders>
              <w:right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2014</w:t>
            </w:r>
          </w:p>
        </w:tc>
        <w:tc>
          <w:tcPr>
            <w:tcW w:w="220" w:type="dxa"/>
            <w:vAlign w:val="bottom"/>
          </w:tcPr>
          <w:p>
            <w:pPr>
              <w:spacing w:after="0"/>
              <w:rPr>
                <w:sz w:val="14"/>
                <w:szCs w:val="14"/>
                <w:color w:val="auto"/>
              </w:rPr>
            </w:pPr>
          </w:p>
        </w:tc>
        <w:tc>
          <w:tcPr>
            <w:tcW w:w="9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2015</w:t>
            </w:r>
          </w:p>
        </w:tc>
        <w:tc>
          <w:tcPr>
            <w:tcW w:w="280" w:type="dxa"/>
            <w:vAlign w:val="bottom"/>
          </w:tcPr>
          <w:p>
            <w:pPr>
              <w:spacing w:after="0"/>
              <w:rPr>
                <w:sz w:val="14"/>
                <w:szCs w:val="14"/>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Growth %</w:t>
            </w:r>
          </w:p>
        </w:tc>
      </w:tr>
      <w:tr>
        <w:trPr>
          <w:trHeight w:val="302"/>
        </w:trPr>
        <w:tc>
          <w:tcPr>
            <w:tcW w:w="4260" w:type="dxa"/>
            <w:vAlign w:val="bottom"/>
            <w:gridSpan w:val="2"/>
          </w:tcPr>
          <w:p>
            <w:pPr>
              <w:spacing w:after="0"/>
              <w:rPr>
                <w:sz w:val="20"/>
                <w:szCs w:val="20"/>
                <w:color w:val="auto"/>
              </w:rPr>
            </w:pPr>
            <w:r>
              <w:rPr>
                <w:rFonts w:ascii="Arial" w:cs="Arial" w:eastAsia="Arial" w:hAnsi="Arial"/>
                <w:sz w:val="14"/>
                <w:szCs w:val="14"/>
                <w:color w:val="auto"/>
              </w:rPr>
              <w:t>Revenue</w:t>
            </w:r>
          </w:p>
        </w:tc>
        <w:tc>
          <w:tcPr>
            <w:tcW w:w="920" w:type="dxa"/>
            <w:vAlign w:val="bottom"/>
          </w:tcPr>
          <w:p>
            <w:pPr>
              <w:jc w:val="right"/>
              <w:spacing w:after="0"/>
              <w:rPr>
                <w:sz w:val="20"/>
                <w:szCs w:val="20"/>
                <w:color w:val="auto"/>
              </w:rPr>
            </w:pPr>
            <w:r>
              <w:rPr>
                <w:rFonts w:ascii="Arial" w:cs="Arial" w:eastAsia="Arial" w:hAnsi="Arial"/>
                <w:sz w:val="14"/>
                <w:szCs w:val="14"/>
                <w:color w:val="auto"/>
              </w:rPr>
              <w:t>$5,921</w:t>
            </w:r>
          </w:p>
        </w:tc>
        <w:tc>
          <w:tcPr>
            <w:tcW w:w="240" w:type="dxa"/>
            <w:vAlign w:val="bottom"/>
          </w:tcPr>
          <w:p>
            <w:pPr>
              <w:spacing w:after="0"/>
              <w:rPr>
                <w:sz w:val="24"/>
                <w:szCs w:val="24"/>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b w:val="1"/>
                <w:bCs w:val="1"/>
                <w:color w:val="auto"/>
              </w:rPr>
              <w:t>$7,151</w:t>
            </w:r>
          </w:p>
        </w:tc>
        <w:tc>
          <w:tcPr>
            <w:tcW w:w="1200" w:type="dxa"/>
            <w:vAlign w:val="bottom"/>
            <w:gridSpan w:val="2"/>
          </w:tcPr>
          <w:p>
            <w:pPr>
              <w:jc w:val="right"/>
              <w:spacing w:after="0"/>
              <w:rPr>
                <w:sz w:val="20"/>
                <w:szCs w:val="20"/>
                <w:color w:val="auto"/>
              </w:rPr>
            </w:pPr>
            <w:r>
              <w:rPr>
                <w:rFonts w:ascii="Arial" w:cs="Arial" w:eastAsia="Arial" w:hAnsi="Arial"/>
                <w:sz w:val="14"/>
                <w:szCs w:val="14"/>
                <w:color w:val="auto"/>
              </w:rPr>
              <w:t>20.8%</w:t>
            </w:r>
          </w:p>
        </w:tc>
        <w:tc>
          <w:tcPr>
            <w:tcW w:w="20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$18,813</w:t>
            </w:r>
          </w:p>
        </w:tc>
        <w:tc>
          <w:tcPr>
            <w:tcW w:w="2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$20,985</w:t>
            </w:r>
          </w:p>
        </w:tc>
        <w:tc>
          <w:tcPr>
            <w:tcW w:w="1200" w:type="dxa"/>
            <w:vAlign w:val="bottom"/>
            <w:gridSpan w:val="2"/>
          </w:tcPr>
          <w:p>
            <w:pPr>
              <w:jc w:val="right"/>
              <w:spacing w:after="0"/>
              <w:rPr>
                <w:sz w:val="20"/>
                <w:szCs w:val="20"/>
                <w:color w:val="auto"/>
              </w:rPr>
            </w:pPr>
            <w:r>
              <w:rPr>
                <w:rFonts w:ascii="Arial" w:cs="Arial" w:eastAsia="Arial" w:hAnsi="Arial"/>
                <w:sz w:val="14"/>
                <w:szCs w:val="14"/>
                <w:color w:val="auto"/>
              </w:rPr>
              <w:t>11.5%</w:t>
            </w:r>
          </w:p>
        </w:tc>
      </w:tr>
      <w:tr>
        <w:trPr>
          <w:trHeight w:val="284"/>
        </w:trPr>
        <w:tc>
          <w:tcPr>
            <w:tcW w:w="340" w:type="dxa"/>
            <w:vAlign w:val="bottom"/>
          </w:tcPr>
          <w:p>
            <w:pPr>
              <w:spacing w:after="0"/>
              <w:rPr>
                <w:sz w:val="20"/>
                <w:szCs w:val="20"/>
                <w:color w:val="auto"/>
              </w:rPr>
            </w:pPr>
            <w:r>
              <w:rPr>
                <w:rFonts w:ascii="Arial" w:cs="Arial" w:eastAsia="Arial" w:hAnsi="Arial"/>
                <w:sz w:val="14"/>
                <w:szCs w:val="14"/>
                <w:color w:val="auto"/>
              </w:rPr>
              <w:t>2015</w:t>
            </w:r>
          </w:p>
        </w:tc>
        <w:tc>
          <w:tcPr>
            <w:tcW w:w="3920" w:type="dxa"/>
            <w:vAlign w:val="bottom"/>
          </w:tcPr>
          <w:p>
            <w:pPr>
              <w:ind w:left="20"/>
              <w:spacing w:after="0"/>
              <w:rPr>
                <w:sz w:val="20"/>
                <w:szCs w:val="20"/>
                <w:color w:val="auto"/>
              </w:rPr>
            </w:pPr>
            <w:r>
              <w:rPr>
                <w:rFonts w:ascii="Arial" w:cs="Arial" w:eastAsia="Arial" w:hAnsi="Arial"/>
                <w:sz w:val="14"/>
                <w:szCs w:val="14"/>
                <w:color w:val="auto"/>
              </w:rPr>
              <w:t>Super Bowl</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(376)</w:t>
            </w: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45"/>
        </w:trPr>
        <w:tc>
          <w:tcPr>
            <w:tcW w:w="340" w:type="dxa"/>
            <w:vAlign w:val="bottom"/>
          </w:tcPr>
          <w:p>
            <w:pPr>
              <w:spacing w:after="0"/>
              <w:rPr>
                <w:sz w:val="20"/>
                <w:szCs w:val="20"/>
                <w:color w:val="auto"/>
              </w:rPr>
            </w:pPr>
            <w:r>
              <w:rPr>
                <w:rFonts w:ascii="Arial" w:cs="Arial" w:eastAsia="Arial" w:hAnsi="Arial"/>
                <w:sz w:val="14"/>
                <w:szCs w:val="14"/>
                <w:color w:val="auto"/>
              </w:rPr>
              <w:t>2014</w:t>
            </w:r>
          </w:p>
        </w:tc>
        <w:tc>
          <w:tcPr>
            <w:tcW w:w="3920" w:type="dxa"/>
            <w:vAlign w:val="bottom"/>
          </w:tcPr>
          <w:p>
            <w:pPr>
              <w:ind w:left="20"/>
              <w:spacing w:after="0"/>
              <w:rPr>
                <w:sz w:val="20"/>
                <w:szCs w:val="20"/>
                <w:color w:val="auto"/>
              </w:rPr>
            </w:pPr>
            <w:r>
              <w:rPr>
                <w:rFonts w:ascii="Arial" w:cs="Arial" w:eastAsia="Arial" w:hAnsi="Arial"/>
                <w:sz w:val="14"/>
                <w:szCs w:val="14"/>
                <w:color w:val="auto"/>
              </w:rPr>
              <w:t>Olympics</w:t>
            </w: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1"/>
                <w:szCs w:val="21"/>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0" w:type="dxa"/>
            <w:vAlign w:val="bottom"/>
            <w:tcBorders>
              <w:right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(1,103)</w:t>
            </w:r>
          </w:p>
        </w:tc>
        <w:tc>
          <w:tcPr>
            <w:tcW w:w="220" w:type="dxa"/>
            <w:vAlign w:val="bottom"/>
          </w:tcPr>
          <w:p>
            <w:pPr>
              <w:spacing w:after="0"/>
              <w:rPr>
                <w:sz w:val="21"/>
                <w:szCs w:val="21"/>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7"/>
        </w:trPr>
        <w:tc>
          <w:tcPr>
            <w:tcW w:w="4260" w:type="dxa"/>
            <w:vAlign w:val="bottom"/>
            <w:gridSpan w:val="2"/>
          </w:tcPr>
          <w:p>
            <w:pPr>
              <w:spacing w:after="0"/>
              <w:rPr>
                <w:sz w:val="20"/>
                <w:szCs w:val="20"/>
                <w:color w:val="auto"/>
              </w:rPr>
            </w:pPr>
            <w:r>
              <w:rPr>
                <w:rFonts w:ascii="Arial" w:cs="Arial" w:eastAsia="Arial" w:hAnsi="Arial"/>
                <w:sz w:val="14"/>
                <w:szCs w:val="14"/>
                <w:color w:val="auto"/>
              </w:rPr>
              <w:t>Revenue excluding 2015 Super Bowl and 2014 Olympics</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$5,921</w:t>
            </w:r>
          </w:p>
        </w:tc>
        <w:tc>
          <w:tcPr>
            <w:tcW w:w="240" w:type="dxa"/>
            <w:vAlign w:val="bottom"/>
          </w:tcPr>
          <w:p>
            <w:pPr>
              <w:spacing w:after="0"/>
              <w:rPr>
                <w:sz w:val="24"/>
                <w:szCs w:val="24"/>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$7,151</w:t>
            </w:r>
          </w:p>
        </w:tc>
        <w:tc>
          <w:tcPr>
            <w:tcW w:w="1200" w:type="dxa"/>
            <w:vAlign w:val="bottom"/>
            <w:gridSpan w:val="2"/>
          </w:tcPr>
          <w:p>
            <w:pPr>
              <w:jc w:val="right"/>
              <w:spacing w:after="0"/>
              <w:rPr>
                <w:sz w:val="20"/>
                <w:szCs w:val="20"/>
                <w:color w:val="auto"/>
              </w:rPr>
            </w:pPr>
            <w:r>
              <w:rPr>
                <w:rFonts w:ascii="Arial" w:cs="Arial" w:eastAsia="Arial" w:hAnsi="Arial"/>
                <w:sz w:val="14"/>
                <w:szCs w:val="14"/>
                <w:color w:val="auto"/>
              </w:rPr>
              <w:t>20.8%</w:t>
            </w:r>
          </w:p>
        </w:tc>
        <w:tc>
          <w:tcPr>
            <w:tcW w:w="20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$17,710</w:t>
            </w:r>
          </w:p>
        </w:tc>
        <w:tc>
          <w:tcPr>
            <w:tcW w:w="220" w:type="dxa"/>
            <w:vAlign w:val="bottom"/>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$20,609</w:t>
            </w:r>
          </w:p>
        </w:tc>
        <w:tc>
          <w:tcPr>
            <w:tcW w:w="1200" w:type="dxa"/>
            <w:vAlign w:val="bottom"/>
            <w:gridSpan w:val="2"/>
          </w:tcPr>
          <w:p>
            <w:pPr>
              <w:jc w:val="right"/>
              <w:spacing w:after="0"/>
              <w:rPr>
                <w:sz w:val="20"/>
                <w:szCs w:val="20"/>
                <w:color w:val="auto"/>
              </w:rPr>
            </w:pPr>
            <w:r>
              <w:rPr>
                <w:rFonts w:ascii="Arial" w:cs="Arial" w:eastAsia="Arial" w:hAnsi="Arial"/>
                <w:sz w:val="14"/>
                <w:szCs w:val="14"/>
                <w:color w:val="auto"/>
              </w:rPr>
              <w:t>16.4%</w:t>
            </w:r>
          </w:p>
        </w:tc>
      </w:tr>
      <w:tr>
        <w:trPr>
          <w:trHeight w:val="20"/>
        </w:trPr>
        <w:tc>
          <w:tcPr>
            <w:tcW w:w="34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bl>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C9C9C9"/>
        </w:rPr>
        <w:t>Reconciliation of Cable Networks Revenue Excluding 2014 Olympics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08"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4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40" w:type="dxa"/>
            <w:vAlign w:val="bottom"/>
            <w:gridSpan w:val="3"/>
          </w:tcPr>
          <w:p>
            <w:pPr>
              <w:jc w:val="center"/>
              <w:spacing w:after="0"/>
              <w:rPr>
                <w:sz w:val="20"/>
                <w:szCs w:val="20"/>
                <w:color w:val="auto"/>
              </w:rPr>
            </w:pPr>
            <w:r>
              <w:rPr>
                <w:rFonts w:ascii="Arial" w:cs="Arial" w:eastAsia="Arial" w:hAnsi="Arial"/>
                <w:sz w:val="14"/>
                <w:szCs w:val="14"/>
                <w:b w:val="1"/>
                <w:bCs w:val="1"/>
                <w:color w:val="auto"/>
              </w:rPr>
              <w:t>Three Months Ended</w:t>
            </w:r>
          </w:p>
        </w:tc>
        <w:tc>
          <w:tcPr>
            <w:tcW w:w="920" w:type="dxa"/>
            <w:vAlign w:val="bottom"/>
          </w:tcPr>
          <w:p>
            <w:pPr>
              <w:spacing w:after="0"/>
              <w:rPr>
                <w:sz w:val="14"/>
                <w:szCs w:val="14"/>
                <w:color w:val="auto"/>
              </w:rPr>
            </w:pPr>
          </w:p>
        </w:tc>
        <w:tc>
          <w:tcPr>
            <w:tcW w:w="200" w:type="dxa"/>
            <w:vAlign w:val="bottom"/>
            <w:tcBorders>
              <w:right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0" w:type="dxa"/>
            <w:vAlign w:val="bottom"/>
            <w:gridSpan w:val="3"/>
          </w:tcPr>
          <w:p>
            <w:pPr>
              <w:jc w:val="center"/>
              <w:spacing w:after="0"/>
              <w:rPr>
                <w:sz w:val="20"/>
                <w:szCs w:val="20"/>
                <w:color w:val="auto"/>
              </w:rPr>
            </w:pPr>
            <w:r>
              <w:rPr>
                <w:rFonts w:ascii="Arial" w:cs="Arial" w:eastAsia="Arial" w:hAnsi="Arial"/>
                <w:sz w:val="14"/>
                <w:szCs w:val="14"/>
                <w:b w:val="1"/>
                <w:bCs w:val="1"/>
                <w:color w:val="auto"/>
              </w:rPr>
              <w:t>Nine Months Ended</w:t>
            </w:r>
          </w:p>
        </w:tc>
        <w:tc>
          <w:tcPr>
            <w:tcW w:w="920" w:type="dxa"/>
            <w:vAlign w:val="bottom"/>
          </w:tcPr>
          <w:p>
            <w:pPr>
              <w:spacing w:after="0"/>
              <w:rPr>
                <w:sz w:val="14"/>
                <w:szCs w:val="14"/>
                <w:color w:val="auto"/>
              </w:rPr>
            </w:pPr>
          </w:p>
        </w:tc>
      </w:tr>
      <w:tr>
        <w:trPr>
          <w:trHeight w:val="202"/>
        </w:trPr>
        <w:tc>
          <w:tcPr>
            <w:tcW w:w="4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September 30,</w:t>
            </w:r>
          </w:p>
        </w:tc>
        <w:tc>
          <w:tcPr>
            <w:tcW w:w="92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0" w:type="dxa"/>
            <w:vAlign w:val="bottom"/>
            <w:gridSpan w:val="3"/>
          </w:tcPr>
          <w:p>
            <w:pPr>
              <w:jc w:val="center"/>
              <w:spacing w:after="0"/>
              <w:rPr>
                <w:sz w:val="20"/>
                <w:szCs w:val="20"/>
                <w:color w:val="auto"/>
              </w:rPr>
            </w:pPr>
            <w:r>
              <w:rPr>
                <w:rFonts w:ascii="Arial" w:cs="Arial" w:eastAsia="Arial" w:hAnsi="Arial"/>
                <w:sz w:val="14"/>
                <w:szCs w:val="14"/>
                <w:b w:val="1"/>
                <w:bCs w:val="1"/>
                <w:color w:val="auto"/>
              </w:rPr>
              <w:t>September 30,</w:t>
            </w:r>
          </w:p>
        </w:tc>
        <w:tc>
          <w:tcPr>
            <w:tcW w:w="920" w:type="dxa"/>
            <w:vAlign w:val="bottom"/>
          </w:tcPr>
          <w:p>
            <w:pPr>
              <w:spacing w:after="0"/>
              <w:rPr>
                <w:sz w:val="17"/>
                <w:szCs w:val="17"/>
                <w:color w:val="auto"/>
              </w:rPr>
            </w:pPr>
          </w:p>
        </w:tc>
      </w:tr>
      <w:tr>
        <w:trPr>
          <w:trHeight w:val="259"/>
        </w:trPr>
        <w:tc>
          <w:tcPr>
            <w:tcW w:w="4260" w:type="dxa"/>
            <w:vAlign w:val="bottom"/>
          </w:tcPr>
          <w:p>
            <w:pPr>
              <w:spacing w:after="0"/>
              <w:rPr>
                <w:sz w:val="20"/>
                <w:szCs w:val="20"/>
                <w:color w:val="auto"/>
              </w:rPr>
            </w:pPr>
            <w:r>
              <w:rPr>
                <w:rFonts w:ascii="Arial" w:cs="Arial" w:eastAsia="Arial" w:hAnsi="Arial"/>
                <w:sz w:val="14"/>
                <w:szCs w:val="14"/>
                <w:color w:val="auto"/>
              </w:rPr>
              <w:t>(in millions)</w:t>
            </w:r>
          </w:p>
        </w:tc>
        <w:tc>
          <w:tcPr>
            <w:tcW w:w="9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2014</w:t>
            </w:r>
          </w:p>
        </w:tc>
        <w:tc>
          <w:tcPr>
            <w:tcW w:w="240" w:type="dxa"/>
            <w:vAlign w:val="bottom"/>
          </w:tcPr>
          <w:p>
            <w:pPr>
              <w:spacing w:after="0"/>
              <w:rPr>
                <w:sz w:val="22"/>
                <w:szCs w:val="22"/>
                <w:color w:val="auto"/>
              </w:rPr>
            </w:pPr>
          </w:p>
        </w:tc>
        <w:tc>
          <w:tcPr>
            <w:tcW w:w="9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2015</w:t>
            </w:r>
          </w:p>
        </w:tc>
        <w:tc>
          <w:tcPr>
            <w:tcW w:w="280" w:type="dxa"/>
            <w:vAlign w:val="bottom"/>
          </w:tcPr>
          <w:p>
            <w:pPr>
              <w:spacing w:after="0"/>
              <w:rPr>
                <w:sz w:val="22"/>
                <w:szCs w:val="22"/>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Growth %</w:t>
            </w:r>
          </w:p>
        </w:tc>
        <w:tc>
          <w:tcPr>
            <w:tcW w:w="200" w:type="dxa"/>
            <w:vAlign w:val="bottom"/>
            <w:tcBorders>
              <w:right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2014</w:t>
            </w:r>
          </w:p>
        </w:tc>
        <w:tc>
          <w:tcPr>
            <w:tcW w:w="220" w:type="dxa"/>
            <w:vAlign w:val="bottom"/>
          </w:tcPr>
          <w:p>
            <w:pPr>
              <w:spacing w:after="0"/>
              <w:rPr>
                <w:sz w:val="22"/>
                <w:szCs w:val="22"/>
                <w:color w:val="auto"/>
              </w:rPr>
            </w:pPr>
          </w:p>
        </w:tc>
        <w:tc>
          <w:tcPr>
            <w:tcW w:w="9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2015</w:t>
            </w:r>
          </w:p>
        </w:tc>
        <w:tc>
          <w:tcPr>
            <w:tcW w:w="280" w:type="dxa"/>
            <w:vAlign w:val="bottom"/>
          </w:tcPr>
          <w:p>
            <w:pPr>
              <w:spacing w:after="0"/>
              <w:rPr>
                <w:sz w:val="22"/>
                <w:szCs w:val="22"/>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Growth %</w:t>
            </w:r>
          </w:p>
        </w:tc>
      </w:tr>
      <w:tr>
        <w:trPr>
          <w:trHeight w:val="302"/>
        </w:trPr>
        <w:tc>
          <w:tcPr>
            <w:tcW w:w="4260" w:type="dxa"/>
            <w:vAlign w:val="bottom"/>
          </w:tcPr>
          <w:p>
            <w:pPr>
              <w:spacing w:after="0"/>
              <w:rPr>
                <w:sz w:val="20"/>
                <w:szCs w:val="20"/>
                <w:color w:val="auto"/>
              </w:rPr>
            </w:pPr>
            <w:r>
              <w:rPr>
                <w:rFonts w:ascii="Arial" w:cs="Arial" w:eastAsia="Arial" w:hAnsi="Arial"/>
                <w:sz w:val="14"/>
                <w:szCs w:val="14"/>
                <w:color w:val="auto"/>
              </w:rPr>
              <w:t>Revenue</w:t>
            </w:r>
          </w:p>
        </w:tc>
        <w:tc>
          <w:tcPr>
            <w:tcW w:w="920" w:type="dxa"/>
            <w:vAlign w:val="bottom"/>
          </w:tcPr>
          <w:p>
            <w:pPr>
              <w:jc w:val="right"/>
              <w:spacing w:after="0"/>
              <w:rPr>
                <w:sz w:val="20"/>
                <w:szCs w:val="20"/>
                <w:color w:val="auto"/>
              </w:rPr>
            </w:pPr>
            <w:r>
              <w:rPr>
                <w:rFonts w:ascii="Arial" w:cs="Arial" w:eastAsia="Arial" w:hAnsi="Arial"/>
                <w:sz w:val="14"/>
                <w:szCs w:val="14"/>
                <w:color w:val="auto"/>
              </w:rPr>
              <w:t>$2,255</w:t>
            </w:r>
          </w:p>
        </w:tc>
        <w:tc>
          <w:tcPr>
            <w:tcW w:w="1160" w:type="dxa"/>
            <w:vAlign w:val="bottom"/>
            <w:gridSpan w:val="2"/>
          </w:tcPr>
          <w:p>
            <w:pPr>
              <w:jc w:val="right"/>
              <w:ind w:right="8"/>
              <w:spacing w:after="0"/>
              <w:rPr>
                <w:sz w:val="20"/>
                <w:szCs w:val="20"/>
                <w:color w:val="auto"/>
              </w:rPr>
            </w:pPr>
            <w:r>
              <w:rPr>
                <w:rFonts w:ascii="Arial" w:cs="Arial" w:eastAsia="Arial" w:hAnsi="Arial"/>
                <w:sz w:val="14"/>
                <w:szCs w:val="14"/>
                <w:b w:val="1"/>
                <w:bCs w:val="1"/>
                <w:color w:val="auto"/>
              </w:rPr>
              <w:t>$2,412</w:t>
            </w: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7.0%</w:t>
            </w:r>
          </w:p>
        </w:tc>
        <w:tc>
          <w:tcPr>
            <w:tcW w:w="20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$7,236</w:t>
            </w:r>
          </w:p>
        </w:tc>
        <w:tc>
          <w:tcPr>
            <w:tcW w:w="1120" w:type="dxa"/>
            <w:vAlign w:val="bottom"/>
            <w:gridSpan w:val="2"/>
          </w:tcPr>
          <w:p>
            <w:pPr>
              <w:jc w:val="right"/>
              <w:spacing w:after="0"/>
              <w:rPr>
                <w:sz w:val="20"/>
                <w:szCs w:val="20"/>
                <w:color w:val="auto"/>
              </w:rPr>
            </w:pPr>
            <w:r>
              <w:rPr>
                <w:rFonts w:ascii="Arial" w:cs="Arial" w:eastAsia="Arial" w:hAnsi="Arial"/>
                <w:sz w:val="14"/>
                <w:szCs w:val="14"/>
                <w:b w:val="1"/>
                <w:bCs w:val="1"/>
                <w:color w:val="auto"/>
              </w:rPr>
              <w:t>$7,221</w:t>
            </w: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(0.2%)</w:t>
            </w:r>
          </w:p>
        </w:tc>
      </w:tr>
      <w:tr>
        <w:trPr>
          <w:trHeight w:val="259"/>
        </w:trPr>
        <w:tc>
          <w:tcPr>
            <w:tcW w:w="4260" w:type="dxa"/>
            <w:vAlign w:val="bottom"/>
          </w:tcPr>
          <w:p>
            <w:pPr>
              <w:spacing w:after="0"/>
              <w:rPr>
                <w:sz w:val="20"/>
                <w:szCs w:val="20"/>
                <w:color w:val="auto"/>
              </w:rPr>
            </w:pPr>
            <w:r>
              <w:rPr>
                <w:rFonts w:ascii="Arial" w:cs="Arial" w:eastAsia="Arial" w:hAnsi="Arial"/>
                <w:sz w:val="14"/>
                <w:szCs w:val="14"/>
                <w:color w:val="auto"/>
              </w:rPr>
              <w:t>2014 Olympics</w:t>
            </w: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00" w:type="dxa"/>
            <w:vAlign w:val="bottom"/>
            <w:tcBorders>
              <w:right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(257)</w:t>
            </w:r>
          </w:p>
        </w:tc>
        <w:tc>
          <w:tcPr>
            <w:tcW w:w="220" w:type="dxa"/>
            <w:vAlign w:val="bottom"/>
          </w:tcPr>
          <w:p>
            <w:pPr>
              <w:spacing w:after="0"/>
              <w:rPr>
                <w:sz w:val="22"/>
                <w:szCs w:val="22"/>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77"/>
        </w:trPr>
        <w:tc>
          <w:tcPr>
            <w:tcW w:w="4260" w:type="dxa"/>
            <w:vAlign w:val="bottom"/>
          </w:tcPr>
          <w:p>
            <w:pPr>
              <w:spacing w:after="0"/>
              <w:rPr>
                <w:sz w:val="20"/>
                <w:szCs w:val="20"/>
                <w:color w:val="auto"/>
              </w:rPr>
            </w:pPr>
            <w:r>
              <w:rPr>
                <w:rFonts w:ascii="Arial" w:cs="Arial" w:eastAsia="Arial" w:hAnsi="Arial"/>
                <w:sz w:val="14"/>
                <w:szCs w:val="14"/>
                <w:color w:val="auto"/>
              </w:rPr>
              <w:t>Revenue excluding 2014 Olympics</w:t>
            </w:r>
          </w:p>
        </w:tc>
        <w:tc>
          <w:tcPr>
            <w:tcW w:w="920" w:type="dxa"/>
            <w:vAlign w:val="bottom"/>
          </w:tcPr>
          <w:p>
            <w:pPr>
              <w:jc w:val="right"/>
              <w:spacing w:after="0"/>
              <w:rPr>
                <w:sz w:val="20"/>
                <w:szCs w:val="20"/>
                <w:color w:val="auto"/>
              </w:rPr>
            </w:pPr>
            <w:r>
              <w:rPr>
                <w:rFonts w:ascii="Arial" w:cs="Arial" w:eastAsia="Arial" w:hAnsi="Arial"/>
                <w:sz w:val="14"/>
                <w:szCs w:val="14"/>
                <w:color w:val="auto"/>
              </w:rPr>
              <w:t>$2,255</w:t>
            </w:r>
          </w:p>
        </w:tc>
        <w:tc>
          <w:tcPr>
            <w:tcW w:w="1160" w:type="dxa"/>
            <w:vAlign w:val="bottom"/>
            <w:gridSpan w:val="2"/>
          </w:tcPr>
          <w:p>
            <w:pPr>
              <w:jc w:val="right"/>
              <w:ind w:right="8"/>
              <w:spacing w:after="0"/>
              <w:rPr>
                <w:sz w:val="20"/>
                <w:szCs w:val="20"/>
                <w:color w:val="auto"/>
              </w:rPr>
            </w:pPr>
            <w:r>
              <w:rPr>
                <w:rFonts w:ascii="Arial" w:cs="Arial" w:eastAsia="Arial" w:hAnsi="Arial"/>
                <w:sz w:val="14"/>
                <w:szCs w:val="14"/>
                <w:b w:val="1"/>
                <w:bCs w:val="1"/>
                <w:color w:val="auto"/>
              </w:rPr>
              <w:t>$2,412</w:t>
            </w: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7.0%</w:t>
            </w:r>
          </w:p>
        </w:tc>
        <w:tc>
          <w:tcPr>
            <w:tcW w:w="20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$6,979</w:t>
            </w:r>
          </w:p>
        </w:tc>
        <w:tc>
          <w:tcPr>
            <w:tcW w:w="1120" w:type="dxa"/>
            <w:vAlign w:val="bottom"/>
            <w:gridSpan w:val="2"/>
          </w:tcPr>
          <w:p>
            <w:pPr>
              <w:jc w:val="right"/>
              <w:spacing w:after="0"/>
              <w:rPr>
                <w:sz w:val="20"/>
                <w:szCs w:val="20"/>
                <w:color w:val="auto"/>
              </w:rPr>
            </w:pPr>
            <w:r>
              <w:rPr>
                <w:rFonts w:ascii="Arial" w:cs="Arial" w:eastAsia="Arial" w:hAnsi="Arial"/>
                <w:sz w:val="14"/>
                <w:szCs w:val="14"/>
                <w:b w:val="1"/>
                <w:bCs w:val="1"/>
                <w:color w:val="auto"/>
              </w:rPr>
              <w:t>$7,221</w:t>
            </w: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3.5%</w:t>
            </w:r>
          </w:p>
        </w:tc>
      </w:tr>
      <w:tr>
        <w:trPr>
          <w:trHeight w:val="20"/>
        </w:trPr>
        <w:tc>
          <w:tcPr>
            <w:tcW w:w="42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bl>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C9C9C9"/>
        </w:rPr>
        <w:t>Reconciliation of Broadcast Television Revenue Excluding 2015 Super Bowl and 2014 Olympics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08"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34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40" w:type="dxa"/>
            <w:vAlign w:val="bottom"/>
            <w:gridSpan w:val="3"/>
          </w:tcPr>
          <w:p>
            <w:pPr>
              <w:jc w:val="center"/>
              <w:spacing w:after="0"/>
              <w:rPr>
                <w:sz w:val="20"/>
                <w:szCs w:val="20"/>
                <w:color w:val="auto"/>
              </w:rPr>
            </w:pPr>
            <w:r>
              <w:rPr>
                <w:rFonts w:ascii="Arial" w:cs="Arial" w:eastAsia="Arial" w:hAnsi="Arial"/>
                <w:sz w:val="14"/>
                <w:szCs w:val="14"/>
                <w:b w:val="1"/>
                <w:bCs w:val="1"/>
                <w:color w:val="auto"/>
              </w:rPr>
              <w:t>Three Months Ended</w:t>
            </w:r>
          </w:p>
        </w:tc>
        <w:tc>
          <w:tcPr>
            <w:tcW w:w="920" w:type="dxa"/>
            <w:vAlign w:val="bottom"/>
          </w:tcPr>
          <w:p>
            <w:pPr>
              <w:spacing w:after="0"/>
              <w:rPr>
                <w:sz w:val="14"/>
                <w:szCs w:val="14"/>
                <w:color w:val="auto"/>
              </w:rPr>
            </w:pPr>
          </w:p>
        </w:tc>
        <w:tc>
          <w:tcPr>
            <w:tcW w:w="200" w:type="dxa"/>
            <w:vAlign w:val="bottom"/>
            <w:tcBorders>
              <w:right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0" w:type="dxa"/>
            <w:vAlign w:val="bottom"/>
            <w:gridSpan w:val="3"/>
          </w:tcPr>
          <w:p>
            <w:pPr>
              <w:jc w:val="center"/>
              <w:spacing w:after="0"/>
              <w:rPr>
                <w:sz w:val="20"/>
                <w:szCs w:val="20"/>
                <w:color w:val="auto"/>
              </w:rPr>
            </w:pPr>
            <w:r>
              <w:rPr>
                <w:rFonts w:ascii="Arial" w:cs="Arial" w:eastAsia="Arial" w:hAnsi="Arial"/>
                <w:sz w:val="14"/>
                <w:szCs w:val="14"/>
                <w:b w:val="1"/>
                <w:bCs w:val="1"/>
                <w:color w:val="auto"/>
              </w:rPr>
              <w:t>Nine Months Ended</w:t>
            </w:r>
          </w:p>
        </w:tc>
        <w:tc>
          <w:tcPr>
            <w:tcW w:w="920" w:type="dxa"/>
            <w:vAlign w:val="bottom"/>
          </w:tcPr>
          <w:p>
            <w:pPr>
              <w:spacing w:after="0"/>
              <w:rPr>
                <w:sz w:val="14"/>
                <w:szCs w:val="14"/>
                <w:color w:val="auto"/>
              </w:rPr>
            </w:pPr>
          </w:p>
        </w:tc>
      </w:tr>
      <w:tr>
        <w:trPr>
          <w:trHeight w:val="202"/>
        </w:trPr>
        <w:tc>
          <w:tcPr>
            <w:tcW w:w="340" w:type="dxa"/>
            <w:vAlign w:val="bottom"/>
          </w:tcPr>
          <w:p>
            <w:pPr>
              <w:spacing w:after="0"/>
              <w:rPr>
                <w:sz w:val="17"/>
                <w:szCs w:val="17"/>
                <w:color w:val="auto"/>
              </w:rPr>
            </w:pPr>
          </w:p>
        </w:tc>
        <w:tc>
          <w:tcPr>
            <w:tcW w:w="39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September 30,</w:t>
            </w:r>
          </w:p>
        </w:tc>
        <w:tc>
          <w:tcPr>
            <w:tcW w:w="92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0" w:type="dxa"/>
            <w:vAlign w:val="bottom"/>
            <w:gridSpan w:val="3"/>
          </w:tcPr>
          <w:p>
            <w:pPr>
              <w:jc w:val="center"/>
              <w:spacing w:after="0"/>
              <w:rPr>
                <w:sz w:val="20"/>
                <w:szCs w:val="20"/>
                <w:color w:val="auto"/>
              </w:rPr>
            </w:pPr>
            <w:r>
              <w:rPr>
                <w:rFonts w:ascii="Arial" w:cs="Arial" w:eastAsia="Arial" w:hAnsi="Arial"/>
                <w:sz w:val="14"/>
                <w:szCs w:val="14"/>
                <w:b w:val="1"/>
                <w:bCs w:val="1"/>
                <w:color w:val="auto"/>
              </w:rPr>
              <w:t>September 30,</w:t>
            </w:r>
          </w:p>
        </w:tc>
        <w:tc>
          <w:tcPr>
            <w:tcW w:w="920" w:type="dxa"/>
            <w:vAlign w:val="bottom"/>
          </w:tcPr>
          <w:p>
            <w:pPr>
              <w:spacing w:after="0"/>
              <w:rPr>
                <w:sz w:val="17"/>
                <w:szCs w:val="17"/>
                <w:color w:val="auto"/>
              </w:rPr>
            </w:pPr>
          </w:p>
        </w:tc>
      </w:tr>
      <w:tr>
        <w:trPr>
          <w:trHeight w:val="259"/>
        </w:trPr>
        <w:tc>
          <w:tcPr>
            <w:tcW w:w="426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9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2014</w:t>
            </w:r>
          </w:p>
        </w:tc>
        <w:tc>
          <w:tcPr>
            <w:tcW w:w="240" w:type="dxa"/>
            <w:vAlign w:val="bottom"/>
          </w:tcPr>
          <w:p>
            <w:pPr>
              <w:spacing w:after="0"/>
              <w:rPr>
                <w:sz w:val="22"/>
                <w:szCs w:val="22"/>
                <w:color w:val="auto"/>
              </w:rPr>
            </w:pPr>
          </w:p>
        </w:tc>
        <w:tc>
          <w:tcPr>
            <w:tcW w:w="9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2015</w:t>
            </w:r>
          </w:p>
        </w:tc>
        <w:tc>
          <w:tcPr>
            <w:tcW w:w="280" w:type="dxa"/>
            <w:vAlign w:val="bottom"/>
          </w:tcPr>
          <w:p>
            <w:pPr>
              <w:spacing w:after="0"/>
              <w:rPr>
                <w:sz w:val="22"/>
                <w:szCs w:val="22"/>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Growth %</w:t>
            </w:r>
          </w:p>
        </w:tc>
        <w:tc>
          <w:tcPr>
            <w:tcW w:w="200" w:type="dxa"/>
            <w:vAlign w:val="bottom"/>
            <w:tcBorders>
              <w:right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2014</w:t>
            </w:r>
          </w:p>
        </w:tc>
        <w:tc>
          <w:tcPr>
            <w:tcW w:w="220" w:type="dxa"/>
            <w:vAlign w:val="bottom"/>
          </w:tcPr>
          <w:p>
            <w:pPr>
              <w:spacing w:after="0"/>
              <w:rPr>
                <w:sz w:val="22"/>
                <w:szCs w:val="22"/>
                <w:color w:val="auto"/>
              </w:rPr>
            </w:pPr>
          </w:p>
        </w:tc>
        <w:tc>
          <w:tcPr>
            <w:tcW w:w="9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2015</w:t>
            </w:r>
          </w:p>
        </w:tc>
        <w:tc>
          <w:tcPr>
            <w:tcW w:w="280" w:type="dxa"/>
            <w:vAlign w:val="bottom"/>
          </w:tcPr>
          <w:p>
            <w:pPr>
              <w:spacing w:after="0"/>
              <w:rPr>
                <w:sz w:val="22"/>
                <w:szCs w:val="22"/>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Growth %</w:t>
            </w:r>
          </w:p>
        </w:tc>
      </w:tr>
      <w:tr>
        <w:trPr>
          <w:trHeight w:val="302"/>
        </w:trPr>
        <w:tc>
          <w:tcPr>
            <w:tcW w:w="4260" w:type="dxa"/>
            <w:vAlign w:val="bottom"/>
            <w:gridSpan w:val="2"/>
          </w:tcPr>
          <w:p>
            <w:pPr>
              <w:spacing w:after="0"/>
              <w:rPr>
                <w:sz w:val="20"/>
                <w:szCs w:val="20"/>
                <w:color w:val="auto"/>
              </w:rPr>
            </w:pPr>
            <w:r>
              <w:rPr>
                <w:rFonts w:ascii="Arial" w:cs="Arial" w:eastAsia="Arial" w:hAnsi="Arial"/>
                <w:sz w:val="14"/>
                <w:szCs w:val="14"/>
                <w:color w:val="auto"/>
              </w:rPr>
              <w:t>Revenue</w:t>
            </w:r>
          </w:p>
        </w:tc>
        <w:tc>
          <w:tcPr>
            <w:tcW w:w="920" w:type="dxa"/>
            <w:vAlign w:val="bottom"/>
          </w:tcPr>
          <w:p>
            <w:pPr>
              <w:jc w:val="right"/>
              <w:spacing w:after="0"/>
              <w:rPr>
                <w:sz w:val="20"/>
                <w:szCs w:val="20"/>
                <w:color w:val="auto"/>
              </w:rPr>
            </w:pPr>
            <w:r>
              <w:rPr>
                <w:rFonts w:ascii="Arial" w:cs="Arial" w:eastAsia="Arial" w:hAnsi="Arial"/>
                <w:sz w:val="14"/>
                <w:szCs w:val="14"/>
                <w:color w:val="auto"/>
              </w:rPr>
              <w:t>$1,770</w:t>
            </w:r>
          </w:p>
        </w:tc>
        <w:tc>
          <w:tcPr>
            <w:tcW w:w="1160" w:type="dxa"/>
            <w:vAlign w:val="bottom"/>
            <w:gridSpan w:val="2"/>
          </w:tcPr>
          <w:p>
            <w:pPr>
              <w:jc w:val="right"/>
              <w:ind w:right="8"/>
              <w:spacing w:after="0"/>
              <w:rPr>
                <w:sz w:val="20"/>
                <w:szCs w:val="20"/>
                <w:color w:val="auto"/>
              </w:rPr>
            </w:pPr>
            <w:r>
              <w:rPr>
                <w:rFonts w:ascii="Arial" w:cs="Arial" w:eastAsia="Arial" w:hAnsi="Arial"/>
                <w:sz w:val="14"/>
                <w:szCs w:val="14"/>
                <w:b w:val="1"/>
                <w:bCs w:val="1"/>
                <w:color w:val="auto"/>
              </w:rPr>
              <w:t>$1,971</w:t>
            </w: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11.3%</w:t>
            </w:r>
          </w:p>
        </w:tc>
        <w:tc>
          <w:tcPr>
            <w:tcW w:w="20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$6,207</w:t>
            </w:r>
          </w:p>
        </w:tc>
        <w:tc>
          <w:tcPr>
            <w:tcW w:w="1120" w:type="dxa"/>
            <w:vAlign w:val="bottom"/>
            <w:gridSpan w:val="2"/>
          </w:tcPr>
          <w:p>
            <w:pPr>
              <w:jc w:val="right"/>
              <w:spacing w:after="0"/>
              <w:rPr>
                <w:sz w:val="20"/>
                <w:szCs w:val="20"/>
                <w:color w:val="auto"/>
              </w:rPr>
            </w:pPr>
            <w:r>
              <w:rPr>
                <w:rFonts w:ascii="Arial" w:cs="Arial" w:eastAsia="Arial" w:hAnsi="Arial"/>
                <w:sz w:val="14"/>
                <w:szCs w:val="14"/>
                <w:b w:val="1"/>
                <w:bCs w:val="1"/>
                <w:color w:val="auto"/>
              </w:rPr>
              <w:t>$6,032</w:t>
            </w: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(2.8%)</w:t>
            </w:r>
          </w:p>
        </w:tc>
      </w:tr>
      <w:tr>
        <w:trPr>
          <w:trHeight w:val="284"/>
        </w:trPr>
        <w:tc>
          <w:tcPr>
            <w:tcW w:w="340" w:type="dxa"/>
            <w:vAlign w:val="bottom"/>
          </w:tcPr>
          <w:p>
            <w:pPr>
              <w:spacing w:after="0"/>
              <w:rPr>
                <w:sz w:val="20"/>
                <w:szCs w:val="20"/>
                <w:color w:val="auto"/>
              </w:rPr>
            </w:pPr>
            <w:r>
              <w:rPr>
                <w:rFonts w:ascii="Arial" w:cs="Arial" w:eastAsia="Arial" w:hAnsi="Arial"/>
                <w:sz w:val="14"/>
                <w:szCs w:val="14"/>
                <w:color w:val="auto"/>
              </w:rPr>
              <w:t>2015</w:t>
            </w:r>
          </w:p>
        </w:tc>
        <w:tc>
          <w:tcPr>
            <w:tcW w:w="3920" w:type="dxa"/>
            <w:vAlign w:val="bottom"/>
          </w:tcPr>
          <w:p>
            <w:pPr>
              <w:ind w:left="20"/>
              <w:spacing w:after="0"/>
              <w:rPr>
                <w:sz w:val="20"/>
                <w:szCs w:val="20"/>
                <w:color w:val="auto"/>
              </w:rPr>
            </w:pPr>
            <w:r>
              <w:rPr>
                <w:rFonts w:ascii="Arial" w:cs="Arial" w:eastAsia="Arial" w:hAnsi="Arial"/>
                <w:sz w:val="14"/>
                <w:szCs w:val="14"/>
                <w:color w:val="auto"/>
              </w:rPr>
              <w:t>Super Bowl</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spacing w:after="0"/>
              <w:rPr>
                <w:sz w:val="20"/>
                <w:szCs w:val="20"/>
                <w:color w:val="auto"/>
              </w:rPr>
            </w:pPr>
            <w:r>
              <w:rPr>
                <w:rFonts w:ascii="Arial" w:cs="Arial" w:eastAsia="Arial" w:hAnsi="Arial"/>
                <w:sz w:val="14"/>
                <w:szCs w:val="14"/>
                <w:b w:val="1"/>
                <w:bCs w:val="1"/>
                <w:color w:val="auto"/>
              </w:rPr>
              <w:t>(376)</w:t>
            </w: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45"/>
        </w:trPr>
        <w:tc>
          <w:tcPr>
            <w:tcW w:w="340" w:type="dxa"/>
            <w:vAlign w:val="bottom"/>
          </w:tcPr>
          <w:p>
            <w:pPr>
              <w:spacing w:after="0"/>
              <w:rPr>
                <w:sz w:val="20"/>
                <w:szCs w:val="20"/>
                <w:color w:val="auto"/>
              </w:rPr>
            </w:pPr>
            <w:r>
              <w:rPr>
                <w:rFonts w:ascii="Arial" w:cs="Arial" w:eastAsia="Arial" w:hAnsi="Arial"/>
                <w:sz w:val="14"/>
                <w:szCs w:val="14"/>
                <w:color w:val="auto"/>
              </w:rPr>
              <w:t>2014</w:t>
            </w:r>
          </w:p>
        </w:tc>
        <w:tc>
          <w:tcPr>
            <w:tcW w:w="3920" w:type="dxa"/>
            <w:vAlign w:val="bottom"/>
          </w:tcPr>
          <w:p>
            <w:pPr>
              <w:ind w:left="20"/>
              <w:spacing w:after="0"/>
              <w:rPr>
                <w:sz w:val="20"/>
                <w:szCs w:val="20"/>
                <w:color w:val="auto"/>
              </w:rPr>
            </w:pPr>
            <w:r>
              <w:rPr>
                <w:rFonts w:ascii="Arial" w:cs="Arial" w:eastAsia="Arial" w:hAnsi="Arial"/>
                <w:sz w:val="14"/>
                <w:szCs w:val="14"/>
                <w:color w:val="auto"/>
              </w:rPr>
              <w:t>Olympics</w:t>
            </w: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1"/>
                <w:szCs w:val="21"/>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0" w:type="dxa"/>
            <w:vAlign w:val="bottom"/>
            <w:tcBorders>
              <w:right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(846)</w:t>
            </w:r>
          </w:p>
        </w:tc>
        <w:tc>
          <w:tcPr>
            <w:tcW w:w="220" w:type="dxa"/>
            <w:vAlign w:val="bottom"/>
          </w:tcPr>
          <w:p>
            <w:pPr>
              <w:spacing w:after="0"/>
              <w:rPr>
                <w:sz w:val="21"/>
                <w:szCs w:val="21"/>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7"/>
        </w:trPr>
        <w:tc>
          <w:tcPr>
            <w:tcW w:w="4260" w:type="dxa"/>
            <w:vAlign w:val="bottom"/>
            <w:gridSpan w:val="2"/>
          </w:tcPr>
          <w:p>
            <w:pPr>
              <w:spacing w:after="0"/>
              <w:rPr>
                <w:sz w:val="20"/>
                <w:szCs w:val="20"/>
                <w:color w:val="auto"/>
              </w:rPr>
            </w:pPr>
            <w:r>
              <w:rPr>
                <w:rFonts w:ascii="Arial" w:cs="Arial" w:eastAsia="Arial" w:hAnsi="Arial"/>
                <w:sz w:val="14"/>
                <w:szCs w:val="14"/>
                <w:color w:val="auto"/>
              </w:rPr>
              <w:t>Revenue excluding 2015 Super Bowl and 2014 Olympics</w:t>
            </w:r>
          </w:p>
        </w:tc>
        <w:tc>
          <w:tcPr>
            <w:tcW w:w="920" w:type="dxa"/>
            <w:vAlign w:val="bottom"/>
          </w:tcPr>
          <w:p>
            <w:pPr>
              <w:jc w:val="right"/>
              <w:spacing w:after="0"/>
              <w:rPr>
                <w:sz w:val="20"/>
                <w:szCs w:val="20"/>
                <w:color w:val="auto"/>
              </w:rPr>
            </w:pPr>
            <w:r>
              <w:rPr>
                <w:rFonts w:ascii="Arial" w:cs="Arial" w:eastAsia="Arial" w:hAnsi="Arial"/>
                <w:sz w:val="14"/>
                <w:szCs w:val="14"/>
                <w:color w:val="auto"/>
              </w:rPr>
              <w:t>$1,770</w:t>
            </w:r>
          </w:p>
        </w:tc>
        <w:tc>
          <w:tcPr>
            <w:tcW w:w="1160" w:type="dxa"/>
            <w:vAlign w:val="bottom"/>
            <w:gridSpan w:val="2"/>
          </w:tcPr>
          <w:p>
            <w:pPr>
              <w:jc w:val="right"/>
              <w:ind w:right="8"/>
              <w:spacing w:after="0"/>
              <w:rPr>
                <w:sz w:val="20"/>
                <w:szCs w:val="20"/>
                <w:color w:val="auto"/>
              </w:rPr>
            </w:pPr>
            <w:r>
              <w:rPr>
                <w:rFonts w:ascii="Arial" w:cs="Arial" w:eastAsia="Arial" w:hAnsi="Arial"/>
                <w:sz w:val="14"/>
                <w:szCs w:val="14"/>
                <w:b w:val="1"/>
                <w:bCs w:val="1"/>
                <w:color w:val="auto"/>
              </w:rPr>
              <w:t>$1,971</w:t>
            </w: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11.3%</w:t>
            </w:r>
          </w:p>
        </w:tc>
        <w:tc>
          <w:tcPr>
            <w:tcW w:w="20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$5,361</w:t>
            </w:r>
          </w:p>
        </w:tc>
        <w:tc>
          <w:tcPr>
            <w:tcW w:w="1120" w:type="dxa"/>
            <w:vAlign w:val="bottom"/>
            <w:gridSpan w:val="2"/>
          </w:tcPr>
          <w:p>
            <w:pPr>
              <w:jc w:val="right"/>
              <w:spacing w:after="0"/>
              <w:rPr>
                <w:sz w:val="20"/>
                <w:szCs w:val="20"/>
                <w:color w:val="auto"/>
              </w:rPr>
            </w:pPr>
            <w:r>
              <w:rPr>
                <w:rFonts w:ascii="Arial" w:cs="Arial" w:eastAsia="Arial" w:hAnsi="Arial"/>
                <w:sz w:val="14"/>
                <w:szCs w:val="14"/>
                <w:b w:val="1"/>
                <w:bCs w:val="1"/>
                <w:color w:val="auto"/>
              </w:rPr>
              <w:t>$5,656</w:t>
            </w: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5.5%</w:t>
            </w:r>
          </w:p>
        </w:tc>
      </w:tr>
      <w:tr>
        <w:trPr>
          <w:trHeight w:val="20"/>
        </w:trPr>
        <w:tc>
          <w:tcPr>
            <w:tcW w:w="34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Note:</w:t>
      </w:r>
      <w:r>
        <w:rPr>
          <w:rFonts w:ascii="Arial" w:cs="Arial" w:eastAsia="Arial" w:hAnsi="Arial"/>
          <w:sz w:val="13"/>
          <w:szCs w:val="13"/>
          <w:color w:val="auto"/>
        </w:rPr>
        <w:t xml:space="preserve"> Minor differences may exist due to rounding.</w:t>
      </w:r>
    </w:p>
    <w:p>
      <w:pPr>
        <w:spacing w:after="0" w:line="197"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20"/>
          </w:cols>
          <w:pgMar w:left="240" w:top="140" w:right="339" w:bottom="1440" w:gutter="0" w:footer="0" w:header="0"/>
        </w:sectPr>
      </w:pPr>
    </w:p>
    <w:bookmarkStart w:id="11" w:name="page12"/>
    <w:bookmarkEnd w:id="11"/>
    <w:p>
      <w:pPr>
        <w:jc w:val="right"/>
        <w:spacing w:after="0"/>
        <w:rPr>
          <w:sz w:val="20"/>
          <w:szCs w:val="20"/>
          <w:color w:val="auto"/>
        </w:rPr>
      </w:pPr>
      <w:r>
        <w:rPr>
          <w:rFonts w:ascii="Times New Roman" w:cs="Times New Roman" w:eastAsia="Times New Roman" w:hAnsi="Times New Roman"/>
          <w:sz w:val="17"/>
          <w:szCs w:val="17"/>
          <w:b w:val="1"/>
          <w:bCs w:val="1"/>
          <w:color w:val="auto"/>
        </w:rPr>
        <w:t>Exhibit 99.2</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Exhibit 99.2 – Explanation of Non-GAAP and Other Financial Measures</w:t>
      </w:r>
    </w:p>
    <w:p>
      <w:pPr>
        <w:spacing w:after="0" w:line="21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This Exhibit 99.2 to the accompanying Current Report on Form 8-K for Comcast Corporation (“Company”, “we”, “us” or “our”) sets forth the reasons we believe that presentation of financial measures not in accordance with generally accepted accounting principles in the United States (GAAP) contained in the earnings press release filed as Exhibit 99.1 to the Current Report on Form 8-K provides useful information to investors regarding our financial condition and results of operations. To the extent material, this Exhibit also discloses the additional purposes, if any, for which our management uses these non-GAAP financial measures. A reconciliation of these non-GAAP financial measures with the most directly comparable GAAP financial measures is included in the earnings press release itself.</w:t>
      </w:r>
    </w:p>
    <w:p>
      <w:pPr>
        <w:spacing w:after="0" w:line="173"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Operating Cash Flow is the primary basis used to measure the operational strength and performance of our businesses. Free Cash Flow and Unlevered Free Cash Flow are additional performance measures used as indicators of our ability to service and repay debt, make investments and return capital to investors, through stock repurchases and dividends. We also adjust certain historical data on a pro forma basis following certain acquisitions or dispositions to enhance comparability.</w:t>
      </w:r>
    </w:p>
    <w:p>
      <w:pPr>
        <w:spacing w:after="0" w:line="16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Operating Cash Flow is defined as operating income (loss) before depreciation and amortization, excluding impairment charges related to fixed and intangible assets and gains or losses on the sale of assets, if any. This measure eliminates the significant level of noncash depreciation and amortization expense that results from the capital-intensive nature of certain of our businesses and from intangible assets recognized in business combinations. It is also unaffected by our capital structure or investment activities. Our management and Board of Directors use this financial measure to evaluate our consolidated operating performance and the operating performance of our operating segments and to allocate resources and capital to our operating segments. It is also a significant performance measure in our annual incentive compensation programs. We believe that Operating Cash Flow is useful to investors because it is one of the bases for comparing our operating performance with that of other companies in our industries, although our measure of Operating Cash Flow may not be directly comparable to similar measures used by other companies.</w:t>
      </w:r>
    </w:p>
    <w:p>
      <w:pPr>
        <w:spacing w:after="0" w:line="17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Because we use Operating Cash Flow to measure our segment profit or loss, we reconcile it to operating income, the most directly comparable financial measure calculated and presented in accordance with GAAP, in the business segment footnote to our quarterly and annual consolidated financial statements. Therefore, we believe our measure of Operating Cash Flow for our segments is not a “non-GAAP financial measure” as contemplated by Regulation G adopted by the Securities and Exchange Commission. Consolidated Operating Cash Flow is a non-GAAP financial measure.</w:t>
      </w:r>
    </w:p>
    <w:p>
      <w:pPr>
        <w:spacing w:after="0" w:line="16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Free Cash Flow, which is a non-GAAP financial measure, is defined as “Net Cash Provided by Operating Activities” (as stated in our Consolidated Statement of Cash Flows) reduced by capital expenditures, cash paid for intangible assets, principal payments on capital leases and cash distributions to noncontrolling interests; and adjusted for any payments and receipts related to certain nonoperating items, net of estimated tax effects (such as income taxes on investment sales and nonrecurring payments related to income tax and litigation contingencies of acquired companies). Unlevered Free Cash Flow is Free Cash Flow before cash paid interest. We believe that Free Cash Flow and Unlevered Free Cash Flow are also useful to investors as the basis for comparing our performance and coverage ratios with other companies in our industries, although our measure of Free Cash Flow and Unlevered Free Cash Flow may not be directly comparable to similar measures used by other companies.</w:t>
      </w:r>
    </w:p>
    <w:p>
      <w:pPr>
        <w:spacing w:after="0" w:line="17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Pro forma data is used by management to evaluate performance when certain acquisitions or dispositions occur. Historical data reflects results of acquired businesses only after the acquisition dates while pro forma data enhances comparability of financial information between periods by adjusting the data as if the acquisitions or dispositions occurred at the beginning of the preceding year. Our pro forma data is adjusted for the timing of acquisitions or dispositions, the effects of acquisition accounting, eliminating the costs and expenses directly related to the transaction, but does not include adjustments for costs related to integration activities, cost savings or synergies that have been or may be achieved by the combined businesses. We do not believe our pro forma data is a non-GAAP financial measure as contemplated by Regulation G.</w:t>
      </w:r>
    </w:p>
    <w:p>
      <w:pPr>
        <w:spacing w:after="0" w:line="17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In certain circumstances we also present “adjusted” data, to exclude certain gains, losses or other charges, net of tax (such as from the sales of investments or dispositions of businesses). This “adjusted” data is a non-GAAP financial measure. We believe, among other things, that the “adjusted” data may help investors evaluate our ongoing operations and can assist in making meaningful period-over-period comparisons.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183515</wp:posOffset>
            </wp:positionV>
            <wp:extent cx="726757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Exhibit 99.2 – Explanation of Non-GAAP and Other Financial Measures, cont’d</w:t>
      </w:r>
    </w:p>
    <w:p>
      <w:pPr>
        <w:spacing w:after="0" w:line="214"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color w:val="auto"/>
        </w:rPr>
        <w:t>Non-GAAP financial measures should not be considered as substitutes for operating income (loss), net income (loss) attributable to Comcast Corporation, net cash provided by operating activities or other measures of performance or liquidity reported in accordance with GAAP.</w:t>
      </w:r>
    </w:p>
    <w:p>
      <w:pPr>
        <w:spacing w:after="0" w:line="150"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color w:val="auto"/>
        </w:rPr>
        <w:t>Additionally, in the opinion of management, our pro forma data is not necessarily indicative of future results or what our results would have been had the acquired businesses been operated by us after the assumed earlier date.</w:t>
      </w:r>
    </w:p>
    <w:p>
      <w:pPr>
        <w:spacing w:after="0" w:line="150"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7"/>
          <w:szCs w:val="17"/>
          <w:color w:val="auto"/>
        </w:rPr>
        <w:t>In Exhibit 99.1 to this Current Report on Form 8-K we provide reconciliations of Free Cash Flow in Table 4, Consolidated Operating Cash Flow in Table 1 and “adjusted” data in Tables 4 and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175895</wp:posOffset>
            </wp:positionV>
            <wp:extent cx="726757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1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o"/>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1"/>
      <w:numFmt w:val="bullet"/>
      <w:start w:val="1"/>
    </w:lvl>
  </w:abstractNum>
  <w:abstractNum w:abstractNumId="5">
    <w:nsid w:val="2EB141F2"/>
    <w:multiLevelType w:val="hybridMultilevel"/>
    <w:lvl w:ilvl="0">
      <w:lvlJc w:val="left"/>
      <w:lvlText w:val="3"/>
      <w:numFmt w:val="bullet"/>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2019-12-08T00:39:57Z</dcterms:created>
  <dcterms:modified xsi:type="dcterms:W3CDTF">2019-12-08T00:39:57Z</dcterms:modified>
</cp:coreProperties>
</file>